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1"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61" w:before="0" w:after="0"/>
        <w:jc w:val="center"/>
        <w:rPr>
          <w:rFonts w:ascii="Times New Roman;serif" w:hAnsi="Times New Roman;serif"/>
          <w:b/>
          <w:color w:val="000000"/>
          <w:sz w:val="40"/>
        </w:rPr>
      </w:pPr>
      <w:r>
        <w:rPr>
          <w:rFonts w:ascii="Times New Roman;serif" w:hAnsi="Times New Roman;serif"/>
          <w:b/>
          <w:color w:val="000000"/>
          <w:sz w:val="40"/>
        </w:rPr>
        <w:t>SECURITIES AND EXCHANGE COMMISSION</w:t>
      </w:r>
    </w:p>
    <w:p>
      <w:pPr>
        <w:pStyle w:val="TextBody"/>
        <w:bidi w:val="0"/>
        <w:spacing w:lineRule="auto" w:line="261"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left"/>
        <w:rPr/>
      </w:pPr>
      <w:r>
        <w:rPr/>
      </w:r>
    </w:p>
    <w:p>
      <w:pPr>
        <w:pStyle w:val="TextBody"/>
        <w:bidi w:val="0"/>
        <w:spacing w:lineRule="auto" w:line="261" w:before="0" w:after="0"/>
        <w:jc w:val="center"/>
        <w:rPr>
          <w:rFonts w:ascii="Times New Roman;serif" w:hAnsi="Times New Roman;serif"/>
          <w:b/>
          <w:color w:val="000000"/>
          <w:sz w:val="40"/>
        </w:rPr>
      </w:pPr>
      <w:r>
        <w:rPr>
          <w:rFonts w:ascii="Times New Roman;serif" w:hAnsi="Times New Roman;serif"/>
          <w:b/>
          <w:color w:val="000000"/>
          <w:sz w:val="40"/>
        </w:rPr>
        <w:t>FORM 8-K</w:t>
      </w:r>
    </w:p>
    <w:p>
      <w:pPr>
        <w:pStyle w:val="TextBody"/>
        <w:bidi w:val="0"/>
        <w:spacing w:before="0" w:after="0"/>
        <w:jc w:val="center"/>
        <w:rPr/>
      </w:pPr>
      <w:r>
        <w:rPr/>
      </w:r>
    </w:p>
    <w:p>
      <w:pPr>
        <w:pStyle w:val="TextBody"/>
        <w:bidi w:val="0"/>
        <w:spacing w:lineRule="auto" w:line="261" w:before="0" w:after="0"/>
        <w:jc w:val="center"/>
        <w:rPr>
          <w:rFonts w:ascii="Times New Roman;serif" w:hAnsi="Times New Roman;serif"/>
          <w:b/>
          <w:color w:val="000000"/>
          <w:sz w:val="26"/>
        </w:rPr>
      </w:pPr>
      <w:r>
        <w:rPr>
          <w:rFonts w:ascii="Times New Roman;serif" w:hAnsi="Times New Roman;serif"/>
          <w:b/>
          <w:color w:val="000000"/>
          <w:sz w:val="26"/>
        </w:rPr>
        <w:t>CURRENT REPORT</w:t>
      </w:r>
    </w:p>
    <w:p>
      <w:pPr>
        <w:pStyle w:val="TextBody"/>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July 27,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earliest event reported)</w:t>
      </w:r>
    </w:p>
    <w:p>
      <w:pPr>
        <w:pStyle w:val="TextBody"/>
        <w:bidi w:val="0"/>
        <w:spacing w:before="0" w:after="0"/>
        <w:jc w:val="center"/>
        <w:rPr/>
      </w:pPr>
      <w:r>
        <w:rPr/>
        <w:drawing>
          <wp:inline distT="0" distB="0" distL="0" distR="0">
            <wp:extent cx="219075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5429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0" w:after="0"/>
        <w:jc w:val="center"/>
        <w:rPr/>
      </w:pPr>
      <w:r>
        <w:rPr/>
      </w:r>
    </w:p>
    <w:tbl>
      <w:tblPr>
        <w:tblW w:w="9689" w:type="dxa"/>
        <w:jc w:val="center"/>
        <w:tblInd w:w="0" w:type="dxa"/>
        <w:tblLayout w:type="fixed"/>
        <w:tblCellMar>
          <w:top w:w="28" w:type="dxa"/>
          <w:left w:w="28" w:type="dxa"/>
          <w:bottom w:w="28" w:type="dxa"/>
          <w:right w:w="28" w:type="dxa"/>
        </w:tblCellMar>
      </w:tblPr>
      <w:tblGrid>
        <w:gridCol w:w="642"/>
        <w:gridCol w:w="564"/>
        <w:gridCol w:w="564"/>
        <w:gridCol w:w="310"/>
        <w:gridCol w:w="310"/>
        <w:gridCol w:w="310"/>
        <w:gridCol w:w="334"/>
        <w:gridCol w:w="334"/>
        <w:gridCol w:w="336"/>
        <w:gridCol w:w="305"/>
        <w:gridCol w:w="305"/>
        <w:gridCol w:w="306"/>
        <w:gridCol w:w="722"/>
        <w:gridCol w:w="722"/>
        <w:gridCol w:w="730"/>
        <w:gridCol w:w="845"/>
        <w:gridCol w:w="845"/>
        <w:gridCol w:w="1205"/>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46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1-12616</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38-2730780</w:t>
            </w:r>
          </w:p>
        </w:tc>
      </w:tr>
      <w:tr>
        <w:trPr/>
        <w:tc>
          <w:tcPr>
            <w:tcW w:w="46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27777 Franklin Rd.</w:t>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300,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Southfield,</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Michigan</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48034</w:t>
            </w:r>
          </w:p>
        </w:tc>
      </w:tr>
      <w:tr>
        <w:trPr/>
        <w:tc>
          <w:tcPr>
            <w:tcW w:w="46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(248) 208-2500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07" w:type="dxa"/>
        <w:jc w:val="center"/>
        <w:tblInd w:w="0" w:type="dxa"/>
        <w:tblLayout w:type="fixed"/>
        <w:tblCellMar>
          <w:top w:w="28" w:type="dxa"/>
          <w:left w:w="28" w:type="dxa"/>
          <w:bottom w:w="28" w:type="dxa"/>
          <w:right w:w="28" w:type="dxa"/>
        </w:tblCellMar>
      </w:tblPr>
      <w:tblGrid>
        <w:gridCol w:w="988"/>
        <w:gridCol w:w="865"/>
        <w:gridCol w:w="876"/>
        <w:gridCol w:w="109"/>
        <w:gridCol w:w="109"/>
        <w:gridCol w:w="109"/>
        <w:gridCol w:w="539"/>
        <w:gridCol w:w="539"/>
        <w:gridCol w:w="541"/>
        <w:gridCol w:w="109"/>
        <w:gridCol w:w="109"/>
        <w:gridCol w:w="109"/>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SUI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Emerging growth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64" w:type="dxa"/>
        <w:jc w:val="left"/>
        <w:tblInd w:w="0" w:type="dxa"/>
        <w:tblLayout w:type="fixed"/>
        <w:tblCellMar>
          <w:top w:w="28" w:type="dxa"/>
          <w:left w:w="28" w:type="dxa"/>
          <w:bottom w:w="28" w:type="dxa"/>
          <w:right w:w="28" w:type="dxa"/>
        </w:tblCellMar>
      </w:tblPr>
      <w:tblGrid>
        <w:gridCol w:w="331"/>
        <w:gridCol w:w="290"/>
        <w:gridCol w:w="293"/>
        <w:gridCol w:w="1186"/>
        <w:gridCol w:w="1186"/>
        <w:gridCol w:w="16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27, 2026, Sun Communities, Inc. (the "Company") issued a press release, furnished as Exhibit 99.1 and incorporated herein by reference, announcing its financial results for the period ended June 30, 2026, and certain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will hold an investor conference call and webcast at 11:00 a.m. ET on July 28, 2026 to discuss the financial results for the period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including Exhibit 99.1, is being furnished and shall not be deemed to be "filed" for purposes of the Securities Exchange Act of 1934, as amended (the "Exchange Act").</w:t>
      </w:r>
    </w:p>
    <w:p>
      <w:pPr>
        <w:pStyle w:val="TextBody"/>
        <w:bidi w:val="0"/>
        <w:spacing w:before="0" w:after="0"/>
        <w:jc w:val="both"/>
        <w:rPr/>
      </w:pPr>
      <w:r>
        <w:rPr/>
      </w:r>
    </w:p>
    <w:tbl>
      <w:tblPr>
        <w:tblW w:w="3944" w:type="dxa"/>
        <w:jc w:val="left"/>
        <w:tblInd w:w="0" w:type="dxa"/>
        <w:tblLayout w:type="fixed"/>
        <w:tblCellMar>
          <w:top w:w="28" w:type="dxa"/>
          <w:left w:w="28" w:type="dxa"/>
          <w:bottom w:w="28" w:type="dxa"/>
          <w:right w:w="28" w:type="dxa"/>
        </w:tblCellMar>
      </w:tblPr>
      <w:tblGrid>
        <w:gridCol w:w="331"/>
        <w:gridCol w:w="290"/>
        <w:gridCol w:w="293"/>
        <w:gridCol w:w="887"/>
        <w:gridCol w:w="887"/>
        <w:gridCol w:w="12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417" w:before="0" w:after="140"/>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tbl>
      <w:tblPr>
        <w:tblW w:w="7680" w:type="dxa"/>
        <w:jc w:val="left"/>
        <w:tblInd w:w="0" w:type="dxa"/>
        <w:tblLayout w:type="fixed"/>
        <w:tblCellMar>
          <w:top w:w="28" w:type="dxa"/>
          <w:left w:w="28" w:type="dxa"/>
          <w:bottom w:w="28" w:type="dxa"/>
          <w:right w:w="28" w:type="dxa"/>
        </w:tblCellMar>
      </w:tblPr>
      <w:tblGrid>
        <w:gridCol w:w="391"/>
        <w:gridCol w:w="344"/>
        <w:gridCol w:w="345"/>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exhibit991pressreleaseands.htm">
              <w:r>
                <w:rPr>
                  <w:rStyle w:val="InternetLink"/>
                  <w:rFonts w:ascii="Times New Roman;serif" w:hAnsi="Times New Roman;serif"/>
                  <w:b w:val="false"/>
                  <w:color w:val="000080"/>
                  <w:sz w:val="20"/>
                  <w:u w:val="single"/>
                </w:rPr>
                <w:t xml:space="preserve">Press release dated </w:t>
              </w:r>
            </w:hyperlink>
            <w:hyperlink w:anchor="exhibit991pressreleaseands.htm">
              <w:r>
                <w:rPr>
                  <w:rStyle w:val="InternetLink"/>
                  <w:rFonts w:ascii="Times New Roman;serif" w:hAnsi="Times New Roman;serif"/>
                  <w:b w:val="false"/>
                  <w:color w:val="000080"/>
                  <w:sz w:val="20"/>
                  <w:u w:val="single"/>
                </w:rPr>
                <w:t>July</w:t>
              </w:r>
            </w:hyperlink>
            <w:hyperlink w:anchor="exhibit991pressreleaseands.htm">
              <w:r>
                <w:rPr>
                  <w:rStyle w:val="InternetLink"/>
                  <w:rFonts w:ascii="Times New Roman;serif" w:hAnsi="Times New Roman;serif"/>
                  <w:b w:val="false"/>
                  <w:color w:val="000080"/>
                  <w:sz w:val="20"/>
                  <w:u w:val="single"/>
                </w:rPr>
                <w:t xml:space="preserve"> 27, 2026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639" w:type="dxa"/>
        <w:jc w:val="center"/>
        <w:tblInd w:w="0" w:type="dxa"/>
        <w:tblLayout w:type="fixed"/>
        <w:tblCellMar>
          <w:top w:w="28" w:type="dxa"/>
          <w:left w:w="28" w:type="dxa"/>
          <w:bottom w:w="28" w:type="dxa"/>
          <w:right w:w="28" w:type="dxa"/>
        </w:tblCellMar>
      </w:tblPr>
      <w:tblGrid>
        <w:gridCol w:w="656"/>
        <w:gridCol w:w="576"/>
        <w:gridCol w:w="582"/>
        <w:gridCol w:w="109"/>
        <w:gridCol w:w="109"/>
        <w:gridCol w:w="109"/>
        <w:gridCol w:w="373"/>
        <w:gridCol w:w="373"/>
        <w:gridCol w:w="373"/>
        <w:gridCol w:w="1277"/>
        <w:gridCol w:w="1277"/>
        <w:gridCol w:w="1825"/>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 COMMUNITIES, INC.</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Fernando Castro-Caratini</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Fernando Castro-Caratini, Executive Vice President,</w:t>
              <w:br/>
              <w:t>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6858000" cy="88677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6858000" cy="88677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Earnings Press Release &amp; Supplemental Operating and Financial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and Six Months Ended June 30, 2026</w:t>
      </w:r>
    </w:p>
    <w:tbl>
      <w:tblPr>
        <w:tblW w:w="9135" w:type="dxa"/>
        <w:jc w:val="center"/>
        <w:tblInd w:w="0" w:type="dxa"/>
        <w:tblLayout w:type="fixed"/>
        <w:tblCellMar>
          <w:top w:w="28" w:type="dxa"/>
          <w:left w:w="28" w:type="dxa"/>
          <w:bottom w:w="28" w:type="dxa"/>
          <w:right w:w="28" w:type="dxa"/>
        </w:tblCellMar>
      </w:tblPr>
      <w:tblGrid>
        <w:gridCol w:w="3104"/>
        <w:gridCol w:w="2728"/>
        <w:gridCol w:w="2732"/>
        <w:gridCol w:w="167"/>
        <w:gridCol w:w="167"/>
        <w:gridCol w:w="237"/>
      </w:tblGrid>
      <w:tr>
        <w:trPr/>
        <w:tc>
          <w:tcPr>
            <w:tcW w:w="3104"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56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Forward-Looking Statements</w:t>
            </w:r>
          </w:p>
        </w:tc>
        <w:tc>
          <w:tcPr>
            <w:tcW w:w="571" w:type="dxa"/>
            <w:gridSpan w:val="3"/>
            <w:tcBorders>
              <w:top w:val="single" w:sz="8" w:space="0" w:color="000000"/>
            </w:tcBorders>
            <w:shd w:fill="E0E0E0" w:val="clear"/>
            <w:tcMar>
              <w:top w:w="52" w:type="dxa"/>
              <w:left w:w="0" w:type="dxa"/>
              <w:bottom w:w="0" w:type="dxa"/>
              <w:right w:w="0" w:type="dxa"/>
            </w:tcMar>
            <w:vAlign w:val="center"/>
          </w:tcPr>
          <w:p>
            <w:pPr>
              <w:pStyle w:val="TableContents"/>
              <w:bidi w:val="0"/>
              <w:spacing w:lineRule="auto" w:line="240" w:before="0" w:after="0"/>
              <w:jc w:val="center"/>
              <w:rPr/>
            </w:pPr>
            <w:hyperlink w:anchor="i9389ffd213a74f848e53c1f852859546_7">
              <w:r>
                <w:rPr>
                  <w:rStyle w:val="InternetLink"/>
                  <w:rFonts w:ascii="Times New Roman;serif" w:hAnsi="Times New Roman;serif"/>
                  <w:b w:val="false"/>
                  <w:color w:val="0000FF"/>
                  <w:sz w:val="20"/>
                  <w:u w:val="single"/>
                </w:rPr>
                <w:t>i</w:t>
              </w:r>
            </w:hyperlink>
          </w:p>
        </w:tc>
      </w:tr>
      <w:tr>
        <w:trPr/>
        <w:tc>
          <w:tcPr>
            <w:tcW w:w="8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4" w:type="dxa"/>
            <w:gridSpan w:val="3"/>
            <w:tcBorders/>
            <w:shd w:fill="E0E0E0" w:val="clear"/>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color w:val="000000"/>
                <w:sz w:val="20"/>
              </w:rPr>
            </w:pPr>
            <w:r>
              <w:rPr>
                <w:rFonts w:ascii="Times New Roman;serif" w:hAnsi="Times New Roman;serif"/>
                <w:b/>
                <w:color w:val="000000"/>
                <w:sz w:val="20"/>
              </w:rPr>
              <w:t>Earnings Press Release and Guidance</w:t>
            </w:r>
          </w:p>
        </w:tc>
        <w:tc>
          <w:tcPr>
            <w:tcW w:w="571" w:type="dxa"/>
            <w:gridSpan w:val="3"/>
            <w:tcBorders/>
            <w:shd w:fill="E0E0E0"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10">
              <w:r>
                <w:rPr>
                  <w:rStyle w:val="InternetLink"/>
                  <w:rFonts w:ascii="Times New Roman;serif" w:hAnsi="Times New Roman;serif"/>
                  <w:b w:val="false"/>
                  <w:color w:val="0000FF"/>
                  <w:sz w:val="20"/>
                  <w:u w:val="single"/>
                </w:rPr>
                <w:t>ii</w:t>
              </w:r>
            </w:hyperlink>
          </w:p>
        </w:tc>
      </w:tr>
      <w:tr>
        <w:trPr/>
        <w:tc>
          <w:tcPr>
            <w:tcW w:w="8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Overview</w:t>
            </w:r>
          </w:p>
        </w:tc>
        <w:tc>
          <w:tcPr>
            <w:tcW w:w="57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Company Overview and Investor Information</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43">
              <w:r>
                <w:rPr>
                  <w:rStyle w:val="InternetLink"/>
                  <w:rFonts w:ascii="Times New Roman;serif" w:hAnsi="Times New Roman;serif"/>
                  <w:b w:val="false"/>
                  <w:color w:val="0000FF"/>
                  <w:sz w:val="20"/>
                  <w:u w:val="single"/>
                </w:rPr>
                <w:t>1</w:t>
              </w:r>
            </w:hyperlink>
          </w:p>
        </w:tc>
      </w:tr>
      <w:tr>
        <w:trPr/>
        <w:tc>
          <w:tcPr>
            <w:tcW w:w="856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Overview</w:t>
            </w:r>
          </w:p>
        </w:tc>
        <w:tc>
          <w:tcPr>
            <w:tcW w:w="571" w:type="dxa"/>
            <w:gridSpan w:val="3"/>
            <w:tcBorders/>
            <w:shd w:fill="E0E0E0"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46">
              <w:r>
                <w:rPr>
                  <w:rStyle w:val="InternetLink"/>
                  <w:rFonts w:ascii="Times New Roman;serif" w:hAnsi="Times New Roman;serif"/>
                  <w:b w:val="false"/>
                  <w:color w:val="0000FF"/>
                  <w:sz w:val="20"/>
                  <w:u w:val="single"/>
                </w:rPr>
                <w:t>1</w:t>
              </w:r>
            </w:hyperlink>
          </w:p>
        </w:tc>
      </w:tr>
      <w:tr>
        <w:trPr/>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and Operating Highlights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49">
              <w:r>
                <w:rPr>
                  <w:rStyle w:val="InternetLink"/>
                  <w:rFonts w:ascii="Times New Roman;serif" w:hAnsi="Times New Roman;serif"/>
                  <w:b w:val="false"/>
                  <w:color w:val="0000FF"/>
                  <w:sz w:val="20"/>
                  <w:u w:val="single"/>
                </w:rPr>
                <w:t>2</w:t>
              </w:r>
            </w:hyperlink>
          </w:p>
        </w:tc>
      </w:tr>
      <w:tr>
        <w:trPr/>
        <w:tc>
          <w:tcPr>
            <w:tcW w:w="8564"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color w:val="000000"/>
                <w:sz w:val="20"/>
              </w:rPr>
            </w:pPr>
            <w:r>
              <w:rPr>
                <w:rFonts w:ascii="Times New Roman;serif" w:hAnsi="Times New Roman;serif"/>
                <w:b/>
                <w:color w:val="000000"/>
                <w:sz w:val="20"/>
              </w:rPr>
              <w:t>Financial Statements and Reconciliations to Non-GAAP Financial Measures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Sheets</w:t>
            </w:r>
          </w:p>
        </w:tc>
        <w:tc>
          <w:tcPr>
            <w:tcW w:w="571" w:type="dxa"/>
            <w:gridSpan w:val="3"/>
            <w:tcBorders/>
            <w:shd w:fill="E0E0E0"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55">
              <w:r>
                <w:rPr>
                  <w:rStyle w:val="InternetLink"/>
                  <w:rFonts w:ascii="Times New Roman;serif" w:hAnsi="Times New Roman;serif"/>
                  <w:b w:val="false"/>
                  <w:color w:val="0000FF"/>
                  <w:sz w:val="20"/>
                  <w:u w:val="single"/>
                </w:rPr>
                <w:t>3</w:t>
              </w:r>
            </w:hyperlink>
          </w:p>
        </w:tc>
      </w:tr>
      <w:tr>
        <w:trPr/>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58">
              <w:r>
                <w:rPr>
                  <w:rStyle w:val="InternetLink"/>
                  <w:rFonts w:ascii="Times New Roman;serif" w:hAnsi="Times New Roman;serif"/>
                  <w:b w:val="false"/>
                  <w:color w:val="0000FF"/>
                  <w:sz w:val="20"/>
                  <w:u w:val="single"/>
                </w:rPr>
                <w:t>4</w:t>
              </w:r>
            </w:hyperlink>
          </w:p>
        </w:tc>
      </w:tr>
      <w:tr>
        <w:trPr/>
        <w:tc>
          <w:tcPr>
            <w:tcW w:w="8564" w:type="dxa"/>
            <w:gridSpan w:val="3"/>
            <w:tcBorders/>
            <w:shd w:fill="E0E0E0"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 (Loss) Attributable to SUI Common Shareholders to Core FFO</w:t>
            </w:r>
          </w:p>
        </w:tc>
        <w:tc>
          <w:tcPr>
            <w:tcW w:w="571" w:type="dxa"/>
            <w:gridSpan w:val="3"/>
            <w:tcBorders/>
            <w:shd w:fill="E0E0E0"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61">
              <w:r>
                <w:rPr>
                  <w:rStyle w:val="InternetLink"/>
                  <w:rFonts w:ascii="Times New Roman;serif" w:hAnsi="Times New Roman;serif"/>
                  <w:b w:val="false"/>
                  <w:color w:val="0000FF"/>
                  <w:sz w:val="20"/>
                  <w:u w:val="single"/>
                </w:rPr>
                <w:t>5</w:t>
              </w:r>
            </w:hyperlink>
          </w:p>
        </w:tc>
      </w:tr>
      <w:tr>
        <w:trPr/>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 (Loss) Attributable to SUI Common Shareholders to NOI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64">
              <w:r>
                <w:rPr>
                  <w:rStyle w:val="InternetLink"/>
                  <w:rFonts w:ascii="Times New Roman;serif" w:hAnsi="Times New Roman;serif"/>
                  <w:b w:val="false"/>
                  <w:color w:val="0000FF"/>
                  <w:sz w:val="20"/>
                  <w:u w:val="single"/>
                </w:rPr>
                <w:t>6</w:t>
              </w:r>
            </w:hyperlink>
          </w:p>
        </w:tc>
      </w:tr>
      <w:tr>
        <w:trPr/>
        <w:tc>
          <w:tcPr>
            <w:tcW w:w="8564" w:type="dxa"/>
            <w:gridSpan w:val="3"/>
            <w:tcBorders/>
            <w:shd w:fill="E0E0E0"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 (Loss) Attributable to SUI Common Shareholders to Recurring EBITDA</w:t>
            </w:r>
          </w:p>
        </w:tc>
        <w:tc>
          <w:tcPr>
            <w:tcW w:w="571" w:type="dxa"/>
            <w:gridSpan w:val="3"/>
            <w:tcBorders/>
            <w:shd w:fill="E0E0E0"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67">
              <w:r>
                <w:rPr>
                  <w:rStyle w:val="InternetLink"/>
                  <w:rFonts w:ascii="Times New Roman;serif" w:hAnsi="Times New Roman;serif"/>
                  <w:b w:val="false"/>
                  <w:color w:val="0000FF"/>
                  <w:sz w:val="20"/>
                  <w:u w:val="single"/>
                </w:rPr>
                <w:t>7</w:t>
              </w:r>
            </w:hyperlink>
          </w:p>
        </w:tc>
      </w:tr>
      <w:tr>
        <w:trPr/>
        <w:tc>
          <w:tcPr>
            <w:tcW w:w="8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w:t>
            </w:r>
          </w:p>
        </w:tc>
        <w:tc>
          <w:tcPr>
            <w:tcW w:w="57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 Property Operations - Total Portfolio</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73">
              <w:r>
                <w:rPr>
                  <w:rStyle w:val="InternetLink"/>
                  <w:rFonts w:ascii="Times New Roman;serif" w:hAnsi="Times New Roman;serif"/>
                  <w:b w:val="false"/>
                  <w:color w:val="0000FF"/>
                  <w:sz w:val="20"/>
                  <w:u w:val="single"/>
                </w:rPr>
                <w:t>8</w:t>
              </w:r>
            </w:hyperlink>
          </w:p>
        </w:tc>
      </w:tr>
      <w:tr>
        <w:trPr/>
        <w:tc>
          <w:tcPr>
            <w:tcW w:w="8564" w:type="dxa"/>
            <w:gridSpan w:val="3"/>
            <w:tcBorders/>
            <w:shd w:fill="E0E0E0"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 Property Operations - Same Property Portfolio</w:t>
            </w:r>
          </w:p>
        </w:tc>
        <w:tc>
          <w:tcPr>
            <w:tcW w:w="571" w:type="dxa"/>
            <w:gridSpan w:val="3"/>
            <w:tcBorders/>
            <w:shd w:fill="E0E0E0"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79">
              <w:r>
                <w:rPr>
                  <w:rStyle w:val="InternetLink"/>
                  <w:rFonts w:ascii="Times New Roman;serif" w:hAnsi="Times New Roman;serif"/>
                  <w:b w:val="false"/>
                  <w:color w:val="0000FF"/>
                  <w:sz w:val="20"/>
                  <w:u w:val="single"/>
                </w:rPr>
                <w:t>9</w:t>
              </w:r>
            </w:hyperlink>
          </w:p>
        </w:tc>
      </w:tr>
      <w:tr>
        <w:trPr/>
        <w:tc>
          <w:tcPr>
            <w:tcW w:w="856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Information</w:t>
            </w:r>
          </w:p>
        </w:tc>
        <w:tc>
          <w:tcPr>
            <w:tcW w:w="57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Sales Summary</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88">
              <w:r>
                <w:rPr>
                  <w:rStyle w:val="InternetLink"/>
                  <w:rFonts w:ascii="Times New Roman;serif" w:hAnsi="Times New Roman;serif"/>
                  <w:b w:val="false"/>
                  <w:color w:val="0000FF"/>
                  <w:sz w:val="20"/>
                  <w:u w:val="single"/>
                </w:rPr>
                <w:t>10</w:t>
              </w:r>
            </w:hyperlink>
          </w:p>
        </w:tc>
      </w:tr>
      <w:tr>
        <w:trPr/>
        <w:tc>
          <w:tcPr>
            <w:tcW w:w="856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Statistics for MH and Annual RVs</w:t>
            </w:r>
          </w:p>
        </w:tc>
        <w:tc>
          <w:tcPr>
            <w:tcW w:w="571" w:type="dxa"/>
            <w:gridSpan w:val="3"/>
            <w:tcBorders/>
            <w:shd w:fill="E0E0E0"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91">
              <w:r>
                <w:rPr>
                  <w:rStyle w:val="InternetLink"/>
                  <w:rFonts w:ascii="Times New Roman;serif" w:hAnsi="Times New Roman;serif"/>
                  <w:b w:val="false"/>
                  <w:color w:val="0000FF"/>
                  <w:sz w:val="20"/>
                  <w:u w:val="single"/>
                </w:rPr>
                <w:t>10</w:t>
              </w:r>
            </w:hyperlink>
          </w:p>
        </w:tc>
      </w:tr>
      <w:tr>
        <w:trPr/>
        <w:tc>
          <w:tcPr>
            <w:tcW w:w="8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4" w:type="dxa"/>
            <w:gridSpan w:val="3"/>
            <w:tcBorders/>
            <w:shd w:fill="E0E0E0" w:val="clear"/>
            <w:tcMar>
              <w:top w:w="0" w:type="dxa"/>
              <w:left w:w="0" w:type="dxa"/>
              <w:bottom w:w="0" w:type="dxa"/>
              <w:right w:w="0" w:type="dxa"/>
            </w:tcMar>
            <w:vAlign w:val="center"/>
          </w:tcPr>
          <w:p>
            <w:pPr>
              <w:pStyle w:val="TableContents"/>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Investment Activity</w:t>
            </w:r>
          </w:p>
        </w:tc>
        <w:tc>
          <w:tcPr>
            <w:tcW w:w="57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Dispositions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97">
              <w:r>
                <w:rPr>
                  <w:rStyle w:val="InternetLink"/>
                  <w:rFonts w:ascii="Times New Roman;serif" w:hAnsi="Times New Roman;serif"/>
                  <w:b w:val="false"/>
                  <w:color w:val="0000FF"/>
                  <w:sz w:val="20"/>
                  <w:u w:val="single"/>
                </w:rPr>
                <w:t>11</w:t>
              </w:r>
            </w:hyperlink>
          </w:p>
        </w:tc>
      </w:tr>
      <w:tr>
        <w:trPr/>
        <w:tc>
          <w:tcPr>
            <w:tcW w:w="856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571" w:type="dxa"/>
            <w:gridSpan w:val="3"/>
            <w:tcBorders/>
            <w:shd w:fill="E0E0E0"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100">
              <w:r>
                <w:rPr>
                  <w:rStyle w:val="InternetLink"/>
                  <w:rFonts w:ascii="Times New Roman;serif" w:hAnsi="Times New Roman;serif"/>
                  <w:b w:val="false"/>
                  <w:color w:val="0000FF"/>
                  <w:sz w:val="20"/>
                  <w:u w:val="single"/>
                </w:rPr>
                <w:t>11</w:t>
              </w:r>
            </w:hyperlink>
          </w:p>
        </w:tc>
      </w:tr>
      <w:tr>
        <w:trPr/>
        <w:tc>
          <w:tcPr>
            <w:tcW w:w="8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Capitalization</w:t>
            </w:r>
          </w:p>
        </w:tc>
        <w:tc>
          <w:tcPr>
            <w:tcW w:w="57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Overview</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106">
              <w:r>
                <w:rPr>
                  <w:rStyle w:val="InternetLink"/>
                  <w:rFonts w:ascii="Times New Roman;serif" w:hAnsi="Times New Roman;serif"/>
                  <w:b w:val="false"/>
                  <w:color w:val="0000FF"/>
                  <w:sz w:val="20"/>
                  <w:u w:val="single"/>
                </w:rPr>
                <w:t>12</w:t>
              </w:r>
            </w:hyperlink>
          </w:p>
        </w:tc>
      </w:tr>
      <w:tr>
        <w:trPr/>
        <w:tc>
          <w:tcPr>
            <w:tcW w:w="8564" w:type="dxa"/>
            <w:gridSpan w:val="3"/>
            <w:tcBorders/>
            <w:shd w:fill="E0E0E0"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Maturities</w:t>
            </w:r>
          </w:p>
        </w:tc>
        <w:tc>
          <w:tcPr>
            <w:tcW w:w="571" w:type="dxa"/>
            <w:gridSpan w:val="3"/>
            <w:tcBorders/>
            <w:shd w:fill="E0E0E0"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112">
              <w:r>
                <w:rPr>
                  <w:rStyle w:val="InternetLink"/>
                  <w:rFonts w:ascii="Times New Roman;serif" w:hAnsi="Times New Roman;serif"/>
                  <w:b w:val="false"/>
                  <w:color w:val="0000FF"/>
                  <w:sz w:val="20"/>
                  <w:u w:val="single"/>
                </w:rPr>
                <w:t>13</w:t>
              </w:r>
            </w:hyperlink>
          </w:p>
        </w:tc>
      </w:tr>
      <w:tr>
        <w:trPr/>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Analysis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115">
              <w:r>
                <w:rPr>
                  <w:rStyle w:val="InternetLink"/>
                  <w:rFonts w:ascii="Times New Roman;serif" w:hAnsi="Times New Roman;serif"/>
                  <w:b w:val="false"/>
                  <w:color w:val="0000FF"/>
                  <w:sz w:val="20"/>
                  <w:u w:val="single"/>
                </w:rPr>
                <w:t>13</w:t>
              </w:r>
            </w:hyperlink>
          </w:p>
        </w:tc>
      </w:tr>
      <w:tr>
        <w:trPr/>
        <w:tc>
          <w:tcPr>
            <w:tcW w:w="8564"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Definitions and Notes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4" w:type="dxa"/>
            <w:gridSpan w:val="3"/>
            <w:tcBorders/>
            <w:shd w:fill="E0E0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Define and provide additional notes related to non-GAAP financial measures and other capitalized terms</w:t>
            </w:r>
          </w:p>
        </w:tc>
        <w:tc>
          <w:tcPr>
            <w:tcW w:w="571" w:type="dxa"/>
            <w:gridSpan w:val="3"/>
            <w:tcBorders/>
            <w:shd w:fill="E0E0E0" w:val="clear"/>
            <w:tcMar>
              <w:top w:w="0" w:type="dxa"/>
              <w:left w:w="0" w:type="dxa"/>
              <w:bottom w:w="0" w:type="dxa"/>
              <w:right w:w="0" w:type="dxa"/>
            </w:tcMar>
            <w:vAlign w:val="center"/>
          </w:tcPr>
          <w:p>
            <w:pPr>
              <w:pStyle w:val="TableContents"/>
              <w:bidi w:val="0"/>
              <w:spacing w:lineRule="auto" w:line="240" w:before="0" w:after="0"/>
              <w:jc w:val="center"/>
              <w:rPr/>
            </w:pPr>
            <w:hyperlink w:anchor="i9389ffd213a74f848e53c1f852859546_118">
              <w:r>
                <w:rPr>
                  <w:rStyle w:val="InternetLink"/>
                  <w:rFonts w:ascii="Times New Roman;serif" w:hAnsi="Times New Roman;serif"/>
                  <w:b w:val="false"/>
                  <w:color w:val="0000FF"/>
                  <w:sz w:val="20"/>
                  <w:u w:val="single"/>
                </w:rPr>
                <w:t>14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Earnings Press Release &amp; Supplemental Operating and Financial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and Six Months Ended June 30, 2026</w:t>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This document contains various "forward-looking statements" within the meaning of the Securities Act of 1933, as amended (the "Securities Act"), and the Securities Exchange Act of 1934, as amended (the "Exchange Act"), and Sun Communities, Inc. (the "Company") intends that such forward-looking statements will be subject to the safe harbors created thereby. For this purpose, any statements contained in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 "goal," "estimate," "expect," "project," "projections," "plans," "predicts," "potential," "seeks," "anticipates," "should," "could," "may," "will," "designed to," "foreseeable future," "believe," "scheduled," "guidance," "target," and similar expressions are intended to identify forward-looking statements, although not all forward-looking statements contain these words. These forward-looking statements reflect the Company's current views with respect to future events and financial performance, but involve known and unknown risks and uncertainties, both general and specific to the matters discussed in this document, some of which are beyond the Company's control. These risks and uncertainties may cause the Company's actual results to be materially different from any future results expressed or implied by such forward-looking statements. In addition to the risks described under "Risk Factors" contained in the Company's Annual Report on Form 10-K for the year ended December 31, 2025, in Item 8.01 of the Company's Current Report on Form 8-K filed May 21, 2026, and in the Company's other filings with the Securities and Exchange Commission from time to time, such risks, uncertainties and other factors include those described under the heading "Cautionary Statement Regarding Forward-Looking Statements" in the accompanying press release.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Readers are cautioned not to place undue reliance on these forward-looking statements, which speak only as of the date the statement was made. The Company undertakes no obligation to publicly update or revise any forward-looking statements included or incorporated by reference into this document, whether as a result of new information, future events, changes in the Company's expectations, or otherwise, except as required by law.</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Although the Company believes that the expectations reflected in the forward-looking statements are reasonable, the Company cannot guarantee future results, levels of activity, performance, or achievements. All written and oral forward-looking statements attributable to the Company or persons acting on the Company's behalf are qualified in their entirety by these cautionary statements.</w:t>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Note on Non-GAAP Measures: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This document includes information regarding various non-GAAP supplemental performance measures, including funds from operations ("FFO"), Core FFO, net operating income ("NOI"), earnings before interest, tax, depreciation and amortization ("EBITDA"), and Recurring EBITDA. For information on these non-GAAP measures, please refer to "Reconciliation of Net Income / (Loss) Attributable to SUI Common Shareholders to Core FFO," "Reconciliation of Net income / (Loss) Attributable to SUI Common Shareholders to NOI," "Reconciliation of Net Income / (Loss) Attributable to SUI Common Shareholders to Recurring EBITDA," and "Definitions and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w:t>
                      </w:r>
                    </w:p>
                  </w:txbxContent>
                </v:textbox>
                <w10:wrap type="none"/>
              </v:rect>
            </w:pict>
          </mc:Fallback>
        </mc:AlternateContent>
      </w:r>
    </w:p>
    <w:p>
      <w:pPr>
        <w:pStyle w:val="TextBody"/>
        <w:bidi w:val="0"/>
        <w:spacing w:before="120" w:after="120"/>
        <w:jc w:val="right"/>
        <w:rPr/>
      </w:pPr>
      <w:r>
        <w:rPr/>
        <w:drawing>
          <wp:inline distT="0" distB="0" distL="0" distR="0">
            <wp:extent cx="1666875" cy="45720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666875" cy="457200"/>
                    </a:xfrm>
                    <a:prstGeom prst="rect">
                      <a:avLst/>
                    </a:prstGeom>
                  </pic:spPr>
                </pic:pic>
              </a:graphicData>
            </a:graphic>
          </wp:inline>
        </w:drawing>
      </w: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EARNINGS PRESS RELEASE</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July 27, 2026</w:t>
      </w:r>
    </w:p>
    <w:p>
      <w:pPr>
        <w:pStyle w:val="TextBody"/>
        <w:bidi w:val="0"/>
        <w:spacing w:lineRule="auto" w:line="288" w:before="120" w:after="120"/>
        <w:jc w:val="center"/>
        <w:rPr>
          <w:rFonts w:ascii="Times New Roman;serif" w:hAnsi="Times New Roman;serif"/>
          <w:b/>
          <w:color w:val="000000"/>
          <w:sz w:val="28"/>
        </w:rPr>
      </w:pPr>
      <w:r>
        <w:rPr>
          <w:rFonts w:ascii="Times New Roman;serif" w:hAnsi="Times New Roman;serif"/>
          <w:b/>
          <w:color w:val="000000"/>
          <w:sz w:val="28"/>
        </w:rPr>
        <w:t>Sun Communities Reports Results for the Second Quarter and First Six Months of 2026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pPr>
      <w:r>
        <w:rPr>
          <w:rFonts w:ascii="Times New Roman;serif" w:hAnsi="Times New Roman;serif"/>
          <w:b w:val="false"/>
          <w:i/>
          <w:color w:val="000000"/>
          <w:sz w:val="22"/>
        </w:rPr>
        <w:t>Net Loss per Diluted Share of $8.08</w:t>
      </w:r>
      <w:r>
        <w:rPr>
          <w:color w:val="000000"/>
        </w:rPr>
        <w:t xml:space="preserve"> </w:t>
      </w:r>
      <w:r>
        <w:rPr>
          <w:rFonts w:ascii="Times New Roman;serif" w:hAnsi="Times New Roman;serif"/>
          <w:b w:val="false"/>
          <w:i/>
          <w:color w:val="000000"/>
          <w:sz w:val="22"/>
        </w:rPr>
        <w:t>for the Quarter, inclusive of a Net Loss from Discontinued Operations</w:t>
      </w:r>
    </w:p>
    <w:p>
      <w:pPr>
        <w:pStyle w:val="TextBody"/>
        <w:bidi w:val="0"/>
        <w:spacing w:lineRule="auto" w:line="288" w:before="120" w:after="120"/>
        <w:jc w:val="center"/>
        <w:rPr>
          <w:rFonts w:ascii="Times New Roman;serif" w:hAnsi="Times New Roman;serif"/>
          <w:b w:val="false"/>
          <w:i/>
          <w:color w:val="000000"/>
          <w:sz w:val="22"/>
        </w:rPr>
      </w:pPr>
      <w:r>
        <w:rPr>
          <w:rFonts w:ascii="Times New Roman;serif" w:hAnsi="Times New Roman;serif"/>
          <w:b w:val="false"/>
          <w:i/>
          <w:color w:val="000000"/>
          <w:sz w:val="22"/>
        </w:rPr>
        <w:t>Net Income per Diluted Share from Continuing Operations of $0.32 for the Quarter</w:t>
      </w:r>
    </w:p>
    <w:p>
      <w:pPr>
        <w:pStyle w:val="TextBody"/>
        <w:bidi w:val="0"/>
        <w:spacing w:lineRule="auto" w:line="288" w:before="120" w:after="120"/>
        <w:jc w:val="center"/>
        <w:rPr/>
      </w:pPr>
      <w:r>
        <w:rPr>
          <w:rFonts w:ascii="Times New Roman;serif" w:hAnsi="Times New Roman;serif"/>
          <w:b w:val="false"/>
          <w:i/>
          <w:color w:val="000000"/>
          <w:sz w:val="22"/>
        </w:rPr>
        <w:t>Core FFO per Share of $1.84</w:t>
      </w:r>
      <w:r>
        <w:rPr>
          <w:color w:val="000000"/>
        </w:rPr>
        <w:t xml:space="preserve"> </w:t>
      </w:r>
      <w:r>
        <w:rPr>
          <w:rFonts w:ascii="Times New Roman;serif" w:hAnsi="Times New Roman;serif"/>
          <w:b w:val="false"/>
          <w:i/>
          <w:color w:val="000000"/>
          <w:sz w:val="22"/>
        </w:rPr>
        <w:t>for the Quarter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i/>
          <w:color w:val="000000"/>
          <w:sz w:val="22"/>
        </w:rPr>
      </w:pPr>
      <w:r>
        <w:rPr>
          <w:rFonts w:ascii="Times New Roman;serif" w:hAnsi="Times New Roman;serif"/>
          <w:b w:val="false"/>
          <w:i/>
          <w:color w:val="000000"/>
          <w:sz w:val="22"/>
        </w:rPr>
        <w:t>Same Property NOI Grew by 6.0% for the Quarter Driven by Strength in Manufactured Housing</w:t>
      </w:r>
    </w:p>
    <w:p>
      <w:pPr>
        <w:pStyle w:val="TextBody"/>
        <w:bidi w:val="0"/>
        <w:spacing w:lineRule="auto" w:line="288" w:before="120" w:after="120"/>
        <w:jc w:val="center"/>
        <w:rPr>
          <w:rFonts w:ascii="Times New Roman;serif" w:hAnsi="Times New Roman;serif"/>
          <w:b w:val="false"/>
          <w:i/>
          <w:color w:val="000000"/>
          <w:sz w:val="22"/>
        </w:rPr>
      </w:pPr>
      <w:r>
        <w:rPr>
          <w:rFonts w:ascii="Times New Roman;serif" w:hAnsi="Times New Roman;serif"/>
          <w:b w:val="false"/>
          <w:i/>
          <w:color w:val="000000"/>
          <w:sz w:val="22"/>
        </w:rPr>
        <w:t>Same Property Adjusted Blended Occupancy for MH and RV of 98.8%</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i/>
          <w:color w:val="000000"/>
          <w:sz w:val="22"/>
        </w:rPr>
      </w:pPr>
      <w:r>
        <w:rPr>
          <w:rFonts w:ascii="Times New Roman;serif" w:hAnsi="Times New Roman;serif"/>
          <w:b w:val="false"/>
          <w:i/>
          <w:color w:val="000000"/>
          <w:sz w:val="22"/>
        </w:rPr>
        <w:t>Increasing 2026 Same Property NOI Growth Guidance by 20 Basis Points, to 4.5% - 5.3%</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color w:val="000000"/>
          <w:sz w:val="24"/>
        </w:rPr>
        <w:t xml:space="preserve">Southfield, Michigan, July 27, 2026 – Sun Communities, Inc. (NYSE: SUI) </w:t>
      </w:r>
      <w:r>
        <w:rPr>
          <w:rFonts w:ascii="Times New Roman;serif" w:hAnsi="Times New Roman;serif"/>
          <w:b w:val="false"/>
          <w:color w:val="000000"/>
          <w:sz w:val="24"/>
        </w:rPr>
        <w:t>(the "Company" or "SUI"), a real estate investment trust ("REIT") that owns and operates, or has an interest in, manufactured housing ("MH") and recreational vehicle ("RV") communities (collectively, the "properties"), today reported its second quarter results for 2026.</w:t>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Financial Results for the Quarter and Six Months Ended June 30, 2026</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4"/>
        </w:rPr>
        <w:t>For the quarter ended June 30, 2026, net income attributable to continuing operations was $42.3 million, or $0.32 per diluted share, compared to a net loss from continuing operations of $30.0 million, or $0.74 per diluted share for the same period in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4"/>
        </w:rPr>
        <w:t>For the quarter ended June 30, 2026, net loss attributable to common shareholders was $992.7 million, or $8.08 per diluted share, compared to net income attributable to common shareholders of $1.3 billion, or $10.02 per diluted share for the same period in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4"/>
        </w:rPr>
        <w:t>For the six months ended June 30, 2026, net income attributable to continuing operations was $60.7 million, or $0.47 per diluted share, compared to a net loss from continuing operations of $51.7 million, or $0.92 per diluted share for the same period in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4"/>
        </w:rPr>
        <w:t>For the six months ended June 30, 2026, net loss attributable to common shareholders was $1.0 billion, or $8.10 per diluted share, compared to net income attributable to common shareholders of $1.2 billion, or $9.68 per diluted share for the same period in 2025.</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Non-GAAP Financial Measures</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4"/>
        </w:rPr>
        <w:t>Funds from Operations ("FFO")</w:t>
      </w:r>
      <w:r>
        <w:rPr>
          <w:color w:val="000000"/>
        </w:rPr>
        <w:t xml:space="preserve"> </w:t>
      </w:r>
      <w:r>
        <w:rPr>
          <w:rFonts w:ascii="Times New Roman;serif" w:hAnsi="Times New Roman;serif"/>
          <w:b w:val="false"/>
          <w:color w:val="000000"/>
          <w:sz w:val="24"/>
        </w:rPr>
        <w:t>for the quarter and six months ended June 30, 2026, was $1.77 and $2.71, respectively, per common share and convertible securities ("Share"), as compared to $1.36 and $2.43 for the same periods in 2025.</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4"/>
        </w:rPr>
        <w:t>Core Funds from Operations ("Core FFO")</w:t>
      </w:r>
      <w:r>
        <w:rPr>
          <w:color w:val="000000"/>
        </w:rPr>
        <w:t xml:space="preserve"> </w:t>
      </w:r>
      <w:r>
        <w:rPr>
          <w:rFonts w:ascii="Times New Roman;serif" w:hAnsi="Times New Roman;serif"/>
          <w:b w:val="false"/>
          <w:color w:val="000000"/>
          <w:sz w:val="24"/>
        </w:rPr>
        <w:t>for the quarter and six months ended June 30, 2026, was $1.84 and $3.24, respectively, per common share and convertible securities ("Share"), as compared to $1.76 and $3.02 for the same periods in 2025.</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ii</w:t>
                      </w:r>
                    </w:p>
                  </w:txbxContent>
                </v:textbox>
                <w10:wrap type="none"/>
              </v:rect>
            </w:pict>
          </mc:Fallback>
        </mc:AlternateConten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4"/>
        </w:rPr>
        <w:t xml:space="preserve">Same Property Net Operating Income ("NOI") </w:t>
      </w:r>
      <w:r>
        <w:rPr>
          <w:rFonts w:ascii="Times New Roman;serif" w:hAnsi="Times New Roman;serif"/>
          <w:b w:val="false"/>
          <w:color w:val="000000"/>
          <w:sz w:val="24"/>
        </w:rPr>
        <w:t>increased by $14.4 million and $28.0 million, or 6.0% and 6.1%, respectively, for the quarter and six months ended June 30, 2026, as compared to the corresponding period in 2025.</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"We delivered another strong quarter, exceeding the high end of our guidance while demonstrating the strength of our Manufactured Housing and RV portfolio," said Charles Young, Chief Executive Officer. "Supported by durable demand for attainable housing and outdoor vacationing, together with disciplined expense management, we continue to execute on our strategic priorities. The planned sale of our UK platform further simplifies our business and sharpens our focus on our core portfolio. As we maintain our disciplined approach to capital allocation, we are investing in our people, technology, and communities to optimize our platform, and our full-year guidance reflects our confidence in the business and the opportunities ahead."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0"/>
        <w:jc w:val="both"/>
        <w:rPr>
          <w:rFonts w:ascii="Times New Roman;serif" w:hAnsi="Times New Roman;serif"/>
          <w:b/>
          <w:color w:val="2C324C"/>
          <w:sz w:val="28"/>
        </w:rPr>
      </w:pPr>
      <w:r>
        <w:rPr>
          <w:rFonts w:ascii="Times New Roman;serif" w:hAnsi="Times New Roman;serif"/>
          <w:b/>
          <w:color w:val="2C324C"/>
          <w:sz w:val="28"/>
        </w:rPr>
        <w:t>OPERATING HIGHLIGHTS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erif" w:hAnsi="Times New Roman;serif"/>
          <w:b/>
          <w:color w:val="000000"/>
          <w:sz w:val="24"/>
        </w:rPr>
      </w:pPr>
      <w:r>
        <w:rPr>
          <w:rFonts w:ascii="Times New Roman;serif" w:hAnsi="Times New Roman;serif"/>
          <w:b/>
          <w:color w:val="000000"/>
          <w:sz w:val="24"/>
        </w:rPr>
        <w:t>Portfolio Occupancy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4"/>
        </w:rPr>
        <w:t>MH and annual RV sites were 97.9% occupied at June 30, 2026, as compared to 98.1% at June 30,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4"/>
        </w:rPr>
        <w:t>During the quarter ended June 30, 2026, the number of MH and annual RV revenue producing sites increased by approximately 250 sites.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color w:val="000000"/>
          <w:sz w:val="24"/>
        </w:rPr>
        <w:t>Same Property</w:t>
      </w:r>
      <w:r>
        <w:rPr>
          <w:color w:val="000000"/>
        </w:rPr>
        <w:t xml:space="preserve"> </w:t>
      </w:r>
      <w:r>
        <w:rPr>
          <w:rFonts w:ascii="Times New Roman;serif" w:hAnsi="Times New Roman;serif"/>
          <w:b/>
          <w:color w:val="000000"/>
          <w:sz w:val="24"/>
        </w:rPr>
        <w:t>Results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For the properties owned and operated by the Company since at least January 1, 2025, excluding properties classified as discontinued operations, the following table reflects the percentage changes for the quarter and six months ended June 30, 2026, as compared to the same period in 2025:</w:t>
      </w:r>
    </w:p>
    <w:tbl>
      <w:tblPr>
        <w:tblW w:w="9472" w:type="dxa"/>
        <w:jc w:val="left"/>
        <w:tblInd w:w="0" w:type="dxa"/>
        <w:tblLayout w:type="fixed"/>
        <w:tblCellMar>
          <w:top w:w="28" w:type="dxa"/>
          <w:left w:w="28" w:type="dxa"/>
          <w:bottom w:w="28" w:type="dxa"/>
          <w:right w:w="28" w:type="dxa"/>
        </w:tblCellMar>
      </w:tblPr>
      <w:tblGrid>
        <w:gridCol w:w="703"/>
        <w:gridCol w:w="620"/>
        <w:gridCol w:w="626"/>
        <w:gridCol w:w="239"/>
        <w:gridCol w:w="241"/>
        <w:gridCol w:w="331"/>
        <w:gridCol w:w="133"/>
        <w:gridCol w:w="133"/>
        <w:gridCol w:w="133"/>
        <w:gridCol w:w="239"/>
        <w:gridCol w:w="241"/>
        <w:gridCol w:w="331"/>
        <w:gridCol w:w="133"/>
        <w:gridCol w:w="133"/>
        <w:gridCol w:w="133"/>
        <w:gridCol w:w="203"/>
        <w:gridCol w:w="203"/>
        <w:gridCol w:w="331"/>
        <w:gridCol w:w="109"/>
        <w:gridCol w:w="178"/>
        <w:gridCol w:w="178"/>
        <w:gridCol w:w="178"/>
        <w:gridCol w:w="178"/>
        <w:gridCol w:w="203"/>
        <w:gridCol w:w="203"/>
        <w:gridCol w:w="443"/>
        <w:gridCol w:w="178"/>
        <w:gridCol w:w="178"/>
        <w:gridCol w:w="178"/>
        <w:gridCol w:w="203"/>
        <w:gridCol w:w="203"/>
        <w:gridCol w:w="443"/>
        <w:gridCol w:w="109"/>
        <w:gridCol w:w="109"/>
        <w:gridCol w:w="109"/>
        <w:gridCol w:w="203"/>
        <w:gridCol w:w="203"/>
        <w:gridCol w:w="317"/>
        <w:gridCol w:w="109"/>
        <w:gridCol w:w="154"/>
      </w:tblGrid>
      <w:tr>
        <w:trPr/>
        <w:tc>
          <w:tcPr>
            <w:tcW w:w="70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1313" w:type="dxa"/>
            <w:gridSpan w:val="8"/>
            <w:tcBorders/>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79" w:type="dxa"/>
            <w:gridSpan w:val="20"/>
            <w:tcBorders/>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MH</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RV</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MH</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8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4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4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NOI</w:t>
            </w:r>
          </w:p>
        </w:tc>
        <w:tc>
          <w:tcPr>
            <w:tcW w:w="4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4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4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MH</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RV</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 of Properties</w:t>
            </w:r>
          </w:p>
        </w:tc>
        <w:tc>
          <w:tcPr>
            <w:tcW w:w="81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Same Property adjusted blended occupancy for MH and RV declined by 10 basis points to 98.8% at June 30, 2026, from 98.9% at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0"/>
        <w:jc w:val="both"/>
        <w:rPr>
          <w:rFonts w:ascii="Times New Roman;serif" w:hAnsi="Times New Roman;serif"/>
          <w:b/>
          <w:color w:val="2C324C"/>
          <w:sz w:val="28"/>
        </w:rPr>
      </w:pPr>
      <w:r>
        <w:rPr>
          <w:rFonts w:ascii="Times New Roman;serif" w:hAnsi="Times New Roman;serif"/>
          <w:b/>
          <w:color w:val="2C324C"/>
          <w:sz w:val="28"/>
        </w:rPr>
        <w:t>INVESTMENT ACTIVITY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pPr>
      <w:r>
        <w:rPr>
          <w:rFonts w:ascii="Times New Roman;serif" w:hAnsi="Times New Roman;serif"/>
          <w:b w:val="false"/>
          <w:color w:val="000000"/>
          <w:sz w:val="24"/>
        </w:rPr>
        <w:t xml:space="preserve">During the quarter ended June 30, 2026, the Company sold a total of six RV properties in two transactions. Refer to page </w:t>
      </w:r>
      <w:hyperlink w:anchor="i9389ffd213a74f848e53c1f852859546_97">
        <w:r>
          <w:rPr>
            <w:rStyle w:val="InternetLink"/>
            <w:rFonts w:ascii="Times New Roman;serif" w:hAnsi="Times New Roman;serif"/>
            <w:b w:val="false"/>
            <w:strike w:val="false"/>
            <w:dstrike w:val="false"/>
            <w:color w:val="000000"/>
            <w:sz w:val="24"/>
            <w:u w:val="none"/>
            <w:effect w:val="none"/>
          </w:rPr>
          <w:t>11</w:t>
        </w:r>
      </w:hyperlink>
      <w:r>
        <w:rPr>
          <w:rFonts w:ascii="Times New Roman;serif" w:hAnsi="Times New Roman;serif"/>
          <w:b w:val="false"/>
          <w:color w:val="000000"/>
          <w:sz w:val="24"/>
        </w:rPr>
        <w:t xml:space="preserve"> for additional details related to the Company's acquisition and disposition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0"/>
        <w:jc w:val="both"/>
        <w:rPr>
          <w:rFonts w:ascii="Times New Roman;serif" w:hAnsi="Times New Roman;serif"/>
          <w:b/>
          <w:color w:val="2C324C"/>
          <w:sz w:val="28"/>
        </w:rPr>
      </w:pPr>
      <w:r>
        <w:rPr>
          <w:rFonts w:ascii="Times New Roman;serif" w:hAnsi="Times New Roman;serif"/>
          <w:b/>
          <w:color w:val="2C324C"/>
          <w:sz w:val="28"/>
        </w:rPr>
        <w:t>BALANCE SHEET, CAPITAL MARKETS ACTIVITY, AND OTHER ITEMS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erif" w:hAnsi="Times New Roman;serif"/>
          <w:b w:val="false"/>
          <w:color w:val="000000"/>
          <w:sz w:val="24"/>
        </w:rPr>
      </w:pPr>
      <w:r>
        <w:rPr>
          <w:rFonts w:ascii="Times New Roman;serif" w:hAnsi="Times New Roman;serif"/>
          <w:b w:val="false"/>
          <w:color w:val="000000"/>
          <w:sz w:val="24"/>
        </w:rPr>
        <w:t>As of June 30, 2026, the Company had $4.1 billion in debt outstanding with a weighted average interest rate of 3.3% and a weighted average maturity of 6.9 years. At June 30, 2026, the Company's Net Debt to trailing twelve-month Recurring EBITDA ratio was 3.9 times.</w:t>
      </w:r>
    </w:p>
    <w:p>
      <w:pPr>
        <w:pStyle w:val="TextBody"/>
        <w:bidi w:val="0"/>
        <w:spacing w:before="0" w:after="0"/>
        <w:ind w:left="0" w:right="0" w:hanging="36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iii</w:t>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Park Holidays Sale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As previously announced, during the quarter ended June 30, 2026, the Company entered into an agreement to sell (the "Park Holidays Sale") all of the outstanding equity of the subsidiaries through which the Company operates its business in the United Kingdom (collectively, "Park Holidays" or the "UK business") for a base consideration amount of £785.7 million (or approximately $1.04 billion). The total cash consideration received at closing is subject to certain customary locked box adjustments.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transaction is subject to receipt of a required regulatory approval from the UK Financial Conduct Authority, and is expected to close in the second half of 2026.</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Reporting Changes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As a result of the Park Holidays Sale, the results of the UK business and assets and liabilities included in the disposition are presented as held for sale and as discontinued operations for all periods presented herein. During the quarter ended June 30, 2026, the Company recorded a non-cash valuation allowance charge of $1.1 billion to reduce the net assets of the UK business to its estimated fair value less costs to sell in accordance with its presentation as a discontinued operation. Unless otherwise noted, the information disclosed in this Earnings Release and Supplemental Package refer only to continuing operations and do not include discussion of balances or activity related to discontinued operations, including the UK business.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Company has also revised its reporting structure to two segments, which consist of (i) MH communities, and (ii) RV communities. The new structure removes the UK business from the Company's operating segments as a result of its classification as a discontinued operation and reflects how the chief operating decision maker manages the business, makes operating decisions, allocates resources, and evaluates operating performance.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Stock Repurchase Program</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Effective May 27, 2026, the Company's Board of Directors authorized a stock repurchase program (the "Stock Repurchase Program") under which the Company may repurchase up to $1.0 billion of its common stock through May 27, 2027. The Stock Repurchase Program renewed the Company's previous stock repurchase program and provides the Company with continued flexibility to repurchase shares of its common stock.</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During the quarter ended June 30, 2026, the Company repurchased approximately 0.9 million shares of the Company's common stock at an average price of $123.30 per share for a total of $111.1 million. Subsequent to the quarter ended June 30, 2026, through July 22, 2026, the Company repurchased approximately 0.7 million shares of the Company's common stock at an average price of $120.62 per share for a total of $89.0 million.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Debt Repayments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During the quarter ended June 30, 2026, the Company repaid two mortgage term loans totaling $177.9 million, which unencumbered seven properties. Subsequent to the quarter ended June 30, 2026, the Company repaid two mortgage term loans totaling $258.3 million, which unencumbered 16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iv</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2C324C"/>
          <w:sz w:val="28"/>
        </w:rPr>
      </w:pPr>
      <w:r>
        <w:rPr>
          <w:rFonts w:ascii="Times New Roman;serif" w:hAnsi="Times New Roman;serif"/>
          <w:b/>
          <w:color w:val="2C324C"/>
          <w:sz w:val="28"/>
        </w:rPr>
        <w:t>2026 GUIDANCE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Company is updating full-year and establishing third quarter 2026 guidance for Diluted EPS and Core FFO per Share and certain other items as set forth below. The Company's guidance presented in this earnings release does not give effect to the completion of the Park Holidays Sale, or potential use of transaction proceeds, nor does it reflect any impacts therefrom, including any effect of the Park Holidays Sale on Diluted EPS or Core FFO per Share. While the Park Holidays Sale is expected to close in the second half of 2026, it is subject to receipt of regulatory approval. Monthly contribution for the UK business is presented in the UK Contribution table below. For the reasons described above, as well as other factors described elsewhere in this earnings release and in the Company's public reports, the actual results from the Company's business and operations in such period may differ materially from the Company's guidance for that period.</w:t>
      </w:r>
    </w:p>
    <w:tbl>
      <w:tblPr>
        <w:tblW w:w="10205" w:type="dxa"/>
        <w:jc w:val="left"/>
        <w:tblInd w:w="0" w:type="dxa"/>
        <w:tblLayout w:type="fixed"/>
        <w:tblCellMar>
          <w:top w:w="28" w:type="dxa"/>
          <w:left w:w="28" w:type="dxa"/>
          <w:bottom w:w="28" w:type="dxa"/>
          <w:right w:w="28" w:type="dxa"/>
        </w:tblCellMar>
      </w:tblPr>
      <w:tblGrid>
        <w:gridCol w:w="1392"/>
        <w:gridCol w:w="1222"/>
        <w:gridCol w:w="1226"/>
        <w:gridCol w:w="109"/>
        <w:gridCol w:w="109"/>
        <w:gridCol w:w="109"/>
        <w:gridCol w:w="313"/>
        <w:gridCol w:w="760"/>
        <w:gridCol w:w="162"/>
        <w:gridCol w:w="162"/>
        <w:gridCol w:w="162"/>
        <w:gridCol w:w="162"/>
        <w:gridCol w:w="313"/>
        <w:gridCol w:w="760"/>
        <w:gridCol w:w="162"/>
        <w:gridCol w:w="109"/>
        <w:gridCol w:w="109"/>
        <w:gridCol w:w="109"/>
        <w:gridCol w:w="270"/>
        <w:gridCol w:w="726"/>
        <w:gridCol w:w="139"/>
        <w:gridCol w:w="139"/>
        <w:gridCol w:w="139"/>
        <w:gridCol w:w="139"/>
        <w:gridCol w:w="270"/>
        <w:gridCol w:w="726"/>
        <w:gridCol w:w="207"/>
      </w:tblGrid>
      <w:tr>
        <w:trPr/>
        <w:tc>
          <w:tcPr>
            <w:tcW w:w="139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Third Quarter Ending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Full Year Ending December 31, 2026</w:t>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082" w:type="dxa"/>
            <w:gridSpan w:val="12"/>
            <w:tcBorders/>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384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Diluted EPS attributable to the Consolidated Portfolio</w:t>
            </w:r>
            <w:r>
              <w:rPr>
                <w:rFonts w:ascii="Times New Roman;serif" w:hAnsi="Times New Roman;serif"/>
                <w:b/>
                <w:color w:val="000000"/>
                <w:sz w:val="13"/>
              </w:rPr>
              <w:t>(a)(b)</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6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3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20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Core FFO per Share attributable to the Consolidated Portfolio</w:t>
            </w:r>
            <w:r>
              <w:rPr>
                <w:rFonts w:ascii="Times New Roman;serif" w:hAnsi="Times New Roman;serif"/>
                <w:b/>
                <w:color w:val="000000"/>
                <w:sz w:val="13"/>
              </w:rPr>
              <w:t>(a)(b)(c)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(a) </w:t>
      </w:r>
      <w:r>
        <w:rPr>
          <w:rFonts w:ascii="Times New Roman;serif" w:hAnsi="Times New Roman;serif"/>
          <w:b w:val="false"/>
          <w:color w:val="000000"/>
          <w:sz w:val="16"/>
        </w:rPr>
        <w:t>The diluted share counts for both the quarter ending September 30, 2026 and the year ending December 31, 2026 are estimated to be 125.9 million and 126.6 million, respectively, which assumes full conversion of all equity participating units, including common and preferred OP units, into the Company's common stock.</w:t>
      </w:r>
    </w:p>
    <w:p>
      <w:pPr>
        <w:pStyle w:val="TextBody"/>
        <w:bidi w:val="0"/>
        <w:spacing w:lineRule="auto" w:line="288" w:before="0" w:after="0"/>
        <w:ind w:left="0" w:right="0" w:hanging="180"/>
        <w:jc w:val="both"/>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No reconciliation of the forecasted range for FFO per share is included in this release because the Company is unable to quantify certain amounts that would be required to be included in the reconciliation to the comparable GAAP financial measure without unreasonable efforts. In particular, the timing and magnitude of the anticipated loss associated with the disposition of the Company's UK segment remain uncertain. The Company believes that any such reconciliation would imply a degree of precision that could be confusing or misleading to investors and would not be representative of the underlying operating performance of the Company's continuing operations.</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(c) </w:t>
      </w:r>
      <w:r>
        <w:rPr>
          <w:rFonts w:ascii="Times New Roman;serif" w:hAnsi="Times New Roman;serif"/>
          <w:b w:val="false"/>
          <w:color w:val="000000"/>
          <w:sz w:val="16"/>
        </w:rPr>
        <w:t>The Company's guidance translates forecasted results from operations in the UK using the relevant exchange rate provided. Exchange rates are as follows: U.S. dollar ("USD") to British pound sterling ("GBP") is 1.30; USD to Canadian dollar ("CAD") is 0.72; and USD to Australian dollar ("AUD") is 0.64. The impact of fluctuations in Canadian and Australian foreign currency rates on guidance are not material.</w:t>
      </w:r>
    </w:p>
    <w:tbl>
      <w:tblPr>
        <w:tblW w:w="10205" w:type="dxa"/>
        <w:jc w:val="left"/>
        <w:tblInd w:w="0" w:type="dxa"/>
        <w:tblLayout w:type="fixed"/>
        <w:tblCellMar>
          <w:top w:w="28" w:type="dxa"/>
          <w:left w:w="28" w:type="dxa"/>
          <w:bottom w:w="28" w:type="dxa"/>
          <w:right w:w="28" w:type="dxa"/>
        </w:tblCellMar>
      </w:tblPr>
      <w:tblGrid>
        <w:gridCol w:w="1355"/>
        <w:gridCol w:w="1189"/>
        <w:gridCol w:w="1193"/>
        <w:gridCol w:w="109"/>
        <w:gridCol w:w="109"/>
        <w:gridCol w:w="109"/>
        <w:gridCol w:w="393"/>
        <w:gridCol w:w="1428"/>
        <w:gridCol w:w="202"/>
        <w:gridCol w:w="109"/>
        <w:gridCol w:w="109"/>
        <w:gridCol w:w="109"/>
        <w:gridCol w:w="207"/>
        <w:gridCol w:w="205"/>
        <w:gridCol w:w="205"/>
        <w:gridCol w:w="205"/>
        <w:gridCol w:w="205"/>
        <w:gridCol w:w="205"/>
        <w:gridCol w:w="207"/>
        <w:gridCol w:w="205"/>
        <w:gridCol w:w="205"/>
        <w:gridCol w:w="109"/>
        <w:gridCol w:w="109"/>
        <w:gridCol w:w="109"/>
        <w:gridCol w:w="183"/>
        <w:gridCol w:w="181"/>
        <w:gridCol w:w="181"/>
        <w:gridCol w:w="156"/>
        <w:gridCol w:w="156"/>
        <w:gridCol w:w="156"/>
        <w:gridCol w:w="174"/>
        <w:gridCol w:w="173"/>
        <w:gridCol w:w="255"/>
      </w:tblGrid>
      <w:tr>
        <w:trPr/>
        <w:tc>
          <w:tcPr>
            <w:tcW w:w="135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3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r>
      <w:tr>
        <w:trPr/>
        <w:tc>
          <w:tcPr>
            <w:tcW w:w="37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Property Portfolio (in millions and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FY 2025 Actual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Expected Change in 2026</w:t>
            </w:r>
          </w:p>
        </w:tc>
      </w:tr>
      <w:tr>
        <w:trPr/>
        <w:tc>
          <w:tcPr>
            <w:tcW w:w="37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July 27, 2026 Update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Prior FY Range</w:t>
            </w:r>
          </w:p>
        </w:tc>
      </w:tr>
      <w:tr>
        <w:trPr/>
        <w:tc>
          <w:tcPr>
            <w:tcW w:w="3737"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America (MH and RV)</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real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37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operating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6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North America Same Property NOI</w:t>
            </w:r>
            <w:r>
              <w:rPr>
                <w:rFonts w:ascii="Times New Roman;serif" w:hAnsi="Times New Roman;serif"/>
                <w:b/>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969.3</w:t>
            </w:r>
            <w:r>
              <w:rPr>
                <w:color w:val="000000"/>
              </w:rPr>
              <w:t>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4.5%</w:t>
            </w:r>
          </w:p>
        </w:tc>
        <w:tc>
          <w:tcPr>
            <w:tcW w:w="6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w:t>
            </w:r>
          </w:p>
        </w:tc>
        <w:tc>
          <w:tcPr>
            <w:tcW w:w="4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5.2%</w:t>
            </w:r>
          </w:p>
        </w:tc>
      </w:tr>
      <w:tr>
        <w:trPr/>
        <w:tc>
          <w:tcPr>
            <w:tcW w:w="3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MH NOI (282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37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RV NOI (152 properties)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4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w:t>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For the third quarter ending September 30, 2026, the Company's guidance range assumes North America Same Property NOI growth of 2.0% - 3.5%.</w:t>
      </w:r>
    </w:p>
    <w:tbl>
      <w:tblPr>
        <w:tblW w:w="10205" w:type="dxa"/>
        <w:jc w:val="left"/>
        <w:tblInd w:w="0" w:type="dxa"/>
        <w:tblLayout w:type="fixed"/>
        <w:tblCellMar>
          <w:top w:w="28" w:type="dxa"/>
          <w:left w:w="28" w:type="dxa"/>
          <w:bottom w:w="28" w:type="dxa"/>
          <w:right w:w="28" w:type="dxa"/>
        </w:tblCellMar>
      </w:tblPr>
      <w:tblGrid>
        <w:gridCol w:w="1522"/>
        <w:gridCol w:w="1317"/>
        <w:gridCol w:w="1320"/>
        <w:gridCol w:w="109"/>
        <w:gridCol w:w="109"/>
        <w:gridCol w:w="109"/>
        <w:gridCol w:w="369"/>
        <w:gridCol w:w="1080"/>
        <w:gridCol w:w="191"/>
        <w:gridCol w:w="109"/>
        <w:gridCol w:w="109"/>
        <w:gridCol w:w="109"/>
        <w:gridCol w:w="1693"/>
        <w:gridCol w:w="912"/>
        <w:gridCol w:w="880"/>
        <w:gridCol w:w="109"/>
        <w:gridCol w:w="158"/>
      </w:tblGrid>
      <w:tr>
        <w:trPr/>
        <w:tc>
          <w:tcPr>
            <w:tcW w:w="152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Consolidated Portfolio Guidance For 2026</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FY 2025 Actual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FY 2026 Guidance Update at Midpoint as of July 27, 2026</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NOI</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9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Brokerage commissions and other, net</w:t>
            </w:r>
            <w:r>
              <w:rPr>
                <w:rFonts w:ascii="Times New Roman;serif" w:hAnsi="Times New Roman;serif"/>
                <w:b w:val="false"/>
                <w:color w:val="000000"/>
                <w:sz w:val="13"/>
              </w:rPr>
              <w:t>(b)</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contribution from North American home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excluding non-recurring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Contribution from Discontinued Operations</w:t>
            </w:r>
            <w:r>
              <w:rPr>
                <w:rFonts w:ascii="Times New Roman;serif" w:hAnsi="Times New Roman;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before="0" w:after="283"/>
        <w:jc w:val="left"/>
        <w:rPr/>
      </w:pPr>
      <w:r>
        <w:rPr/>
      </w:r>
    </w:p>
    <w:p>
      <w:pPr>
        <w:pStyle w:val="TextBody"/>
        <w:bidi w:val="0"/>
        <w:spacing w:before="0" w:after="0"/>
        <w:ind w:left="0" w:right="0" w:hanging="36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w:t>
                      </w:r>
                    </w:p>
                  </w:txbxContent>
                </v:textbox>
                <w10:wrap type="none"/>
              </v:rect>
            </w:pict>
          </mc:Fallback>
        </mc:AlternateContent>
      </w:r>
    </w:p>
    <w:tbl>
      <w:tblPr>
        <w:tblW w:w="6926" w:type="dxa"/>
        <w:jc w:val="left"/>
        <w:tblInd w:w="0" w:type="dxa"/>
        <w:tblLayout w:type="fixed"/>
        <w:tblCellMar>
          <w:top w:w="28" w:type="dxa"/>
          <w:left w:w="28" w:type="dxa"/>
          <w:bottom w:w="28" w:type="dxa"/>
          <w:right w:w="28" w:type="dxa"/>
        </w:tblCellMar>
      </w:tblPr>
      <w:tblGrid>
        <w:gridCol w:w="1151"/>
        <w:gridCol w:w="1012"/>
        <w:gridCol w:w="1017"/>
        <w:gridCol w:w="109"/>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80"/>
        <w:gridCol w:w="180"/>
        <w:gridCol w:w="256"/>
      </w:tblGrid>
      <w:tr>
        <w:trPr/>
        <w:tc>
          <w:tcPr>
            <w:tcW w:w="115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4Q26</w:t>
            </w:r>
          </w:p>
        </w:tc>
      </w:tr>
      <w:tr>
        <w:trPr/>
        <w:tc>
          <w:tcPr>
            <w:tcW w:w="318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America Same Property NOI:</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RV</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w:t>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Home Sales FFO - 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w:t>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Ancillary NOI</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w:t>
            </w:r>
          </w:p>
        </w:tc>
      </w:tr>
      <w:tr>
        <w:trPr/>
        <w:tc>
          <w:tcPr>
            <w:tcW w:w="318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Core FFO per Share</w:t>
            </w:r>
            <w:r>
              <w:rPr>
                <w:rFonts w:ascii="Times New Roman;serif" w:hAnsi="Times New Roman;serif"/>
                <w:b/>
                <w:color w:val="000000"/>
                <w:sz w:val="13"/>
              </w:rPr>
              <w:t>(d)</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w:t>
            </w:r>
          </w:p>
        </w:tc>
      </w:tr>
    </w:tbl>
    <w:tbl>
      <w:tblPr>
        <w:tblW w:w="9747" w:type="dxa"/>
        <w:jc w:val="left"/>
        <w:tblInd w:w="0" w:type="dxa"/>
        <w:tblLayout w:type="fixed"/>
        <w:tblCellMar>
          <w:top w:w="28" w:type="dxa"/>
          <w:left w:w="28" w:type="dxa"/>
          <w:bottom w:w="28" w:type="dxa"/>
          <w:right w:w="28" w:type="dxa"/>
        </w:tblCellMar>
      </w:tblPr>
      <w:tblGrid>
        <w:gridCol w:w="1384"/>
        <w:gridCol w:w="1218"/>
        <w:gridCol w:w="1223"/>
        <w:gridCol w:w="109"/>
        <w:gridCol w:w="109"/>
        <w:gridCol w:w="109"/>
        <w:gridCol w:w="109"/>
        <w:gridCol w:w="190"/>
        <w:gridCol w:w="190"/>
        <w:gridCol w:w="191"/>
        <w:gridCol w:w="109"/>
        <w:gridCol w:w="109"/>
        <w:gridCol w:w="109"/>
        <w:gridCol w:w="169"/>
        <w:gridCol w:w="169"/>
        <w:gridCol w:w="171"/>
        <w:gridCol w:w="109"/>
        <w:gridCol w:w="109"/>
        <w:gridCol w:w="109"/>
        <w:gridCol w:w="169"/>
        <w:gridCol w:w="169"/>
        <w:gridCol w:w="171"/>
        <w:gridCol w:w="109"/>
        <w:gridCol w:w="109"/>
        <w:gridCol w:w="109"/>
        <w:gridCol w:w="169"/>
        <w:gridCol w:w="169"/>
        <w:gridCol w:w="171"/>
        <w:gridCol w:w="109"/>
        <w:gridCol w:w="109"/>
        <w:gridCol w:w="109"/>
        <w:gridCol w:w="169"/>
        <w:gridCol w:w="169"/>
        <w:gridCol w:w="171"/>
        <w:gridCol w:w="109"/>
        <w:gridCol w:w="109"/>
        <w:gridCol w:w="109"/>
        <w:gridCol w:w="150"/>
        <w:gridCol w:w="150"/>
        <w:gridCol w:w="151"/>
        <w:gridCol w:w="109"/>
        <w:gridCol w:w="109"/>
        <w:gridCol w:w="109"/>
        <w:gridCol w:w="136"/>
        <w:gridCol w:w="136"/>
        <w:gridCol w:w="194"/>
      </w:tblGrid>
      <w:tr>
        <w:trPr/>
        <w:tc>
          <w:tcPr>
            <w:tcW w:w="138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UK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1H26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w:t>
            </w:r>
          </w:p>
        </w:tc>
      </w:tr>
      <w:tr>
        <w:trPr/>
        <w:tc>
          <w:tcPr>
            <w:tcW w:w="3825" w:type="dxa"/>
            <w:gridSpan w:val="3"/>
            <w:tcBorders>
              <w:top w:val="single" w:sz="8" w:space="0" w:color="000000"/>
              <w:bottom w:val="single" w:sz="8" w:space="0" w:color="000000"/>
            </w:tcBorders>
            <w:shd w:fill="DBDBDB" w:val="clear"/>
            <w:tcMar>
              <w:top w:w="52"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Contribution from Discontinued Operations</w:t>
            </w:r>
            <w:r>
              <w:rPr>
                <w:rFonts w:ascii="Times New Roman;serif" w:hAnsi="Times New Roman;serif"/>
                <w:b w:val="false"/>
                <w:color w:val="000000"/>
                <w:sz w:val="13"/>
              </w:rPr>
              <w:t>(e)</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40%</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op w:val="single" w:sz="8" w:space="0" w:color="000000"/>
              <w:bottom w:val="sing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op w:val="single" w:sz="8" w:space="0" w:color="000000"/>
              <w:bottom w:val="sing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op w:val="single" w:sz="8" w:space="0" w:color="000000"/>
              <w:bottom w:val="sing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op w:val="single" w:sz="8" w:space="0" w:color="000000"/>
              <w:bottom w:val="sing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bottom w:val="sing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sing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w:t>
            </w:r>
          </w:p>
        </w:tc>
      </w:tr>
    </w:tbl>
    <w:tbl>
      <w:tblPr>
        <w:tblW w:w="10205" w:type="dxa"/>
        <w:jc w:val="left"/>
        <w:tblInd w:w="0" w:type="dxa"/>
        <w:tblLayout w:type="fixed"/>
        <w:tblCellMar>
          <w:top w:w="28" w:type="dxa"/>
          <w:left w:w="28" w:type="dxa"/>
          <w:bottom w:w="28" w:type="dxa"/>
          <w:right w:w="28" w:type="dxa"/>
        </w:tblCellMar>
      </w:tblPr>
      <w:tblGrid>
        <w:gridCol w:w="358"/>
        <w:gridCol w:w="314"/>
        <w:gridCol w:w="314"/>
        <w:gridCol w:w="1651"/>
        <w:gridCol w:w="1651"/>
        <w:gridCol w:w="1691"/>
        <w:gridCol w:w="340"/>
        <w:gridCol w:w="340"/>
        <w:gridCol w:w="340"/>
        <w:gridCol w:w="340"/>
        <w:gridCol w:w="340"/>
        <w:gridCol w:w="340"/>
        <w:gridCol w:w="340"/>
        <w:gridCol w:w="340"/>
        <w:gridCol w:w="340"/>
        <w:gridCol w:w="340"/>
        <w:gridCol w:w="340"/>
        <w:gridCol w:w="486"/>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4993"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59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Footnotes to Supplemental Guidance Tables:</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(a)</w:t>
            </w:r>
          </w:p>
        </w:tc>
        <w:tc>
          <w:tcPr>
            <w:tcW w:w="9219" w:type="dxa"/>
            <w:gridSpan w:val="15"/>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6"/>
              </w:rPr>
            </w:pPr>
            <w:r>
              <w:rPr>
                <w:rFonts w:ascii="Times New Roman;serif" w:hAnsi="Times New Roman;serif"/>
                <w:b w:val="false"/>
                <w:color w:val="000000"/>
                <w:sz w:val="16"/>
              </w:rPr>
              <w:t>Total North America Same Property results net $95.6 million and $102.3 million of utility revenue against the related utility expense in property operating expenses for 2025 results and 2026 guidance, respectively.</w:t>
            </w:r>
          </w:p>
        </w:tc>
      </w:tr>
      <w:tr>
        <w:trPr/>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(b)</w:t>
            </w:r>
          </w:p>
        </w:tc>
        <w:tc>
          <w:tcPr>
            <w:tcW w:w="9219"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Brokerage commissions and other, net includes approximately $13.8 million and $12.8 million of business interruption income, and $16.4 million and $22.6 million of income from nonconsolidated affiliates for full year 2025 results and 2026 guidance, respectively. The business interruption income includes the pro rata recognition of the lump sum insurance settlement that was received during the quarter ended December 31, 2025.</w:t>
            </w:r>
          </w:p>
        </w:tc>
      </w:tr>
      <w:tr>
        <w:trPr/>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(c)</w:t>
            </w:r>
          </w:p>
        </w:tc>
        <w:tc>
          <w:tcPr>
            <w:tcW w:w="9219"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The Contribution from Discontinued Operations includes the entire net contribution from the UK Business, inclusive of Real Property NOI, Home Sales FFO, Brokerage and Other, General and Administrative Expenses excluding non-recurring items, Interest Expense, and Current Tax Expense.</w:t>
            </w:r>
          </w:p>
        </w:tc>
      </w:tr>
      <w:tr>
        <w:trPr/>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(d)</w:t>
            </w:r>
          </w:p>
        </w:tc>
        <w:tc>
          <w:tcPr>
            <w:tcW w:w="9219"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Assumes full conversion of all equity participating units, including common and preferred OP units, into the Company's common stock.</w:t>
            </w:r>
          </w:p>
        </w:tc>
      </w:tr>
      <w:tr>
        <w:trPr/>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(e)</w:t>
            </w:r>
          </w:p>
        </w:tc>
        <w:tc>
          <w:tcPr>
            <w:tcW w:w="9219"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The UK business sale is expected to close in the second half of 2026. Illustrative full year contribution from the UK business is shown.</w:t>
            </w:r>
          </w:p>
        </w:tc>
      </w:tr>
    </w:tbl>
    <w:p>
      <w:pPr>
        <w:pStyle w:val="TextBody"/>
        <w:bidi w:val="0"/>
        <w:spacing w:lineRule="auto" w:line="288" w:before="120" w:after="283"/>
        <w:jc w:val="both"/>
        <w:rPr>
          <w:rFonts w:ascii="Times New Roman;serif" w:hAnsi="Times New Roman;serif"/>
          <w:b w:val="false"/>
          <w:i/>
          <w:color w:val="000000"/>
          <w:sz w:val="24"/>
        </w:rPr>
      </w:pPr>
      <w:r>
        <w:rPr>
          <w:rFonts w:ascii="Times New Roman;serif" w:hAnsi="Times New Roman;serif"/>
          <w:b w:val="false"/>
          <w:i/>
          <w:color w:val="000000"/>
          <w:sz w:val="24"/>
        </w:rPr>
        <w:t>The estimates and assumptions presented above represent a range of possible outcomes and may differ materially from actual results. These estimates include contributions from all acquisitions, dispositions and capital markets activity completed through July 27, 2026. These estimates exclude the effects of the Park Holidays Sale and all other prospective acquisitions, dispositions and capital markets activity. The estimates and assumptions are forward-looking based on the Company's current assessment of economic and market conditions and are subject to the other risks outlined below under the caption Cautionary Statement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w:t>
                      </w:r>
                    </w:p>
                  </w:txbxContent>
                </v:textbox>
                <w10:wrap type="none"/>
              </v:rect>
            </w:pict>
          </mc:Fallback>
        </mc:AlternateContent>
      </w:r>
    </w:p>
    <w:p>
      <w:pPr>
        <w:pStyle w:val="TextBody"/>
        <w:bidi w:val="0"/>
        <w:spacing w:lineRule="auto" w:line="288" w:before="120" w:after="20"/>
        <w:jc w:val="both"/>
        <w:rPr>
          <w:rFonts w:ascii="Times New Roman;serif" w:hAnsi="Times New Roman;serif"/>
          <w:b/>
          <w:color w:val="2C324C"/>
          <w:sz w:val="28"/>
        </w:rPr>
      </w:pPr>
      <w:r>
        <w:rPr>
          <w:rFonts w:ascii="Times New Roman;serif" w:hAnsi="Times New Roman;serif"/>
          <w:b/>
          <w:color w:val="2C324C"/>
          <w:sz w:val="28"/>
        </w:rPr>
        <w:t>EARNINGS CONFERENCE CALL</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A conference call to discuss second quarter results will be held on Tuesday, July 28, 2026 at 11:00 A.M. (ET). To participate, call toll-free at (877) 407-9039. Callers outside the U.S. or Canada can access the call at (201) 689-8470. A replay will be available following the call through August 11, 2026 and can be accessed toll-free by calling (844) 512-2921 or (412) 317-6671. The Conference ID number for the call and the replay is 13760809. The conference call will be available live on the Company's website located at www.suninc.com. The replay will also be available on the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0"/>
        <w:jc w:val="both"/>
        <w:rPr>
          <w:rFonts w:ascii="Times New Roman;serif" w:hAnsi="Times New Roman;serif"/>
          <w:b/>
          <w:color w:val="2C324C"/>
          <w:sz w:val="28"/>
        </w:rPr>
      </w:pPr>
      <w:r>
        <w:rPr>
          <w:rFonts w:ascii="Times New Roman;serif" w:hAnsi="Times New Roman;serif"/>
          <w:b/>
          <w:color w:val="2C324C"/>
          <w:sz w:val="28"/>
        </w:rPr>
        <w:t>CAUTIONARY STATEMENT REGARDING FORWARD-LOOKING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7"/>
        </w:rPr>
      </w:pPr>
      <w:r>
        <w:rPr>
          <w:rFonts w:ascii="Times New Roman;serif" w:hAnsi="Times New Roman;serif"/>
          <w:b w:val="false"/>
          <w:color w:val="000000"/>
          <w:sz w:val="17"/>
        </w:rPr>
        <w:t>This press release contains various "forward-looking statements" within the meaning of the Securities Act of 1933, as amended (the "Securities Act"), and the Securities Exchange Act of 1934, as amended (the "Exchange Act"), and the Company intends that such forward-looking statements will be subject to the safe harbors created thereby. For this purpose, any statements contained in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 "goal," "estimate," "expect," "project," "projections," "plans," "predicts," "potential," "seeks," "anticipates," "should," "could," "may," "will," "designed to," "foreseeable future," "believe," "scheduled," "guidance," "target," and similar expressions are intended to identify forward-looking statements, although not all forward-looking statements contain these words. These forward-looking statements reflect the Company's current views with respect to future events and financial performance, but involve known and unknown risks, uncertainties, and other factors, both general and specific to the matters discussed in this document, some of which are beyond the Company's control. These risks, uncertainties, and other factors may cause the Company's actual results to be materially different from any future results expressed or implied by such forward-looking statements. In addition to the risks described under "Risk Factors" contained in the Company's Annual Report on Form 10-K for the year ended December 31, 2025, in Item 8.01 of the Company's Current Report on Form 8-K filed May 21, 2026, and in the Company's other filings with the Securities and Exchange Commission, from time to time, such risks, uncertainties and other factors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24"/>
        <w:gridCol w:w="2833"/>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ability of the Company to complete the proposed sale of Park Holidays on a timely basis or at all;</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Risks that the proposed sale of Park Holidays disrupts current plans and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impacts of the announcement or consummation of the proposed sale of Park Holidays on business relationships;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anticipated cost related to the proposed sale of Park Holidays;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ability for the Company to realize the anticipated benefits of the proposed sale of Park Holidays;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Company's liquidity and refinancing demands;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Company's ability to obtain or refinance maturing debt;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Company's ability to maintain compliance with covenants contained in its debt facilities and its unsecured notes;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Availability of capital;</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General volatility of the capital markets and the market price of shares of the Company's capital stock;</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Increases in interest rates and operating costs, including insurance premiums, real estate taxes, and utilities;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Difficulties in the Company's ability to evaluate, finance, complete, and integrate acquisitions, developments, and expansions successfully;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Competitive market forces;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ability of purchasers of manufactured homes to obtain financing;</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level of repossessions of manufactured homes;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Company's ability to maintain effective internal control over financial reporting and disclosure controls and procedures;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Expectations regarding the amount or frequency of impairment losses;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general economic conditions, including inflation, deflation, energy costs, the real estate industry, the effects of tariffs or threats of tariffs, wars or other international conflicts, trade wars, immigration issues, supply chain disruptions, and the markets within which the Company operates;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foreign currency exchange rates, including between the U.S. dollar and each of the British pound sterling, Canadian dollar, and Australian dollar;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Company's ability to maintain its status as a REIT;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real estate and zoning laws and regulations;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Company's ability to maintain rental rates and occupancy levels;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Legislative or regulatory changes, including changes to laws governing the taxation of REITs;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Outbreaks of disease and related restrictions on business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Risks related to natural disasters such as hurricanes, earthquakes, floods, droughts, and wildfires;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Litigation, judgments or settlements, including costs associated with prosecuting or defending claims and any adverse outcomes.</w:t>
            </w:r>
          </w:p>
        </w:tc>
      </w:tr>
    </w:tbl>
    <w:p>
      <w:pPr>
        <w:pStyle w:val="TextBody"/>
        <w:bidi w:val="0"/>
        <w:spacing w:lineRule="auto" w:line="288" w:before="120" w:after="120"/>
        <w:jc w:val="both"/>
        <w:rPr>
          <w:rFonts w:ascii="Times New Roman;serif" w:hAnsi="Times New Roman;serif"/>
          <w:b w:val="false"/>
          <w:color w:val="000000"/>
          <w:sz w:val="17"/>
        </w:rPr>
      </w:pPr>
      <w:r>
        <w:rPr>
          <w:rFonts w:ascii="Times New Roman;serif" w:hAnsi="Times New Roman;serif"/>
          <w:b w:val="false"/>
          <w:color w:val="000000"/>
          <w:sz w:val="17"/>
        </w:rPr>
        <w:t>Readers are cautioned not to place undue reliance on these forward-looking statements, which speak only as of the date the statement was made. The Company undertakes no obligation to publicly update or revise any forward-looking statements included or incorporated by reference into this document, whether as a result of new information, future events, changes in the Company's expectations or otherwise, except as required by law.</w:t>
      </w:r>
    </w:p>
    <w:p>
      <w:pPr>
        <w:pStyle w:val="TextBody"/>
        <w:bidi w:val="0"/>
        <w:spacing w:lineRule="auto" w:line="288" w:before="120" w:after="120"/>
        <w:jc w:val="both"/>
        <w:rPr>
          <w:rFonts w:ascii="Times New Roman;serif" w:hAnsi="Times New Roman;serif"/>
          <w:b w:val="false"/>
          <w:color w:val="000000"/>
          <w:sz w:val="17"/>
        </w:rPr>
      </w:pPr>
      <w:r>
        <w:rPr>
          <w:rFonts w:ascii="Times New Roman;serif" w:hAnsi="Times New Roman;serif"/>
          <w:b w:val="false"/>
          <w:color w:val="000000"/>
          <w:sz w:val="17"/>
        </w:rPr>
        <w:t>Although the Company believes that the expectations reflected in the forward-looking statements are reasonable, the Company cannot guarantee future results, levels of activity, performance or achievements. All written and oral forward-looking statements attributable to the Company or persons acting on the Company's behalf are qualified in their entirety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C324C"/>
          <w:sz w:val="32"/>
        </w:rPr>
      </w:pPr>
      <w:r>
        <w:rPr>
          <w:rFonts w:ascii="Times New Roman;serif" w:hAnsi="Times New Roman;serif"/>
          <w:b/>
          <w:color w:val="2C324C"/>
          <w:sz w:val="32"/>
        </w:rPr>
        <w:t>Overview</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vii</w:t>
                      </w:r>
                    </w:p>
                  </w:txbxContent>
                </v:textbox>
                <w10:wrap type="none"/>
              </v:rect>
            </w:pict>
          </mc:Fallback>
        </mc:AlternateContent>
      </w:r>
    </w:p>
    <w:p>
      <w:pPr>
        <w:pStyle w:val="TextBody"/>
        <w:bidi w:val="0"/>
        <w:spacing w:lineRule="auto" w:line="288" w:before="120" w:after="20"/>
        <w:jc w:val="both"/>
        <w:rPr>
          <w:rFonts w:ascii="Times New Roman;serif" w:hAnsi="Times New Roman;serif"/>
          <w:b/>
          <w:color w:val="2C324C"/>
          <w:sz w:val="28"/>
        </w:rPr>
      </w:pPr>
      <w:r>
        <w:rPr>
          <w:rFonts w:ascii="Times New Roman;serif" w:hAnsi="Times New Roman;serif"/>
          <w:b/>
          <w:color w:val="2C324C"/>
          <w:sz w:val="28"/>
        </w:rPr>
        <w:t>Company Overview and Investor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The Company</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Established in 1975, Sun Communities, Inc. became a publicly owned corporation in December 1993. The Company is a fully integrated REIT listed on the New York Stock Exchange under the symbol: SUI. As of June 30, 2026, the Company owned, operated, or had an interest in a portfolio of 455 developed MH and RV properties comprising approximately 156,130 developed sites in the U.S. and Canada. At that date, the Company also owned, operated, or held an interest in a portfolio of 54 U.K. properties comprising approximately 22,030 developed sites, which were classified within discontinued operations as of June 30, 2026.</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For more information about the Company, please visit www.suninc.com.</w:t>
      </w:r>
    </w:p>
    <w:tbl>
      <w:tblPr>
        <w:tblW w:w="4243" w:type="dxa"/>
        <w:jc w:val="left"/>
        <w:tblInd w:w="0" w:type="dxa"/>
        <w:tblLayout w:type="fixed"/>
        <w:tblCellMar>
          <w:top w:w="28" w:type="dxa"/>
          <w:left w:w="28" w:type="dxa"/>
          <w:bottom w:w="28" w:type="dxa"/>
          <w:right w:w="28" w:type="dxa"/>
        </w:tblCellMar>
      </w:tblPr>
      <w:tblGrid>
        <w:gridCol w:w="1402"/>
        <w:gridCol w:w="1230"/>
        <w:gridCol w:w="1239"/>
        <w:gridCol w:w="109"/>
        <w:gridCol w:w="109"/>
        <w:gridCol w:w="154"/>
      </w:tblGrid>
      <w:tr>
        <w:trPr/>
        <w:tc>
          <w:tcPr>
            <w:tcW w:w="140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Company Contacts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Investor Relations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Sara Ismail, Senior Vice President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(248) 208-2500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investorrelations@suncommunities.com</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033" w:type="dxa"/>
        <w:jc w:val="left"/>
        <w:tblInd w:w="0" w:type="dxa"/>
        <w:tblLayout w:type="fixed"/>
        <w:tblCellMar>
          <w:top w:w="28" w:type="dxa"/>
          <w:left w:w="28" w:type="dxa"/>
          <w:bottom w:w="28" w:type="dxa"/>
          <w:right w:w="28" w:type="dxa"/>
        </w:tblCellMar>
      </w:tblPr>
      <w:tblGrid>
        <w:gridCol w:w="935"/>
        <w:gridCol w:w="820"/>
        <w:gridCol w:w="824"/>
        <w:gridCol w:w="426"/>
        <w:gridCol w:w="426"/>
        <w:gridCol w:w="602"/>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Corporate Debt Ratings</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Moody's</w:t>
            </w:r>
          </w:p>
        </w:tc>
        <w:tc>
          <w:tcPr>
            <w:tcW w:w="14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Baa2 | Stable</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S&amp;P</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BBB+ | Stable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0"/>
        <w:jc w:val="both"/>
        <w:rPr>
          <w:rFonts w:ascii="Times New Roman;serif" w:hAnsi="Times New Roman;serif"/>
          <w:b/>
          <w:color w:val="2C324C"/>
          <w:sz w:val="28"/>
        </w:rPr>
      </w:pPr>
      <w:r>
        <w:rPr>
          <w:rFonts w:ascii="Times New Roman;serif" w:hAnsi="Times New Roman;serif"/>
          <w:b/>
          <w:color w:val="2C324C"/>
          <w:sz w:val="28"/>
        </w:rPr>
        <w:t>Portfolio Overview as of June 30,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592" w:type="dxa"/>
        <w:jc w:val="left"/>
        <w:tblInd w:w="0" w:type="dxa"/>
        <w:tblLayout w:type="fixed"/>
        <w:tblCellMar>
          <w:top w:w="28" w:type="dxa"/>
          <w:left w:w="28" w:type="dxa"/>
          <w:bottom w:w="28" w:type="dxa"/>
          <w:right w:w="28" w:type="dxa"/>
        </w:tblCellMar>
      </w:tblPr>
      <w:tblGrid>
        <w:gridCol w:w="437"/>
        <w:gridCol w:w="384"/>
        <w:gridCol w:w="394"/>
        <w:gridCol w:w="109"/>
        <w:gridCol w:w="109"/>
        <w:gridCol w:w="109"/>
        <w:gridCol w:w="285"/>
        <w:gridCol w:w="285"/>
        <w:gridCol w:w="286"/>
        <w:gridCol w:w="109"/>
        <w:gridCol w:w="109"/>
        <w:gridCol w:w="109"/>
        <w:gridCol w:w="368"/>
        <w:gridCol w:w="368"/>
        <w:gridCol w:w="146"/>
        <w:gridCol w:w="139"/>
        <w:gridCol w:w="139"/>
        <w:gridCol w:w="139"/>
        <w:gridCol w:w="297"/>
        <w:gridCol w:w="266"/>
        <w:gridCol w:w="592"/>
        <w:gridCol w:w="109"/>
        <w:gridCol w:w="109"/>
        <w:gridCol w:w="109"/>
        <w:gridCol w:w="484"/>
        <w:gridCol w:w="484"/>
        <w:gridCol w:w="486"/>
        <w:gridCol w:w="109"/>
        <w:gridCol w:w="109"/>
        <w:gridCol w:w="109"/>
        <w:gridCol w:w="375"/>
        <w:gridCol w:w="376"/>
        <w:gridCol w:w="291"/>
        <w:gridCol w:w="109"/>
        <w:gridCol w:w="154"/>
      </w:tblGrid>
      <w:tr>
        <w:trPr/>
        <w:tc>
          <w:tcPr>
            <w:tcW w:w="43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 &amp; RV Properties</w:t>
            </w:r>
          </w:p>
        </w:tc>
        <w:tc>
          <w:tcPr>
            <w:tcW w:w="263" w:type="dxa"/>
            <w:gridSpan w:val="2"/>
            <w:tcBorders/>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 &amp; Annual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Transient RV Sites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Sites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Sites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Occupancy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op w:val="single" w:sz="8" w:space="0" w:color="000000"/>
            </w:tcBorders>
            <w:shd w:fill="E0E0E0"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Florida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42,520 </w:t>
            </w:r>
          </w:p>
        </w:tc>
        <w:tc>
          <w:tcPr>
            <w:tcW w:w="14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97.1 </w:t>
            </w:r>
          </w:p>
        </w:tc>
        <w:tc>
          <w:tcPr>
            <w:tcW w:w="59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4,700 </w:t>
            </w:r>
          </w:p>
        </w:tc>
        <w:tc>
          <w:tcPr>
            <w:tcW w:w="4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47,220 </w:t>
            </w:r>
          </w:p>
        </w:tc>
        <w:tc>
          <w:tcPr>
            <w:tcW w:w="29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Michigan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98.2 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510 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34,930 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California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7,040 </w:t>
            </w:r>
          </w:p>
        </w:tc>
        <w:tc>
          <w:tcPr>
            <w:tcW w:w="1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99.6 </w:t>
            </w:r>
          </w:p>
        </w:tc>
        <w:tc>
          <w:tcPr>
            <w:tcW w:w="5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1,720 </w:t>
            </w:r>
          </w:p>
        </w:tc>
        <w:tc>
          <w:tcPr>
            <w:tcW w:w="4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8,760 </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9,330 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97.8 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1,410 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10,740 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Connecticut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1,910 </w:t>
            </w:r>
          </w:p>
        </w:tc>
        <w:tc>
          <w:tcPr>
            <w:tcW w:w="1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96.6 </w:t>
            </w:r>
          </w:p>
        </w:tc>
        <w:tc>
          <w:tcPr>
            <w:tcW w:w="5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100 </w:t>
            </w:r>
          </w:p>
        </w:tc>
        <w:tc>
          <w:tcPr>
            <w:tcW w:w="4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2,010 </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97.7 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810 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Jersey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3,590 </w:t>
            </w:r>
          </w:p>
        </w:tc>
        <w:tc>
          <w:tcPr>
            <w:tcW w:w="1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5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910 </w:t>
            </w:r>
          </w:p>
        </w:tc>
        <w:tc>
          <w:tcPr>
            <w:tcW w:w="4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4,500 </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Arizona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97.5 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860 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5,000 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Colorado</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2,930 </w:t>
            </w:r>
          </w:p>
        </w:tc>
        <w:tc>
          <w:tcPr>
            <w:tcW w:w="1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94.0 </w:t>
            </w:r>
          </w:p>
        </w:tc>
        <w:tc>
          <w:tcPr>
            <w:tcW w:w="5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940 </w:t>
            </w:r>
          </w:p>
        </w:tc>
        <w:tc>
          <w:tcPr>
            <w:tcW w:w="4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3,870 </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99.0 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Maryland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920 </w:t>
            </w:r>
          </w:p>
        </w:tc>
        <w:tc>
          <w:tcPr>
            <w:tcW w:w="1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99.1 </w:t>
            </w:r>
          </w:p>
        </w:tc>
        <w:tc>
          <w:tcPr>
            <w:tcW w:w="5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1,370 </w:t>
            </w:r>
          </w:p>
        </w:tc>
        <w:tc>
          <w:tcPr>
            <w:tcW w:w="4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2,290 </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99.4 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1,040 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19,660 </w:t>
            </w:r>
          </w:p>
        </w:tc>
        <w:tc>
          <w:tcPr>
            <w:tcW w:w="1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98.9 </w:t>
            </w:r>
          </w:p>
        </w:tc>
        <w:tc>
          <w:tcPr>
            <w:tcW w:w="5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7,390 </w:t>
            </w:r>
          </w:p>
        </w:tc>
        <w:tc>
          <w:tcPr>
            <w:tcW w:w="4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27,050 </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455</w:t>
            </w:r>
            <w:r>
              <w:rPr>
                <w:color w:val="000000"/>
              </w:rPr>
              <w:t>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133,370 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97.9 </w:t>
            </w:r>
          </w:p>
        </w:tc>
        <w:tc>
          <w:tcPr>
            <w:tcW w:w="5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22,760 </w:t>
            </w:r>
          </w:p>
        </w:tc>
        <w:tc>
          <w:tcPr>
            <w:tcW w:w="4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156,130</w:t>
            </w:r>
            <w:r>
              <w:rPr>
                <w:color w:val="000000"/>
              </w:rPr>
              <w:t> </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C324C"/>
          <w:sz w:val="32"/>
        </w:rPr>
      </w:pPr>
      <w:r>
        <w:rPr>
          <w:rFonts w:ascii="Times New Roman;serif" w:hAnsi="Times New Roman;serif"/>
          <w:b/>
          <w:color w:val="2C324C"/>
          <w:sz w:val="32"/>
        </w:rPr>
        <w:t>Overview</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24815"/>
                <wp:effectExtent l="0" t="0" r="0" b="0"/>
                <wp:wrapNone/>
                <wp:docPr id="16" name="Frame1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 </w:t>
                            </w:r>
                            <w:r>
                              <w:rPr/>
                              <w:drawing>
                                <wp:inline distT="0" distB="0" distL="0" distR="0">
                                  <wp:extent cx="1228725" cy="333375"/>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 </w:t>
                      </w:r>
                      <w:r>
                        <w:rPr/>
                        <w:drawing>
                          <wp:inline distT="0" distB="0" distL="0" distR="0">
                            <wp:extent cx="1228725" cy="333375"/>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6"/>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2C324C"/>
          <w:sz w:val="24"/>
        </w:rPr>
      </w:pPr>
      <w:r>
        <w:rPr>
          <w:rFonts w:ascii="Times New Roman;serif" w:hAnsi="Times New Roman;serif"/>
          <w:b/>
          <w:color w:val="2C324C"/>
          <w:sz w:val="24"/>
        </w:rPr>
        <w:t>Financial and Operating Highlights</w:t>
      </w:r>
    </w:p>
    <w:p>
      <w:pPr>
        <w:pStyle w:val="TextBody"/>
        <w:bidi w:val="0"/>
        <w:spacing w:lineRule="auto" w:line="288" w:before="0" w:after="20"/>
        <w:jc w:val="left"/>
        <w:rPr>
          <w:rFonts w:ascii="Times New Roman;serif" w:hAnsi="Times New Roman;serif"/>
          <w:b/>
          <w:color w:val="2C324C"/>
          <w:sz w:val="18"/>
        </w:rPr>
      </w:pPr>
      <w:r>
        <w:rPr>
          <w:rFonts w:ascii="Times New Roman;serif" w:hAnsi="Times New Roman;serif"/>
          <w:b/>
          <w:color w:val="2C324C"/>
          <w:sz w:val="18"/>
        </w:rPr>
        <w:t>($ in millions, except Per Share amounts)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99"/>
        <w:gridCol w:w="879"/>
        <w:gridCol w:w="883"/>
        <w:gridCol w:w="196"/>
        <w:gridCol w:w="781"/>
        <w:gridCol w:w="241"/>
        <w:gridCol w:w="109"/>
        <w:gridCol w:w="109"/>
        <w:gridCol w:w="109"/>
        <w:gridCol w:w="196"/>
        <w:gridCol w:w="781"/>
        <w:gridCol w:w="241"/>
        <w:gridCol w:w="109"/>
        <w:gridCol w:w="109"/>
        <w:gridCol w:w="109"/>
        <w:gridCol w:w="196"/>
        <w:gridCol w:w="781"/>
        <w:gridCol w:w="241"/>
        <w:gridCol w:w="109"/>
        <w:gridCol w:w="109"/>
        <w:gridCol w:w="109"/>
        <w:gridCol w:w="196"/>
        <w:gridCol w:w="781"/>
        <w:gridCol w:w="241"/>
        <w:gridCol w:w="109"/>
        <w:gridCol w:w="109"/>
        <w:gridCol w:w="109"/>
        <w:gridCol w:w="196"/>
        <w:gridCol w:w="781"/>
        <w:gridCol w:w="287"/>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Quarters Ended</w:t>
            </w:r>
          </w:p>
        </w:tc>
      </w:tr>
      <w:tr>
        <w:trPr/>
        <w:tc>
          <w:tcPr>
            <w:tcW w:w="2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9/30/2025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6/30/2025</w:t>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Information</w:t>
            </w:r>
          </w:p>
        </w:tc>
        <w:tc>
          <w:tcPr>
            <w:tcW w:w="12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Basic earnings / (loss) per share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Basic earnings / (loss) per share from discontinued operations</w:t>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(8.71)</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(0.20)</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0.11 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10.76 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 (loss) per share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(8.06)</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(0.07)</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10.02 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earnings / (loss) per share from continuing operations</w:t>
            </w:r>
          </w:p>
        </w:tc>
        <w:tc>
          <w:tcPr>
            <w:tcW w:w="196"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0.32 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0.13 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0.88 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(0.45)</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(0.74)</w:t>
            </w:r>
          </w:p>
        </w:tc>
        <w:tc>
          <w:tcPr>
            <w:tcW w:w="287"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earnings / (loss) per share from discontinued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Diluted earnings / (loss) per share</w:t>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(8.08)</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(0.07)</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0.99 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0.07 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10.02 </w:t>
            </w:r>
          </w:p>
        </w:tc>
        <w:tc>
          <w:tcPr>
            <w:tcW w:w="28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Cash distributions declared per common share</w:t>
            </w:r>
            <w:r>
              <w:rPr>
                <w:rFonts w:ascii="Times New Roman;serif" w:hAnsi="Times New Roman;serif"/>
                <w:b w:val="false"/>
                <w:color w:val="000000"/>
                <w:sz w:val="11"/>
              </w:rPr>
              <w:t>(a)</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FFO per Share</w:t>
            </w:r>
            <w:r>
              <w:rPr>
                <w:rFonts w:ascii="Times New Roman;serif" w:hAnsi="Times New Roman;serif"/>
                <w:b w:val="false"/>
                <w:color w:val="000000"/>
                <w:sz w:val="11"/>
              </w:rPr>
              <w:t>(b)</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0.95 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2.18 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Core FFO per Share</w:t>
            </w:r>
            <w:r>
              <w:rPr>
                <w:rFonts w:ascii="Times New Roman;serif" w:hAnsi="Times New Roman;serif"/>
                <w:b w:val="false"/>
                <w:color w:val="000000"/>
                <w:sz w:val="11"/>
              </w:rPr>
              <w:t>(b)</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Real Property NOI</w:t>
            </w:r>
            <w:r>
              <w:rPr>
                <w:rFonts w:ascii="Times New Roman;serif" w:hAnsi="Times New Roman;serif"/>
                <w:b w:val="false"/>
                <w:color w:val="000000"/>
                <w:sz w:val="11"/>
              </w:rPr>
              <w:t>(b)</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MH</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186.5 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185.7 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178.8 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171.8 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168.5 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RV</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w:t>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260.6 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236.4 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232.1 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241.4 </w:t>
            </w:r>
          </w:p>
        </w:tc>
        <w:tc>
          <w:tcPr>
            <w:tcW w:w="28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Recurring EBITDA</w:t>
            </w:r>
            <w:r>
              <w:rPr>
                <w:rFonts w:ascii="Times New Roman;serif" w:hAnsi="Times New Roman;serif"/>
                <w:b w:val="false"/>
                <w:color w:val="000000"/>
                <w:sz w:val="11"/>
              </w:rPr>
              <w:t>(b)</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264.4 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335.7 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291.3 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TTM Recurring EBITDA / Interest</w:t>
            </w:r>
            <w:r>
              <w:rPr>
                <w:rFonts w:ascii="Times New Roman;serif" w:hAnsi="Times New Roman;serif"/>
                <w:b w:val="false"/>
                <w:color w:val="000000"/>
                <w:sz w:val="11"/>
              </w:rPr>
              <w:t>(b)</w:t>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x</w:t>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Net Debt / TTM Recurring EBITDA</w:t>
            </w:r>
            <w:r>
              <w:rPr>
                <w:rFonts w:ascii="Times New Roman;serif" w:hAnsi="Times New Roman;serif"/>
                <w:b w:val="false"/>
                <w:color w:val="000000"/>
                <w:sz w:val="11"/>
              </w:rPr>
              <w:t>(b)</w:t>
            </w:r>
          </w:p>
        </w:tc>
        <w:tc>
          <w:tcPr>
            <w:tcW w:w="12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 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 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x</w:t>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Balance Sheet</w:t>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10,867.6 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12,358.8 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12,522.9 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12,800.3 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13,362.1 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debt</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4,052.2 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4,246.2 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4,258.7 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4,271.7 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4,283.5 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5,090.0 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5,299.1 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5,194.4 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5,570.0 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Operating Information</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Properties</w:t>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MH</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RV</w:t>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448 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Sites</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MH</w:t>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100,860 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100,830 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100,150 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97,070 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97,380 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Annual RV</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32,730 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32,100 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Transient</w:t>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22,760 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23,820 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23,550 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23,560 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23,440 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sites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156,130 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157,380 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157,030 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153,110 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152,920 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Occupancy</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MH</w:t>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97.3 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97.1 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97.2 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97.9 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97.4 </w:t>
            </w:r>
          </w:p>
        </w:tc>
        <w:tc>
          <w:tcPr>
            <w:tcW w:w="2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Annual RV</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Blended MH and annual RV</w:t>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97.9 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97.8 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97.9 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98.4 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98.1 </w:t>
            </w:r>
          </w:p>
        </w:tc>
        <w:tc>
          <w:tcPr>
            <w:tcW w:w="2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MH and RV Revenue Producing Site Net Gains</w:t>
            </w:r>
            <w:r>
              <w:rPr>
                <w:rFonts w:ascii="Times New Roman;serif" w:hAnsi="Times New Roman;serif"/>
                <w:b w:val="false"/>
                <w:color w:val="000000"/>
                <w:sz w:val="11"/>
              </w:rPr>
              <w:t>(c)</w:t>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MH leased sites,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RV leased sites, net</w:t>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371 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leased sites, net</w:t>
            </w:r>
          </w:p>
        </w:tc>
        <w:tc>
          <w:tcPr>
            <w:tcW w:w="97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248 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523 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458 </w:t>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pPr>
      <w:r>
        <w:rPr>
          <w:rFonts w:ascii="Times New Roman;serif" w:hAnsi="Times New Roman;serif"/>
          <w:b w:val="false"/>
          <w:color w:val="000000"/>
          <w:sz w:val="10"/>
        </w:rPr>
        <w:t xml:space="preserve">(a) </w:t>
      </w:r>
      <w:r>
        <w:rPr>
          <w:rFonts w:ascii="Times New Roman;serif" w:hAnsi="Times New Roman;serif"/>
          <w:b w:val="false"/>
          <w:color w:val="000000"/>
          <w:sz w:val="16"/>
        </w:rPr>
        <w:t>During the quarter ended June 30, 2025, the Company also paid a</w:t>
      </w:r>
      <w:r>
        <w:rPr>
          <w:color w:val="000000"/>
        </w:rPr>
        <w:t xml:space="preserve"> </w:t>
      </w:r>
      <w:r>
        <w:rPr>
          <w:rFonts w:ascii="Times New Roman;serif" w:hAnsi="Times New Roman;serif"/>
          <w:b w:val="false"/>
          <w:color w:val="000000"/>
          <w:sz w:val="16"/>
        </w:rPr>
        <w:t>one-time special cash distribution of $4.00 per common share and unit.</w:t>
      </w:r>
    </w:p>
    <w:p>
      <w:pPr>
        <w:pStyle w:val="TextBody"/>
        <w:bidi w:val="0"/>
        <w:spacing w:lineRule="auto" w:line="288" w:before="0" w:after="0"/>
        <w:jc w:val="both"/>
        <w:rPr/>
      </w:pPr>
      <w:r>
        <w:rPr>
          <w:rFonts w:ascii="Times New Roman;serif" w:hAnsi="Times New Roman;serif"/>
          <w:b w:val="false"/>
          <w:color w:val="000000"/>
          <w:sz w:val="10"/>
        </w:rPr>
        <w:t xml:space="preserve">(b) </w:t>
      </w:r>
      <w:r>
        <w:rPr>
          <w:rFonts w:ascii="Times New Roman;serif" w:hAnsi="Times New Roman;serif"/>
          <w:b w:val="false"/>
          <w:color w:val="000000"/>
          <w:sz w:val="16"/>
        </w:rPr>
        <w:t>Refer to Definition and Notes for additional information.</w:t>
      </w:r>
    </w:p>
    <w:p>
      <w:pPr>
        <w:pStyle w:val="TextBody"/>
        <w:bidi w:val="0"/>
        <w:spacing w:lineRule="auto" w:line="288" w:before="0" w:after="0"/>
        <w:jc w:val="both"/>
        <w:rPr/>
      </w:pPr>
      <w:r>
        <w:rPr>
          <w:rFonts w:ascii="Times New Roman;serif" w:hAnsi="Times New Roman;serif"/>
          <w:b w:val="false"/>
          <w:color w:val="000000"/>
          <w:sz w:val="10"/>
        </w:rPr>
        <w:t xml:space="preserve">(c) </w:t>
      </w:r>
      <w:r>
        <w:rPr>
          <w:rFonts w:ascii="Times New Roman;serif" w:hAnsi="Times New Roman;serif"/>
          <w:b w:val="false"/>
          <w:color w:val="000000"/>
          <w:sz w:val="16"/>
        </w:rPr>
        <w:t>Revenue producing site net gains do not include occupied sites acquired during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C324C"/>
          <w:sz w:val="32"/>
        </w:rPr>
      </w:pPr>
      <w:r>
        <w:rPr>
          <w:rFonts w:ascii="Times New Roman;serif" w:hAnsi="Times New Roman;serif"/>
          <w:b/>
          <w:color w:val="2C324C"/>
          <w:sz w:val="32"/>
        </w:rPr>
        <w:t>Financial Statements and Reconciliations to Non-GAAP Financial Measures</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24815"/>
                <wp:effectExtent l="0" t="0" r="0" b="0"/>
                <wp:wrapNone/>
                <wp:docPr id="19" name="Frame1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2 </w:t>
                            </w:r>
                            <w:r>
                              <w:rPr/>
                              <w:drawing>
                                <wp:inline distT="0" distB="0" distL="0" distR="0">
                                  <wp:extent cx="1228725" cy="333375"/>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7"/>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2 </w:t>
                      </w:r>
                      <w:r>
                        <w:rPr/>
                        <w:drawing>
                          <wp:inline distT="0" distB="0" distL="0" distR="0">
                            <wp:extent cx="1228725" cy="333375"/>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8"/>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283"/>
        <w:jc w:val="both"/>
        <w:rPr>
          <w:rFonts w:ascii="Times New Roman;serif" w:hAnsi="Times New Roman;serif"/>
          <w:b/>
          <w:color w:val="2C324C"/>
          <w:sz w:val="24"/>
        </w:rPr>
      </w:pPr>
      <w:r>
        <w:rPr>
          <w:rFonts w:ascii="Times New Roman;serif" w:hAnsi="Times New Roman;serif"/>
          <w:b/>
          <w:color w:val="2C324C"/>
          <w:sz w:val="24"/>
        </w:rPr>
        <w:t>Condensed Consolidated Balance Sheets</w:t>
      </w:r>
    </w:p>
    <w:p>
      <w:pPr>
        <w:pStyle w:val="TextBody"/>
        <w:bidi w:val="0"/>
        <w:spacing w:lineRule="auto" w:line="288" w:before="0" w:after="20"/>
        <w:jc w:val="both"/>
        <w:rPr>
          <w:rFonts w:ascii="Times New Roman;serif" w:hAnsi="Times New Roman;serif"/>
          <w:b/>
          <w:color w:val="2C324C"/>
          <w:sz w:val="18"/>
        </w:rPr>
      </w:pPr>
      <w:r>
        <w:rPr>
          <w:rFonts w:ascii="Times New Roman;serif" w:hAnsi="Times New Roman;serif"/>
          <w:b/>
          <w:color w:val="2C324C"/>
          <w:sz w:val="18"/>
        </w:rPr>
        <w:t>($ in millions)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570" w:type="dxa"/>
        <w:jc w:val="left"/>
        <w:tblInd w:w="0" w:type="dxa"/>
        <w:tblLayout w:type="fixed"/>
        <w:tblCellMar>
          <w:top w:w="28" w:type="dxa"/>
          <w:left w:w="28" w:type="dxa"/>
          <w:bottom w:w="28" w:type="dxa"/>
          <w:right w:w="28" w:type="dxa"/>
        </w:tblCellMar>
      </w:tblPr>
      <w:tblGrid>
        <w:gridCol w:w="1650"/>
        <w:gridCol w:w="1454"/>
        <w:gridCol w:w="1470"/>
        <w:gridCol w:w="203"/>
        <w:gridCol w:w="809"/>
        <w:gridCol w:w="113"/>
        <w:gridCol w:w="109"/>
        <w:gridCol w:w="109"/>
        <w:gridCol w:w="109"/>
        <w:gridCol w:w="267"/>
        <w:gridCol w:w="1067"/>
        <w:gridCol w:w="210"/>
      </w:tblGrid>
      <w:tr>
        <w:trPr/>
        <w:tc>
          <w:tcPr>
            <w:tcW w:w="165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12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Land</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1,810.5 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Land improvements and buildings</w:t>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8,733.9 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8,699.2 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Rental homes and improvements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940.2 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Furniture, fixtures and equipment</w:t>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687.2 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674.3 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property</w:t>
            </w:r>
          </w:p>
        </w:tc>
        <w:tc>
          <w:tcPr>
            <w:tcW w:w="10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12,213.2 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12,124.2 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depreciation</w:t>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(3,702.0)</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(3,505.7)</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property, net</w:t>
            </w:r>
          </w:p>
        </w:tc>
        <w:tc>
          <w:tcPr>
            <w:tcW w:w="10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8,511.2 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8,618.5 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Cash, cash equivalents and restricted cash</w:t>
            </w:r>
            <w:r>
              <w:rPr>
                <w:rFonts w:ascii="Times New Roman;serif" w:hAnsi="Times New Roman;serif"/>
                <w:b w:val="false"/>
                <w:color w:val="000000"/>
                <w:sz w:val="11"/>
              </w:rPr>
              <w:t>(a)</w:t>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165.2 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606.7 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Inventory of manufactured homes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Notes and other receivables, net</w:t>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282.4 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262.9 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Collateralized receivables, net</w:t>
            </w:r>
            <w:r>
              <w:rPr>
                <w:rFonts w:ascii="Times New Roman;serif" w:hAnsi="Times New Roman;serif"/>
                <w:b w:val="false"/>
                <w:color w:val="000000"/>
                <w:sz w:val="11"/>
              </w:rPr>
              <w:t>(a)</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intangible assets, net</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 net</w:t>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303.7 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309.2 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Assets held for sale and discontinued operations, net</w:t>
            </w:r>
            <w:r>
              <w:rPr>
                <w:rFonts w:ascii="Times New Roman;serif" w:hAnsi="Times New Roman;serif"/>
                <w:b w:val="false"/>
                <w:color w:val="000000"/>
                <w:sz w:val="11"/>
              </w:rPr>
              <w:t>(a)</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2,551.5 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2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10,867.6 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6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12,522.9 </w:t>
            </w:r>
          </w:p>
        </w:tc>
        <w:tc>
          <w:tcPr>
            <w:tcW w:w="21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w:t>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Mortgage loans payable</w:t>
            </w:r>
          </w:p>
        </w:tc>
        <w:tc>
          <w:tcPr>
            <w:tcW w:w="20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2,225.3 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6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2,429.0 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Secured borrowings on collateralized receivables</w:t>
            </w:r>
            <w:r>
              <w:rPr>
                <w:rFonts w:ascii="Times New Roman;serif" w:hAnsi="Times New Roman;serif"/>
                <w:b w:val="false"/>
                <w:color w:val="000000"/>
                <w:sz w:val="11"/>
              </w:rPr>
              <w:t>(a)</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Unsecured debt</w:t>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1,787.7 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1,786.5 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 payable</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Advanced reservation deposits and rent</w:t>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199.9 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125.9 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 and accounts payable</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75.8 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73.2 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Liabilities held for sale and discontinued operations, net</w:t>
            </w:r>
            <w:r>
              <w:rPr>
                <w:rFonts w:ascii="Times New Roman;serif" w:hAnsi="Times New Roman;serif"/>
                <w:b w:val="false"/>
                <w:color w:val="000000"/>
                <w:sz w:val="11"/>
              </w:rPr>
              <w:t>(a)</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427.2 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w:t>
            </w:r>
          </w:p>
        </w:tc>
        <w:tc>
          <w:tcPr>
            <w:tcW w:w="101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5,090.0 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5,194.4 </w:t>
            </w:r>
          </w:p>
        </w:tc>
        <w:tc>
          <w:tcPr>
            <w:tcW w:w="21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Temporary equity</w:t>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184.0 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255.7 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Shareholders' Equity</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w:t>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9,487.5 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9,563.1 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w:t>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 in excess of accumulated earnings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(3,971.7)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(2,634.7)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SUI Shareholders' Equity</w:t>
            </w:r>
          </w:p>
        </w:tc>
        <w:tc>
          <w:tcPr>
            <w:tcW w:w="101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5,519.4 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6,956.1 </w:t>
            </w:r>
          </w:p>
        </w:tc>
        <w:tc>
          <w:tcPr>
            <w:tcW w:w="21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Noncontrolling interests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Shareholders' Equity</w:t>
            </w:r>
          </w:p>
        </w:tc>
        <w:tc>
          <w:tcPr>
            <w:tcW w:w="101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5,593.6 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7,072.8 </w:t>
            </w:r>
          </w:p>
        </w:tc>
        <w:tc>
          <w:tcPr>
            <w:tcW w:w="21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 Temporary Equity and Shareholders' Equity</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10,867.6 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12,522.9 </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left"/>
        <w:rPr/>
      </w:pPr>
      <w:r>
        <w:rPr>
          <w:rFonts w:ascii="Times New Roman;serif" w:hAnsi="Times New Roman;serif"/>
          <w:b w:val="false"/>
          <w:color w:val="000000"/>
          <w:sz w:val="10"/>
        </w:rPr>
        <w:t xml:space="preserve">(a) </w:t>
      </w:r>
      <w:r>
        <w:rPr>
          <w:rFonts w:ascii="Times New Roman;serif" w:hAnsi="Times New Roman;serif"/>
          <w:b w:val="false"/>
          <w:color w:val="000000"/>
          <w:sz w:val="16"/>
        </w:rPr>
        <w:t>Refer to Definitions and Notes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C324C"/>
          <w:sz w:val="32"/>
        </w:rPr>
      </w:pPr>
      <w:r>
        <w:rPr>
          <w:rFonts w:ascii="Times New Roman;serif" w:hAnsi="Times New Roman;serif"/>
          <w:b/>
          <w:color w:val="2C324C"/>
          <w:sz w:val="32"/>
        </w:rPr>
        <w:t>Financial Statements and Reconciliations to Non-GAAP Financial Measures</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24815"/>
                <wp:effectExtent l="0" t="0" r="0" b="0"/>
                <wp:wrapNone/>
                <wp:docPr id="22" name="Frame1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3 </w:t>
                            </w:r>
                            <w:r>
                              <w:rPr/>
                              <w:drawing>
                                <wp:inline distT="0" distB="0" distL="0" distR="0">
                                  <wp:extent cx="1228725" cy="333375"/>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9"/>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3 </w:t>
                      </w:r>
                      <w:r>
                        <w:rPr/>
                        <w:drawing>
                          <wp:inline distT="0" distB="0" distL="0" distR="0">
                            <wp:extent cx="1228725" cy="333375"/>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10"/>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2C324C"/>
          <w:sz w:val="24"/>
        </w:rPr>
      </w:pPr>
      <w:r>
        <w:rPr>
          <w:rFonts w:ascii="Times New Roman;serif" w:hAnsi="Times New Roman;serif"/>
          <w:b/>
          <w:color w:val="2C324C"/>
          <w:sz w:val="24"/>
        </w:rPr>
        <w:t>Condensed Consolidated Statements of Operations</w:t>
      </w:r>
    </w:p>
    <w:p>
      <w:pPr>
        <w:pStyle w:val="TextBody"/>
        <w:bidi w:val="0"/>
        <w:spacing w:lineRule="auto" w:line="288" w:before="0" w:after="20"/>
        <w:jc w:val="left"/>
        <w:rPr>
          <w:rFonts w:ascii="Times New Roman;serif" w:hAnsi="Times New Roman;serif"/>
          <w:b/>
          <w:color w:val="2C324C"/>
          <w:sz w:val="18"/>
        </w:rPr>
      </w:pPr>
      <w:r>
        <w:rPr>
          <w:rFonts w:ascii="Times New Roman;serif" w:hAnsi="Times New Roman;serif"/>
          <w:b/>
          <w:color w:val="2C324C"/>
          <w:sz w:val="18"/>
        </w:rPr>
        <w:t>($ in millions, except for per share amounts)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42"/>
        <w:gridCol w:w="564"/>
        <w:gridCol w:w="572"/>
        <w:gridCol w:w="196"/>
        <w:gridCol w:w="585"/>
        <w:gridCol w:w="109"/>
        <w:gridCol w:w="109"/>
        <w:gridCol w:w="109"/>
        <w:gridCol w:w="109"/>
        <w:gridCol w:w="196"/>
        <w:gridCol w:w="691"/>
        <w:gridCol w:w="109"/>
        <w:gridCol w:w="109"/>
        <w:gridCol w:w="109"/>
        <w:gridCol w:w="109"/>
        <w:gridCol w:w="109"/>
        <w:gridCol w:w="109"/>
        <w:gridCol w:w="290"/>
        <w:gridCol w:w="294"/>
        <w:gridCol w:w="459"/>
        <w:gridCol w:w="109"/>
        <w:gridCol w:w="109"/>
        <w:gridCol w:w="109"/>
        <w:gridCol w:w="196"/>
        <w:gridCol w:w="720"/>
        <w:gridCol w:w="109"/>
        <w:gridCol w:w="109"/>
        <w:gridCol w:w="109"/>
        <w:gridCol w:w="109"/>
        <w:gridCol w:w="196"/>
        <w:gridCol w:w="691"/>
        <w:gridCol w:w="109"/>
        <w:gridCol w:w="109"/>
        <w:gridCol w:w="109"/>
        <w:gridCol w:w="109"/>
        <w:gridCol w:w="109"/>
        <w:gridCol w:w="109"/>
        <w:gridCol w:w="290"/>
        <w:gridCol w:w="294"/>
        <w:gridCol w:w="522"/>
      </w:tblGrid>
      <w:tr>
        <w:trPr/>
        <w:tc>
          <w:tcPr>
            <w:tcW w:w="9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Quarter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 xml:space="preserve">Six Months Ended June 30, </w:t>
            </w:r>
          </w:p>
        </w:tc>
        <w:tc>
          <w:tcPr>
            <w:tcW w:w="1651" w:type="dxa"/>
            <w:gridSpan w:val="8"/>
            <w:tcBorders/>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Change</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Revenues</w:t>
            </w:r>
          </w:p>
        </w:tc>
        <w:tc>
          <w:tcPr>
            <w:tcW w:w="8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Real property (excluding transient)</w:t>
            </w:r>
            <w:r>
              <w:rPr>
                <w:rFonts w:ascii="Times New Roman;serif" w:hAnsi="Times New Roman;serif"/>
                <w:b w:val="false"/>
                <w:color w:val="000000"/>
                <w:sz w:val="11"/>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property - transient</w:t>
            </w:r>
          </w:p>
        </w:tc>
        <w:tc>
          <w:tcPr>
            <w:tcW w:w="7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w:t>
            </w:r>
          </w:p>
        </w:tc>
        <w:tc>
          <w:tcPr>
            <w:tcW w:w="5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7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w:t>
            </w:r>
          </w:p>
        </w:tc>
        <w:tc>
          <w:tcPr>
            <w:tcW w:w="5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(62.2)</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(35.6)</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Brokerage commissions and other, net</w:t>
            </w:r>
          </w:p>
        </w:tc>
        <w:tc>
          <w:tcPr>
            <w:tcW w:w="7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(75.2)</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(66.4)</w:t>
            </w:r>
          </w:p>
        </w:tc>
        <w:tc>
          <w:tcPr>
            <w:tcW w:w="5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Revenues</w:t>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w:t>
            </w:r>
          </w:p>
        </w:tc>
        <w:tc>
          <w:tcPr>
            <w:tcW w:w="4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5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Expenses</w:t>
            </w:r>
          </w:p>
        </w:tc>
        <w:tc>
          <w:tcPr>
            <w:tcW w:w="8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Property operating and maintenance</w:t>
            </w:r>
            <w:r>
              <w:rPr>
                <w:rFonts w:ascii="Times New Roman;serif" w:hAnsi="Times New Roman;serif"/>
                <w:b w:val="false"/>
                <w:color w:val="000000"/>
                <w:sz w:val="11"/>
              </w:rPr>
              <w:t>(a)</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estate tax</w:t>
            </w:r>
          </w:p>
        </w:tc>
        <w:tc>
          <w:tcPr>
            <w:tcW w:w="7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7.0 </w:t>
            </w:r>
          </w:p>
        </w:tc>
        <w:tc>
          <w:tcPr>
            <w:tcW w:w="5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costs and selling</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7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w:t>
            </w:r>
          </w:p>
        </w:tc>
        <w:tc>
          <w:tcPr>
            <w:tcW w:w="5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Catastrophic event-related charges, net</w:t>
            </w:r>
          </w:p>
        </w:tc>
        <w:tc>
          <w:tcPr>
            <w:tcW w:w="7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Asset impairments</w:t>
            </w:r>
            <w:r>
              <w:rPr>
                <w:rFonts w:ascii="Times New Roman;serif" w:hAnsi="Times New Roman;serif"/>
                <w:b w:val="false"/>
                <w:color w:val="000000"/>
                <w:sz w:val="11"/>
              </w:rPr>
              <w:t>(a)</w:t>
            </w:r>
          </w:p>
        </w:tc>
        <w:tc>
          <w:tcPr>
            <w:tcW w:w="7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(46.4)</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5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extinguishment of debt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7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(42.4)</w:t>
            </w:r>
          </w:p>
        </w:tc>
        <w:tc>
          <w:tcPr>
            <w:tcW w:w="5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Expenses</w:t>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(23.7)</w:t>
            </w:r>
          </w:p>
        </w:tc>
        <w:tc>
          <w:tcPr>
            <w:tcW w:w="4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w:t>
            </w:r>
          </w:p>
        </w:tc>
        <w:tc>
          <w:tcPr>
            <w:tcW w:w="5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Income / (Loss) Before Other Items</w:t>
            </w:r>
          </w:p>
        </w:tc>
        <w:tc>
          <w:tcPr>
            <w:tcW w:w="7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(73.2)</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(110.2)</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foreign currency exchanges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(66.2)</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dispositions of properties, net</w:t>
            </w:r>
          </w:p>
        </w:tc>
        <w:tc>
          <w:tcPr>
            <w:tcW w:w="7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Other income / (expense), net</w:t>
            </w:r>
            <w:r>
              <w:rPr>
                <w:rFonts w:ascii="Times New Roman;serif" w:hAnsi="Times New Roman;serif"/>
                <w:b w:val="false"/>
                <w:color w:val="000000"/>
                <w:sz w:val="11"/>
              </w:rPr>
              <w:t>(a)</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notes receivable</w:t>
            </w:r>
          </w:p>
        </w:tc>
        <w:tc>
          <w:tcPr>
            <w:tcW w:w="7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107.1 </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75.0 </w:t>
            </w:r>
          </w:p>
        </w:tc>
        <w:tc>
          <w:tcPr>
            <w:tcW w:w="5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Income from nonconsolidated affiliates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60.5 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79.4 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investment in nonconsolidated affiliates</w:t>
            </w:r>
          </w:p>
        </w:tc>
        <w:tc>
          <w:tcPr>
            <w:tcW w:w="7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13.3 </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Current tax expense</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(76.9)</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(60.5)</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Deferred tax benefit / (expense)</w:t>
            </w:r>
          </w:p>
        </w:tc>
        <w:tc>
          <w:tcPr>
            <w:tcW w:w="7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Net Income / (Loss) from Continuing Operations</w:t>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Income / (loss) from discontinued operations, net</w:t>
            </w:r>
            <w:r>
              <w:rPr>
                <w:rFonts w:ascii="Times New Roman;serif" w:hAnsi="Times New Roman;serif"/>
                <w:b w:val="false"/>
                <w:color w:val="000000"/>
                <w:sz w:val="11"/>
              </w:rPr>
              <w:t>(a)</w:t>
            </w:r>
          </w:p>
        </w:tc>
        <w:tc>
          <w:tcPr>
            <w:tcW w:w="7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(1,067.2)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(1,091.9)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Net Income / (Loss)</w:t>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Less: Preferred return to preferred OP units / equity interests</w:t>
            </w:r>
          </w:p>
        </w:tc>
        <w:tc>
          <w:tcPr>
            <w:tcW w:w="7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w:t>
            </w:r>
          </w:p>
        </w:tc>
        <w:tc>
          <w:tcPr>
            <w:tcW w:w="5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Less: Income / (loss) attributable to noncontrolling interests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Net Income / (Loss) Attributable to SUI Common Shareholders</w:t>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(992.7)</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1,273.6 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(1,001.4)</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Weighted average common shares outstanding - basic</w:t>
            </w:r>
            <w:r>
              <w:rPr>
                <w:rFonts w:ascii="Times New Roman;serif" w:hAnsi="Times New Roman;serif"/>
                <w:b w:val="false"/>
                <w:color w:val="000000"/>
                <w:sz w:val="11"/>
              </w:rPr>
              <w:t>(a)</w:t>
            </w:r>
          </w:p>
        </w:tc>
        <w:tc>
          <w:tcPr>
            <w:tcW w:w="7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w:t>
            </w:r>
          </w:p>
        </w:tc>
        <w:tc>
          <w:tcPr>
            <w:tcW w:w="5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Weighted average common shares outstanding - diluted</w:t>
            </w:r>
            <w:r>
              <w:rPr>
                <w:rFonts w:ascii="Times New Roman;serif" w:hAnsi="Times New Roman;serif"/>
                <w:b w:val="false"/>
                <w:color w:val="000000"/>
                <w:sz w:val="11"/>
              </w:rPr>
              <w:t>(a)</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 (loss) per share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 (loss) per share from discontinued operations</w:t>
            </w:r>
          </w:p>
        </w:tc>
        <w:tc>
          <w:tcPr>
            <w:tcW w:w="7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 (loss) per share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Diluted earnings / (loss) per share from continuing operations</w:t>
            </w:r>
            <w:r>
              <w:rPr>
                <w:rFonts w:ascii="Times New Roman;serif" w:hAnsi="Times New Roman;serif"/>
                <w:b w:val="false"/>
                <w:color w:val="000000"/>
                <w:sz w:val="11"/>
              </w:rPr>
              <w:t>(b)</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207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Diluted earnings / (loss) per share from discontinued operations</w:t>
            </w:r>
            <w:r>
              <w:rPr>
                <w:rFonts w:ascii="Times New Roman;serif" w:hAnsi="Times New Roman;serif"/>
                <w:b w:val="false"/>
                <w:color w:val="000000"/>
                <w:sz w:val="11"/>
              </w:rPr>
              <w:t>(b)</w:t>
            </w:r>
          </w:p>
        </w:tc>
        <w:tc>
          <w:tcPr>
            <w:tcW w:w="7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Diluted earnings / (loss) per share</w:t>
            </w:r>
            <w:r>
              <w:rPr>
                <w:rFonts w:ascii="Times New Roman;serif" w:hAnsi="Times New Roman;serif"/>
                <w:b w:val="false"/>
                <w:color w:val="000000"/>
                <w:sz w:val="11"/>
              </w:rPr>
              <w:t>(b)</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Refer to Definitions and Notes for additional information.</w:t>
      </w:r>
    </w:p>
    <w:p>
      <w:pPr>
        <w:pStyle w:val="TextBody"/>
        <w:bidi w:val="0"/>
        <w:spacing w:lineRule="auto" w:line="288" w:before="0" w:after="0"/>
        <w:ind w:left="0" w:right="0" w:hanging="180"/>
        <w:jc w:val="both"/>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Excludes the effect of certain anti-dilutive convertible securities.</w:t>
      </w:r>
    </w:p>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N/M = Not meaningful. N/A = 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C324C"/>
          <w:sz w:val="32"/>
        </w:rPr>
      </w:pPr>
      <w:r>
        <w:rPr>
          <w:rFonts w:ascii="Times New Roman;serif" w:hAnsi="Times New Roman;serif"/>
          <w:b/>
          <w:color w:val="2C324C"/>
          <w:sz w:val="32"/>
        </w:rPr>
        <w:t>Financial Statements and Reconciliations to Non-GAAP Financial Measures</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24815"/>
                <wp:effectExtent l="0" t="0" r="0" b="0"/>
                <wp:wrapNone/>
                <wp:docPr id="25" name="Frame1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4 </w:t>
                            </w:r>
                            <w:r>
                              <w:rPr/>
                              <w:drawing>
                                <wp:inline distT="0" distB="0" distL="0" distR="0">
                                  <wp:extent cx="1228725" cy="333375"/>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11"/>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4 </w:t>
                      </w:r>
                      <w:r>
                        <w:rPr/>
                        <w:drawing>
                          <wp:inline distT="0" distB="0" distL="0" distR="0">
                            <wp:extent cx="1228725" cy="333375"/>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12"/>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2C324C"/>
          <w:sz w:val="24"/>
        </w:rPr>
      </w:pPr>
      <w:r>
        <w:rPr>
          <w:rFonts w:ascii="Times New Roman;serif" w:hAnsi="Times New Roman;serif"/>
          <w:b/>
          <w:color w:val="2C324C"/>
          <w:sz w:val="24"/>
        </w:rPr>
        <w:t>Reconciliation of Net Income / (Loss) Attributable to SUI Common Shareholders to Core FFO</w:t>
      </w:r>
    </w:p>
    <w:p>
      <w:pPr>
        <w:pStyle w:val="TextBody"/>
        <w:bidi w:val="0"/>
        <w:spacing w:lineRule="auto" w:line="288" w:before="0" w:after="20"/>
        <w:jc w:val="left"/>
        <w:rPr>
          <w:rFonts w:ascii="Times New Roman;serif" w:hAnsi="Times New Roman;serif"/>
          <w:b/>
          <w:color w:val="2C324C"/>
          <w:sz w:val="18"/>
        </w:rPr>
      </w:pPr>
      <w:r>
        <w:rPr>
          <w:rFonts w:ascii="Times New Roman;serif" w:hAnsi="Times New Roman;serif"/>
          <w:b/>
          <w:color w:val="2C324C"/>
          <w:sz w:val="18"/>
        </w:rPr>
        <w:t>($ in millions, except for per share data)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10"/>
        <w:gridCol w:w="1642"/>
        <w:gridCol w:w="1651"/>
        <w:gridCol w:w="196"/>
        <w:gridCol w:w="618"/>
        <w:gridCol w:w="109"/>
        <w:gridCol w:w="109"/>
        <w:gridCol w:w="109"/>
        <w:gridCol w:w="109"/>
        <w:gridCol w:w="196"/>
        <w:gridCol w:w="691"/>
        <w:gridCol w:w="109"/>
        <w:gridCol w:w="109"/>
        <w:gridCol w:w="109"/>
        <w:gridCol w:w="109"/>
        <w:gridCol w:w="196"/>
        <w:gridCol w:w="753"/>
        <w:gridCol w:w="109"/>
        <w:gridCol w:w="109"/>
        <w:gridCol w:w="109"/>
        <w:gridCol w:w="109"/>
        <w:gridCol w:w="196"/>
        <w:gridCol w:w="691"/>
        <w:gridCol w:w="157"/>
      </w:tblGrid>
      <w:tr>
        <w:trPr/>
        <w:tc>
          <w:tcPr>
            <w:tcW w:w="1910"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5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52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Net Income / (Loss) Attributable to SUI Common Shareholders</w:t>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(992.7)</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1,273.6 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(1,001.4)</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1,230.8 </w:t>
            </w:r>
          </w:p>
        </w:tc>
        <w:tc>
          <w:tcPr>
            <w:tcW w:w="15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Adjustments</w:t>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Depreciation and amortization - continuing operations</w:t>
            </w:r>
            <w:r>
              <w:rPr>
                <w:rFonts w:ascii="Times New Roman;serif" w:hAnsi="Times New Roman;serif"/>
                <w:b w:val="false"/>
                <w:color w:val="000000"/>
                <w:sz w:val="11"/>
              </w:rPr>
              <w:t>(a)</w:t>
            </w:r>
          </w:p>
        </w:tc>
        <w:tc>
          <w:tcPr>
            <w:tcW w:w="8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231.3 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Depreciation and amortization - discontinued operations</w:t>
            </w:r>
            <w:r>
              <w:rPr>
                <w:rFonts w:ascii="Times New Roman;serif" w:hAnsi="Times New Roman;serif"/>
                <w:b w:val="false"/>
                <w:color w:val="000000"/>
                <w:sz w:val="11"/>
              </w:rPr>
              <w:t>(a)</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 on nonconsolidated affiliates</w:t>
            </w:r>
          </w:p>
        </w:tc>
        <w:tc>
          <w:tcPr>
            <w:tcW w:w="8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 impairments - continuing operations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 impairments - discontinued operations</w:t>
            </w:r>
          </w:p>
        </w:tc>
        <w:tc>
          <w:tcPr>
            <w:tcW w:w="8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135.0 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classification to held for sale - discontinued operations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52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investment in nonconsolidated affiliates</w:t>
            </w:r>
          </w:p>
        </w:tc>
        <w:tc>
          <w:tcPr>
            <w:tcW w:w="8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notes receivable</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52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dispositions of properties, including tax effect - continuing operations</w:t>
            </w:r>
          </w:p>
        </w:tc>
        <w:tc>
          <w:tcPr>
            <w:tcW w:w="8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dispositions of properties, including tax effect - discontinued operations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Returns on preferred OP units / equity interests</w:t>
            </w:r>
          </w:p>
        </w:tc>
        <w:tc>
          <w:tcPr>
            <w:tcW w:w="8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Income / (loss) attributable to noncontrolling interests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on disposition of assets, net - continuing operations</w:t>
            </w:r>
          </w:p>
        </w:tc>
        <w:tc>
          <w:tcPr>
            <w:tcW w:w="8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disposition of assets, net - discontinued operations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FFO</w:t>
            </w:r>
            <w:r>
              <w:rPr>
                <w:rFonts w:ascii="Times New Roman;serif" w:hAnsi="Times New Roman;serif"/>
                <w:b/>
                <w:color w:val="000000"/>
                <w:sz w:val="11"/>
              </w:rPr>
              <w:t>(a)(c)(d)</w:t>
            </w:r>
          </w:p>
        </w:tc>
        <w:tc>
          <w:tcPr>
            <w:tcW w:w="81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179.5 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345.8 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320.5 </w:t>
            </w:r>
          </w:p>
        </w:tc>
        <w:tc>
          <w:tcPr>
            <w:tcW w:w="15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Adjustments</w:t>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520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52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Acquisition and other transaction costs - continuing operations</w:t>
            </w:r>
            <w:r>
              <w:rPr>
                <w:rFonts w:ascii="Times New Roman;serif" w:hAnsi="Times New Roman;serif"/>
                <w:b w:val="false"/>
                <w:color w:val="000000"/>
                <w:sz w:val="11"/>
              </w:rPr>
              <w:t>(a)</w:t>
            </w:r>
          </w:p>
        </w:tc>
        <w:tc>
          <w:tcPr>
            <w:tcW w:w="8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Acquisition and other transaction costs - discontinued operations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extinguishment of debt</w:t>
            </w:r>
          </w:p>
        </w:tc>
        <w:tc>
          <w:tcPr>
            <w:tcW w:w="8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Catastrophic event-related charges, net</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52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Loss of earnings - catastrophic event-related charges, net</w:t>
            </w:r>
            <w:r>
              <w:rPr>
                <w:rFonts w:ascii="Times New Roman;serif" w:hAnsi="Times New Roman;serif"/>
                <w:b w:val="false"/>
                <w:color w:val="000000"/>
                <w:sz w:val="11"/>
              </w:rPr>
              <w:t>(a)</w:t>
            </w:r>
          </w:p>
        </w:tc>
        <w:tc>
          <w:tcPr>
            <w:tcW w:w="8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foreign currency exchanges - continuing operations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foreign currency exchanges - discontinued operations</w:t>
            </w:r>
          </w:p>
        </w:tc>
        <w:tc>
          <w:tcPr>
            <w:tcW w:w="8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520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Deferred tax (benefit) / expense - continuing operations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Deferred tax (benefit) / expense - discontinued operations</w:t>
            </w:r>
          </w:p>
        </w:tc>
        <w:tc>
          <w:tcPr>
            <w:tcW w:w="8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520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520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520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adjustments, net - continuing operations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adjustments, net - discontinued operations</w:t>
            </w:r>
          </w:p>
        </w:tc>
        <w:tc>
          <w:tcPr>
            <w:tcW w:w="8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Core FFO</w:t>
            </w:r>
            <w:r>
              <w:rPr>
                <w:rFonts w:ascii="Times New Roman;serif" w:hAnsi="Times New Roman;serif"/>
                <w:b/>
                <w:color w:val="000000"/>
                <w:sz w:val="11"/>
              </w:rPr>
              <w:t>(a)(b)(c)(d)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398.7 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Weighted Average Common Shares and OP Units Outstanding</w:t>
            </w:r>
            <w:r>
              <w:rPr>
                <w:rFonts w:ascii="Times New Roman;serif" w:hAnsi="Times New Roman;serif"/>
                <w:b/>
                <w:color w:val="000000"/>
                <w:sz w:val="11"/>
              </w:rPr>
              <w:t>(a)(b)</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FFO per Share</w:t>
            </w:r>
            <w:r>
              <w:rPr>
                <w:rFonts w:ascii="Times New Roman;serif" w:hAnsi="Times New Roman;serif"/>
                <w:b/>
                <w:color w:val="000000"/>
                <w:sz w:val="11"/>
              </w:rPr>
              <w:t>(a)(b)(c)</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Core FFO per Share</w:t>
            </w:r>
            <w:r>
              <w:rPr>
                <w:rFonts w:ascii="Times New Roman;serif" w:hAnsi="Times New Roman;serif"/>
                <w:b/>
                <w:color w:val="000000"/>
                <w:sz w:val="11"/>
              </w:rPr>
              <w:t>(a)(b)(c)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Refer to Definitions and Notes for additional information.</w:t>
      </w:r>
    </w:p>
    <w:p>
      <w:pPr>
        <w:pStyle w:val="TextBody"/>
        <w:bidi w:val="0"/>
        <w:spacing w:lineRule="auto" w:line="288" w:before="0" w:after="0"/>
        <w:ind w:left="0" w:right="0" w:hanging="180"/>
        <w:jc w:val="both"/>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Assumes full conversion of all equity participating units, including common and preferred OP units, into the Company's common stock.</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(c) </w:t>
      </w:r>
      <w:r>
        <w:rPr>
          <w:rFonts w:ascii="Times New Roman;serif" w:hAnsi="Times New Roman;serif"/>
          <w:b w:val="false"/>
          <w:color w:val="000000"/>
          <w:sz w:val="16"/>
        </w:rPr>
        <w:t>FFO and Core FFO include discontinued operations activity of $17.7 million or $0.14 per Share, and $30.0 million or $0.24 per Share, respectively, during the quarter ended June 30, 2026, and $57.2 million or $0.43 per Share, and $51.1 million or $0.39 per Share, respectively, during the quarter ended June 30, 2025.</w:t>
      </w:r>
    </w:p>
    <w:p>
      <w:pPr>
        <w:pStyle w:val="TextBody"/>
        <w:bidi w:val="0"/>
        <w:spacing w:lineRule="auto" w:line="288" w:before="0" w:after="0"/>
        <w:ind w:left="0" w:right="0" w:hanging="180"/>
        <w:jc w:val="both"/>
        <w:rPr/>
      </w:pPr>
      <w:r>
        <w:rPr>
          <w:rFonts w:ascii="Times New Roman;serif" w:hAnsi="Times New Roman;serif"/>
          <w:b w:val="false"/>
          <w:color w:val="000000"/>
          <w:sz w:val="10"/>
        </w:rPr>
        <w:t>(d)</w:t>
      </w:r>
      <w:r>
        <w:rPr>
          <w:color w:val="000000"/>
        </w:rPr>
        <w:t xml:space="preserve"> </w:t>
      </w:r>
      <w:r>
        <w:rPr>
          <w:rFonts w:ascii="Times New Roman;serif" w:hAnsi="Times New Roman;serif"/>
          <w:b w:val="false"/>
          <w:color w:val="000000"/>
          <w:sz w:val="16"/>
        </w:rPr>
        <w:t>FFO and Core FFO include discontinued operations activity of $3.6 million or $0.03 per Share, and $35.7 million or $0.28 per Share, respectively, during the six months ended June 30, 2026, and $84.1 million or $0.64 per Share, and $102.7 million or $0.78 per Share, respectively, during the six months ended June 30, 2025.</w:t>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C324C"/>
          <w:sz w:val="32"/>
        </w:rPr>
      </w:pPr>
      <w:r>
        <w:rPr>
          <w:rFonts w:ascii="Times New Roman;serif" w:hAnsi="Times New Roman;serif"/>
          <w:b/>
          <w:color w:val="2C324C"/>
          <w:sz w:val="32"/>
        </w:rPr>
        <w:t>Financial Statements and Reconciliations to Non-GAAP Financial Measures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24815"/>
                <wp:effectExtent l="0" t="0" r="0" b="0"/>
                <wp:wrapNone/>
                <wp:docPr id="28" name="Frame1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5 </w:t>
                            </w:r>
                            <w:r>
                              <w:rPr/>
                              <w:drawing>
                                <wp:inline distT="0" distB="0" distL="0" distR="0">
                                  <wp:extent cx="1228725" cy="333375"/>
                                  <wp:effectExtent l="0" t="0" r="0" b="0"/>
                                  <wp:docPr id="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8" descr=""/>
                                          <pic:cNvPicPr>
                                            <a:picLocks noChangeAspect="1" noChangeArrowheads="1"/>
                                          </pic:cNvPicPr>
                                        </pic:nvPicPr>
                                        <pic:blipFill>
                                          <a:blip r:embed="rId13"/>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5 </w:t>
                      </w:r>
                      <w:r>
                        <w:rPr/>
                        <w:drawing>
                          <wp:inline distT="0" distB="0" distL="0" distR="0">
                            <wp:extent cx="1228725" cy="333375"/>
                            <wp:effectExtent l="0" t="0" r="0" b="0"/>
                            <wp:docPr id="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8" descr=""/>
                                    <pic:cNvPicPr>
                                      <a:picLocks noChangeAspect="1" noChangeArrowheads="1"/>
                                    </pic:cNvPicPr>
                                  </pic:nvPicPr>
                                  <pic:blipFill>
                                    <a:blip r:embed="rId14"/>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2C324C"/>
          <w:sz w:val="24"/>
        </w:rPr>
      </w:pPr>
      <w:r>
        <w:rPr>
          <w:rFonts w:ascii="Times New Roman;serif" w:hAnsi="Times New Roman;serif"/>
          <w:b/>
          <w:color w:val="2C324C"/>
          <w:sz w:val="24"/>
        </w:rPr>
        <w:t>Reconciliation of Net income / (Loss) Attributable to SUI Common Shareholders to NOI</w:t>
      </w:r>
    </w:p>
    <w:p>
      <w:pPr>
        <w:pStyle w:val="TextBody"/>
        <w:bidi w:val="0"/>
        <w:spacing w:lineRule="auto" w:line="288" w:before="0" w:after="20"/>
        <w:jc w:val="left"/>
        <w:rPr>
          <w:rFonts w:ascii="Times New Roman;serif" w:hAnsi="Times New Roman;serif"/>
          <w:b/>
          <w:color w:val="2C324C"/>
          <w:sz w:val="18"/>
        </w:rPr>
      </w:pPr>
      <w:r>
        <w:rPr>
          <w:rFonts w:ascii="Times New Roman;serif" w:hAnsi="Times New Roman;serif"/>
          <w:b/>
          <w:color w:val="2C324C"/>
          <w:sz w:val="18"/>
        </w:rPr>
        <w:t>($ in millions)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764" w:type="dxa"/>
        <w:jc w:val="left"/>
        <w:tblInd w:w="0" w:type="dxa"/>
        <w:tblLayout w:type="fixed"/>
        <w:tblCellMar>
          <w:top w:w="28" w:type="dxa"/>
          <w:left w:w="28" w:type="dxa"/>
          <w:bottom w:w="28" w:type="dxa"/>
          <w:right w:w="28" w:type="dxa"/>
        </w:tblCellMar>
      </w:tblPr>
      <w:tblGrid>
        <w:gridCol w:w="1716"/>
        <w:gridCol w:w="1507"/>
        <w:gridCol w:w="1516"/>
        <w:gridCol w:w="196"/>
        <w:gridCol w:w="631"/>
        <w:gridCol w:w="109"/>
        <w:gridCol w:w="109"/>
        <w:gridCol w:w="109"/>
        <w:gridCol w:w="109"/>
        <w:gridCol w:w="196"/>
        <w:gridCol w:w="691"/>
        <w:gridCol w:w="109"/>
        <w:gridCol w:w="109"/>
        <w:gridCol w:w="109"/>
        <w:gridCol w:w="109"/>
        <w:gridCol w:w="196"/>
        <w:gridCol w:w="766"/>
        <w:gridCol w:w="109"/>
        <w:gridCol w:w="109"/>
        <w:gridCol w:w="109"/>
        <w:gridCol w:w="109"/>
        <w:gridCol w:w="196"/>
        <w:gridCol w:w="691"/>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47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Net Income / (Loss) Attributable to SUI Common Shareholders</w:t>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(992.7)</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1,273.6 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(1,001.4)</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1,230.8 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Brokerage commissions and other revenues, net</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Catastrophic event-related charges, net</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 impairments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extinguishment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 expense</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foreign currency exchanges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disposition of properties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Other (income) / expense, net</w:t>
            </w:r>
            <w:r>
              <w:rPr>
                <w:rFonts w:ascii="Times New Roman;serif" w:hAnsi="Times New Roman;serif"/>
                <w:b w:val="false"/>
                <w:color w:val="000000"/>
                <w:sz w:val="11"/>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notes receivable</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from nonconsolidated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investment in nonconsolidated affiliates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Current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Deferred tax (benefit) / expense</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Net (income) / loss from discontinued operations,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Preferred return to preferred OP units / equity interests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Income / (loss)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NOI</w:t>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271.3 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255.6 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508.7 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476.7 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03" w:type="dxa"/>
        <w:jc w:val="left"/>
        <w:tblInd w:w="0" w:type="dxa"/>
        <w:tblLayout w:type="fixed"/>
        <w:tblCellMar>
          <w:top w:w="28" w:type="dxa"/>
          <w:left w:w="28" w:type="dxa"/>
          <w:bottom w:w="28" w:type="dxa"/>
          <w:right w:w="28" w:type="dxa"/>
        </w:tblCellMar>
      </w:tblPr>
      <w:tblGrid>
        <w:gridCol w:w="548"/>
        <w:gridCol w:w="481"/>
        <w:gridCol w:w="485"/>
        <w:gridCol w:w="196"/>
        <w:gridCol w:w="556"/>
        <w:gridCol w:w="109"/>
        <w:gridCol w:w="109"/>
        <w:gridCol w:w="109"/>
        <w:gridCol w:w="109"/>
        <w:gridCol w:w="196"/>
        <w:gridCol w:w="556"/>
        <w:gridCol w:w="109"/>
        <w:gridCol w:w="109"/>
        <w:gridCol w:w="109"/>
        <w:gridCol w:w="109"/>
        <w:gridCol w:w="198"/>
        <w:gridCol w:w="561"/>
        <w:gridCol w:w="110"/>
        <w:gridCol w:w="110"/>
        <w:gridCol w:w="110"/>
        <w:gridCol w:w="110"/>
        <w:gridCol w:w="198"/>
        <w:gridCol w:w="561"/>
        <w:gridCol w:w="155"/>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151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Real property NOI</w:t>
            </w:r>
            <w:r>
              <w:rPr>
                <w:rFonts w:ascii="Times New Roman;serif" w:hAnsi="Times New Roman;serif"/>
                <w:b w:val="false"/>
                <w:color w:val="000000"/>
                <w:sz w:val="11"/>
              </w:rPr>
              <w:t>(a)</w:t>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497.0 </w:t>
            </w:r>
          </w:p>
        </w:tc>
        <w:tc>
          <w:tcPr>
            <w:tcW w:w="11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458.7 </w:t>
            </w:r>
          </w:p>
        </w:tc>
        <w:tc>
          <w:tcPr>
            <w:tcW w:w="15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Home sales NOI</w:t>
            </w:r>
            <w:r>
              <w:rPr>
                <w:rFonts w:ascii="Times New Roman;serif" w:hAnsi="Times New Roman;serif"/>
                <w:b w:val="false"/>
                <w:color w:val="000000"/>
                <w:sz w:val="11"/>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Ancillary NOI</w:t>
            </w:r>
            <w:r>
              <w:rPr>
                <w:rFonts w:ascii="Times New Roman;serif" w:hAnsi="Times New Roman;serif"/>
                <w:b w:val="false"/>
                <w:color w:val="000000"/>
                <w:sz w:val="11"/>
              </w:rPr>
              <w:t>(a)</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NOI</w:t>
            </w:r>
            <w:r>
              <w:rPr>
                <w:rFonts w:ascii="Times New Roman;serif" w:hAnsi="Times New Roman;serif"/>
                <w:b/>
                <w:color w:val="000000"/>
                <w:sz w:val="10"/>
              </w:rPr>
              <w:t>(a)</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508.7 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476.7 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Refer to Definitions and Notes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C324C"/>
          <w:sz w:val="32"/>
        </w:rPr>
      </w:pPr>
      <w:r>
        <w:rPr>
          <w:rFonts w:ascii="Times New Roman;serif" w:hAnsi="Times New Roman;serif"/>
          <w:b/>
          <w:color w:val="2C324C"/>
          <w:sz w:val="32"/>
        </w:rPr>
        <w:t>Financial Statements and Reconciliations to Non-GAAP Financial Measures</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24815"/>
                <wp:effectExtent l="0" t="0" r="0" b="0"/>
                <wp:wrapNone/>
                <wp:docPr id="31" name="Frame1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6 </w:t>
                            </w:r>
                            <w:r>
                              <w:rPr/>
                              <w:drawing>
                                <wp:inline distT="0" distB="0" distL="0" distR="0">
                                  <wp:extent cx="1228725" cy="333375"/>
                                  <wp:effectExtent l="0" t="0" r="0" b="0"/>
                                  <wp:docPr id="3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9" descr=""/>
                                          <pic:cNvPicPr>
                                            <a:picLocks noChangeAspect="1" noChangeArrowheads="1"/>
                                          </pic:cNvPicPr>
                                        </pic:nvPicPr>
                                        <pic:blipFill>
                                          <a:blip r:embed="rId15"/>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6 </w:t>
                      </w:r>
                      <w:r>
                        <w:rPr/>
                        <w:drawing>
                          <wp:inline distT="0" distB="0" distL="0" distR="0">
                            <wp:extent cx="1228725" cy="333375"/>
                            <wp:effectExtent l="0" t="0" r="0" b="0"/>
                            <wp:docPr id="3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9" descr=""/>
                                    <pic:cNvPicPr>
                                      <a:picLocks noChangeAspect="1" noChangeArrowheads="1"/>
                                    </pic:cNvPicPr>
                                  </pic:nvPicPr>
                                  <pic:blipFill>
                                    <a:blip r:embed="rId16"/>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2C324C"/>
          <w:sz w:val="24"/>
        </w:rPr>
      </w:pPr>
      <w:r>
        <w:rPr>
          <w:rFonts w:ascii="Times New Roman;serif" w:hAnsi="Times New Roman;serif"/>
          <w:b/>
          <w:color w:val="2C324C"/>
          <w:sz w:val="24"/>
        </w:rPr>
        <w:t>Reconciliation of Net Income / (Loss) Attributable to SUI Common Shareholders to Recurring EBITDA</w:t>
      </w:r>
    </w:p>
    <w:p>
      <w:pPr>
        <w:pStyle w:val="TextBody"/>
        <w:bidi w:val="0"/>
        <w:spacing w:lineRule="auto" w:line="288" w:before="0" w:after="20"/>
        <w:jc w:val="left"/>
        <w:rPr>
          <w:rFonts w:ascii="Times New Roman;serif" w:hAnsi="Times New Roman;serif"/>
          <w:b/>
          <w:color w:val="2C324C"/>
          <w:sz w:val="18"/>
        </w:rPr>
      </w:pPr>
      <w:r>
        <w:rPr>
          <w:rFonts w:ascii="Times New Roman;serif" w:hAnsi="Times New Roman;serif"/>
          <w:b/>
          <w:color w:val="2C324C"/>
          <w:sz w:val="18"/>
        </w:rPr>
        <w:t>($ in millions)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185" w:type="dxa"/>
        <w:jc w:val="left"/>
        <w:tblInd w:w="0" w:type="dxa"/>
        <w:tblLayout w:type="fixed"/>
        <w:tblCellMar>
          <w:top w:w="28" w:type="dxa"/>
          <w:left w:w="28" w:type="dxa"/>
          <w:bottom w:w="28" w:type="dxa"/>
          <w:right w:w="28" w:type="dxa"/>
        </w:tblCellMar>
      </w:tblPr>
      <w:tblGrid>
        <w:gridCol w:w="1869"/>
        <w:gridCol w:w="1641"/>
        <w:gridCol w:w="1650"/>
        <w:gridCol w:w="196"/>
        <w:gridCol w:w="631"/>
        <w:gridCol w:w="109"/>
        <w:gridCol w:w="109"/>
        <w:gridCol w:w="109"/>
        <w:gridCol w:w="109"/>
        <w:gridCol w:w="196"/>
        <w:gridCol w:w="691"/>
        <w:gridCol w:w="109"/>
        <w:gridCol w:w="109"/>
        <w:gridCol w:w="109"/>
        <w:gridCol w:w="109"/>
        <w:gridCol w:w="196"/>
        <w:gridCol w:w="766"/>
        <w:gridCol w:w="109"/>
        <w:gridCol w:w="109"/>
        <w:gridCol w:w="109"/>
        <w:gridCol w:w="109"/>
        <w:gridCol w:w="196"/>
        <w:gridCol w:w="691"/>
        <w:gridCol w:w="154"/>
      </w:tblGrid>
      <w:tr>
        <w:trPr/>
        <w:tc>
          <w:tcPr>
            <w:tcW w:w="186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Net Income / (Loss) Attributable to SUI Common Shareholders</w:t>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(992.7)</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1,273.6 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(1,001.4)</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1,230.8 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 - continuing operations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 -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Asset impairments - continuing operations - continuing operations</w:t>
            </w:r>
            <w:r>
              <w:rPr>
                <w:rFonts w:ascii="Times New Roman;serif" w:hAnsi="Times New Roman;serif"/>
                <w:b w:val="false"/>
                <w:color w:val="000000"/>
                <w:sz w:val="11"/>
              </w:rPr>
              <w:t>(a)</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 impairments -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Loss on classification to held for sale - discontinued operations</w:t>
            </w:r>
            <w:r>
              <w:rPr>
                <w:rFonts w:ascii="Times New Roman;serif" w:hAnsi="Times New Roman;serif"/>
                <w:b w:val="false"/>
                <w:color w:val="000000"/>
                <w:sz w:val="11"/>
              </w:rPr>
              <w:t>(a)</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extinguishment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 expense - continuing operations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 expense -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Current tax expense - continuing operations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Current tax expense -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Deferred tax (benefit) / expense - continuing operations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Deferred tax (benefit) / expense -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Income from nonconsolidated affiliates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Less: Loss on dispositions of properties - continuing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Less: (Gain) / loss on dispositions of properties - discontinued operations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(1,445.0)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(1,444.7)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Less: Loss on dispositions of assets, net - continuing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Less: (Gain) / loss on dispositions of assets, net - discontinued operations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color w:val="000000"/>
                <w:sz w:val="17"/>
              </w:rPr>
              <w:t>EBITDAre</w:t>
            </w:r>
            <w:r>
              <w:rPr>
                <w:rFonts w:ascii="Times New Roman;serif" w:hAnsi="Times New Roman;serif"/>
                <w:b/>
                <w:color w:val="000000"/>
                <w:sz w:val="10"/>
              </w:rPr>
              <w:t>(a)(b)</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w:t>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Transaction costs - discontinued operations</w:t>
            </w:r>
            <w:r>
              <w:rPr>
                <w:rFonts w:ascii="Times New Roman;serif" w:hAnsi="Times New Roman;serif"/>
                <w:b w:val="false"/>
                <w:color w:val="000000"/>
                <w:sz w:val="11"/>
              </w:rPr>
              <w:t>(a)(c)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Catastrophic event-related charges, net - continuing operations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foreign currency exchanges - continuing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Loss on foreign currency exchanges - discontinued operations</w:t>
            </w:r>
            <w:r>
              <w:rPr>
                <w:rFonts w:ascii="Times New Roman;serif" w:hAnsi="Times New Roman;serif"/>
                <w:b w:val="false"/>
                <w:color w:val="000000"/>
                <w:sz w:val="11"/>
              </w:rPr>
              <w:t>(a)</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Other (income) / expense, net - continuing operations</w:t>
            </w:r>
            <w:r>
              <w:rPr>
                <w:rFonts w:ascii="Times New Roman;serif" w:hAnsi="Times New Roman;serif"/>
                <w:b w:val="false"/>
                <w:color w:val="000000"/>
                <w:sz w:val="11"/>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Other (income) / expense, net - discontinuing operations</w:t>
            </w:r>
            <w:r>
              <w:rPr>
                <w:rFonts w:ascii="Times New Roman;serif" w:hAnsi="Times New Roman;serif"/>
                <w:b w:val="false"/>
                <w:color w:val="000000"/>
                <w:sz w:val="11"/>
              </w:rPr>
              <w:t>(a)</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notes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investment in nonconsolidated affiliates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Preferred return to preferred OP units / equity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Income / (loss) attributable to noncontrolling interests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Gain on dispositions of assets, net - continuing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Gain / (loss) on dispositions of assets, net - discontinued operations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color w:val="000000"/>
                <w:sz w:val="17"/>
              </w:rPr>
              <w:t>Recurring EBITDA</w:t>
            </w:r>
            <w:r>
              <w:rPr>
                <w:rFonts w:ascii="Times New Roman;serif" w:hAnsi="Times New Roman;serif"/>
                <w:b/>
                <w:color w:val="000000"/>
                <w:sz w:val="10"/>
              </w:rPr>
              <w:t>(a)(b)</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528.0 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Refer to Definitions and Notes for additional information.</w:t>
      </w:r>
    </w:p>
    <w:p>
      <w:pPr>
        <w:pStyle w:val="TextBody"/>
        <w:bidi w:val="0"/>
        <w:spacing w:lineRule="auto" w:line="288" w:before="0" w:after="0"/>
        <w:ind w:left="0" w:right="0" w:hanging="180"/>
        <w:jc w:val="both"/>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EBITDAre and Recurring EBITDA include discontinued operations activity.</w:t>
      </w:r>
    </w:p>
    <w:p>
      <w:pPr>
        <w:pStyle w:val="TextBody"/>
        <w:bidi w:val="0"/>
        <w:spacing w:lineRule="auto" w:line="288" w:before="0" w:after="0"/>
        <w:ind w:left="0" w:right="0" w:hanging="180"/>
        <w:jc w:val="both"/>
        <w:rPr/>
      </w:pPr>
      <w:r>
        <w:rPr>
          <w:rFonts w:ascii="Times New Roman;serif" w:hAnsi="Times New Roman;serif"/>
          <w:b w:val="false"/>
          <w:color w:val="000000"/>
          <w:sz w:val="10"/>
        </w:rPr>
        <w:t>(c)</w:t>
      </w:r>
      <w:r>
        <w:rPr>
          <w:color w:val="000000"/>
        </w:rPr>
        <w:t xml:space="preserve"> </w:t>
      </w:r>
      <w:r>
        <w:rPr>
          <w:rFonts w:ascii="Times New Roman;serif" w:hAnsi="Times New Roman;serif"/>
          <w:b w:val="false"/>
          <w:color w:val="000000"/>
          <w:sz w:val="16"/>
        </w:rPr>
        <w:t>Represents non-recurring transaction costs that are directly attributable to the Park Holidays Sale and the Safe Harbor Sale for the applicable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C324C"/>
          <w:sz w:val="32"/>
        </w:rPr>
      </w:pPr>
      <w:r>
        <w:rPr>
          <w:rFonts w:ascii="Times New Roman;serif" w:hAnsi="Times New Roman;serif"/>
          <w:b/>
          <w:color w:val="2C324C"/>
          <w:sz w:val="32"/>
        </w:rPr>
        <w:t>Supplemental Disclosure</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24815"/>
                <wp:effectExtent l="0" t="0" r="0" b="0"/>
                <wp:wrapNone/>
                <wp:docPr id="34" name="Frame1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7 </w:t>
                            </w:r>
                            <w:r>
                              <w:rPr/>
                              <w:drawing>
                                <wp:inline distT="0" distB="0" distL="0" distR="0">
                                  <wp:extent cx="1228725" cy="333375"/>
                                  <wp:effectExtent l="0" t="0" r="0" b="0"/>
                                  <wp:docPr id="3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0" descr=""/>
                                          <pic:cNvPicPr>
                                            <a:picLocks noChangeAspect="1" noChangeArrowheads="1"/>
                                          </pic:cNvPicPr>
                                        </pic:nvPicPr>
                                        <pic:blipFill>
                                          <a:blip r:embed="rId17"/>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7 </w:t>
                      </w:r>
                      <w:r>
                        <w:rPr/>
                        <w:drawing>
                          <wp:inline distT="0" distB="0" distL="0" distR="0">
                            <wp:extent cx="1228725" cy="333375"/>
                            <wp:effectExtent l="0" t="0" r="0" b="0"/>
                            <wp:docPr id="3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0" descr=""/>
                                    <pic:cNvPicPr>
                                      <a:picLocks noChangeAspect="1" noChangeArrowheads="1"/>
                                    </pic:cNvPicPr>
                                  </pic:nvPicPr>
                                  <pic:blipFill>
                                    <a:blip r:embed="rId18"/>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2C324C"/>
          <w:sz w:val="24"/>
        </w:rPr>
      </w:pPr>
      <w:r>
        <w:rPr>
          <w:rFonts w:ascii="Times New Roman;serif" w:hAnsi="Times New Roman;serif"/>
          <w:b/>
          <w:color w:val="2C324C"/>
          <w:sz w:val="24"/>
        </w:rPr>
        <w:t>Real Property Operations - Total Portfolio</w:t>
      </w:r>
    </w:p>
    <w:p>
      <w:pPr>
        <w:pStyle w:val="TextBody"/>
        <w:bidi w:val="0"/>
        <w:spacing w:lineRule="auto" w:line="288" w:before="0" w:after="20"/>
        <w:jc w:val="left"/>
        <w:rPr>
          <w:rFonts w:ascii="Times New Roman;serif" w:hAnsi="Times New Roman;serif"/>
          <w:b/>
          <w:color w:val="2C324C"/>
          <w:sz w:val="18"/>
        </w:rPr>
      </w:pPr>
      <w:r>
        <w:rPr>
          <w:rFonts w:ascii="Times New Roman;serif" w:hAnsi="Times New Roman;serif"/>
          <w:b/>
          <w:color w:val="2C324C"/>
          <w:sz w:val="18"/>
        </w:rPr>
        <w:t>($ in millions)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513" w:type="dxa"/>
        <w:jc w:val="left"/>
        <w:tblInd w:w="0" w:type="dxa"/>
        <w:tblLayout w:type="fixed"/>
        <w:tblCellMar>
          <w:top w:w="28" w:type="dxa"/>
          <w:left w:w="28" w:type="dxa"/>
          <w:bottom w:w="28" w:type="dxa"/>
          <w:right w:w="28" w:type="dxa"/>
        </w:tblCellMar>
      </w:tblPr>
      <w:tblGrid>
        <w:gridCol w:w="960"/>
        <w:gridCol w:w="841"/>
        <w:gridCol w:w="853"/>
        <w:gridCol w:w="257"/>
        <w:gridCol w:w="209"/>
        <w:gridCol w:w="352"/>
        <w:gridCol w:w="109"/>
        <w:gridCol w:w="109"/>
        <w:gridCol w:w="109"/>
        <w:gridCol w:w="306"/>
        <w:gridCol w:w="250"/>
        <w:gridCol w:w="352"/>
        <w:gridCol w:w="109"/>
        <w:gridCol w:w="109"/>
        <w:gridCol w:w="109"/>
        <w:gridCol w:w="257"/>
        <w:gridCol w:w="209"/>
        <w:gridCol w:w="352"/>
        <w:gridCol w:w="109"/>
        <w:gridCol w:w="109"/>
        <w:gridCol w:w="109"/>
        <w:gridCol w:w="257"/>
        <w:gridCol w:w="209"/>
        <w:gridCol w:w="352"/>
        <w:gridCol w:w="109"/>
        <w:gridCol w:w="109"/>
        <w:gridCol w:w="109"/>
        <w:gridCol w:w="196"/>
        <w:gridCol w:w="556"/>
        <w:gridCol w:w="241"/>
        <w:gridCol w:w="109"/>
        <w:gridCol w:w="109"/>
        <w:gridCol w:w="109"/>
        <w:gridCol w:w="261"/>
        <w:gridCol w:w="205"/>
        <w:gridCol w:w="403"/>
      </w:tblGrid>
      <w:tr>
        <w:trPr/>
        <w:tc>
          <w:tcPr>
            <w:tcW w:w="96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Quarter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Quarter Ended June 30, 2025</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2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Revenues</w:t>
            </w:r>
          </w:p>
        </w:tc>
        <w:tc>
          <w:tcPr>
            <w:tcW w:w="8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Real property (excluding transient)</w:t>
            </w:r>
            <w:r>
              <w:rPr>
                <w:rFonts w:ascii="Times New Roman;serif" w:hAnsi="Times New Roman;serif"/>
                <w:b w:val="false"/>
                <w:color w:val="000000"/>
                <w:sz w:val="11"/>
              </w:rPr>
              <w:t>(a)</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335.3</w:t>
            </w:r>
          </w:p>
        </w:tc>
      </w:tr>
      <w:tr>
        <w:trPr/>
        <w:tc>
          <w:tcPr>
            <w:tcW w:w="2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property - transient</w:t>
            </w:r>
          </w:p>
        </w:tc>
        <w:tc>
          <w:tcPr>
            <w:tcW w:w="8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63.6</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Total operating revenues</w:t>
            </w:r>
          </w:p>
        </w:tc>
        <w:tc>
          <w:tcPr>
            <w:tcW w:w="8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398.9</w:t>
            </w:r>
          </w:p>
        </w:tc>
      </w:tr>
      <w:tr>
        <w:trPr/>
        <w:tc>
          <w:tcPr>
            <w:tcW w:w="2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Expenses</w:t>
            </w:r>
          </w:p>
        </w:tc>
        <w:tc>
          <w:tcPr>
            <w:tcW w:w="8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Property operating expenses</w:t>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157.5</w:t>
            </w:r>
          </w:p>
        </w:tc>
      </w:tr>
      <w:tr>
        <w:trPr/>
        <w:tc>
          <w:tcPr>
            <w:tcW w:w="2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Real Property NOI</w:t>
            </w:r>
            <w:r>
              <w:rPr>
                <w:rFonts w:ascii="Times New Roman;serif" w:hAnsi="Times New Roman;serif"/>
                <w:b/>
                <w:color w:val="000000"/>
                <w:sz w:val="11"/>
              </w:rPr>
              <w:t>(a)</w:t>
            </w:r>
          </w:p>
        </w:tc>
        <w:tc>
          <w:tcPr>
            <w:tcW w:w="25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72.9 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241.4</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Six Months Ended June 30, 2025</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26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Revenues</w:t>
            </w:r>
          </w:p>
        </w:tc>
        <w:tc>
          <w:tcPr>
            <w:tcW w:w="8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Real property (excluding transient)</w:t>
            </w:r>
            <w:r>
              <w:rPr>
                <w:rFonts w:ascii="Times New Roman;serif" w:hAnsi="Times New Roman;serif"/>
                <w:b w:val="false"/>
                <w:color w:val="000000"/>
                <w:sz w:val="11"/>
              </w:rPr>
              <w:t>(a)</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657.9</w:t>
            </w:r>
          </w:p>
        </w:tc>
      </w:tr>
      <w:tr>
        <w:trPr/>
        <w:tc>
          <w:tcPr>
            <w:tcW w:w="26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 - transient</w:t>
            </w:r>
          </w:p>
        </w:tc>
        <w:tc>
          <w:tcPr>
            <w:tcW w:w="8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91.5 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92.2</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operating revenues</w:t>
            </w:r>
          </w:p>
        </w:tc>
        <w:tc>
          <w:tcPr>
            <w:tcW w:w="8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750.1</w:t>
            </w:r>
          </w:p>
        </w:tc>
      </w:tr>
      <w:tr>
        <w:trPr/>
        <w:tc>
          <w:tcPr>
            <w:tcW w:w="26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Expenses</w:t>
            </w:r>
          </w:p>
        </w:tc>
        <w:tc>
          <w:tcPr>
            <w:tcW w:w="8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operating expenses</w:t>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291.4</w:t>
            </w:r>
          </w:p>
        </w:tc>
      </w:tr>
      <w:tr>
        <w:trPr/>
        <w:tc>
          <w:tcPr>
            <w:tcW w:w="26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Real Property NOI</w:t>
            </w:r>
          </w:p>
        </w:tc>
        <w:tc>
          <w:tcPr>
            <w:tcW w:w="25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497.0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341.1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117.6 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458.7</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As of June 30, 2025</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26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Number of Properties</w:t>
            </w:r>
          </w:p>
        </w:tc>
        <w:tc>
          <w:tcPr>
            <w:tcW w:w="81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448</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Sites</w:t>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Sites</w:t>
            </w:r>
            <w:r>
              <w:rPr>
                <w:rFonts w:ascii="Times New Roman;serif" w:hAnsi="Times New Roman;serif"/>
                <w:b w:val="false"/>
                <w:color w:val="000000"/>
                <w:sz w:val="11"/>
              </w:rPr>
              <w:t>(b)</w:t>
            </w:r>
          </w:p>
        </w:tc>
        <w:tc>
          <w:tcPr>
            <w:tcW w:w="8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100,860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32,510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133,370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97,380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32,100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129,480</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Transient sites</w:t>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23,440</w:t>
            </w:r>
          </w:p>
        </w:tc>
      </w:tr>
      <w:tr>
        <w:trPr/>
        <w:tc>
          <w:tcPr>
            <w:tcW w:w="26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w:t>
            </w:r>
          </w:p>
        </w:tc>
        <w:tc>
          <w:tcPr>
            <w:tcW w:w="81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100,860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55,270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156,130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97,380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55,540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152,920</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Occupancy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97.3 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97.9 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97.4 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98.1 </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lineRule="auto" w:line="288" w:before="20" w:after="283"/>
        <w:ind w:left="0" w:right="0" w:hanging="18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N/A = Not applicable.</w:t>
      </w:r>
    </w:p>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Refer to Definitions and Notes for additional information.</w:t>
      </w:r>
    </w:p>
    <w:p>
      <w:pPr>
        <w:pStyle w:val="TextBody"/>
        <w:bidi w:val="0"/>
        <w:spacing w:lineRule="auto" w:line="288" w:before="0" w:after="0"/>
        <w:ind w:left="0" w:right="0" w:hanging="180"/>
        <w:jc w:val="both"/>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MH annual sites included 13,130 and 11,567 rental homes in the Company's rental program at June 30, 2026 and 2025, respectively. The Company's gross investment in occupied rental homes at June 30, 2026 was $979.3 million, an increase of 20.5% from $812.5 million at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C324C"/>
          <w:sz w:val="32"/>
        </w:rPr>
      </w:pPr>
      <w:r>
        <w:rPr>
          <w:rFonts w:ascii="Times New Roman;serif" w:hAnsi="Times New Roman;serif"/>
          <w:b/>
          <w:color w:val="2C324C"/>
          <w:sz w:val="32"/>
        </w:rPr>
        <w:t>Supplemental Disclosure</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24815"/>
                <wp:effectExtent l="0" t="0" r="0" b="0"/>
                <wp:wrapNone/>
                <wp:docPr id="37" name="Frame2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8 </w:t>
                            </w:r>
                            <w:r>
                              <w:rPr/>
                              <w:drawing>
                                <wp:inline distT="0" distB="0" distL="0" distR="0">
                                  <wp:extent cx="1228725" cy="333375"/>
                                  <wp:effectExtent l="0" t="0" r="0" b="0"/>
                                  <wp:docPr id="3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1" descr=""/>
                                          <pic:cNvPicPr>
                                            <a:picLocks noChangeAspect="1" noChangeArrowheads="1"/>
                                          </pic:cNvPicPr>
                                        </pic:nvPicPr>
                                        <pic:blipFill>
                                          <a:blip r:embed="rId19"/>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8 </w:t>
                      </w:r>
                      <w:r>
                        <w:rPr/>
                        <w:drawing>
                          <wp:inline distT="0" distB="0" distL="0" distR="0">
                            <wp:extent cx="1228725" cy="333375"/>
                            <wp:effectExtent l="0" t="0" r="0" b="0"/>
                            <wp:docPr id="3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1" descr=""/>
                                    <pic:cNvPicPr>
                                      <a:picLocks noChangeAspect="1" noChangeArrowheads="1"/>
                                    </pic:cNvPicPr>
                                  </pic:nvPicPr>
                                  <pic:blipFill>
                                    <a:blip r:embed="rId20"/>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283"/>
        <w:jc w:val="left"/>
        <w:rPr/>
      </w:pPr>
      <w:r>
        <w:rPr>
          <w:rFonts w:ascii="Times New Roman;serif" w:hAnsi="Times New Roman;serif"/>
          <w:b/>
          <w:color w:val="2C324C"/>
          <w:sz w:val="24"/>
        </w:rPr>
        <w:t>Real Property Operations - Same Property Portfolio</w:t>
      </w:r>
      <w:r>
        <w:rPr>
          <w:rFonts w:ascii="Times New Roman;serif" w:hAnsi="Times New Roman;serif"/>
          <w:b/>
          <w:color w:val="2C324C"/>
          <w:sz w:val="16"/>
        </w:rPr>
        <w:t>(a)</w:t>
      </w:r>
    </w:p>
    <w:p>
      <w:pPr>
        <w:pStyle w:val="TextBody"/>
        <w:bidi w:val="0"/>
        <w:spacing w:lineRule="auto" w:line="288" w:before="0" w:after="20"/>
        <w:jc w:val="left"/>
        <w:rPr>
          <w:rFonts w:ascii="Times New Roman;serif" w:hAnsi="Times New Roman;serif"/>
          <w:b/>
          <w:color w:val="2C324C"/>
          <w:sz w:val="18"/>
        </w:rPr>
      </w:pPr>
      <w:r>
        <w:rPr>
          <w:rFonts w:ascii="Times New Roman;serif" w:hAnsi="Times New Roman;serif"/>
          <w:b/>
          <w:color w:val="2C324C"/>
          <w:sz w:val="18"/>
        </w:rPr>
        <w:t>($ in millions)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1235" w:type="dxa"/>
        <w:jc w:val="left"/>
        <w:tblInd w:w="0" w:type="dxa"/>
        <w:tblLayout w:type="fixed"/>
        <w:tblCellMar>
          <w:top w:w="28" w:type="dxa"/>
          <w:left w:w="28" w:type="dxa"/>
          <w:bottom w:w="28" w:type="dxa"/>
          <w:right w:w="28" w:type="dxa"/>
        </w:tblCellMar>
      </w:tblPr>
      <w:tblGrid>
        <w:gridCol w:w="363"/>
        <w:gridCol w:w="253"/>
        <w:gridCol w:w="255"/>
        <w:gridCol w:w="196"/>
        <w:gridCol w:w="255"/>
        <w:gridCol w:w="256"/>
        <w:gridCol w:w="109"/>
        <w:gridCol w:w="109"/>
        <w:gridCol w:w="109"/>
        <w:gridCol w:w="196"/>
        <w:gridCol w:w="254"/>
        <w:gridCol w:w="257"/>
        <w:gridCol w:w="109"/>
        <w:gridCol w:w="109"/>
        <w:gridCol w:w="109"/>
        <w:gridCol w:w="267"/>
        <w:gridCol w:w="289"/>
        <w:gridCol w:w="258"/>
        <w:gridCol w:w="109"/>
        <w:gridCol w:w="109"/>
        <w:gridCol w:w="109"/>
        <w:gridCol w:w="196"/>
        <w:gridCol w:w="255"/>
        <w:gridCol w:w="256"/>
        <w:gridCol w:w="109"/>
        <w:gridCol w:w="109"/>
        <w:gridCol w:w="109"/>
        <w:gridCol w:w="196"/>
        <w:gridCol w:w="254"/>
        <w:gridCol w:w="257"/>
        <w:gridCol w:w="109"/>
        <w:gridCol w:w="109"/>
        <w:gridCol w:w="109"/>
        <w:gridCol w:w="267"/>
        <w:gridCol w:w="289"/>
        <w:gridCol w:w="258"/>
        <w:gridCol w:w="109"/>
        <w:gridCol w:w="109"/>
        <w:gridCol w:w="109"/>
        <w:gridCol w:w="312"/>
        <w:gridCol w:w="246"/>
        <w:gridCol w:w="175"/>
        <w:gridCol w:w="109"/>
        <w:gridCol w:w="109"/>
        <w:gridCol w:w="109"/>
        <w:gridCol w:w="240"/>
        <w:gridCol w:w="241"/>
        <w:gridCol w:w="241"/>
        <w:gridCol w:w="109"/>
        <w:gridCol w:w="109"/>
        <w:gridCol w:w="109"/>
        <w:gridCol w:w="248"/>
        <w:gridCol w:w="233"/>
        <w:gridCol w:w="241"/>
        <w:gridCol w:w="109"/>
        <w:gridCol w:w="109"/>
        <w:gridCol w:w="109"/>
        <w:gridCol w:w="239"/>
        <w:gridCol w:w="242"/>
        <w:gridCol w:w="307"/>
      </w:tblGrid>
      <w:tr>
        <w:trPr/>
        <w:tc>
          <w:tcPr>
            <w:tcW w:w="3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4"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Quarter Ended June 30,</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 Change</w:t>
            </w:r>
            <w:r>
              <w:rPr>
                <w:rFonts w:ascii="Times New Roman;serif" w:hAnsi="Times New Roman;serif"/>
                <w:b/>
                <w:color w:val="000000"/>
                <w:sz w:val="11"/>
              </w:rPr>
              <w:t>(b)</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Same Property Revenues</w:t>
            </w:r>
          </w:p>
        </w:tc>
        <w:tc>
          <w:tcPr>
            <w:tcW w:w="7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 (excluding transient)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 - transient</w:t>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w:t>
            </w:r>
          </w:p>
        </w:tc>
        <w:tc>
          <w:tcPr>
            <w:tcW w:w="3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Same Property operating revenues</w:t>
            </w:r>
          </w:p>
        </w:tc>
        <w:tc>
          <w:tcPr>
            <w:tcW w:w="7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384.0 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369.5 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Same Property Expenses</w:t>
            </w:r>
          </w:p>
        </w:tc>
        <w:tc>
          <w:tcPr>
            <w:tcW w:w="7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Payroll and benefits</w:t>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estate taxes</w:t>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3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Supplies and repairs</w:t>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Utilities</w:t>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6.1 </w:t>
            </w:r>
          </w:p>
        </w:tc>
        <w:tc>
          <w:tcPr>
            <w:tcW w:w="3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Legal, state / local taxes, and insurance</w:t>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w:t>
            </w:r>
          </w:p>
        </w:tc>
        <w:tc>
          <w:tcPr>
            <w:tcW w:w="3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Total Same Property operating expenses</w:t>
            </w:r>
            <w:r>
              <w:rPr>
                <w:rFonts w:ascii="Times New Roman;serif" w:hAnsi="Times New Roman;serif"/>
                <w:b w:val="false"/>
                <w:color w:val="000000"/>
                <w:sz w:val="11"/>
              </w:rPr>
              <w:t>(a)</w:t>
            </w:r>
          </w:p>
        </w:tc>
        <w:tc>
          <w:tcPr>
            <w:tcW w:w="7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Real Property NOI</w:t>
            </w:r>
            <w:r>
              <w:rPr>
                <w:rFonts w:ascii="Times New Roman;serif" w:hAnsi="Times New Roman;serif"/>
                <w:b/>
                <w:color w:val="000000"/>
                <w:sz w:val="11"/>
              </w:rPr>
              <w:t>(a)</w:t>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6.0 </w:t>
            </w:r>
          </w:p>
        </w:tc>
        <w:tc>
          <w:tcPr>
            <w:tcW w:w="3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4"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 Change</w:t>
            </w:r>
            <w:r>
              <w:rPr>
                <w:rFonts w:ascii="Times New Roman;serif" w:hAnsi="Times New Roman;serif"/>
                <w:b/>
                <w:color w:val="000000"/>
                <w:sz w:val="11"/>
              </w:rPr>
              <w:t>(b)</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Same Property Revenues</w:t>
            </w:r>
          </w:p>
        </w:tc>
        <w:tc>
          <w:tcPr>
            <w:tcW w:w="7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 (excluding transient)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 - transient</w:t>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3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Same Property operating revenues</w:t>
            </w:r>
          </w:p>
        </w:tc>
        <w:tc>
          <w:tcPr>
            <w:tcW w:w="7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724.6 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691.2 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Same Property Expenses</w:t>
            </w:r>
          </w:p>
        </w:tc>
        <w:tc>
          <w:tcPr>
            <w:tcW w:w="7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Payroll and benefits</w:t>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estate taxes</w:t>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50.1 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3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Supplies and repairs</w:t>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Utilities</w:t>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33.1 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3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Legal, state / local taxes, and insurance</w:t>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26.3 </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w:t>
            </w:r>
          </w:p>
        </w:tc>
        <w:tc>
          <w:tcPr>
            <w:tcW w:w="3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Total Same Property operating expenses</w:t>
            </w:r>
            <w:r>
              <w:rPr>
                <w:rFonts w:ascii="Times New Roman;serif" w:hAnsi="Times New Roman;serif"/>
                <w:b w:val="false"/>
                <w:color w:val="000000"/>
                <w:sz w:val="11"/>
              </w:rPr>
              <w:t>(a)</w:t>
            </w:r>
          </w:p>
        </w:tc>
        <w:tc>
          <w:tcPr>
            <w:tcW w:w="7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Real Property NOI</w:t>
            </w:r>
            <w:r>
              <w:rPr>
                <w:rFonts w:ascii="Times New Roman;serif" w:hAnsi="Times New Roman;serif"/>
                <w:b/>
                <w:color w:val="000000"/>
                <w:sz w:val="11"/>
              </w:rPr>
              <w:t>(a)</w:t>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1"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365.9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1"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7"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484.5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1"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340.2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1"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7"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456.5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1"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6.1 </w:t>
            </w:r>
          </w:p>
        </w:tc>
        <w:tc>
          <w:tcPr>
            <w:tcW w:w="3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Refer to Definitions and Notes for additional information.</w:t>
      </w:r>
    </w:p>
    <w:p>
      <w:pPr>
        <w:pStyle w:val="TextBody"/>
        <w:bidi w:val="0"/>
        <w:spacing w:lineRule="auto" w:line="288"/>
        <w:ind w:left="0" w:right="0" w:hanging="180"/>
        <w:jc w:val="both"/>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Percentages are calculated based on unrounded numbers.</w:t>
      </w:r>
    </w:p>
    <w:p>
      <w:pPr>
        <w:pStyle w:val="TextBody"/>
        <w:bidi w:val="0"/>
        <w:spacing w:lineRule="auto" w:line="288" w:before="0" w:after="0"/>
        <w:jc w:val="left"/>
        <w:rPr>
          <w:rFonts w:ascii="Times New Roman;serif" w:hAnsi="Times New Roman;serif"/>
          <w:b/>
          <w:color w:val="2C324C"/>
          <w:sz w:val="32"/>
        </w:rPr>
      </w:pPr>
      <w:r>
        <w:rPr>
          <w:rFonts w:ascii="Times New Roman;serif" w:hAnsi="Times New Roman;serif"/>
          <w:b/>
          <w:color w:val="2C324C"/>
          <w:sz w:val="32"/>
        </w:rPr>
        <w:t>Supplemental Disclosure</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24815"/>
                <wp:effectExtent l="0" t="0" r="0" b="0"/>
                <wp:wrapNone/>
                <wp:docPr id="40" name="Frame2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9 </w:t>
                            </w:r>
                            <w:r>
                              <w:rPr/>
                              <w:drawing>
                                <wp:inline distT="0" distB="0" distL="0" distR="0">
                                  <wp:extent cx="1228725" cy="333375"/>
                                  <wp:effectExtent l="0" t="0" r="0" b="0"/>
                                  <wp:docPr id="4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2" descr=""/>
                                          <pic:cNvPicPr>
                                            <a:picLocks noChangeAspect="1" noChangeArrowheads="1"/>
                                          </pic:cNvPicPr>
                                        </pic:nvPicPr>
                                        <pic:blipFill>
                                          <a:blip r:embed="rId21"/>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9 </w:t>
                      </w:r>
                      <w:r>
                        <w:rPr/>
                        <w:drawing>
                          <wp:inline distT="0" distB="0" distL="0" distR="0">
                            <wp:extent cx="1228725" cy="333375"/>
                            <wp:effectExtent l="0" t="0" r="0" b="0"/>
                            <wp:docPr id="4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2" descr=""/>
                                    <pic:cNvPicPr>
                                      <a:picLocks noChangeAspect="1" noChangeArrowheads="1"/>
                                    </pic:cNvPicPr>
                                  </pic:nvPicPr>
                                  <pic:blipFill>
                                    <a:blip r:embed="rId22"/>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Real Property Operations - Same Property Portfolio (Continued)</w:t>
      </w:r>
    </w:p>
    <w:tbl>
      <w:tblPr>
        <w:tblW w:w="8263" w:type="dxa"/>
        <w:jc w:val="left"/>
        <w:tblInd w:w="0" w:type="dxa"/>
        <w:tblLayout w:type="fixed"/>
        <w:tblCellMar>
          <w:top w:w="28" w:type="dxa"/>
          <w:left w:w="28" w:type="dxa"/>
          <w:bottom w:w="28" w:type="dxa"/>
          <w:right w:w="28" w:type="dxa"/>
        </w:tblCellMar>
      </w:tblPr>
      <w:tblGrid>
        <w:gridCol w:w="1141"/>
        <w:gridCol w:w="1003"/>
        <w:gridCol w:w="1006"/>
        <w:gridCol w:w="109"/>
        <w:gridCol w:w="109"/>
        <w:gridCol w:w="109"/>
        <w:gridCol w:w="196"/>
        <w:gridCol w:w="556"/>
        <w:gridCol w:w="241"/>
        <w:gridCol w:w="109"/>
        <w:gridCol w:w="109"/>
        <w:gridCol w:w="109"/>
        <w:gridCol w:w="205"/>
        <w:gridCol w:w="441"/>
        <w:gridCol w:w="241"/>
        <w:gridCol w:w="109"/>
        <w:gridCol w:w="109"/>
        <w:gridCol w:w="109"/>
        <w:gridCol w:w="196"/>
        <w:gridCol w:w="556"/>
        <w:gridCol w:w="241"/>
        <w:gridCol w:w="109"/>
        <w:gridCol w:w="109"/>
        <w:gridCol w:w="109"/>
        <w:gridCol w:w="205"/>
        <w:gridCol w:w="441"/>
        <w:gridCol w:w="286"/>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As of June 30,</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r>
      <w:tr>
        <w:trPr/>
        <w:tc>
          <w:tcPr>
            <w:tcW w:w="31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Number of properties</w:t>
            </w:r>
            <w:r>
              <w:rPr>
                <w:rFonts w:ascii="Times New Roman;serif" w:hAnsi="Times New Roman;serif"/>
                <w:b w:val="false"/>
                <w:color w:val="000000"/>
                <w:sz w:val="11"/>
              </w:rPr>
              <w:t>(a)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Sites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MH and annual RV sites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97,190 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30,790 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97,070 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30,850 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Transient RV sites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Total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97,190 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52,030 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97,070 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52,290 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MH and Annual RV 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Occupancy</w:t>
            </w:r>
            <w:r>
              <w:rPr>
                <w:rFonts w:ascii="Times New Roman;serif" w:hAnsi="Times New Roman;serif"/>
                <w:b w:val="false"/>
                <w:color w:val="000000"/>
                <w:sz w:val="11"/>
              </w:rPr>
              <w:t>(b)</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97.8 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97.4 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Average monthly base rent per site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Change of monthly base rent</w:t>
            </w:r>
            <w:r>
              <w:rPr>
                <w:rFonts w:ascii="Times New Roman;serif" w:hAnsi="Times New Roman;serif"/>
                <w:b w:val="false"/>
                <w:color w:val="000000"/>
                <w:sz w:val="11"/>
              </w:rPr>
              <w:t>(c)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Rental Program Statistics included in MH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Number of occupied sites, end of period</w:t>
            </w:r>
            <w:r>
              <w:rPr>
                <w:rFonts w:ascii="Times New Roman;serif" w:hAnsi="Times New Roman;serif"/>
                <w:b w:val="false"/>
                <w:color w:val="000000"/>
                <w:sz w:val="11"/>
              </w:rPr>
              <w:t>(d)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12,750 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11,540 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Monthly rent per site – MH rental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r>
      <w:tr>
        <w:trPr/>
        <w:tc>
          <w:tcPr>
            <w:tcW w:w="31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Change</w:t>
            </w:r>
            <w:r>
              <w:rPr>
                <w:rFonts w:ascii="Times New Roman;serif" w:hAnsi="Times New Roman;serif"/>
                <w:b w:val="false"/>
                <w:color w:val="000000"/>
                <w:sz w:val="11"/>
              </w:rPr>
              <w:t>(c)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r>
    </w:tbl>
    <w:p>
      <w:pPr>
        <w:pStyle w:val="TextBody"/>
        <w:bidi w:val="0"/>
        <w:spacing w:lineRule="auto" w:line="288" w:before="20" w:after="283"/>
        <w:ind w:left="0" w:right="0" w:hanging="18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N/A = Not applicable.</w:t>
      </w:r>
    </w:p>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Financial results from properties impacted by dispositions and catastrophic weather events have been removed from Same Property reporting.</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(b) </w:t>
      </w:r>
      <w:r>
        <w:rPr>
          <w:rFonts w:ascii="Times New Roman;serif" w:hAnsi="Times New Roman;serif"/>
          <w:b w:val="false"/>
          <w:color w:val="000000"/>
          <w:sz w:val="16"/>
        </w:rPr>
        <w:t>Same Property blended occupancy for MH and RV was 98.3% at June 30, 2026, up 30 basis points from 98.0% at June 30, 2025. Adjusting for recently delivered and vacant expansion sites, Same Property adjusted blended occupancy for MH and RV declined by 10 basis points to 98.8% at June 30, 2026, from 98.9% at June 30, 2025.</w:t>
      </w:r>
    </w:p>
    <w:p>
      <w:pPr>
        <w:pStyle w:val="TextBody"/>
        <w:bidi w:val="0"/>
        <w:spacing w:lineRule="auto" w:line="288" w:before="0" w:after="0"/>
        <w:ind w:left="0" w:right="0" w:hanging="180"/>
        <w:jc w:val="both"/>
        <w:rPr/>
      </w:pPr>
      <w:r>
        <w:rPr>
          <w:rFonts w:ascii="Times New Roman;serif" w:hAnsi="Times New Roman;serif"/>
          <w:b w:val="false"/>
          <w:color w:val="000000"/>
          <w:sz w:val="10"/>
        </w:rPr>
        <w:t>(c)</w:t>
      </w:r>
      <w:r>
        <w:rPr>
          <w:color w:val="000000"/>
        </w:rPr>
        <w:t xml:space="preserve"> </w:t>
      </w:r>
      <w:r>
        <w:rPr>
          <w:rFonts w:ascii="Times New Roman;serif" w:hAnsi="Times New Roman;serif"/>
          <w:b w:val="false"/>
          <w:color w:val="000000"/>
          <w:sz w:val="16"/>
        </w:rPr>
        <w:t>Percentages are calculated based on unrounded numbers.</w:t>
      </w:r>
    </w:p>
    <w:p>
      <w:pPr>
        <w:pStyle w:val="TextBody"/>
        <w:bidi w:val="0"/>
        <w:spacing w:lineRule="auto" w:line="288" w:before="0" w:after="120"/>
        <w:ind w:left="0" w:right="0" w:hanging="180"/>
        <w:jc w:val="both"/>
        <w:rPr/>
      </w:pPr>
      <w:r>
        <w:rPr>
          <w:rFonts w:ascii="Times New Roman;serif" w:hAnsi="Times New Roman;serif"/>
          <w:b w:val="false"/>
          <w:color w:val="000000"/>
          <w:sz w:val="10"/>
        </w:rPr>
        <w:t>(d)</w:t>
      </w:r>
      <w:r>
        <w:rPr>
          <w:color w:val="000000"/>
        </w:rPr>
        <w:t xml:space="preserve"> </w:t>
      </w:r>
      <w:r>
        <w:rPr>
          <w:rFonts w:ascii="Times New Roman;serif" w:hAnsi="Times New Roman;serif"/>
          <w:b w:val="false"/>
          <w:color w:val="000000"/>
          <w:sz w:val="16"/>
        </w:rPr>
        <w:t>Occupied rental program sites in Same Property are included in total sites.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2C324C"/>
          <w:sz w:val="24"/>
        </w:rPr>
      </w:pPr>
      <w:r>
        <w:rPr>
          <w:rFonts w:ascii="Times New Roman;serif" w:hAnsi="Times New Roman;serif"/>
          <w:b/>
          <w:color w:val="2C324C"/>
          <w:sz w:val="24"/>
        </w:rPr>
        <w:t>Home Sales Summary</w:t>
      </w:r>
    </w:p>
    <w:p>
      <w:pPr>
        <w:pStyle w:val="TextBody"/>
        <w:bidi w:val="0"/>
        <w:spacing w:lineRule="auto" w:line="288" w:before="0" w:after="20"/>
        <w:jc w:val="left"/>
        <w:rPr>
          <w:rFonts w:ascii="Times New Roman;serif" w:hAnsi="Times New Roman;serif"/>
          <w:b/>
          <w:color w:val="2C324C"/>
          <w:sz w:val="18"/>
        </w:rPr>
      </w:pPr>
      <w:r>
        <w:rPr>
          <w:rFonts w:ascii="Times New Roman;serif" w:hAnsi="Times New Roman;serif"/>
          <w:b/>
          <w:color w:val="2C324C"/>
          <w:sz w:val="18"/>
        </w:rPr>
        <w:t>($ in millions, except for average selling price)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07"/>
        <w:gridCol w:w="622"/>
        <w:gridCol w:w="625"/>
        <w:gridCol w:w="196"/>
        <w:gridCol w:w="646"/>
        <w:gridCol w:w="241"/>
        <w:gridCol w:w="109"/>
        <w:gridCol w:w="109"/>
        <w:gridCol w:w="109"/>
        <w:gridCol w:w="196"/>
        <w:gridCol w:w="646"/>
        <w:gridCol w:w="241"/>
        <w:gridCol w:w="109"/>
        <w:gridCol w:w="109"/>
        <w:gridCol w:w="109"/>
        <w:gridCol w:w="109"/>
        <w:gridCol w:w="109"/>
        <w:gridCol w:w="261"/>
        <w:gridCol w:w="262"/>
        <w:gridCol w:w="459"/>
        <w:gridCol w:w="109"/>
        <w:gridCol w:w="109"/>
        <w:gridCol w:w="109"/>
        <w:gridCol w:w="196"/>
        <w:gridCol w:w="646"/>
        <w:gridCol w:w="241"/>
        <w:gridCol w:w="109"/>
        <w:gridCol w:w="109"/>
        <w:gridCol w:w="109"/>
        <w:gridCol w:w="196"/>
        <w:gridCol w:w="466"/>
        <w:gridCol w:w="241"/>
        <w:gridCol w:w="109"/>
        <w:gridCol w:w="109"/>
        <w:gridCol w:w="109"/>
        <w:gridCol w:w="109"/>
        <w:gridCol w:w="109"/>
        <w:gridCol w:w="261"/>
        <w:gridCol w:w="262"/>
        <w:gridCol w:w="523"/>
      </w:tblGrid>
      <w:tr>
        <w:trPr/>
        <w:tc>
          <w:tcPr>
            <w:tcW w:w="70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Quarter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Six Months Ended June 30,</w:t>
            </w:r>
          </w:p>
        </w:tc>
        <w:tc>
          <w:tcPr>
            <w:tcW w:w="1591" w:type="dxa"/>
            <w:gridSpan w:val="8"/>
            <w:tcBorders/>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Change</w:t>
            </w:r>
          </w:p>
        </w:tc>
      </w:tr>
      <w:tr>
        <w:trPr/>
        <w:tc>
          <w:tcPr>
            <w:tcW w:w="1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Information</w:t>
            </w:r>
          </w:p>
        </w:tc>
        <w:tc>
          <w:tcPr>
            <w:tcW w:w="108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cost and selling expenses</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59.5 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w:t>
            </w:r>
          </w:p>
        </w:tc>
        <w:tc>
          <w:tcPr>
            <w:tcW w:w="52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NOI</w:t>
            </w:r>
            <w:r>
              <w:rPr>
                <w:rFonts w:ascii="Times New Roman;serif" w:hAnsi="Times New Roman;serif"/>
                <w:b w:val="false"/>
                <w:color w:val="000000"/>
                <w:sz w:val="10"/>
              </w:rPr>
              <w:t>(a)(b)</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(51.5)</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(55.5)</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NOI margin %</w:t>
            </w:r>
            <w:r>
              <w:rPr>
                <w:rFonts w:ascii="Times New Roman;serif" w:hAnsi="Times New Roman;serif"/>
                <w:b w:val="false"/>
                <w:color w:val="000000"/>
                <w:sz w:val="10"/>
              </w:rPr>
              <w:t>(a)</w:t>
            </w:r>
          </w:p>
        </w:tc>
        <w:tc>
          <w:tcPr>
            <w:tcW w:w="842"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15.6 </w:t>
            </w:r>
          </w:p>
        </w:tc>
        <w:tc>
          <w:tcPr>
            <w:tcW w:w="241"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Information</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Units Sold:</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326 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(32.1)</w:t>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618 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(25.3)</w:t>
            </w:r>
          </w:p>
        </w:tc>
        <w:tc>
          <w:tcPr>
            <w:tcW w:w="52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Average Selling Price: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85,276 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87,083 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87,864 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Refer to Definitions and Notes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0"/>
        <w:jc w:val="left"/>
        <w:rPr>
          <w:rFonts w:ascii="Times New Roman;serif" w:hAnsi="Times New Roman;serif"/>
          <w:b/>
          <w:color w:val="2C324C"/>
          <w:sz w:val="24"/>
        </w:rPr>
      </w:pPr>
      <w:r>
        <w:rPr>
          <w:rFonts w:ascii="Times New Roman;serif" w:hAnsi="Times New Roman;serif"/>
          <w:b/>
          <w:color w:val="2C324C"/>
          <w:sz w:val="24"/>
        </w:rPr>
        <w:t>Operating Statistics for MH and Annual RVs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60"/>
        <w:gridCol w:w="402"/>
        <w:gridCol w:w="407"/>
        <w:gridCol w:w="109"/>
        <w:gridCol w:w="109"/>
        <w:gridCol w:w="109"/>
        <w:gridCol w:w="284"/>
        <w:gridCol w:w="207"/>
        <w:gridCol w:w="461"/>
        <w:gridCol w:w="129"/>
        <w:gridCol w:w="129"/>
        <w:gridCol w:w="129"/>
        <w:gridCol w:w="462"/>
        <w:gridCol w:w="430"/>
        <w:gridCol w:w="432"/>
        <w:gridCol w:w="109"/>
        <w:gridCol w:w="109"/>
        <w:gridCol w:w="109"/>
        <w:gridCol w:w="419"/>
        <w:gridCol w:w="363"/>
        <w:gridCol w:w="364"/>
        <w:gridCol w:w="109"/>
        <w:gridCol w:w="109"/>
        <w:gridCol w:w="109"/>
        <w:gridCol w:w="339"/>
        <w:gridCol w:w="310"/>
        <w:gridCol w:w="311"/>
        <w:gridCol w:w="109"/>
        <w:gridCol w:w="109"/>
        <w:gridCol w:w="109"/>
        <w:gridCol w:w="445"/>
        <w:gridCol w:w="445"/>
        <w:gridCol w:w="447"/>
        <w:gridCol w:w="109"/>
        <w:gridCol w:w="109"/>
        <w:gridCol w:w="109"/>
        <w:gridCol w:w="371"/>
        <w:gridCol w:w="336"/>
        <w:gridCol w:w="488"/>
      </w:tblGrid>
      <w:tr>
        <w:trPr/>
        <w:tc>
          <w:tcPr>
            <w:tcW w:w="46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Resident Move-outs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7"/>
              </w:rPr>
              <w:t>Leased Sites, Net</w:t>
            </w:r>
            <w:r>
              <w:rPr>
                <w:rFonts w:ascii="Times New Roman;serif" w:hAnsi="Times New Roman;serif"/>
                <w:b/>
                <w:color w:val="000000"/>
                <w:sz w:val="11"/>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New Home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Pre-owned Home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Brokered Re-sales</w:t>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of Total Sites</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Number of Move-outs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2026 - YTD as of June 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7"/>
              </w:rPr>
              <w:t>5.8%</w:t>
            </w:r>
            <w:r>
              <w:rPr>
                <w:rFonts w:ascii="Times New Roman;serif" w:hAnsi="Times New Roman;serif"/>
                <w:b w:val="false"/>
                <w:color w:val="000000"/>
                <w:sz w:val="11"/>
              </w:rPr>
              <w:t>(a)</w:t>
            </w:r>
          </w:p>
        </w:tc>
        <w:tc>
          <w:tcPr>
            <w:tcW w:w="387" w:type="dxa"/>
            <w:gridSpan w:val="3"/>
            <w:tcBorders/>
            <w:shd w:fill="DBDBDB" w:val="clear"/>
            <w:tcMar>
              <w:top w:w="0" w:type="dxa"/>
              <w:left w:w="0" w:type="dxa"/>
              <w:bottom w:w="0" w:type="dxa"/>
              <w:right w:w="0" w:type="dxa"/>
            </w:tcMar>
            <w:vAlign w:val="center"/>
          </w:tcPr>
          <w:p>
            <w:pPr>
              <w:pStyle w:val="TableContents"/>
              <w:bidi w:val="0"/>
              <w:spacing w:before="0" w:after="40"/>
              <w:jc w:val="left"/>
              <w:rPr/>
            </w:pPr>
            <w:r>
              <w:rPr/>
            </w:r>
          </w:p>
        </w:tc>
        <w:tc>
          <w:tcPr>
            <w:tcW w:w="8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5,777 </w:t>
            </w:r>
          </w:p>
        </w:tc>
        <w:tc>
          <w:tcPr>
            <w:tcW w:w="43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w:t>
            </w:r>
          </w:p>
        </w:tc>
        <w:tc>
          <w:tcPr>
            <w:tcW w:w="36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139 </w:t>
            </w:r>
          </w:p>
        </w:tc>
        <w:tc>
          <w:tcPr>
            <w:tcW w:w="31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479 </w:t>
            </w:r>
          </w:p>
        </w:tc>
        <w:tc>
          <w:tcPr>
            <w:tcW w:w="4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946 </w:t>
            </w:r>
          </w:p>
        </w:tc>
        <w:tc>
          <w:tcPr>
            <w:tcW w:w="48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10,179 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1,138 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1,210 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1,646 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4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7,050 </w:t>
            </w:r>
          </w:p>
        </w:tc>
        <w:tc>
          <w:tcPr>
            <w:tcW w:w="4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3,209 </w:t>
            </w:r>
          </w:p>
        </w:tc>
        <w:tc>
          <w:tcPr>
            <w:tcW w:w="3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1,554 </w:t>
            </w:r>
          </w:p>
        </w:tc>
        <w:tc>
          <w:tcPr>
            <w:tcW w:w="4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1,700 </w:t>
            </w:r>
          </w:p>
        </w:tc>
        <w:tc>
          <w:tcPr>
            <w:tcW w:w="4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Percentage calculated based on a trailing 12-month basis.</w:t>
      </w:r>
    </w:p>
    <w:p>
      <w:pPr>
        <w:pStyle w:val="TextBody"/>
        <w:bidi w:val="0"/>
        <w:spacing w:lineRule="auto" w:line="288" w:before="0" w:after="120"/>
        <w:ind w:left="0" w:right="0" w:hanging="180"/>
        <w:jc w:val="both"/>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Increase in revenue producing sites, net of new vacancies.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C324C"/>
          <w:sz w:val="32"/>
        </w:rPr>
      </w:pPr>
      <w:r>
        <w:rPr>
          <w:rFonts w:ascii="Times New Roman;serif" w:hAnsi="Times New Roman;serif"/>
          <w:b/>
          <w:color w:val="2C324C"/>
          <w:sz w:val="32"/>
        </w:rPr>
        <w:t>Investment Activity</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24815"/>
                <wp:effectExtent l="0" t="0" r="0" b="0"/>
                <wp:wrapNone/>
                <wp:docPr id="43" name="Frame2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10 </w:t>
                            </w:r>
                            <w:r>
                              <w:rPr/>
                              <w:drawing>
                                <wp:inline distT="0" distB="0" distL="0" distR="0">
                                  <wp:extent cx="1228725" cy="333375"/>
                                  <wp:effectExtent l="0" t="0" r="0" b="0"/>
                                  <wp:docPr id="4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3" descr=""/>
                                          <pic:cNvPicPr>
                                            <a:picLocks noChangeAspect="1" noChangeArrowheads="1"/>
                                          </pic:cNvPicPr>
                                        </pic:nvPicPr>
                                        <pic:blipFill>
                                          <a:blip r:embed="rId23"/>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10 </w:t>
                      </w:r>
                      <w:r>
                        <w:rPr/>
                        <w:drawing>
                          <wp:inline distT="0" distB="0" distL="0" distR="0">
                            <wp:extent cx="1228725" cy="333375"/>
                            <wp:effectExtent l="0" t="0" r="0" b="0"/>
                            <wp:docPr id="4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3" descr=""/>
                                    <pic:cNvPicPr>
                                      <a:picLocks noChangeAspect="1" noChangeArrowheads="1"/>
                                    </pic:cNvPicPr>
                                  </pic:nvPicPr>
                                  <pic:blipFill>
                                    <a:blip r:embed="rId24"/>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2C324C"/>
          <w:sz w:val="24"/>
        </w:rPr>
      </w:pPr>
      <w:r>
        <w:rPr>
          <w:rFonts w:ascii="Times New Roman;serif" w:hAnsi="Times New Roman;serif"/>
          <w:b/>
          <w:color w:val="2C324C"/>
          <w:sz w:val="24"/>
        </w:rPr>
        <w:t>Acquisitions and Dispositions</w:t>
      </w:r>
    </w:p>
    <w:p>
      <w:pPr>
        <w:pStyle w:val="TextBody"/>
        <w:bidi w:val="0"/>
        <w:spacing w:lineRule="auto" w:line="288" w:before="0" w:after="20"/>
        <w:jc w:val="left"/>
        <w:rPr>
          <w:rFonts w:ascii="Times New Roman;serif" w:hAnsi="Times New Roman;serif"/>
          <w:b/>
          <w:color w:val="2C324C"/>
          <w:sz w:val="18"/>
        </w:rPr>
      </w:pPr>
      <w:r>
        <w:rPr>
          <w:rFonts w:ascii="Times New Roman;serif" w:hAnsi="Times New Roman;serif"/>
          <w:b/>
          <w:color w:val="2C324C"/>
          <w:sz w:val="18"/>
        </w:rPr>
        <w:t>($ in millions)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5"/>
        <w:gridCol w:w="565"/>
        <w:gridCol w:w="570"/>
        <w:gridCol w:w="109"/>
        <w:gridCol w:w="109"/>
        <w:gridCol w:w="109"/>
        <w:gridCol w:w="240"/>
        <w:gridCol w:w="240"/>
        <w:gridCol w:w="241"/>
        <w:gridCol w:w="109"/>
        <w:gridCol w:w="109"/>
        <w:gridCol w:w="109"/>
        <w:gridCol w:w="397"/>
        <w:gridCol w:w="397"/>
        <w:gridCol w:w="399"/>
        <w:gridCol w:w="109"/>
        <w:gridCol w:w="109"/>
        <w:gridCol w:w="109"/>
        <w:gridCol w:w="285"/>
        <w:gridCol w:w="286"/>
        <w:gridCol w:w="146"/>
        <w:gridCol w:w="109"/>
        <w:gridCol w:w="109"/>
        <w:gridCol w:w="109"/>
        <w:gridCol w:w="109"/>
        <w:gridCol w:w="109"/>
        <w:gridCol w:w="433"/>
        <w:gridCol w:w="433"/>
        <w:gridCol w:w="435"/>
        <w:gridCol w:w="109"/>
        <w:gridCol w:w="109"/>
        <w:gridCol w:w="109"/>
        <w:gridCol w:w="403"/>
        <w:gridCol w:w="990"/>
        <w:gridCol w:w="224"/>
        <w:gridCol w:w="109"/>
        <w:gridCol w:w="109"/>
        <w:gridCol w:w="109"/>
        <w:gridCol w:w="201"/>
        <w:gridCol w:w="201"/>
        <w:gridCol w:w="294"/>
      </w:tblGrid>
      <w:tr>
        <w:trPr/>
        <w:tc>
          <w:tcPr>
            <w:tcW w:w="64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7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Number of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State, Province, or 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Purchase Price / Sales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Month</w:t>
            </w:r>
          </w:p>
        </w:tc>
      </w:tr>
      <w:tr>
        <w:trPr/>
        <w:tc>
          <w:tcPr>
            <w:tcW w:w="178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ACQUISITIONS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First Quarter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Parkhurst Estates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3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MI</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17.0 </w:t>
            </w:r>
          </w:p>
        </w:tc>
        <w:tc>
          <w:tcPr>
            <w:tcW w:w="2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January</w:t>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Acquisitions Year to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w:t>
            </w:r>
            <w:r>
              <w:rPr>
                <w:color w:val="000000"/>
              </w:rPr>
              <w:t> </w:t>
            </w:r>
          </w:p>
        </w:tc>
        <w:tc>
          <w:tcPr>
            <w:tcW w:w="3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279</w:t>
            </w: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9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17.0</w:t>
            </w:r>
            <w:r>
              <w:rPr>
                <w:color w:val="000000"/>
              </w:rPr>
              <w:t>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DISPOSITIONS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Second Quarter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Sun Retreats Amherstberg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RV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April</w:t>
            </w:r>
          </w:p>
        </w:tc>
      </w:tr>
      <w:tr>
        <w:trPr/>
        <w:tc>
          <w:tcPr>
            <w:tcW w:w="17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Joint Venture RV Portfolio</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RV</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3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945 </w:t>
            </w:r>
          </w:p>
        </w:tc>
        <w:tc>
          <w:tcPr>
            <w:tcW w:w="1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Various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9.0 </w:t>
            </w:r>
          </w:p>
        </w:tc>
        <w:tc>
          <w:tcPr>
            <w:tcW w:w="2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June</w:t>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Dispositions to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6</w:t>
            </w:r>
            <w:r>
              <w:rPr>
                <w:color w:val="000000"/>
              </w:rPr>
              <w:t> </w:t>
            </w:r>
          </w:p>
        </w:tc>
        <w:tc>
          <w:tcPr>
            <w:tcW w:w="3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1,244</w:t>
            </w:r>
            <w:r>
              <w:rPr>
                <w:color w:val="000000"/>
              </w:rPr>
              <w:t>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9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9.1</w:t>
            </w:r>
            <w:r>
              <w:rPr>
                <w:color w:val="000000"/>
              </w:rPr>
              <w:t> </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2C324C"/>
          <w:sz w:val="24"/>
        </w:rPr>
        <w:t>Capital Expenditures</w:t>
      </w:r>
      <w:r>
        <w:rPr>
          <w:rFonts w:ascii="Times New Roman;serif" w:hAnsi="Times New Roman;serif"/>
          <w:b/>
          <w:color w:val="2C324C"/>
          <w:sz w:val="16"/>
        </w:rPr>
        <w:t>(a)</w:t>
      </w:r>
    </w:p>
    <w:p>
      <w:pPr>
        <w:pStyle w:val="TextBody"/>
        <w:bidi w:val="0"/>
        <w:spacing w:lineRule="auto" w:line="288" w:before="0" w:after="20"/>
        <w:jc w:val="left"/>
        <w:rPr>
          <w:rFonts w:ascii="Times New Roman;serif" w:hAnsi="Times New Roman;serif"/>
          <w:b/>
          <w:color w:val="2C324C"/>
          <w:sz w:val="18"/>
        </w:rPr>
      </w:pPr>
      <w:r>
        <w:rPr>
          <w:rFonts w:ascii="Times New Roman;serif" w:hAnsi="Times New Roman;serif"/>
          <w:b/>
          <w:color w:val="2C324C"/>
          <w:sz w:val="18"/>
        </w:rPr>
        <w:t>($ in millions)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bl>
    <w:tbl>
      <w:tblPr>
        <w:tblW w:w="10550" w:type="dxa"/>
        <w:jc w:val="left"/>
        <w:tblInd w:w="0" w:type="dxa"/>
        <w:tblLayout w:type="fixed"/>
        <w:tblCellMar>
          <w:top w:w="28" w:type="dxa"/>
          <w:left w:w="28" w:type="dxa"/>
          <w:bottom w:w="28" w:type="dxa"/>
          <w:right w:w="28" w:type="dxa"/>
        </w:tblCellMar>
      </w:tblPr>
      <w:tblGrid>
        <w:gridCol w:w="413"/>
        <w:gridCol w:w="205"/>
        <w:gridCol w:w="208"/>
        <w:gridCol w:w="109"/>
        <w:gridCol w:w="109"/>
        <w:gridCol w:w="109"/>
        <w:gridCol w:w="267"/>
        <w:gridCol w:w="635"/>
        <w:gridCol w:w="149"/>
        <w:gridCol w:w="109"/>
        <w:gridCol w:w="109"/>
        <w:gridCol w:w="109"/>
        <w:gridCol w:w="278"/>
        <w:gridCol w:w="662"/>
        <w:gridCol w:w="156"/>
        <w:gridCol w:w="109"/>
        <w:gridCol w:w="109"/>
        <w:gridCol w:w="109"/>
        <w:gridCol w:w="196"/>
        <w:gridCol w:w="466"/>
        <w:gridCol w:w="109"/>
        <w:gridCol w:w="109"/>
        <w:gridCol w:w="109"/>
        <w:gridCol w:w="109"/>
        <w:gridCol w:w="109"/>
        <w:gridCol w:w="109"/>
        <w:gridCol w:w="290"/>
        <w:gridCol w:w="689"/>
        <w:gridCol w:w="162"/>
        <w:gridCol w:w="109"/>
        <w:gridCol w:w="109"/>
        <w:gridCol w:w="109"/>
        <w:gridCol w:w="239"/>
        <w:gridCol w:w="678"/>
        <w:gridCol w:w="134"/>
        <w:gridCol w:w="109"/>
        <w:gridCol w:w="109"/>
        <w:gridCol w:w="109"/>
        <w:gridCol w:w="273"/>
        <w:gridCol w:w="775"/>
        <w:gridCol w:w="153"/>
        <w:gridCol w:w="109"/>
        <w:gridCol w:w="109"/>
        <w:gridCol w:w="109"/>
        <w:gridCol w:w="196"/>
        <w:gridCol w:w="556"/>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2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Non-Recurring 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6"/>
            <w:tcBorders/>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Recurring 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Lot Modifications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Growth Projects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Capital Improvements to Recent 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Expansion and 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Non-Recurring 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82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Six Months Ended 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29.7 </w:t>
            </w:r>
          </w:p>
        </w:tc>
        <w:tc>
          <w:tcPr>
            <w:tcW w:w="14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20.3 </w:t>
            </w:r>
          </w:p>
        </w:tc>
        <w:tc>
          <w:tcPr>
            <w:tcW w:w="1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6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14.8 </w:t>
            </w:r>
          </w:p>
        </w:tc>
        <w:tc>
          <w:tcPr>
            <w:tcW w:w="13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47.2 </w:t>
            </w:r>
          </w:p>
        </w:tc>
        <w:tc>
          <w:tcPr>
            <w:tcW w:w="15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76.9 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Year Ended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Year Ended December 31,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54.5 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35.5 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105.2 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175.1 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Refer to Definitions and Notes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C324C"/>
          <w:sz w:val="32"/>
        </w:rPr>
      </w:pPr>
      <w:r>
        <w:rPr>
          <w:rFonts w:ascii="Times New Roman;serif" w:hAnsi="Times New Roman;serif"/>
          <w:b/>
          <w:color w:val="2C324C"/>
          <w:sz w:val="32"/>
        </w:rPr>
        <w:t>Capitalization</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24815"/>
                <wp:effectExtent l="0" t="0" r="0" b="0"/>
                <wp:wrapNone/>
                <wp:docPr id="46" name="Frame2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11 </w:t>
                            </w:r>
                            <w:r>
                              <w:rPr/>
                              <w:drawing>
                                <wp:inline distT="0" distB="0" distL="0" distR="0">
                                  <wp:extent cx="1228725" cy="333375"/>
                                  <wp:effectExtent l="0" t="0" r="0" b="0"/>
                                  <wp:docPr id="4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4" descr=""/>
                                          <pic:cNvPicPr>
                                            <a:picLocks noChangeAspect="1" noChangeArrowheads="1"/>
                                          </pic:cNvPicPr>
                                        </pic:nvPicPr>
                                        <pic:blipFill>
                                          <a:blip r:embed="rId25"/>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11 </w:t>
                      </w:r>
                      <w:r>
                        <w:rPr/>
                        <w:drawing>
                          <wp:inline distT="0" distB="0" distL="0" distR="0">
                            <wp:extent cx="1228725" cy="333375"/>
                            <wp:effectExtent l="0" t="0" r="0" b="0"/>
                            <wp:docPr id="4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4" descr=""/>
                                    <pic:cNvPicPr>
                                      <a:picLocks noChangeAspect="1" noChangeArrowheads="1"/>
                                    </pic:cNvPicPr>
                                  </pic:nvPicPr>
                                  <pic:blipFill>
                                    <a:blip r:embed="rId26"/>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2C324C"/>
          <w:sz w:val="24"/>
        </w:rPr>
      </w:pPr>
      <w:r>
        <w:rPr>
          <w:rFonts w:ascii="Times New Roman;serif" w:hAnsi="Times New Roman;serif"/>
          <w:b/>
          <w:color w:val="2C324C"/>
          <w:sz w:val="24"/>
        </w:rPr>
        <w:t>Capitalization Overview</w:t>
      </w:r>
    </w:p>
    <w:p>
      <w:pPr>
        <w:pStyle w:val="TextBody"/>
        <w:bidi w:val="0"/>
        <w:spacing w:lineRule="auto" w:line="288" w:before="0" w:after="20"/>
        <w:jc w:val="left"/>
        <w:rPr>
          <w:rFonts w:ascii="Times New Roman;serif" w:hAnsi="Times New Roman;serif"/>
          <w:b/>
          <w:color w:val="2C324C"/>
          <w:sz w:val="18"/>
        </w:rPr>
      </w:pPr>
      <w:r>
        <w:rPr>
          <w:rFonts w:ascii="Times New Roman;serif" w:hAnsi="Times New Roman;serif"/>
          <w:b/>
          <w:color w:val="2C324C"/>
          <w:sz w:val="18"/>
        </w:rPr>
        <w:t>($ in millions, shares and units in thousands, except for share price)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74"/>
        <w:gridCol w:w="1718"/>
        <w:gridCol w:w="1730"/>
        <w:gridCol w:w="674"/>
        <w:gridCol w:w="657"/>
        <w:gridCol w:w="659"/>
        <w:gridCol w:w="109"/>
        <w:gridCol w:w="109"/>
        <w:gridCol w:w="109"/>
        <w:gridCol w:w="196"/>
        <w:gridCol w:w="646"/>
        <w:gridCol w:w="109"/>
        <w:gridCol w:w="109"/>
        <w:gridCol w:w="109"/>
        <w:gridCol w:w="109"/>
        <w:gridCol w:w="202"/>
        <w:gridCol w:w="823"/>
        <w:gridCol w:w="163"/>
      </w:tblGrid>
      <w:tr>
        <w:trPr/>
        <w:tc>
          <w:tcPr>
            <w:tcW w:w="1974"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As of June 30, 2026</w:t>
            </w:r>
          </w:p>
        </w:tc>
      </w:tr>
      <w:tr>
        <w:trPr/>
        <w:tc>
          <w:tcPr>
            <w:tcW w:w="5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Equivalent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Share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Capitalization</w:t>
            </w:r>
          </w:p>
        </w:tc>
      </w:tr>
      <w:tr>
        <w:trPr/>
        <w:tc>
          <w:tcPr>
            <w:tcW w:w="54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Equity and Enterprise Value</w:t>
            </w:r>
          </w:p>
        </w:tc>
        <w:tc>
          <w:tcPr>
            <w:tcW w:w="19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shares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122,507 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14,689.8 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Convertible securities</w:t>
            </w:r>
          </w:p>
        </w:tc>
        <w:tc>
          <w:tcPr>
            <w:tcW w:w="19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OP units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2,353 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Preferred OP units</w:t>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2,007 </w:t>
            </w:r>
          </w:p>
        </w:tc>
        <w:tc>
          <w:tcPr>
            <w:tcW w:w="6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240.7 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Diluted shares outstanding and market capitalization</w:t>
            </w:r>
            <w:r>
              <w:rPr>
                <w:rFonts w:ascii="Times New Roman;serif" w:hAnsi="Times New Roman;serif"/>
                <w:b w:val="false"/>
                <w:color w:val="000000"/>
                <w:sz w:val="11"/>
              </w:rPr>
              <w:t>(a)</w:t>
            </w:r>
          </w:p>
        </w:tc>
        <w:tc>
          <w:tcPr>
            <w:tcW w:w="13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126,867 </w:t>
            </w:r>
          </w:p>
        </w:tc>
        <w:tc>
          <w:tcPr>
            <w:tcW w:w="6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15,212.6 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Plus: Total debt, per condensed consolidated balance sheet</w:t>
            </w:r>
          </w:p>
        </w:tc>
        <w:tc>
          <w:tcPr>
            <w:tcW w:w="19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4,052.2 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capitalization</w:t>
            </w:r>
          </w:p>
        </w:tc>
        <w:tc>
          <w:tcPr>
            <w:tcW w:w="1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19,264.8 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Cash and cash equivalents (excluding restricted cash) - continuing operations</w:t>
            </w:r>
          </w:p>
        </w:tc>
        <w:tc>
          <w:tcPr>
            <w:tcW w:w="19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(150.6)</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Cash and cash equivalents (excluding restricted cash) - discontinued operations</w:t>
            </w:r>
          </w:p>
        </w:tc>
        <w:tc>
          <w:tcPr>
            <w:tcW w:w="1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Enterprise Value</w:t>
            </w:r>
            <w:r>
              <w:rPr>
                <w:rFonts w:ascii="Times New Roman;serif" w:hAnsi="Times New Roman;serif"/>
                <w:b/>
                <w:color w:val="000000"/>
                <w:sz w:val="11"/>
              </w:rPr>
              <w:t>(a)</w:t>
            </w:r>
          </w:p>
        </w:tc>
        <w:tc>
          <w:tcPr>
            <w:tcW w:w="19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2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19,080.7</w:t>
            </w:r>
            <w:r>
              <w:rPr>
                <w:color w:val="000000"/>
              </w:rPr>
              <w:t> </w:t>
            </w:r>
          </w:p>
        </w:tc>
        <w:tc>
          <w:tcPr>
            <w:tcW w:w="16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hanging="180"/>
        <w:jc w:val="both"/>
        <w:rPr/>
      </w:pPr>
      <w:r>
        <w:rPr>
          <w:rFonts w:ascii="Times New Roman;serif" w:hAnsi="Times New Roman;serif"/>
          <w:b w:val="false"/>
          <w:color w:val="000000"/>
          <w:sz w:val="10"/>
        </w:rPr>
        <w:t>(a)</w:t>
      </w:r>
      <w:r>
        <w:rPr>
          <w:rFonts w:ascii="Times New Roman;serif" w:hAnsi="Times New Roman;serif"/>
          <w:b w:val="false"/>
          <w:color w:val="000000"/>
          <w:sz w:val="16"/>
        </w:rPr>
        <w:t>Refer to Definitions and Notes for additional information related to the Company's securities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526"/>
        <w:gridCol w:w="1179"/>
        <w:gridCol w:w="1181"/>
        <w:gridCol w:w="229"/>
        <w:gridCol w:w="829"/>
        <w:gridCol w:w="127"/>
        <w:gridCol w:w="109"/>
        <w:gridCol w:w="109"/>
        <w:gridCol w:w="109"/>
        <w:gridCol w:w="429"/>
        <w:gridCol w:w="381"/>
        <w:gridCol w:w="844"/>
        <w:gridCol w:w="109"/>
        <w:gridCol w:w="109"/>
        <w:gridCol w:w="109"/>
        <w:gridCol w:w="473"/>
        <w:gridCol w:w="473"/>
        <w:gridCol w:w="475"/>
        <w:gridCol w:w="109"/>
        <w:gridCol w:w="109"/>
        <w:gridCol w:w="109"/>
        <w:gridCol w:w="341"/>
        <w:gridCol w:w="300"/>
        <w:gridCol w:w="437"/>
      </w:tblGrid>
      <w:tr>
        <w:trPr/>
        <w:tc>
          <w:tcPr>
            <w:tcW w:w="152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As of June 30, 2026</w:t>
            </w:r>
          </w:p>
        </w:tc>
      </w:tr>
      <w:tr>
        <w:trPr/>
        <w:tc>
          <w:tcPr>
            <w:tcW w:w="3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Weighted Average Interest Rate</w:t>
            </w:r>
            <w:r>
              <w:rPr>
                <w:rFonts w:ascii="Times New Roman;serif" w:hAnsi="Times New Roman;serif"/>
                <w:b/>
                <w:color w:val="000000"/>
                <w:sz w:val="11"/>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Weighted Average Maturity</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Maturity Date</w:t>
            </w:r>
          </w:p>
        </w:tc>
      </w:tr>
      <w:tr>
        <w:trPr/>
        <w:tc>
          <w:tcPr>
            <w:tcW w:w="3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Secured Debt:</w:t>
            </w:r>
          </w:p>
        </w:tc>
        <w:tc>
          <w:tcPr>
            <w:tcW w:w="118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Mortgage loans payable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3.62 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Various</w:t>
            </w:r>
          </w:p>
        </w:tc>
      </w:tr>
      <w:tr>
        <w:trPr/>
        <w:tc>
          <w:tcPr>
            <w:tcW w:w="388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Secured borrowings on collateralized receivables</w:t>
            </w:r>
            <w:r>
              <w:rPr>
                <w:rFonts w:ascii="Times New Roman;serif" w:hAnsi="Times New Roman;serif"/>
                <w:b w:val="false"/>
                <w:color w:val="000000"/>
                <w:sz w:val="11"/>
              </w:rPr>
              <w:t>(b)</w:t>
            </w:r>
          </w:p>
        </w:tc>
        <w:tc>
          <w:tcPr>
            <w:tcW w:w="10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39.2 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8.53 </w:t>
            </w:r>
          </w:p>
        </w:tc>
        <w:tc>
          <w:tcPr>
            <w:tcW w:w="84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Various</w:t>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Secured Debt</w:t>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2,264.5 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3.70 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Unsecured Debt:</w:t>
            </w:r>
          </w:p>
        </w:tc>
        <w:tc>
          <w:tcPr>
            <w:tcW w:w="11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Senior Unsecured Notes:</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2028 senior unsecured notes</w:t>
            </w:r>
          </w:p>
        </w:tc>
        <w:tc>
          <w:tcPr>
            <w:tcW w:w="10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448.4 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2.29 </w:t>
            </w:r>
          </w:p>
        </w:tc>
        <w:tc>
          <w:tcPr>
            <w:tcW w:w="84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November 2028</w:t>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2031 senior unsecured notes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July 2031</w:t>
            </w:r>
          </w:p>
        </w:tc>
      </w:tr>
      <w:tr>
        <w:trPr/>
        <w:tc>
          <w:tcPr>
            <w:tcW w:w="3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2032 senior unsecured notes</w:t>
            </w:r>
          </w:p>
        </w:tc>
        <w:tc>
          <w:tcPr>
            <w:tcW w:w="10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594.5 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3.61 </w:t>
            </w:r>
          </w:p>
        </w:tc>
        <w:tc>
          <w:tcPr>
            <w:tcW w:w="84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April 2032</w:t>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Unsecured Debt</w:t>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1,787.7 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carrying value of debt, per condensed consolidated balance sheets</w:t>
            </w:r>
          </w:p>
        </w:tc>
        <w:tc>
          <w:tcPr>
            <w:tcW w:w="105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4,052.2 </w:t>
            </w:r>
          </w:p>
        </w:tc>
        <w:tc>
          <w:tcPr>
            <w:tcW w:w="12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3.35 </w:t>
            </w:r>
          </w:p>
        </w:tc>
        <w:tc>
          <w:tcPr>
            <w:tcW w:w="84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Plus: Unamortized deferred financing costs, discounts / premiums on debt, and fair value adjustments</w:t>
            </w:r>
            <w:r>
              <w:rPr>
                <w:rFonts w:ascii="Times New Roman;serif" w:hAnsi="Times New Roman;serif"/>
                <w:b w:val="false"/>
                <w:color w:val="000000"/>
                <w:sz w:val="11"/>
              </w:rPr>
              <w:t>(a)</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debt</w:t>
            </w:r>
          </w:p>
        </w:tc>
        <w:tc>
          <w:tcPr>
            <w:tcW w:w="22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2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4,070.1</w:t>
            </w:r>
            <w:r>
              <w:rPr>
                <w:color w:val="000000"/>
              </w:rPr>
              <w:t> </w:t>
            </w:r>
          </w:p>
        </w:tc>
        <w:tc>
          <w:tcPr>
            <w:tcW w:w="12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(a)</w:t>
      </w:r>
      <w:r>
        <w:rPr>
          <w:rFonts w:ascii="Times New Roman;serif" w:hAnsi="Times New Roman;serif"/>
          <w:b w:val="false"/>
          <w:color w:val="000000"/>
          <w:sz w:val="16"/>
        </w:rPr>
        <w:t>Includes the effect of amortizing deferred financing costs, unsecured note discounts, and fair value adjustments on the Secured borrowings on collateralized receivables.</w:t>
      </w:r>
    </w:p>
    <w:p>
      <w:pPr>
        <w:pStyle w:val="TextBody"/>
        <w:bidi w:val="0"/>
        <w:spacing w:lineRule="auto" w:line="288" w:before="0" w:after="0"/>
        <w:ind w:left="0" w:right="0" w:hanging="180"/>
        <w:jc w:val="both"/>
        <w:rPr/>
      </w:pPr>
      <w:r>
        <w:rPr>
          <w:rFonts w:ascii="Times New Roman;serif" w:hAnsi="Times New Roman;serif"/>
          <w:b w:val="false"/>
          <w:color w:val="000000"/>
          <w:sz w:val="10"/>
        </w:rPr>
        <w:t>(b)</w:t>
      </w:r>
      <w:r>
        <w:rPr>
          <w:rFonts w:ascii="Times New Roman;serif" w:hAnsi="Times New Roman;serif"/>
          <w:b w:val="false"/>
          <w:color w:val="000000"/>
          <w:sz w:val="16"/>
        </w:rPr>
        <w:t>Refer to Definitions and Notes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C324C"/>
          <w:sz w:val="32"/>
        </w:rPr>
      </w:pPr>
      <w:r>
        <w:rPr>
          <w:rFonts w:ascii="Times New Roman;serif" w:hAnsi="Times New Roman;serif"/>
          <w:b/>
          <w:color w:val="2C324C"/>
          <w:sz w:val="32"/>
        </w:rPr>
        <w:t>Capitalization</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24815"/>
                <wp:effectExtent l="0" t="0" r="0" b="0"/>
                <wp:wrapNone/>
                <wp:docPr id="49" name="Frame2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12 </w:t>
                            </w:r>
                            <w:r>
                              <w:rPr/>
                              <w:drawing>
                                <wp:inline distT="0" distB="0" distL="0" distR="0">
                                  <wp:extent cx="1228725" cy="333375"/>
                                  <wp:effectExtent l="0" t="0" r="0" b="0"/>
                                  <wp:docPr id="5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5" descr=""/>
                                          <pic:cNvPicPr>
                                            <a:picLocks noChangeAspect="1" noChangeArrowheads="1"/>
                                          </pic:cNvPicPr>
                                        </pic:nvPicPr>
                                        <pic:blipFill>
                                          <a:blip r:embed="rId27"/>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12 </w:t>
                      </w:r>
                      <w:r>
                        <w:rPr/>
                        <w:drawing>
                          <wp:inline distT="0" distB="0" distL="0" distR="0">
                            <wp:extent cx="1228725" cy="333375"/>
                            <wp:effectExtent l="0" t="0" r="0" b="0"/>
                            <wp:docPr id="5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5" descr=""/>
                                    <pic:cNvPicPr>
                                      <a:picLocks noChangeAspect="1" noChangeArrowheads="1"/>
                                    </pic:cNvPicPr>
                                  </pic:nvPicPr>
                                  <pic:blipFill>
                                    <a:blip r:embed="rId28"/>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283"/>
        <w:jc w:val="left"/>
        <w:rPr/>
      </w:pPr>
      <w:r>
        <w:rPr>
          <w:rFonts w:ascii="Times New Roman;serif" w:hAnsi="Times New Roman;serif"/>
          <w:b/>
          <w:color w:val="2C324C"/>
          <w:sz w:val="24"/>
        </w:rPr>
        <w:t>Debt Maturities</w:t>
      </w:r>
      <w:r>
        <w:rPr>
          <w:rFonts w:ascii="Times New Roman;serif" w:hAnsi="Times New Roman;serif"/>
          <w:b/>
          <w:color w:val="2C324C"/>
          <w:sz w:val="16"/>
        </w:rPr>
        <w:t>(a)</w:t>
      </w:r>
    </w:p>
    <w:p>
      <w:pPr>
        <w:pStyle w:val="TextBody"/>
        <w:bidi w:val="0"/>
        <w:spacing w:lineRule="auto" w:line="288" w:before="0" w:after="20"/>
        <w:jc w:val="both"/>
        <w:rPr>
          <w:rFonts w:ascii="Times New Roman;serif" w:hAnsi="Times New Roman;serif"/>
          <w:b/>
          <w:color w:val="2C324C"/>
          <w:sz w:val="18"/>
        </w:rPr>
      </w:pPr>
      <w:r>
        <w:rPr>
          <w:rFonts w:ascii="Times New Roman;serif" w:hAnsi="Times New Roman;serif"/>
          <w:b/>
          <w:color w:val="2C324C"/>
          <w:sz w:val="18"/>
        </w:rPr>
        <w:t>($ in millions)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04"/>
        <w:gridCol w:w="267"/>
        <w:gridCol w:w="270"/>
        <w:gridCol w:w="109"/>
        <w:gridCol w:w="109"/>
        <w:gridCol w:w="109"/>
        <w:gridCol w:w="301"/>
        <w:gridCol w:w="1063"/>
        <w:gridCol w:w="167"/>
        <w:gridCol w:w="109"/>
        <w:gridCol w:w="109"/>
        <w:gridCol w:w="109"/>
        <w:gridCol w:w="327"/>
        <w:gridCol w:w="928"/>
        <w:gridCol w:w="182"/>
        <w:gridCol w:w="109"/>
        <w:gridCol w:w="109"/>
        <w:gridCol w:w="109"/>
        <w:gridCol w:w="651"/>
        <w:gridCol w:w="1548"/>
        <w:gridCol w:w="363"/>
        <w:gridCol w:w="109"/>
        <w:gridCol w:w="109"/>
        <w:gridCol w:w="109"/>
        <w:gridCol w:w="226"/>
        <w:gridCol w:w="800"/>
        <w:gridCol w:w="125"/>
        <w:gridCol w:w="109"/>
        <w:gridCol w:w="109"/>
        <w:gridCol w:w="109"/>
        <w:gridCol w:w="196"/>
        <w:gridCol w:w="691"/>
        <w:gridCol w:w="161"/>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As of June 30, 2026</w:t>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Mortgage Loans Payable</w:t>
            </w:r>
            <w:r>
              <w:rPr>
                <w:rFonts w:ascii="Times New Roman;serif" w:hAnsi="Times New Roman;serif"/>
                <w:b/>
                <w:color w:val="000000"/>
                <w:sz w:val="11"/>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Principal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Secured Borrowings on Collateralized Receivables</w:t>
            </w:r>
            <w:r>
              <w:rPr>
                <w:rFonts w:ascii="Times New Roman;serif" w:hAnsi="Times New Roman;serif"/>
                <w:b/>
                <w:color w:val="000000"/>
                <w:sz w:val="11"/>
              </w:rPr>
              <w:t>(c)(d)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Senior </w:t>
              <w:br/>
              <w:t>Unsecured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84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6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314.1 </w:t>
            </w:r>
          </w:p>
        </w:tc>
        <w:tc>
          <w:tcPr>
            <w:tcW w:w="16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2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17.1 </w:t>
            </w:r>
          </w:p>
        </w:tc>
        <w:tc>
          <w:tcPr>
            <w:tcW w:w="18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54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331.2 </w:t>
            </w:r>
          </w:p>
        </w:tc>
        <w:tc>
          <w:tcPr>
            <w:tcW w:w="16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175.6 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38.8 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3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450.0 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666.6 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3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47.4 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452.1 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6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1,615.8 </w:t>
            </w:r>
          </w:p>
        </w:tc>
        <w:tc>
          <w:tcPr>
            <w:tcW w:w="16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2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618.2 </w:t>
            </w:r>
          </w:p>
        </w:tc>
        <w:tc>
          <w:tcPr>
            <w:tcW w:w="18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54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36.1 </w:t>
            </w:r>
          </w:p>
        </w:tc>
        <w:tc>
          <w:tcPr>
            <w:tcW w:w="36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1,800.0 </w:t>
            </w:r>
          </w:p>
        </w:tc>
        <w:tc>
          <w:tcPr>
            <w:tcW w:w="12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4,070.1 </w:t>
            </w:r>
          </w:p>
        </w:tc>
        <w:tc>
          <w:tcPr>
            <w:tcW w:w="16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Debt maturities include the unamortized deferred financing costs, discount / premiums, and fair value adjustments associated with outstanding debt.</w:t>
      </w:r>
    </w:p>
    <w:p>
      <w:pPr>
        <w:pStyle w:val="TextBody"/>
        <w:bidi w:val="0"/>
        <w:spacing w:lineRule="auto" w:line="288" w:before="0" w:after="20"/>
        <w:ind w:left="0" w:right="0" w:hanging="180"/>
        <w:jc w:val="both"/>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For the Mortgage loans payable maturing between 2026 - 2030:</w:t>
      </w:r>
    </w:p>
    <w:tbl>
      <w:tblPr>
        <w:tblW w:w="7058" w:type="dxa"/>
        <w:jc w:val="left"/>
        <w:tblInd w:w="0" w:type="dxa"/>
        <w:tblLayout w:type="fixed"/>
        <w:tblCellMar>
          <w:top w:w="28" w:type="dxa"/>
          <w:left w:w="28" w:type="dxa"/>
          <w:bottom w:w="28" w:type="dxa"/>
          <w:right w:w="28" w:type="dxa"/>
        </w:tblCellMar>
      </w:tblPr>
      <w:tblGrid>
        <w:gridCol w:w="799"/>
        <w:gridCol w:w="700"/>
        <w:gridCol w:w="706"/>
        <w:gridCol w:w="233"/>
        <w:gridCol w:w="233"/>
        <w:gridCol w:w="246"/>
        <w:gridCol w:w="109"/>
        <w:gridCol w:w="109"/>
        <w:gridCol w:w="109"/>
        <w:gridCol w:w="203"/>
        <w:gridCol w:w="203"/>
        <w:gridCol w:w="246"/>
        <w:gridCol w:w="109"/>
        <w:gridCol w:w="109"/>
        <w:gridCol w:w="109"/>
        <w:gridCol w:w="233"/>
        <w:gridCol w:w="233"/>
        <w:gridCol w:w="246"/>
        <w:gridCol w:w="109"/>
        <w:gridCol w:w="109"/>
        <w:gridCol w:w="109"/>
        <w:gridCol w:w="233"/>
        <w:gridCol w:w="233"/>
        <w:gridCol w:w="246"/>
        <w:gridCol w:w="109"/>
        <w:gridCol w:w="109"/>
        <w:gridCol w:w="109"/>
        <w:gridCol w:w="233"/>
        <w:gridCol w:w="233"/>
        <w:gridCol w:w="291"/>
      </w:tblGrid>
      <w:tr>
        <w:trPr/>
        <w:tc>
          <w:tcPr>
            <w:tcW w:w="7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2030</w:t>
            </w:r>
          </w:p>
        </w:tc>
      </w:tr>
      <w:tr>
        <w:trPr/>
        <w:tc>
          <w:tcPr>
            <w:tcW w:w="22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interest rate</w:t>
            </w:r>
          </w:p>
        </w:tc>
        <w:tc>
          <w:tcPr>
            <w:tcW w:w="46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3.73 </w:t>
            </w:r>
          </w:p>
        </w:tc>
        <w:tc>
          <w:tcPr>
            <w:tcW w:w="2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3.97 </w:t>
            </w:r>
          </w:p>
        </w:tc>
        <w:tc>
          <w:tcPr>
            <w:tcW w:w="2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3.16 </w:t>
            </w:r>
          </w:p>
        </w:tc>
        <w:tc>
          <w:tcPr>
            <w:tcW w:w="2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3.45 </w:t>
            </w:r>
          </w:p>
        </w:tc>
        <w:tc>
          <w:tcPr>
            <w:tcW w:w="2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(c)</w:t>
      </w:r>
      <w:r>
        <w:rPr>
          <w:color w:val="000000"/>
        </w:rPr>
        <w:t xml:space="preserve"> </w:t>
      </w:r>
      <w:r>
        <w:rPr>
          <w:rFonts w:ascii="Times New Roman;serif" w:hAnsi="Times New Roman;serif"/>
          <w:b w:val="false"/>
          <w:color w:val="000000"/>
          <w:sz w:val="16"/>
        </w:rPr>
        <w:t>Balance at June 30, 2026 excludes fair value adjustments of $3.2 million.</w:t>
      </w:r>
    </w:p>
    <w:p>
      <w:pPr>
        <w:pStyle w:val="TextBody"/>
        <w:bidi w:val="0"/>
        <w:spacing w:lineRule="auto" w:line="288" w:before="0" w:after="240"/>
        <w:ind w:left="0" w:right="0" w:hanging="180"/>
        <w:jc w:val="both"/>
        <w:rPr/>
      </w:pPr>
      <w:r>
        <w:rPr>
          <w:rFonts w:ascii="Times New Roman;serif" w:hAnsi="Times New Roman;serif"/>
          <w:b w:val="false"/>
          <w:color w:val="000000"/>
          <w:sz w:val="10"/>
        </w:rPr>
        <w:t>(d)</w:t>
      </w:r>
      <w:r>
        <w:rPr>
          <w:color w:val="000000"/>
        </w:rPr>
        <w:t xml:space="preserve"> </w:t>
      </w:r>
      <w:r>
        <w:rPr>
          <w:rFonts w:ascii="Times New Roman;serif" w:hAnsi="Times New Roman;serif"/>
          <w:b w:val="false"/>
          <w:color w:val="000000"/>
          <w:sz w:val="16"/>
        </w:rPr>
        <w:t>Refer to Definitions and Notes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0"/>
        <w:jc w:val="left"/>
        <w:rPr>
          <w:rFonts w:ascii="Times New Roman;serif" w:hAnsi="Times New Roman;serif"/>
          <w:b/>
          <w:color w:val="2C324C"/>
          <w:sz w:val="24"/>
        </w:rPr>
      </w:pPr>
      <w:r>
        <w:rPr>
          <w:rFonts w:ascii="Times New Roman;serif" w:hAnsi="Times New Roman;serif"/>
          <w:b/>
          <w:color w:val="2C324C"/>
          <w:sz w:val="24"/>
        </w:rPr>
        <w:t>Debt Analysis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790" w:type="dxa"/>
        <w:jc w:val="left"/>
        <w:tblInd w:w="0" w:type="dxa"/>
        <w:tblLayout w:type="fixed"/>
        <w:tblCellMar>
          <w:top w:w="28" w:type="dxa"/>
          <w:left w:w="28" w:type="dxa"/>
          <w:bottom w:w="28" w:type="dxa"/>
          <w:right w:w="28" w:type="dxa"/>
        </w:tblCellMar>
      </w:tblPr>
      <w:tblGrid>
        <w:gridCol w:w="2370"/>
        <w:gridCol w:w="2083"/>
        <w:gridCol w:w="2102"/>
        <w:gridCol w:w="109"/>
        <w:gridCol w:w="109"/>
        <w:gridCol w:w="109"/>
        <w:gridCol w:w="330"/>
        <w:gridCol w:w="330"/>
        <w:gridCol w:w="331"/>
        <w:gridCol w:w="109"/>
        <w:gridCol w:w="109"/>
        <w:gridCol w:w="109"/>
        <w:gridCol w:w="344"/>
        <w:gridCol w:w="344"/>
        <w:gridCol w:w="902"/>
      </w:tblGrid>
      <w:tr>
        <w:trPr/>
        <w:tc>
          <w:tcPr>
            <w:tcW w:w="2370"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As of June 30, 2026</w:t>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Select Credit Ratios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Net Debt / TTM Recurring EBITDA</w:t>
            </w:r>
            <w:r>
              <w:rPr>
                <w:rFonts w:ascii="Times New Roman;serif" w:hAnsi="Times New Roman;serif"/>
                <w:b w:val="false"/>
                <w:color w:val="000000"/>
                <w:sz w:val="11"/>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7"/>
              </w:rPr>
            </w:pPr>
            <w:r>
              <w:rPr>
                <w:rFonts w:ascii="Times New Roman;serif" w:hAnsi="Times New Roman;serif"/>
                <w:b w:val="false"/>
                <w:color w:val="000000"/>
                <w:sz w:val="17"/>
              </w:rPr>
              <w:t>3.9 x</w:t>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Net Debt / Enterprise Value</w:t>
            </w:r>
            <w:r>
              <w:rPr>
                <w:rFonts w:ascii="Times New Roman;serif" w:hAnsi="Times New Roman;serif"/>
                <w:b w:val="false"/>
                <w:color w:val="000000"/>
                <w:sz w:val="11"/>
              </w:rPr>
              <w:t>(a)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20.3 </w:t>
            </w:r>
          </w:p>
        </w:tc>
        <w:tc>
          <w:tcPr>
            <w:tcW w:w="9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Net Debt / Gross Assets</w:t>
            </w:r>
            <w:r>
              <w:rPr>
                <w:rFonts w:ascii="Times New Roman;serif" w:hAnsi="Times New Roman;serif"/>
                <w:b w:val="false"/>
                <w:color w:val="000000"/>
                <w:sz w:val="11"/>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26.7 </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Unencumbered assets / Total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79.1 </w:t>
            </w:r>
          </w:p>
        </w:tc>
        <w:tc>
          <w:tcPr>
            <w:tcW w:w="9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Floating rate debt / 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7"/>
              </w:rPr>
              <w:t>N/A</w:t>
            </w:r>
            <w:r>
              <w:rPr>
                <w:rFonts w:ascii="Times New Roman;serif" w:hAnsi="Times New Roman;serif"/>
                <w:b w:val="false"/>
                <w:color w:val="000000"/>
                <w:sz w:val="11"/>
              </w:rPr>
              <w:t>(c)</w:t>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Coverage Ratios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TTM Recurring EBITDA</w:t>
            </w:r>
            <w:r>
              <w:rPr>
                <w:rFonts w:ascii="Times New Roman;serif" w:hAnsi="Times New Roman;serif"/>
                <w:b w:val="false"/>
                <w:color w:val="000000"/>
                <w:sz w:val="11"/>
              </w:rPr>
              <w:t>(a)(b)</w:t>
            </w:r>
            <w:r>
              <w:rPr>
                <w:color w:val="000000"/>
              </w:rPr>
              <w:t xml:space="preserve"> </w:t>
            </w:r>
            <w:r>
              <w:rPr>
                <w:rFonts w:ascii="Times New Roman;serif" w:hAnsi="Times New Roman;serif"/>
                <w:b w:val="false"/>
                <w:color w:val="000000"/>
                <w:sz w:val="17"/>
              </w:rPr>
              <w:t>/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 x</w:t>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TTM Recurring EBITDA</w:t>
            </w:r>
            <w:r>
              <w:rPr>
                <w:rFonts w:ascii="Times New Roman;serif" w:hAnsi="Times New Roman;serif"/>
                <w:b w:val="false"/>
                <w:color w:val="000000"/>
                <w:sz w:val="11"/>
              </w:rPr>
              <w:t>(a)(b)</w:t>
            </w:r>
            <w:r>
              <w:rPr>
                <w:color w:val="000000"/>
              </w:rPr>
              <w:t xml:space="preserve"> </w:t>
            </w:r>
            <w:r>
              <w:rPr>
                <w:rFonts w:ascii="Times New Roman;serif" w:hAnsi="Times New Roman;serif"/>
                <w:b w:val="false"/>
                <w:color w:val="000000"/>
                <w:sz w:val="17"/>
              </w:rPr>
              <w:t>/ Interest + Preferred distributions + Preferred stock distribution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 x</w:t>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Credit Facility Covenants</w:t>
            </w:r>
            <w:r>
              <w:rPr>
                <w:rFonts w:ascii="Times New Roman;serif" w:hAnsi="Times New Roman;serif"/>
                <w:b/>
                <w:color w:val="000000"/>
                <w:sz w:val="11"/>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Requirement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Maximum leverage ratio</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&lt;65.0 %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17.8 </w:t>
            </w:r>
          </w:p>
        </w:tc>
        <w:tc>
          <w:tcPr>
            <w:tcW w:w="9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Minimum fixed charge coverage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&gt;1.40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7"/>
              </w:rPr>
            </w:pPr>
            <w:r>
              <w:rPr>
                <w:rFonts w:ascii="Times New Roman;serif" w:hAnsi="Times New Roman;serif"/>
                <w:b w:val="false"/>
                <w:color w:val="000000"/>
                <w:sz w:val="17"/>
              </w:rPr>
              <w:t>5.01 x</w:t>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Maximum secured leverage ratio</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&lt;40.0 %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9.2 </w:t>
            </w:r>
          </w:p>
        </w:tc>
        <w:tc>
          <w:tcPr>
            <w:tcW w:w="9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Senior Unsecured Note Covenants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Requirement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debt / Total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7"/>
              </w:rPr>
              <w:t>60.0 %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28.4 </w:t>
            </w:r>
          </w:p>
        </w:tc>
        <w:tc>
          <w:tcPr>
            <w:tcW w:w="9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Secured debt /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7"/>
              </w:rPr>
              <w:t>40.0 %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15.8 </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Consolidated income available for debt service / Debt service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7"/>
              </w:rPr>
              <w:t>1.50 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7"/>
              </w:rPr>
            </w:pPr>
            <w:r>
              <w:rPr>
                <w:rFonts w:ascii="Times New Roman;serif" w:hAnsi="Times New Roman;serif"/>
                <w:b w:val="false"/>
                <w:color w:val="000000"/>
                <w:sz w:val="17"/>
              </w:rPr>
              <w:t>7.33 x</w:t>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Unencumbered total asset value / Total 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7"/>
              </w:rPr>
              <w:t>150.0 %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626.9 </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 xml:space="preserve">(a) </w:t>
      </w:r>
      <w:r>
        <w:rPr>
          <w:rFonts w:ascii="Times New Roman;serif" w:hAnsi="Times New Roman;serif"/>
          <w:b w:val="false"/>
          <w:color w:val="000000"/>
          <w:sz w:val="16"/>
        </w:rPr>
        <w:t>Refer to Definitions and Notes for additional information.</w:t>
      </w:r>
    </w:p>
    <w:p>
      <w:pPr>
        <w:pStyle w:val="TextBody"/>
        <w:bidi w:val="0"/>
        <w:spacing w:lineRule="auto" w:line="288" w:before="0" w:after="0"/>
        <w:ind w:left="0" w:right="0" w:hanging="180"/>
        <w:jc w:val="both"/>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Percentage includes the impact of hedge activities.</w:t>
      </w:r>
    </w:p>
    <w:p>
      <w:pPr>
        <w:pStyle w:val="TextBody"/>
        <w:bidi w:val="0"/>
        <w:spacing w:lineRule="auto" w:line="288" w:before="0" w:after="0"/>
        <w:ind w:left="0" w:right="0" w:hanging="180"/>
        <w:jc w:val="both"/>
        <w:rPr/>
      </w:pPr>
      <w:r>
        <w:rPr>
          <w:rFonts w:ascii="Times New Roman;serif" w:hAnsi="Times New Roman;serif"/>
          <w:b w:val="false"/>
          <w:color w:val="000000"/>
          <w:sz w:val="10"/>
        </w:rPr>
        <w:t>(c)</w:t>
      </w:r>
      <w:r>
        <w:rPr>
          <w:color w:val="000000"/>
        </w:rPr>
        <w:t xml:space="preserve"> </w:t>
      </w:r>
      <w:r>
        <w:rPr>
          <w:rFonts w:ascii="Times New Roman;serif" w:hAnsi="Times New Roman;serif"/>
          <w:b w:val="false"/>
          <w:color w:val="000000"/>
          <w:sz w:val="16"/>
        </w:rPr>
        <w:t>As of June 30, 2026, the Company had no floating rate debt.</w:t>
      </w:r>
    </w:p>
    <w:p>
      <w:pPr>
        <w:pStyle w:val="TextBody"/>
        <w:bidi w:val="0"/>
        <w:spacing w:lineRule="auto" w:line="288" w:before="0" w:after="0"/>
        <w:ind w:left="0" w:right="0" w:hanging="180"/>
        <w:jc w:val="both"/>
        <w:rPr/>
      </w:pPr>
      <w:r>
        <w:rPr>
          <w:rFonts w:ascii="Times New Roman;serif" w:hAnsi="Times New Roman;serif"/>
          <w:b w:val="false"/>
          <w:color w:val="000000"/>
          <w:sz w:val="10"/>
        </w:rPr>
        <w:t>(d)</w:t>
      </w:r>
      <w:r>
        <w:rPr>
          <w:color w:val="000000"/>
        </w:rPr>
        <w:t xml:space="preserve"> </w:t>
      </w:r>
      <w:r>
        <w:rPr>
          <w:rFonts w:ascii="Times New Roman;serif" w:hAnsi="Times New Roman;serif"/>
          <w:b w:val="false"/>
          <w:color w:val="000000"/>
          <w:sz w:val="16"/>
        </w:rPr>
        <w:t>As of June 30, 2026, the Company did not have any borrowings outstanding under its senior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24815"/>
                <wp:effectExtent l="0" t="0" r="0" b="0"/>
                <wp:wrapNone/>
                <wp:docPr id="52" name="Frame2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13 </w:t>
                            </w:r>
                            <w:r>
                              <w:rPr/>
                              <w:drawing>
                                <wp:inline distT="0" distB="0" distL="0" distR="0">
                                  <wp:extent cx="1228725" cy="333375"/>
                                  <wp:effectExtent l="0" t="0" r="0" b="0"/>
                                  <wp:docPr id="5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6" descr=""/>
                                          <pic:cNvPicPr>
                                            <a:picLocks noChangeAspect="1" noChangeArrowheads="1"/>
                                          </pic:cNvPicPr>
                                        </pic:nvPicPr>
                                        <pic:blipFill>
                                          <a:blip r:embed="rId29"/>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13 </w:t>
                      </w:r>
                      <w:r>
                        <w:rPr/>
                        <w:drawing>
                          <wp:inline distT="0" distB="0" distL="0" distR="0">
                            <wp:extent cx="1228725" cy="333375"/>
                            <wp:effectExtent l="0" t="0" r="0" b="0"/>
                            <wp:docPr id="5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6" descr=""/>
                                    <pic:cNvPicPr>
                                      <a:picLocks noChangeAspect="1" noChangeArrowheads="1"/>
                                    </pic:cNvPicPr>
                                  </pic:nvPicPr>
                                  <pic:blipFill>
                                    <a:blip r:embed="rId30"/>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20"/>
        <w:jc w:val="left"/>
        <w:rPr>
          <w:rFonts w:ascii="Times New Roman;serif" w:hAnsi="Times New Roman;serif"/>
          <w:b/>
          <w:color w:val="2C324C"/>
          <w:sz w:val="24"/>
        </w:rPr>
      </w:pPr>
      <w:r>
        <w:rPr>
          <w:rFonts w:ascii="Times New Roman;serif" w:hAnsi="Times New Roman;serif"/>
          <w:b/>
          <w:color w:val="2C324C"/>
          <w:sz w:val="24"/>
        </w:rPr>
        <w:t>Definitions and Notes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2C32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color w:val="000000"/>
          <w:sz w:val="20"/>
        </w:rPr>
        <w:t xml:space="preserve">Acquisition and Other Transaction Costs </w:t>
      </w:r>
      <w:r>
        <w:rPr>
          <w:rFonts w:ascii="Times New Roman;serif" w:hAnsi="Times New Roman;serif"/>
          <w:b w:val="false"/>
          <w:color w:val="000000"/>
          <w:sz w:val="20"/>
        </w:rPr>
        <w:t xml:space="preserve">- In the Company's Reconciliation of Net Income / (Loss) Attributable to SUI Common Shareholders to Core FFO on page </w:t>
      </w:r>
      <w:hyperlink w:anchor="i9389ffd213a74f848e53c1f852859546_61">
        <w:r>
          <w:rPr>
            <w:rStyle w:val="InternetLink"/>
            <w:rFonts w:ascii="Times New Roman;serif" w:hAnsi="Times New Roman;serif"/>
            <w:b w:val="false"/>
            <w:strike w:val="false"/>
            <w:dstrike w:val="false"/>
            <w:color w:val="000000"/>
            <w:sz w:val="20"/>
            <w:u w:val="none"/>
            <w:effect w:val="none"/>
          </w:rPr>
          <w:t>5</w:t>
        </w:r>
      </w:hyperlink>
      <w:r>
        <w:rPr>
          <w:rFonts w:ascii="Times New Roman;serif" w:hAnsi="Times New Roman;serif"/>
          <w:b w:val="false"/>
          <w:color w:val="000000"/>
          <w:sz w:val="20"/>
        </w:rPr>
        <w:t xml:space="preserve">, "Acquisition and other transaction costs - continuing operations" represent (a) nonrecurring integration expenses associated with acquisitions during the quarters and six months ended June 30, 2026 and 2025, (b) costs associated with potential acquisitions that will not close, (c) expenses incurred to bring recently acquired properties up to the Company's operating standards, including items such as tree trimming and painting costs that do not meet the Company's capitalization policy, and (d) other non-recurring transaction costs. Within this same reconciliation on page </w:t>
      </w:r>
      <w:hyperlink w:anchor="i9389ffd213a74f848e53c1f852859546_61">
        <w:r>
          <w:rPr>
            <w:rStyle w:val="InternetLink"/>
            <w:rFonts w:ascii="Times New Roman;serif" w:hAnsi="Times New Roman;serif"/>
            <w:b w:val="false"/>
            <w:strike w:val="false"/>
            <w:dstrike w:val="false"/>
            <w:color w:val="000000"/>
            <w:sz w:val="20"/>
            <w:u w:val="none"/>
            <w:effect w:val="none"/>
          </w:rPr>
          <w:t>5</w:t>
        </w:r>
      </w:hyperlink>
      <w:r>
        <w:rPr>
          <w:rFonts w:ascii="Times New Roman;serif" w:hAnsi="Times New Roman;serif"/>
          <w:b w:val="false"/>
          <w:color w:val="000000"/>
          <w:sz w:val="20"/>
        </w:rPr>
        <w:t>, "Acquisition and other transaction costs - discontinued operations" primarily represent non-recurring transaction costs that are directly attributable to the Park Holidays Sale and the Safe Harbor Sale and nonrecurring integration expenses associated with previous UK and marina acquisitions.</w:t>
      </w:r>
    </w:p>
    <w:p>
      <w:pPr>
        <w:pStyle w:val="TextBody"/>
        <w:bidi w:val="0"/>
        <w:spacing w:lineRule="auto" w:line="288" w:before="120" w:after="120"/>
        <w:jc w:val="both"/>
        <w:rPr/>
      </w:pPr>
      <w:r>
        <w:rPr>
          <w:rFonts w:ascii="Times New Roman;serif" w:hAnsi="Times New Roman;serif"/>
          <w:b/>
          <w:color w:val="000000"/>
          <w:sz w:val="20"/>
        </w:rPr>
        <w:t>Asset Impairments</w:t>
      </w:r>
      <w:r>
        <w:rPr>
          <w:color w:val="000000"/>
        </w:rPr>
        <w:t xml:space="preserve"> </w:t>
      </w:r>
      <w:r>
        <w:rPr>
          <w:rFonts w:ascii="Times New Roman;serif" w:hAnsi="Times New Roman;serif"/>
          <w:b w:val="false"/>
          <w:color w:val="000000"/>
          <w:sz w:val="20"/>
        </w:rPr>
        <w:t xml:space="preserve">- In the Company's Condensed Consolidated Statements of Operations on page </w:t>
      </w:r>
      <w:hyperlink w:anchor="i9389ffd213a74f848e53c1f852859546_58">
        <w:r>
          <w:rPr>
            <w:rStyle w:val="InternetLink"/>
            <w:rFonts w:ascii="Times New Roman;serif" w:hAnsi="Times New Roman;serif"/>
            <w:b w:val="false"/>
            <w:strike w:val="false"/>
            <w:dstrike w:val="false"/>
            <w:color w:val="000000"/>
            <w:sz w:val="20"/>
            <w:u w:val="none"/>
            <w:effect w:val="none"/>
          </w:rPr>
          <w:t>4</w:t>
        </w:r>
      </w:hyperlink>
      <w:r>
        <w:rPr>
          <w:rFonts w:ascii="Times New Roman;serif" w:hAnsi="Times New Roman;serif"/>
          <w:b w:val="false"/>
          <w:color w:val="000000"/>
          <w:sz w:val="20"/>
        </w:rPr>
        <w:t>, the Company recorded asset impairment charges of $17.9 million for the quarter ended June 30, 2026, primarily consisting of asset impairment charges of $14.1 million to reduce the carrying value of two development land parcels in the US, driven by the Company's contemplated change in strategic plan for these properties.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Assets Held for Sale and Discontinued Operations:</w:t>
      </w:r>
    </w:p>
    <w:p>
      <w:pPr>
        <w:pStyle w:val="TextBody"/>
        <w:bidi w:val="0"/>
        <w:spacing w:lineRule="auto" w:line="288" w:before="120" w:after="120"/>
        <w:jc w:val="both"/>
        <w:rPr/>
      </w:pPr>
      <w:r>
        <w:rPr>
          <w:rFonts w:ascii="Times New Roman;serif" w:hAnsi="Times New Roman;serif"/>
          <w:b/>
          <w:color w:val="000000"/>
          <w:sz w:val="20"/>
        </w:rPr>
        <w:t>Park Holidays Sale</w:t>
      </w:r>
      <w:r>
        <w:rPr>
          <w:color w:val="000000"/>
        </w:rPr>
        <w:t xml:space="preserve"> </w:t>
      </w:r>
      <w:r>
        <w:rPr>
          <w:rFonts w:ascii="Times New Roman;serif" w:hAnsi="Times New Roman;serif"/>
          <w:b w:val="false"/>
          <w:color w:val="000000"/>
          <w:sz w:val="20"/>
        </w:rPr>
        <w:t>- In May 2026, the Company entered into an agreement to sell Park Holidays, which represents a strategic shift in operations that is expected to have a major effect on the Company's operations and financial results. Accordingly, the results of the UK business and assets and liabilities included in the disposition are presented as held for sale and as discontinued operations for all periods presented herein. The Company expects the Park Holidays Sale to close in the second half of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determined that the fair value of the UK business, including costs to sell, was lower than its carrying value. Accordingly, during the quarter ended June 30, 2026, the Company recorded a non-cash valuation allowance of $1.1 billion against the assets held for sale to reduce the carrying value of the UK business to the estimated fair value less costs to sell. The valuation allowance was recorded within Income / (loss) from discontinued operations, net on the Company's Condensed Consolidated Statements of Operations.</w:t>
      </w:r>
    </w:p>
    <w:p>
      <w:pPr>
        <w:pStyle w:val="TextBody"/>
        <w:bidi w:val="0"/>
        <w:spacing w:lineRule="auto" w:line="288" w:before="120" w:after="120"/>
        <w:jc w:val="both"/>
        <w:rPr/>
      </w:pPr>
      <w:r>
        <w:rPr>
          <w:rFonts w:ascii="Times New Roman;serif" w:hAnsi="Times New Roman;serif"/>
          <w:b/>
          <w:color w:val="000000"/>
          <w:sz w:val="20"/>
        </w:rPr>
        <w:t>Safe Harbor Sale</w:t>
      </w:r>
      <w:r>
        <w:rPr>
          <w:color w:val="000000"/>
        </w:rPr>
        <w:t xml:space="preserve"> </w:t>
      </w:r>
      <w:r>
        <w:rPr>
          <w:rFonts w:ascii="Times New Roman;serif" w:hAnsi="Times New Roman;serif"/>
          <w:b w:val="false"/>
          <w:color w:val="000000"/>
          <w:sz w:val="20"/>
        </w:rPr>
        <w:t>- In 2025, the Company entered into the Safe Harbor Sale, which represented a strategic shift in operations. Accordingly, the results of the Safe Harbor business have been reflected as discontinued operations on the Company's Condensed Consolidated Statements of Operations through the final transaction closing date of August 29,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operating results included within Income / (loss) from discontinued operations, net on the Company's Condensed Consolidated Statements of Operations (in millions):</w:t>
      </w:r>
    </w:p>
    <w:tbl>
      <w:tblPr>
        <w:tblW w:w="9510" w:type="dxa"/>
        <w:jc w:val="left"/>
        <w:tblInd w:w="0" w:type="dxa"/>
        <w:tblLayout w:type="fixed"/>
        <w:tblCellMar>
          <w:top w:w="28" w:type="dxa"/>
          <w:left w:w="28" w:type="dxa"/>
          <w:bottom w:w="28" w:type="dxa"/>
          <w:right w:w="28" w:type="dxa"/>
        </w:tblCellMar>
      </w:tblPr>
      <w:tblGrid>
        <w:gridCol w:w="1574"/>
        <w:gridCol w:w="1384"/>
        <w:gridCol w:w="1392"/>
        <w:gridCol w:w="196"/>
        <w:gridCol w:w="766"/>
        <w:gridCol w:w="109"/>
        <w:gridCol w:w="109"/>
        <w:gridCol w:w="109"/>
        <w:gridCol w:w="109"/>
        <w:gridCol w:w="196"/>
        <w:gridCol w:w="691"/>
        <w:gridCol w:w="109"/>
        <w:gridCol w:w="109"/>
        <w:gridCol w:w="109"/>
        <w:gridCol w:w="109"/>
        <w:gridCol w:w="196"/>
        <w:gridCol w:w="766"/>
        <w:gridCol w:w="109"/>
        <w:gridCol w:w="109"/>
        <w:gridCol w:w="109"/>
        <w:gridCol w:w="109"/>
        <w:gridCol w:w="196"/>
        <w:gridCol w:w="691"/>
        <w:gridCol w:w="154"/>
      </w:tblGrid>
      <w:tr>
        <w:trPr/>
        <w:tc>
          <w:tcPr>
            <w:tcW w:w="15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 xml:space="preserve">Six Months Ended June 30, </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43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 from discontinued operations, net - Park Holidays Sale</w:t>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(1,067.2)</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(62.2)</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(1,091.9)</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(63.6)</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from discontinued operations, net - Safe Harbor Sale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 (loss) from discontinued operations, net</w:t>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(1,067.2)</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1,360.3 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(1,091.9)</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1,340.4 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24815"/>
                <wp:effectExtent l="0" t="0" r="0" b="0"/>
                <wp:wrapNone/>
                <wp:docPr id="55" name="Frame2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14 </w:t>
                            </w:r>
                            <w:r>
                              <w:rPr/>
                              <w:drawing>
                                <wp:inline distT="0" distB="0" distL="0" distR="0">
                                  <wp:extent cx="1228725" cy="333375"/>
                                  <wp:effectExtent l="0" t="0" r="0" b="0"/>
                                  <wp:docPr id="5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7" descr=""/>
                                          <pic:cNvPicPr>
                                            <a:picLocks noChangeAspect="1" noChangeArrowheads="1"/>
                                          </pic:cNvPicPr>
                                        </pic:nvPicPr>
                                        <pic:blipFill>
                                          <a:blip r:embed="rId31"/>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14 </w:t>
                      </w:r>
                      <w:r>
                        <w:rPr/>
                        <w:drawing>
                          <wp:inline distT="0" distB="0" distL="0" distR="0">
                            <wp:extent cx="1228725" cy="333375"/>
                            <wp:effectExtent l="0" t="0" r="0" b="0"/>
                            <wp:docPr id="5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7" descr=""/>
                                    <pic:cNvPicPr>
                                      <a:picLocks noChangeAspect="1" noChangeArrowheads="1"/>
                                    </pic:cNvPicPr>
                                  </pic:nvPicPr>
                                  <pic:blipFill>
                                    <a:blip r:embed="rId32"/>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assets and liabilities classified as held for sale and discontinued operations related to the UK business (in millions):</w:t>
      </w:r>
    </w:p>
    <w:tbl>
      <w:tblPr>
        <w:tblW w:w="8306" w:type="dxa"/>
        <w:jc w:val="left"/>
        <w:tblInd w:w="0" w:type="dxa"/>
        <w:tblLayout w:type="fixed"/>
        <w:tblCellMar>
          <w:top w:w="28" w:type="dxa"/>
          <w:left w:w="28" w:type="dxa"/>
          <w:bottom w:w="28" w:type="dxa"/>
          <w:right w:w="28" w:type="dxa"/>
        </w:tblCellMar>
      </w:tblPr>
      <w:tblGrid>
        <w:gridCol w:w="1916"/>
        <w:gridCol w:w="1687"/>
        <w:gridCol w:w="1706"/>
        <w:gridCol w:w="221"/>
        <w:gridCol w:w="781"/>
        <w:gridCol w:w="123"/>
        <w:gridCol w:w="109"/>
        <w:gridCol w:w="109"/>
        <w:gridCol w:w="109"/>
        <w:gridCol w:w="291"/>
        <w:gridCol w:w="1026"/>
        <w:gridCol w:w="228"/>
      </w:tblGrid>
      <w:tr>
        <w:trPr/>
        <w:tc>
          <w:tcPr>
            <w:tcW w:w="191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53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12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Land</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1,692.7 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Land improvements and buildings</w:t>
            </w:r>
          </w:p>
        </w:tc>
        <w:tc>
          <w:tcPr>
            <w:tcW w:w="10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613.0 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587.6 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Furniture, fixtures and equipment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Investment property</w:t>
            </w:r>
          </w:p>
        </w:tc>
        <w:tc>
          <w:tcPr>
            <w:tcW w:w="100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2,396.0 </w:t>
            </w:r>
          </w:p>
        </w:tc>
        <w:tc>
          <w:tcPr>
            <w:tcW w:w="12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2,375.8 </w:t>
            </w:r>
          </w:p>
        </w:tc>
        <w:tc>
          <w:tcPr>
            <w:tcW w:w="2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Accumulated depreciation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property, net</w:t>
            </w:r>
          </w:p>
        </w:tc>
        <w:tc>
          <w:tcPr>
            <w:tcW w:w="100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2,306.3 </w:t>
            </w:r>
          </w:p>
        </w:tc>
        <w:tc>
          <w:tcPr>
            <w:tcW w:w="12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2,283.2 </w:t>
            </w:r>
          </w:p>
        </w:tc>
        <w:tc>
          <w:tcPr>
            <w:tcW w:w="2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Inventory of manufactured homes</w:t>
            </w:r>
          </w:p>
        </w:tc>
        <w:tc>
          <w:tcPr>
            <w:tcW w:w="10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53.2 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58.2 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Notes and other receivables, net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intangible assets, net</w:t>
            </w:r>
          </w:p>
        </w:tc>
        <w:tc>
          <w:tcPr>
            <w:tcW w:w="10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61.3 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64.8 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 net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Valuation allowance to adjust assets to estimated fair value, less costs to sell</w:t>
            </w:r>
          </w:p>
        </w:tc>
        <w:tc>
          <w:tcPr>
            <w:tcW w:w="10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(1,077.2)</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 held for sale and discontinued operations, net</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1,446.7 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2,551.5 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w:t>
            </w:r>
          </w:p>
        </w:tc>
        <w:tc>
          <w:tcPr>
            <w:tcW w:w="112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Advanced reservation deposits and rent</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 and accounts payable</w:t>
            </w:r>
          </w:p>
        </w:tc>
        <w:tc>
          <w:tcPr>
            <w:tcW w:w="10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69.7 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49.8 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held for sale and discontinued operations, net</w:t>
            </w:r>
          </w:p>
        </w:tc>
        <w:tc>
          <w:tcPr>
            <w:tcW w:w="2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428.9 </w:t>
            </w:r>
          </w:p>
        </w:tc>
        <w:tc>
          <w:tcPr>
            <w:tcW w:w="12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427.2 </w:t>
            </w:r>
          </w:p>
        </w:tc>
        <w:tc>
          <w:tcPr>
            <w:tcW w:w="22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operating results included within Income / (loss) from discontinued operations, net on the Company's Condensed Consolidated Statements of Operations related to the UK business (in millions):</w:t>
      </w:r>
    </w:p>
    <w:tbl>
      <w:tblPr>
        <w:tblW w:w="9060" w:type="dxa"/>
        <w:jc w:val="left"/>
        <w:tblInd w:w="0" w:type="dxa"/>
        <w:tblLayout w:type="fixed"/>
        <w:tblCellMar>
          <w:top w:w="28" w:type="dxa"/>
          <w:left w:w="28" w:type="dxa"/>
          <w:bottom w:w="28" w:type="dxa"/>
          <w:right w:w="28" w:type="dxa"/>
        </w:tblCellMar>
      </w:tblPr>
      <w:tblGrid>
        <w:gridCol w:w="1520"/>
        <w:gridCol w:w="1334"/>
        <w:gridCol w:w="1346"/>
        <w:gridCol w:w="196"/>
        <w:gridCol w:w="766"/>
        <w:gridCol w:w="109"/>
        <w:gridCol w:w="109"/>
        <w:gridCol w:w="109"/>
        <w:gridCol w:w="109"/>
        <w:gridCol w:w="196"/>
        <w:gridCol w:w="541"/>
        <w:gridCol w:w="109"/>
        <w:gridCol w:w="109"/>
        <w:gridCol w:w="109"/>
        <w:gridCol w:w="109"/>
        <w:gridCol w:w="196"/>
        <w:gridCol w:w="766"/>
        <w:gridCol w:w="109"/>
        <w:gridCol w:w="109"/>
        <w:gridCol w:w="109"/>
        <w:gridCol w:w="109"/>
        <w:gridCol w:w="196"/>
        <w:gridCol w:w="541"/>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Revenues</w:t>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property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brokerage commissions and other, net</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Revenues</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Expenses</w:t>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Property operating and maintenance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estate tax</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costs and selling</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General and administrative</w:t>
            </w:r>
            <w:r>
              <w:rPr>
                <w:rFonts w:ascii="Times New Roman;serif" w:hAnsi="Times New Roman;serif"/>
                <w:b w:val="false"/>
                <w:color w:val="000000"/>
                <w:sz w:val="11"/>
              </w:rPr>
              <w:t>(a)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 impairments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Expenses</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 (Loss) Before Other Items</w:t>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(115.9)</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(121.4)</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disposition of properties,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income / (expense), net</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 on foreign currency exchanges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Loss from classification to held for sale</w:t>
            </w:r>
            <w:r>
              <w:rPr>
                <w:rFonts w:ascii="Arial;sans-serif" w:hAnsi="Arial;sans-serif"/>
                <w:b w:val="false"/>
                <w:color w:val="000000"/>
                <w:sz w:val="11"/>
              </w:rPr>
              <w:t>(a)</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(1,077.2)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(1,077.2)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Loss from Discontinued Operations, before income taxes</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Current tax expense</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Deferred tax benefit /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Loss from Discontinued Operations</w:t>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(1,067.2)</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(62.2)</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(1,091.9)</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(63.6)</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hanging="180"/>
        <w:jc w:val="both"/>
        <w:rPr/>
      </w:pPr>
      <w:r>
        <w:rPr>
          <w:rFonts w:ascii="Times New Roman;serif" w:hAnsi="Times New Roman;serif"/>
          <w:b w:val="false"/>
          <w:color w:val="000000"/>
          <w:sz w:val="10"/>
        </w:rPr>
        <w:t>(a)</w:t>
      </w:r>
      <w:r>
        <w:rPr>
          <w:color w:val="CC0099"/>
        </w:rPr>
        <w:t xml:space="preserve"> </w:t>
      </w:r>
      <w:r>
        <w:rPr>
          <w:rFonts w:ascii="Times New Roman;serif" w:hAnsi="Times New Roman;serif"/>
          <w:b w:val="false"/>
          <w:color w:val="000000"/>
          <w:sz w:val="16"/>
        </w:rPr>
        <w:t>Includes legal and advisory fees, employee separation costs, and other transaction costs of $78.7 million associated with the Park Holidays Sale during the quarter ended June 30, 2026; $14.9 million of which is recorded in General and administrative and $63.8 million of which is recorded in Loss from classification to held for sale within Income / (Loss) from Discontinued Operations.</w:t>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24815"/>
                <wp:effectExtent l="0" t="0" r="0" b="0"/>
                <wp:wrapNone/>
                <wp:docPr id="58" name="Frame2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15 </w:t>
                            </w:r>
                            <w:r>
                              <w:rPr/>
                              <w:drawing>
                                <wp:inline distT="0" distB="0" distL="0" distR="0">
                                  <wp:extent cx="1228725" cy="333375"/>
                                  <wp:effectExtent l="0" t="0" r="0" b="0"/>
                                  <wp:docPr id="5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8" descr=""/>
                                          <pic:cNvPicPr>
                                            <a:picLocks noChangeAspect="1" noChangeArrowheads="1"/>
                                          </pic:cNvPicPr>
                                        </pic:nvPicPr>
                                        <pic:blipFill>
                                          <a:blip r:embed="rId33"/>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15 </w:t>
                      </w:r>
                      <w:r>
                        <w:rPr/>
                        <w:drawing>
                          <wp:inline distT="0" distB="0" distL="0" distR="0">
                            <wp:extent cx="1228725" cy="333375"/>
                            <wp:effectExtent l="0" t="0" r="0" b="0"/>
                            <wp:docPr id="6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8" descr=""/>
                                    <pic:cNvPicPr>
                                      <a:picLocks noChangeAspect="1" noChangeArrowheads="1"/>
                                    </pic:cNvPicPr>
                                  </pic:nvPicPr>
                                  <pic:blipFill>
                                    <a:blip r:embed="rId34"/>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120"/>
        <w:ind w:left="0" w:right="0" w:hanging="180"/>
        <w:jc w:val="both"/>
        <w:rPr/>
      </w:pPr>
      <w:r>
        <w:rPr>
          <w:rFonts w:ascii="Times New Roman;serif" w:hAnsi="Times New Roman;serif"/>
          <w:b/>
          <w:color w:val="000000"/>
          <w:sz w:val="20"/>
        </w:rPr>
        <w:t>Capital Expenditures</w:t>
      </w:r>
      <w:r>
        <w:rPr>
          <w:color w:val="000000"/>
        </w:rPr>
        <w:t xml:space="preserve"> </w:t>
      </w:r>
      <w:r>
        <w:rPr>
          <w:rFonts w:ascii="Times New Roman;serif" w:hAnsi="Times New Roman;serif"/>
          <w:b w:val="false"/>
          <w:color w:val="000000"/>
          <w:sz w:val="20"/>
        </w:rPr>
        <w:t>- The Company classifies its investments in properties into the following categories:</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Recurring Capital Expenditures</w:t>
      </w:r>
      <w:r>
        <w:rPr>
          <w:color w:val="000000"/>
        </w:rPr>
        <w:t xml:space="preserve"> </w:t>
      </w:r>
      <w:r>
        <w:rPr>
          <w:rFonts w:ascii="Times New Roman;serif" w:hAnsi="Times New Roman;serif"/>
          <w:b w:val="false"/>
          <w:color w:val="000000"/>
          <w:sz w:val="20"/>
        </w:rPr>
        <w:t>- Property recurring capital expenditures are necessary to maintain asset quality, including purchasing and replacing items used to operate the communities. Recurring capital expenditures at the Company's MH and RV properties include major road, driveway and pool improvements; clubhouse renovations; adding or replacing streetlights; playground equipment; signage; maintenance facilities; manager housing and property vehicles. The minimum capitalized amount is one thousand dollars.</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Non-Recurring Capital Expenditures</w:t>
      </w:r>
      <w:r>
        <w:rPr>
          <w:color w:val="000000"/>
        </w:rPr>
        <w:t xml:space="preserve"> </w:t>
      </w:r>
      <w:r>
        <w:rPr>
          <w:rFonts w:ascii="Times New Roman;serif" w:hAnsi="Times New Roman;serif"/>
          <w:b w:val="false"/>
          <w:color w:val="000000"/>
          <w:sz w:val="20"/>
        </w:rPr>
        <w:t>- The following investment and reinvestment activities are non-recurring in nature:</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Lot Modifications</w:t>
      </w:r>
      <w:r>
        <w:rPr>
          <w:color w:val="000000"/>
        </w:rPr>
        <w:t xml:space="preserve"> </w:t>
      </w:r>
      <w:r>
        <w:rPr>
          <w:rFonts w:ascii="Times New Roman;serif" w:hAnsi="Times New Roman;serif"/>
          <w:b w:val="false"/>
          <w:color w:val="000000"/>
          <w:sz w:val="20"/>
        </w:rPr>
        <w:t xml:space="preserve">- consist of expenditures incurred to modify the foundational structures required to set up a new home after a previous home has been removed. These expenditures are necessary to create a revenue stream from a new site renter and often improve the quality of the community. Other lot modification expenditures include land improvements added to annual RV sites to aid in the conversion of transient RV guests to annual contracts. See page </w:t>
      </w:r>
      <w:hyperlink w:anchor="i9389ffd213a74f848e53c1f852859546_91">
        <w:r>
          <w:rPr>
            <w:rStyle w:val="InternetLink"/>
            <w:rFonts w:ascii="Times New Roman;serif" w:hAnsi="Times New Roman;serif"/>
            <w:b w:val="false"/>
            <w:strike w:val="false"/>
            <w:dstrike w:val="false"/>
            <w:color w:val="000000"/>
            <w:sz w:val="20"/>
            <w:u w:val="none"/>
            <w:effect w:val="none"/>
          </w:rPr>
          <w:t>10</w:t>
        </w:r>
      </w:hyperlink>
      <w:r>
        <w:rPr>
          <w:rFonts w:ascii="Times New Roman;serif" w:hAnsi="Times New Roman;serif"/>
          <w:b w:val="false"/>
          <w:color w:val="000000"/>
          <w:sz w:val="20"/>
        </w:rPr>
        <w:t xml:space="preserve"> for move-out rates.</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Growth Projects</w:t>
      </w:r>
      <w:r>
        <w:rPr>
          <w:color w:val="000000"/>
        </w:rPr>
        <w:t xml:space="preserve"> </w:t>
      </w:r>
      <w:r>
        <w:rPr>
          <w:rFonts w:ascii="Times New Roman;serif" w:hAnsi="Times New Roman;serif"/>
          <w:b w:val="false"/>
          <w:color w:val="000000"/>
          <w:sz w:val="20"/>
        </w:rPr>
        <w:t>- consist of revenue-generating or expense-reducing activities at the properties. These include, but are not limited to, utility efficiency and renewable energy projects, site, or amenity upgrades, such as the addition of a garage or shed, and other special capital projects that substantiate an incremental rental increase.</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Capital Improvements to Recent Acquisitions</w:t>
      </w:r>
      <w:r>
        <w:rPr>
          <w:color w:val="000000"/>
        </w:rPr>
        <w:t xml:space="preserve"> </w:t>
      </w:r>
      <w:r>
        <w:rPr>
          <w:rFonts w:ascii="Times New Roman;serif" w:hAnsi="Times New Roman;serif"/>
          <w:b w:val="false"/>
          <w:color w:val="000000"/>
          <w:sz w:val="20"/>
        </w:rPr>
        <w:t>- represents capital improvements identified during due diligence from the acquisition date through the third year of ownership needed to bring acquired properties up to the Company's operating standards.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Capital improvements subsequent to acquisition often require 24 to 36 months to complete after closing. At MH and RV properties, capital improvements include upgrading clubhouses; landscaping; new street lighting systems; new mail delivery systems; pool renovations including larger decks, heaters and furniture; new maintenance facilities; lot modifications; and new signage including main signs and internal road signs.</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Expansions and Developments</w:t>
      </w:r>
      <w:r>
        <w:rPr>
          <w:color w:val="000000"/>
        </w:rPr>
        <w:t xml:space="preserve"> </w:t>
      </w:r>
      <w:r>
        <w:rPr>
          <w:rFonts w:ascii="Times New Roman;serif" w:hAnsi="Times New Roman;serif"/>
          <w:b w:val="false"/>
          <w:color w:val="000000"/>
          <w:sz w:val="20"/>
        </w:rPr>
        <w:t>- consist primarily of construction costs such as roads, activities, and amenities, and costs necessary to complete site improvements, such as driveways, sidewalks, and landscaping at the Company's MH and RV communities. Expenditures also include costs to rebuild after damage has been incurred at MH or RV properties.</w:t>
      </w:r>
    </w:p>
    <w:p>
      <w:pPr>
        <w:pStyle w:val="TextBody"/>
        <w:bidi w:val="0"/>
        <w:spacing w:lineRule="auto" w:line="288" w:before="120" w:after="120"/>
        <w:jc w:val="both"/>
        <w:rPr/>
      </w:pPr>
      <w:r>
        <w:rPr>
          <w:rFonts w:ascii="Times New Roman;serif" w:hAnsi="Times New Roman;serif"/>
          <w:b/>
          <w:color w:val="000000"/>
          <w:sz w:val="20"/>
        </w:rPr>
        <w:t xml:space="preserve">Cash, Cash Equivalents and Restricted Cash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Includes cash and cash equivalents of $14.6 million as of June 30, 2026, that was held in escrow accounts and restricted from general use. The restricted cash and cash equivalents include $9.7 million that has been designated to fund potential future MH and RV acquisitions under 1031 exchange transactions.</w:t>
      </w:r>
    </w:p>
    <w:p>
      <w:pPr>
        <w:pStyle w:val="TextBody"/>
        <w:bidi w:val="0"/>
        <w:spacing w:lineRule="auto" w:line="288" w:before="120" w:after="120"/>
        <w:jc w:val="both"/>
        <w:rPr/>
      </w:pPr>
      <w:r>
        <w:rPr>
          <w:rFonts w:ascii="Times New Roman;serif" w:hAnsi="Times New Roman;serif"/>
          <w:b/>
          <w:color w:val="000000"/>
          <w:sz w:val="20"/>
        </w:rPr>
        <w:t>Enterprise Value</w:t>
      </w:r>
      <w:r>
        <w:rPr>
          <w:color w:val="000000"/>
        </w:rPr>
        <w:t xml:space="preserve"> </w:t>
      </w:r>
      <w:r>
        <w:rPr>
          <w:rFonts w:ascii="Times New Roman;serif" w:hAnsi="Times New Roman;serif"/>
          <w:b w:val="false"/>
          <w:color w:val="000000"/>
          <w:sz w:val="20"/>
        </w:rPr>
        <w:t>- Equals total equity market capitalization, plus total indebtedness reported on the Company's balance sheet and less unrestricted cash and cash equivalents.</w:t>
      </w:r>
    </w:p>
    <w:p>
      <w:pPr>
        <w:pStyle w:val="TextBody"/>
        <w:bidi w:val="0"/>
        <w:spacing w:lineRule="auto" w:line="288" w:before="120" w:after="120"/>
        <w:jc w:val="both"/>
        <w:rPr/>
      </w:pPr>
      <w:r>
        <w:rPr>
          <w:rFonts w:ascii="Times New Roman;serif" w:hAnsi="Times New Roman;serif"/>
          <w:b/>
          <w:color w:val="000000"/>
          <w:sz w:val="20"/>
        </w:rPr>
        <w:t>GAAP</w:t>
      </w:r>
      <w:r>
        <w:rPr>
          <w:color w:val="000000"/>
        </w:rPr>
        <w:t xml:space="preserve"> </w:t>
      </w:r>
      <w:r>
        <w:rPr>
          <w:rFonts w:ascii="Times New Roman;serif" w:hAnsi="Times New Roman;serif"/>
          <w:b w:val="false"/>
          <w:color w:val="000000"/>
          <w:sz w:val="20"/>
        </w:rPr>
        <w:t>- U.S. Generally Accepted Accounting Principles.</w:t>
      </w:r>
    </w:p>
    <w:p>
      <w:pPr>
        <w:pStyle w:val="TextBody"/>
        <w:bidi w:val="0"/>
        <w:spacing w:lineRule="auto" w:line="288" w:before="120" w:after="120"/>
        <w:jc w:val="both"/>
        <w:rPr/>
      </w:pPr>
      <w:r>
        <w:rPr>
          <w:rFonts w:ascii="Times New Roman;serif" w:hAnsi="Times New Roman;serif"/>
          <w:b/>
          <w:color w:val="000000"/>
          <w:sz w:val="20"/>
        </w:rPr>
        <w:t>Interest expense</w:t>
      </w:r>
      <w:r>
        <w:rPr>
          <w:color w:val="000000"/>
        </w:rPr>
        <w:t xml:space="preserve"> </w:t>
      </w:r>
      <w:r>
        <w:rPr>
          <w:rFonts w:ascii="Times New Roman;serif" w:hAnsi="Times New Roman;serif"/>
          <w:b w:val="false"/>
          <w:color w:val="000000"/>
          <w:sz w:val="20"/>
        </w:rPr>
        <w:t>- The following is a summary of the components of the Company's interest expense (in millions):</w:t>
      </w:r>
    </w:p>
    <w:tbl>
      <w:tblPr>
        <w:tblW w:w="10205" w:type="dxa"/>
        <w:jc w:val="left"/>
        <w:tblInd w:w="0" w:type="dxa"/>
        <w:tblLayout w:type="fixed"/>
        <w:tblCellMar>
          <w:top w:w="28" w:type="dxa"/>
          <w:left w:w="28" w:type="dxa"/>
          <w:bottom w:w="28" w:type="dxa"/>
          <w:right w:w="28" w:type="dxa"/>
        </w:tblCellMar>
      </w:tblPr>
      <w:tblGrid>
        <w:gridCol w:w="2155"/>
        <w:gridCol w:w="1859"/>
        <w:gridCol w:w="1866"/>
        <w:gridCol w:w="196"/>
        <w:gridCol w:w="466"/>
        <w:gridCol w:w="109"/>
        <w:gridCol w:w="109"/>
        <w:gridCol w:w="109"/>
        <w:gridCol w:w="109"/>
        <w:gridCol w:w="196"/>
        <w:gridCol w:w="466"/>
        <w:gridCol w:w="109"/>
        <w:gridCol w:w="109"/>
        <w:gridCol w:w="109"/>
        <w:gridCol w:w="109"/>
        <w:gridCol w:w="208"/>
        <w:gridCol w:w="495"/>
        <w:gridCol w:w="115"/>
        <w:gridCol w:w="115"/>
        <w:gridCol w:w="115"/>
        <w:gridCol w:w="115"/>
        <w:gridCol w:w="208"/>
        <w:gridCol w:w="590"/>
        <w:gridCol w:w="168"/>
      </w:tblGrid>
      <w:tr>
        <w:trPr/>
        <w:tc>
          <w:tcPr>
            <w:tcW w:w="2155"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Six Months Ended June 30, </w:t>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58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on secured debt, senior unsecured notes, and senior credit facility, net of interest rate swaps</w:t>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71.8 </w:t>
            </w:r>
          </w:p>
        </w:tc>
        <w:tc>
          <w:tcPr>
            <w:tcW w:w="11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127.4 </w:t>
            </w:r>
          </w:p>
        </w:tc>
        <w:tc>
          <w:tcPr>
            <w:tcW w:w="16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deferred financing costs, debt (premium) / discounts, and (gains) / losses on hedges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Senior credit facility commitment fees and other finance related charges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Capitalized interest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expense before interest on secured borrowings</w:t>
            </w:r>
          </w:p>
        </w:tc>
        <w:tc>
          <w:tcPr>
            <w:tcW w:w="6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74.8 </w:t>
            </w:r>
          </w:p>
        </w:tc>
        <w:tc>
          <w:tcPr>
            <w:tcW w:w="11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130.9 </w:t>
            </w:r>
          </w:p>
        </w:tc>
        <w:tc>
          <w:tcPr>
            <w:tcW w:w="16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expense on secured borrowings on collateralized receivables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 expense, per Condensed Consolidated Statements of Operations</w:t>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54.4 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76.5 </w:t>
            </w:r>
          </w:p>
        </w:tc>
        <w:tc>
          <w:tcPr>
            <w:tcW w:w="11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132.9 </w:t>
            </w:r>
          </w:p>
        </w:tc>
        <w:tc>
          <w:tcPr>
            <w:tcW w:w="16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24815"/>
                <wp:effectExtent l="0" t="0" r="0" b="0"/>
                <wp:wrapNone/>
                <wp:docPr id="61" name="Frame2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16 </w:t>
                            </w:r>
                            <w:r>
                              <w:rPr/>
                              <w:drawing>
                                <wp:inline distT="0" distB="0" distL="0" distR="0">
                                  <wp:extent cx="1228725" cy="333375"/>
                                  <wp:effectExtent l="0" t="0" r="0" b="0"/>
                                  <wp:docPr id="6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9" descr=""/>
                                          <pic:cNvPicPr>
                                            <a:picLocks noChangeAspect="1" noChangeArrowheads="1"/>
                                          </pic:cNvPicPr>
                                        </pic:nvPicPr>
                                        <pic:blipFill>
                                          <a:blip r:embed="rId35"/>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16 </w:t>
                      </w:r>
                      <w:r>
                        <w:rPr/>
                        <w:drawing>
                          <wp:inline distT="0" distB="0" distL="0" distR="0">
                            <wp:extent cx="1228725" cy="333375"/>
                            <wp:effectExtent l="0" t="0" r="0" b="0"/>
                            <wp:docPr id="6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9" descr=""/>
                                    <pic:cNvPicPr>
                                      <a:picLocks noChangeAspect="1" noChangeArrowheads="1"/>
                                    </pic:cNvPicPr>
                                  </pic:nvPicPr>
                                  <pic:blipFill>
                                    <a:blip r:embed="rId36"/>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color w:val="000000"/>
          <w:sz w:val="20"/>
        </w:rPr>
        <w:t>Loss of earnings - catastrophic event-related charges, net</w:t>
      </w:r>
      <w:r>
        <w:rPr>
          <w:color w:val="000000"/>
        </w:rPr>
        <w:t xml:space="preserve"> </w:t>
      </w:r>
      <w:r>
        <w:rPr>
          <w:rFonts w:ascii="Times New Roman;serif" w:hAnsi="Times New Roman;serif"/>
          <w:b w:val="false"/>
          <w:color w:val="000000"/>
          <w:sz w:val="20"/>
        </w:rPr>
        <w:t>- include the following (in millions):</w:t>
      </w:r>
    </w:p>
    <w:tbl>
      <w:tblPr>
        <w:tblW w:w="10205" w:type="dxa"/>
        <w:jc w:val="left"/>
        <w:tblInd w:w="0" w:type="dxa"/>
        <w:tblLayout w:type="fixed"/>
        <w:tblCellMar>
          <w:top w:w="28" w:type="dxa"/>
          <w:left w:w="28" w:type="dxa"/>
          <w:bottom w:w="28" w:type="dxa"/>
          <w:right w:w="28" w:type="dxa"/>
        </w:tblCellMar>
      </w:tblPr>
      <w:tblGrid>
        <w:gridCol w:w="2195"/>
        <w:gridCol w:w="1891"/>
        <w:gridCol w:w="1904"/>
        <w:gridCol w:w="201"/>
        <w:gridCol w:w="417"/>
        <w:gridCol w:w="111"/>
        <w:gridCol w:w="111"/>
        <w:gridCol w:w="111"/>
        <w:gridCol w:w="111"/>
        <w:gridCol w:w="201"/>
        <w:gridCol w:w="447"/>
        <w:gridCol w:w="111"/>
        <w:gridCol w:w="109"/>
        <w:gridCol w:w="109"/>
        <w:gridCol w:w="109"/>
        <w:gridCol w:w="221"/>
        <w:gridCol w:w="458"/>
        <w:gridCol w:w="123"/>
        <w:gridCol w:w="123"/>
        <w:gridCol w:w="123"/>
        <w:gridCol w:w="123"/>
        <w:gridCol w:w="221"/>
        <w:gridCol w:w="493"/>
        <w:gridCol w:w="182"/>
      </w:tblGrid>
      <w:tr>
        <w:trPr/>
        <w:tc>
          <w:tcPr>
            <w:tcW w:w="2195"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 xml:space="preserve">Six Months Ended June 30, </w:t>
            </w:r>
          </w:p>
        </w:tc>
      </w:tr>
      <w:tr>
        <w:trPr/>
        <w:tc>
          <w:tcPr>
            <w:tcW w:w="5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5990" w:type="dxa"/>
            <w:gridSpan w:val="3"/>
            <w:tcBorders/>
            <w:shd w:fill="DBDBDB" w:val="clear"/>
            <w:tcMar>
              <w:top w:w="0" w:type="dxa"/>
              <w:left w:w="0" w:type="dxa"/>
              <w:bottom w:w="0" w:type="dxa"/>
              <w:right w:w="0" w:type="dxa"/>
            </w:tcMar>
            <w:vAlign w:val="center"/>
          </w:tcPr>
          <w:p>
            <w:pPr>
              <w:pStyle w:val="TableContents"/>
              <w:bidi w:val="0"/>
              <w:spacing w:lineRule="auto" w:line="240" w:before="0" w:after="60"/>
              <w:jc w:val="both"/>
              <w:rPr>
                <w:rFonts w:ascii="Times New Roman;serif" w:hAnsi="Times New Roman;serif"/>
                <w:b w:val="false"/>
                <w:color w:val="000000"/>
                <w:sz w:val="17"/>
              </w:rPr>
            </w:pPr>
            <w:r>
              <w:rPr>
                <w:rFonts w:ascii="Times New Roman;serif" w:hAnsi="Times New Roman;serif"/>
                <w:b w:val="false"/>
                <w:color w:val="000000"/>
                <w:sz w:val="17"/>
              </w:rPr>
              <w:t>Hurricane Ian - Estimated loss of earnings in excess of the applicable business interruption deductible</w:t>
            </w:r>
          </w:p>
        </w:tc>
        <w:tc>
          <w:tcPr>
            <w:tcW w:w="20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1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4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4.1 </w:t>
            </w:r>
          </w:p>
        </w:tc>
        <w:tc>
          <w:tcPr>
            <w:tcW w:w="11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5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7.9 </w:t>
            </w:r>
          </w:p>
        </w:tc>
        <w:tc>
          <w:tcPr>
            <w:tcW w:w="18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7"/>
              </w:rPr>
            </w:pPr>
            <w:r>
              <w:rPr>
                <w:rFonts w:ascii="Times New Roman;serif" w:hAnsi="Times New Roman;serif"/>
                <w:b w:val="false"/>
                <w:color w:val="000000"/>
                <w:sz w:val="17"/>
              </w:rPr>
              <w:t>Hurricane Ian - Insurance recoveries realized for previously estimated loss of earnings</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7"/>
              </w:rPr>
              <w:t>Hurricane Ian - Recognition of deferred lump sum insurance settlement</w:t>
            </w:r>
            <w:r>
              <w:rPr>
                <w:rFonts w:ascii="Times New Roman;serif" w:hAnsi="Times New Roman;serif"/>
                <w:b w:val="false"/>
                <w:color w:val="000000"/>
                <w:sz w:val="11"/>
              </w:rPr>
              <w:t>(1)</w:t>
            </w:r>
          </w:p>
        </w:tc>
        <w:tc>
          <w:tcPr>
            <w:tcW w:w="6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7"/>
              </w:rPr>
            </w:pPr>
            <w:r>
              <w:rPr>
                <w:rFonts w:ascii="Times New Roman;serif" w:hAnsi="Times New Roman;serif"/>
                <w:b w:val="false"/>
                <w:color w:val="000000"/>
                <w:sz w:val="17"/>
              </w:rPr>
              <w:t>Hurricane Helene - Estimated loss of earnings in excess of the applicable business interruption deductible, net</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Loss of earnings - catastrophic event-related charges, net</w:t>
            </w:r>
          </w:p>
        </w:tc>
        <w:tc>
          <w:tcPr>
            <w:tcW w:w="20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1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4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w:t>
            </w:r>
          </w:p>
        </w:tc>
        <w:tc>
          <w:tcPr>
            <w:tcW w:w="1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5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12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w:t>
            </w:r>
          </w:p>
        </w:tc>
        <w:tc>
          <w:tcPr>
            <w:tcW w:w="18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During the year ended December 31, 2025, the Company received a settlement of $80.2 million from an insurance provider to settle all claims related to property, casualty, flood, and business interruption insurance recoveries from Hurricane Ian. The Company concluded that $36.5 million of the total settlement pertained to business interruption recoveries through 2027, which the Company recorded as a contingent gain in accordance with ASC 450, "</w:t>
      </w:r>
      <w:r>
        <w:rPr>
          <w:rFonts w:ascii="Times New Roman;serif" w:hAnsi="Times New Roman;serif"/>
          <w:b w:val="false"/>
          <w:i/>
          <w:color w:val="000000"/>
          <w:sz w:val="16"/>
        </w:rPr>
        <w:t>Contingencies</w:t>
      </w:r>
      <w:r>
        <w:rPr>
          <w:rFonts w:ascii="Times New Roman;serif" w:hAnsi="Times New Roman;serif"/>
          <w:b w:val="false"/>
          <w:color w:val="000000"/>
          <w:sz w:val="16"/>
        </w:rPr>
        <w:t>." To better reflect the underlying economics of the transaction, the Company has elected to defer the business interruption recovery gain and recognize income ratably through 2027 for the Company's presentation of Core FFO.</w:t>
      </w:r>
    </w:p>
    <w:p>
      <w:pPr>
        <w:pStyle w:val="TextBody"/>
        <w:bidi w:val="0"/>
        <w:spacing w:lineRule="auto" w:line="288" w:before="120" w:after="120"/>
        <w:jc w:val="both"/>
        <w:rPr/>
      </w:pPr>
      <w:r>
        <w:rPr>
          <w:rFonts w:ascii="Times New Roman;serif" w:hAnsi="Times New Roman;serif"/>
          <w:b/>
          <w:color w:val="000000"/>
          <w:sz w:val="20"/>
        </w:rPr>
        <w:t>NAREIT</w:t>
      </w:r>
      <w:r>
        <w:rPr>
          <w:color w:val="000000"/>
        </w:rPr>
        <w:t xml:space="preserve"> </w:t>
      </w:r>
      <w:r>
        <w:rPr>
          <w:rFonts w:ascii="Times New Roman;serif" w:hAnsi="Times New Roman;serif"/>
          <w:b w:val="false"/>
          <w:color w:val="000000"/>
          <w:sz w:val="20"/>
        </w:rPr>
        <w:t>- The National Association of Real Estate Investment Trusts is the worldwide representative voice for REITs and real estate companies with an interest in U.S. real estate and capital markets. More information is available at www.reit.com.</w:t>
      </w:r>
    </w:p>
    <w:p>
      <w:pPr>
        <w:pStyle w:val="TextBody"/>
        <w:bidi w:val="0"/>
        <w:spacing w:lineRule="auto" w:line="288" w:before="120" w:after="120"/>
        <w:jc w:val="both"/>
        <w:rPr/>
      </w:pPr>
      <w:r>
        <w:rPr>
          <w:rFonts w:ascii="Times New Roman;serif" w:hAnsi="Times New Roman;serif"/>
          <w:b/>
          <w:color w:val="000000"/>
          <w:sz w:val="20"/>
        </w:rPr>
        <w:t>Net Debt</w:t>
      </w:r>
      <w:r>
        <w:rPr>
          <w:color w:val="000000"/>
        </w:rPr>
        <w:t xml:space="preserve"> </w:t>
      </w:r>
      <w:r>
        <w:rPr>
          <w:rFonts w:ascii="Times New Roman;serif" w:hAnsi="Times New Roman;serif"/>
          <w:b w:val="false"/>
          <w:color w:val="000000"/>
          <w:sz w:val="20"/>
        </w:rPr>
        <w:t>- The carrying value of debt, plus, unamortized premiums, discounts, and deferred financing costs, less unrestricted cash and cash equivalents. The following table sets forth the components of Net Debt (in millions):</w:t>
      </w:r>
    </w:p>
    <w:tbl>
      <w:tblPr>
        <w:tblW w:w="10137" w:type="dxa"/>
        <w:jc w:val="left"/>
        <w:tblInd w:w="0" w:type="dxa"/>
        <w:tblLayout w:type="fixed"/>
        <w:tblCellMar>
          <w:top w:w="28" w:type="dxa"/>
          <w:left w:w="28" w:type="dxa"/>
          <w:bottom w:w="28" w:type="dxa"/>
          <w:right w:w="28" w:type="dxa"/>
        </w:tblCellMar>
      </w:tblPr>
      <w:tblGrid>
        <w:gridCol w:w="2586"/>
        <w:gridCol w:w="2270"/>
        <w:gridCol w:w="2284"/>
        <w:gridCol w:w="221"/>
        <w:gridCol w:w="781"/>
        <w:gridCol w:w="123"/>
        <w:gridCol w:w="109"/>
        <w:gridCol w:w="109"/>
        <w:gridCol w:w="109"/>
        <w:gridCol w:w="291"/>
        <w:gridCol w:w="1026"/>
        <w:gridCol w:w="228"/>
      </w:tblGrid>
      <w:tr>
        <w:trPr/>
        <w:tc>
          <w:tcPr>
            <w:tcW w:w="2586"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71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carrying value of debt, per condensed consolidated balance sheets</w:t>
            </w:r>
          </w:p>
        </w:tc>
        <w:tc>
          <w:tcPr>
            <w:tcW w:w="2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4,052.2 </w:t>
            </w:r>
          </w:p>
        </w:tc>
        <w:tc>
          <w:tcPr>
            <w:tcW w:w="12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4,258.7 </w:t>
            </w:r>
          </w:p>
        </w:tc>
        <w:tc>
          <w:tcPr>
            <w:tcW w:w="22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Plus: Unamortized deferred financing costs, discounts / premiums on debt, and fair value adjustments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Cash and cash equivalents (excluding restricted cash) - continuing operations</w:t>
            </w:r>
          </w:p>
        </w:tc>
        <w:tc>
          <w:tcPr>
            <w:tcW w:w="10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(150.6)</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(569.6)</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Cash and cash equivalents (excluding restricted cash) - discontinued operations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Debt</w:t>
            </w:r>
          </w:p>
        </w:tc>
        <w:tc>
          <w:tcPr>
            <w:tcW w:w="2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3,886.0 </w:t>
            </w:r>
          </w:p>
        </w:tc>
        <w:tc>
          <w:tcPr>
            <w:tcW w:w="12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3,708.4 </w:t>
            </w:r>
          </w:p>
        </w:tc>
        <w:tc>
          <w:tcPr>
            <w:tcW w:w="22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color w:val="000000"/>
          <w:sz w:val="20"/>
        </w:rPr>
        <w:t xml:space="preserve">Other adjustments, net - </w:t>
      </w:r>
      <w:r>
        <w:rPr>
          <w:rFonts w:ascii="Times New Roman;serif" w:hAnsi="Times New Roman;serif"/>
          <w:b w:val="false"/>
          <w:color w:val="000000"/>
          <w:sz w:val="20"/>
        </w:rPr>
        <w:t xml:space="preserve">In the Company's </w:t>
      </w:r>
      <w:r>
        <w:rPr>
          <w:rFonts w:ascii="Times New Roman;serif" w:hAnsi="Times New Roman;serif"/>
          <w:b w:val="false"/>
          <w:color w:val="2C324C"/>
          <w:sz w:val="20"/>
        </w:rPr>
        <w:t>Reconciliation of Net Income / (Loss) Attributable to SUI Common Shareholders to Core FFO</w:t>
      </w:r>
      <w:r>
        <w:rPr>
          <w:color w:val="000000"/>
        </w:rPr>
        <w:t xml:space="preserve"> </w:t>
      </w:r>
      <w:r>
        <w:rPr>
          <w:rFonts w:ascii="Times New Roman;serif" w:hAnsi="Times New Roman;serif"/>
          <w:b w:val="false"/>
          <w:color w:val="000000"/>
          <w:sz w:val="20"/>
        </w:rPr>
        <w:t xml:space="preserve">on page </w:t>
      </w:r>
      <w:hyperlink w:anchor="i9389ffd213a74f848e53c1f852859546_61">
        <w:r>
          <w:rPr>
            <w:rStyle w:val="InternetLink"/>
            <w:rFonts w:ascii="Times New Roman;serif" w:hAnsi="Times New Roman;serif"/>
            <w:b w:val="false"/>
            <w:strike w:val="false"/>
            <w:dstrike w:val="false"/>
            <w:color w:val="000000"/>
            <w:sz w:val="20"/>
            <w:u w:val="none"/>
            <w:effect w:val="none"/>
          </w:rPr>
          <w:t>5</w:t>
        </w:r>
      </w:hyperlink>
      <w:r>
        <w:rPr>
          <w:rFonts w:ascii="Times New Roman;serif" w:hAnsi="Times New Roman;serif"/>
          <w:b w:val="false"/>
          <w:color w:val="000000"/>
          <w:sz w:val="20"/>
        </w:rPr>
        <w:t>, Other adjustments, net - continuing operations and Other adjustments, net - discontinued operations consist of the following (in millions):</w:t>
      </w:r>
    </w:p>
    <w:tbl>
      <w:tblPr>
        <w:tblW w:w="7930" w:type="dxa"/>
        <w:jc w:val="left"/>
        <w:tblInd w:w="0" w:type="dxa"/>
        <w:tblLayout w:type="fixed"/>
        <w:tblCellMar>
          <w:top w:w="28" w:type="dxa"/>
          <w:left w:w="28" w:type="dxa"/>
          <w:bottom w:w="28" w:type="dxa"/>
          <w:right w:w="28" w:type="dxa"/>
        </w:tblCellMar>
      </w:tblPr>
      <w:tblGrid>
        <w:gridCol w:w="1297"/>
        <w:gridCol w:w="1142"/>
        <w:gridCol w:w="1145"/>
        <w:gridCol w:w="203"/>
        <w:gridCol w:w="421"/>
        <w:gridCol w:w="113"/>
        <w:gridCol w:w="113"/>
        <w:gridCol w:w="113"/>
        <w:gridCol w:w="113"/>
        <w:gridCol w:w="203"/>
        <w:gridCol w:w="467"/>
        <w:gridCol w:w="113"/>
        <w:gridCol w:w="109"/>
        <w:gridCol w:w="109"/>
        <w:gridCol w:w="109"/>
        <w:gridCol w:w="223"/>
        <w:gridCol w:w="530"/>
        <w:gridCol w:w="124"/>
        <w:gridCol w:w="124"/>
        <w:gridCol w:w="124"/>
        <w:gridCol w:w="124"/>
        <w:gridCol w:w="223"/>
        <w:gridCol w:w="513"/>
        <w:gridCol w:w="175"/>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Six Months Ended June 30, </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adjustments, net - continuing operations</w:t>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Contingent consideration gains</w:t>
            </w:r>
          </w:p>
        </w:tc>
        <w:tc>
          <w:tcPr>
            <w:tcW w:w="2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3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w:t>
            </w:r>
          </w:p>
        </w:tc>
        <w:tc>
          <w:tcPr>
            <w:tcW w:w="17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insurance recovery</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 hedge gains from debt extinguishments</w:t>
            </w:r>
          </w:p>
        </w:tc>
        <w:tc>
          <w:tcPr>
            <w:tcW w:w="6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Severance costs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Accelerated deferred compensation amortization </w:t>
            </w:r>
          </w:p>
        </w:tc>
        <w:tc>
          <w:tcPr>
            <w:tcW w:w="6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ERP implementation expense</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6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adjustments, net - continuing operations</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10" w:type="dxa"/>
        <w:jc w:val="left"/>
        <w:tblInd w:w="0" w:type="dxa"/>
        <w:tblLayout w:type="fixed"/>
        <w:tblCellMar>
          <w:top w:w="28" w:type="dxa"/>
          <w:left w:w="28" w:type="dxa"/>
          <w:bottom w:w="28" w:type="dxa"/>
          <w:right w:w="28" w:type="dxa"/>
        </w:tblCellMar>
      </w:tblPr>
      <w:tblGrid>
        <w:gridCol w:w="1321"/>
        <w:gridCol w:w="1159"/>
        <w:gridCol w:w="1165"/>
        <w:gridCol w:w="196"/>
        <w:gridCol w:w="451"/>
        <w:gridCol w:w="109"/>
        <w:gridCol w:w="109"/>
        <w:gridCol w:w="109"/>
        <w:gridCol w:w="109"/>
        <w:gridCol w:w="196"/>
        <w:gridCol w:w="541"/>
        <w:gridCol w:w="109"/>
        <w:gridCol w:w="109"/>
        <w:gridCol w:w="109"/>
        <w:gridCol w:w="109"/>
        <w:gridCol w:w="208"/>
        <w:gridCol w:w="495"/>
        <w:gridCol w:w="115"/>
        <w:gridCol w:w="115"/>
        <w:gridCol w:w="115"/>
        <w:gridCol w:w="115"/>
        <w:gridCol w:w="208"/>
        <w:gridCol w:w="575"/>
        <w:gridCol w:w="163"/>
      </w:tblGrid>
      <w:tr>
        <w:trPr/>
        <w:tc>
          <w:tcPr>
            <w:tcW w:w="13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adjustments, net - discontinued operations</w:t>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36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Long term lease termination (gains) / losses</w:t>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11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w:t>
            </w:r>
          </w:p>
        </w:tc>
        <w:tc>
          <w:tcPr>
            <w:tcW w:w="16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Contingent consideration expense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adjustments, net - discontinued operations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24815"/>
                <wp:effectExtent l="0" t="0" r="0" b="0"/>
                <wp:wrapNone/>
                <wp:docPr id="64" name="Frame2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17 </w:t>
                            </w:r>
                            <w:r>
                              <w:rPr/>
                              <w:drawing>
                                <wp:inline distT="0" distB="0" distL="0" distR="0">
                                  <wp:extent cx="1228725" cy="333375"/>
                                  <wp:effectExtent l="0" t="0" r="0" b="0"/>
                                  <wp:docPr id="6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0" descr=""/>
                                          <pic:cNvPicPr>
                                            <a:picLocks noChangeAspect="1" noChangeArrowheads="1"/>
                                          </pic:cNvPicPr>
                                        </pic:nvPicPr>
                                        <pic:blipFill>
                                          <a:blip r:embed="rId37"/>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17 </w:t>
                      </w:r>
                      <w:r>
                        <w:rPr/>
                        <w:drawing>
                          <wp:inline distT="0" distB="0" distL="0" distR="0">
                            <wp:extent cx="1228725" cy="333375"/>
                            <wp:effectExtent l="0" t="0" r="0" b="0"/>
                            <wp:docPr id="6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0" descr=""/>
                                    <pic:cNvPicPr>
                                      <a:picLocks noChangeAspect="1" noChangeArrowheads="1"/>
                                    </pic:cNvPicPr>
                                  </pic:nvPicPr>
                                  <pic:blipFill>
                                    <a:blip r:embed="rId38"/>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color w:val="000000"/>
          <w:sz w:val="20"/>
        </w:rPr>
        <w:t>Other income / (expense), net</w:t>
      </w:r>
      <w:r>
        <w:rPr>
          <w:color w:val="000000"/>
        </w:rPr>
        <w:t xml:space="preserve"> </w:t>
      </w:r>
      <w:r>
        <w:rPr>
          <w:rFonts w:ascii="Times New Roman;serif" w:hAnsi="Times New Roman;serif"/>
          <w:b w:val="false"/>
          <w:color w:val="000000"/>
          <w:sz w:val="20"/>
        </w:rPr>
        <w:t xml:space="preserve">- In the Company's Condensed Consolidated Statements of Operations on page </w:t>
      </w:r>
      <w:hyperlink w:anchor="i9389ffd213a74f848e53c1f852859546_58">
        <w:r>
          <w:rPr>
            <w:rStyle w:val="InternetLink"/>
            <w:rFonts w:ascii="Times New Roman;serif" w:hAnsi="Times New Roman;serif"/>
            <w:b w:val="false"/>
            <w:strike w:val="false"/>
            <w:dstrike w:val="false"/>
            <w:color w:val="000000"/>
            <w:sz w:val="20"/>
            <w:u w:val="none"/>
            <w:effect w:val="none"/>
          </w:rPr>
          <w:t>4</w:t>
        </w:r>
      </w:hyperlink>
      <w:r>
        <w:rPr>
          <w:rFonts w:ascii="Times New Roman;serif" w:hAnsi="Times New Roman;serif"/>
          <w:b w:val="false"/>
          <w:color w:val="000000"/>
          <w:sz w:val="20"/>
        </w:rPr>
        <w:t>, Other income / (expense), net consists of the following (in millions):</w:t>
      </w:r>
    </w:p>
    <w:tbl>
      <w:tblPr>
        <w:tblW w:w="9715" w:type="dxa"/>
        <w:jc w:val="left"/>
        <w:tblInd w:w="0" w:type="dxa"/>
        <w:tblLayout w:type="fixed"/>
        <w:tblCellMar>
          <w:top w:w="28" w:type="dxa"/>
          <w:left w:w="28" w:type="dxa"/>
          <w:bottom w:w="28" w:type="dxa"/>
          <w:right w:w="28" w:type="dxa"/>
        </w:tblCellMar>
      </w:tblPr>
      <w:tblGrid>
        <w:gridCol w:w="1946"/>
        <w:gridCol w:w="1707"/>
        <w:gridCol w:w="1717"/>
        <w:gridCol w:w="203"/>
        <w:gridCol w:w="467"/>
        <w:gridCol w:w="113"/>
        <w:gridCol w:w="113"/>
        <w:gridCol w:w="113"/>
        <w:gridCol w:w="113"/>
        <w:gridCol w:w="203"/>
        <w:gridCol w:w="421"/>
        <w:gridCol w:w="113"/>
        <w:gridCol w:w="109"/>
        <w:gridCol w:w="109"/>
        <w:gridCol w:w="109"/>
        <w:gridCol w:w="228"/>
        <w:gridCol w:w="473"/>
        <w:gridCol w:w="127"/>
        <w:gridCol w:w="127"/>
        <w:gridCol w:w="127"/>
        <w:gridCol w:w="127"/>
        <w:gridCol w:w="228"/>
        <w:gridCol w:w="543"/>
        <w:gridCol w:w="179"/>
      </w:tblGrid>
      <w:tr>
        <w:trPr/>
        <w:tc>
          <w:tcPr>
            <w:tcW w:w="1946"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Six Months Ended June 30, </w:t>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53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Contingent consideration gains</w:t>
            </w:r>
          </w:p>
        </w:tc>
        <w:tc>
          <w:tcPr>
            <w:tcW w:w="2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6.0 </w:t>
            </w:r>
          </w:p>
        </w:tc>
        <w:tc>
          <w:tcPr>
            <w:tcW w:w="17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on insurance recovery</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Cash flow hedge gains from debt extinguishments</w:t>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Repair reserve on repossessed homes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collateralized receivables</w:t>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on remeasurement of secured borrowings on collateralized receivables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6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income / (expense), net</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color w:val="000000"/>
          <w:sz w:val="20"/>
        </w:rPr>
        <w:t>Safe Harbor Sale</w:t>
      </w:r>
      <w:r>
        <w:rPr>
          <w:color w:val="000000"/>
        </w:rPr>
        <w:t xml:space="preserve"> </w:t>
      </w:r>
      <w:r>
        <w:rPr>
          <w:rFonts w:ascii="Times New Roman;serif" w:hAnsi="Times New Roman;serif"/>
          <w:b w:val="false"/>
          <w:color w:val="000000"/>
          <w:sz w:val="20"/>
        </w:rPr>
        <w:t>- The Company's sale of Safe Harbor Marinas, LLC in 2025.</w:t>
      </w:r>
    </w:p>
    <w:p>
      <w:pPr>
        <w:pStyle w:val="TextBody"/>
        <w:bidi w:val="0"/>
        <w:spacing w:lineRule="auto" w:line="288" w:before="120" w:after="120"/>
        <w:jc w:val="both"/>
        <w:rPr/>
      </w:pPr>
      <w:r>
        <w:rPr>
          <w:rFonts w:ascii="Times New Roman;serif" w:hAnsi="Times New Roman;serif"/>
          <w:b/>
          <w:color w:val="000000"/>
          <w:sz w:val="20"/>
        </w:rPr>
        <w:t>Same Property</w:t>
      </w:r>
      <w:r>
        <w:rPr>
          <w:color w:val="000000"/>
        </w:rPr>
        <w:t xml:space="preserve"> </w:t>
      </w:r>
      <w:r>
        <w:rPr>
          <w:rFonts w:ascii="Times New Roman;serif" w:hAnsi="Times New Roman;serif"/>
          <w:b w:val="false"/>
          <w:color w:val="000000"/>
          <w:sz w:val="20"/>
        </w:rPr>
        <w:t>- The Company defines Same Properties as those the Company has owned and operated continuously since at least January 1, 2025. Same properties exclude ground-up development properties, acquired properties, properties classified as discontinued operations, properties impacted by catastrophic weather events, and properties sold after December 31, 2024. The Same Property data may change from time-to-time depending on acquisitions, dispositions, management discretion, significant transactions, or unique situations.</w:t>
      </w:r>
    </w:p>
    <w:p>
      <w:pPr>
        <w:pStyle w:val="TextBody"/>
        <w:bidi w:val="0"/>
        <w:spacing w:lineRule="auto" w:line="288" w:before="120" w:after="120"/>
        <w:jc w:val="both"/>
        <w:rPr/>
      </w:pPr>
      <w:r>
        <w:rPr>
          <w:rFonts w:ascii="Times New Roman;serif" w:hAnsi="Times New Roman;serif"/>
          <w:b/>
          <w:color w:val="000000"/>
          <w:sz w:val="20"/>
        </w:rPr>
        <w:t>Secured borrowings on collateralized receivables</w:t>
      </w:r>
      <w:r>
        <w:rPr>
          <w:color w:val="000000"/>
        </w:rPr>
        <w:t xml:space="preserve"> </w:t>
      </w:r>
      <w:r>
        <w:rPr>
          <w:rFonts w:ascii="Times New Roman;serif" w:hAnsi="Times New Roman;serif"/>
          <w:b w:val="false"/>
          <w:color w:val="000000"/>
          <w:sz w:val="20"/>
        </w:rPr>
        <w:t>- This is a transferred asset transaction which has been classified as collateralized receivables and the cash received from this transaction has been classified as secured borrowings. The interest income and interest expense accrue in equal amounts. The Company has elected to record the collateralized receivables and secured borrowings at fair value under ASC 820, "</w:t>
      </w:r>
      <w:r>
        <w:rPr>
          <w:rFonts w:ascii="Times New Roman;serif" w:hAnsi="Times New Roman;serif"/>
          <w:b w:val="false"/>
          <w:i/>
          <w:color w:val="000000"/>
          <w:sz w:val="20"/>
        </w:rPr>
        <w:t>Fair Value Measurements</w:t>
      </w:r>
      <w:r>
        <w:rPr>
          <w:rFonts w:ascii="Times New Roman;serif" w:hAnsi="Times New Roman;serif"/>
          <w:b w:val="false"/>
          <w:color w:val="000000"/>
          <w:sz w:val="20"/>
        </w:rPr>
        <w:t>." As a result, the balance of collateralized receivables and related secured borrowings are net of fair value adjustments.</w:t>
      </w:r>
    </w:p>
    <w:p>
      <w:pPr>
        <w:pStyle w:val="TextBody"/>
        <w:bidi w:val="0"/>
        <w:spacing w:lineRule="auto" w:line="288" w:before="120" w:after="120"/>
        <w:jc w:val="both"/>
        <w:rPr/>
      </w:pPr>
      <w:r>
        <w:rPr>
          <w:rFonts w:ascii="Times New Roman;serif" w:hAnsi="Times New Roman;serif"/>
          <w:b/>
          <w:color w:val="000000"/>
          <w:sz w:val="20"/>
        </w:rPr>
        <w:t>Securities</w:t>
      </w:r>
      <w:r>
        <w:rPr>
          <w:color w:val="000000"/>
        </w:rPr>
        <w:t xml:space="preserve"> </w:t>
      </w:r>
      <w:r>
        <w:rPr>
          <w:rFonts w:ascii="Times New Roman;serif" w:hAnsi="Times New Roman;serif"/>
          <w:b w:val="false"/>
          <w:color w:val="000000"/>
          <w:sz w:val="20"/>
        </w:rPr>
        <w:t>- The Company had the following securities outstanding as of June 30, 2026:</w:t>
      </w:r>
    </w:p>
    <w:tbl>
      <w:tblPr>
        <w:tblW w:w="10205" w:type="dxa"/>
        <w:jc w:val="left"/>
        <w:tblInd w:w="0" w:type="dxa"/>
        <w:tblLayout w:type="fixed"/>
        <w:tblCellMar>
          <w:top w:w="28" w:type="dxa"/>
          <w:left w:w="28" w:type="dxa"/>
          <w:bottom w:w="28" w:type="dxa"/>
          <w:right w:w="28" w:type="dxa"/>
        </w:tblCellMar>
      </w:tblPr>
      <w:tblGrid>
        <w:gridCol w:w="706"/>
        <w:gridCol w:w="620"/>
        <w:gridCol w:w="623"/>
        <w:gridCol w:w="706"/>
        <w:gridCol w:w="662"/>
        <w:gridCol w:w="664"/>
        <w:gridCol w:w="109"/>
        <w:gridCol w:w="109"/>
        <w:gridCol w:w="109"/>
        <w:gridCol w:w="389"/>
        <w:gridCol w:w="371"/>
        <w:gridCol w:w="373"/>
        <w:gridCol w:w="109"/>
        <w:gridCol w:w="109"/>
        <w:gridCol w:w="109"/>
        <w:gridCol w:w="469"/>
        <w:gridCol w:w="469"/>
        <w:gridCol w:w="471"/>
        <w:gridCol w:w="109"/>
        <w:gridCol w:w="109"/>
        <w:gridCol w:w="109"/>
        <w:gridCol w:w="208"/>
        <w:gridCol w:w="685"/>
        <w:gridCol w:w="115"/>
        <w:gridCol w:w="109"/>
        <w:gridCol w:w="109"/>
        <w:gridCol w:w="109"/>
        <w:gridCol w:w="306"/>
        <w:gridCol w:w="289"/>
        <w:gridCol w:w="771"/>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Number of Units / Shares Outstanding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Conversion Rate</w:t>
            </w:r>
            <w:r>
              <w:rPr>
                <w:rFonts w:ascii="Times New Roman;serif" w:hAnsi="Times New Roman;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 xml:space="preserve">If Converted to </w:t>
            </w:r>
          </w:p>
          <w:p>
            <w:pPr>
              <w:pStyle w:val="TableContents"/>
              <w:bidi w:val="0"/>
              <w:spacing w:lineRule="auto" w:line="240" w:before="0" w:after="0"/>
              <w:jc w:val="center"/>
              <w:rPr/>
            </w:pPr>
            <w:r>
              <w:rPr>
                <w:rFonts w:ascii="Times New Roman;serif" w:hAnsi="Times New Roman;serif"/>
                <w:b/>
                <w:color w:val="000000"/>
                <w:sz w:val="17"/>
              </w:rPr>
              <w:t>Common shares (in thousands)</w:t>
            </w:r>
            <w:r>
              <w:rPr>
                <w:rFonts w:ascii="Times New Roman;serif" w:hAnsi="Times New Roman;serif"/>
                <w:b/>
                <w:color w:val="000000"/>
                <w:sz w:val="11"/>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Issuance Price</w:t>
              <w:br/>
              <w:t>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Annual Distribution Rate</w:t>
            </w:r>
          </w:p>
        </w:tc>
      </w:tr>
      <w:tr>
        <w:trPr/>
        <w:tc>
          <w:tcPr>
            <w:tcW w:w="19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Non-Convertible Securities</w:t>
            </w:r>
          </w:p>
        </w:tc>
        <w:tc>
          <w:tcPr>
            <w:tcW w:w="203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shares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122,507 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7"/>
              </w:rPr>
              <w:t>$4.48</w:t>
            </w:r>
            <w:r>
              <w:rPr>
                <w:rFonts w:ascii="Times New Roman;serif" w:hAnsi="Times New Roman;serif"/>
                <w:b w:val="false"/>
                <w:color w:val="000000"/>
                <w:sz w:val="11"/>
              </w:rPr>
              <w:t>(c)</w:t>
            </w:r>
          </w:p>
        </w:tc>
      </w:tr>
      <w:tr>
        <w:trPr/>
        <w:tc>
          <w:tcPr>
            <w:tcW w:w="19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Convertible Securities Classified as Equity</w:t>
            </w:r>
          </w:p>
        </w:tc>
        <w:tc>
          <w:tcPr>
            <w:tcW w:w="20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OP units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2,353 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7"/>
              </w:rPr>
              <w:t>$4.48</w:t>
            </w:r>
            <w:r>
              <w:rPr>
                <w:rFonts w:ascii="Times New Roman;serif" w:hAnsi="Times New Roman;serif"/>
                <w:b w:val="false"/>
                <w:color w:val="000000"/>
                <w:sz w:val="11"/>
              </w:rPr>
              <w:t>(c)</w:t>
            </w:r>
          </w:p>
        </w:tc>
      </w:tr>
      <w:tr>
        <w:trPr/>
        <w:tc>
          <w:tcPr>
            <w:tcW w:w="19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Preferred OP Units</w:t>
            </w:r>
          </w:p>
        </w:tc>
        <w:tc>
          <w:tcPr>
            <w:tcW w:w="20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Series A-1 </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2.4390 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6.00 </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Series A-3 </w:t>
            </w:r>
          </w:p>
        </w:tc>
        <w:tc>
          <w:tcPr>
            <w:tcW w:w="13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6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1.8605 </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4.50 </w:t>
            </w:r>
          </w:p>
        </w:tc>
        <w:tc>
          <w:tcPr>
            <w:tcW w:w="7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Series C </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292 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1.1100 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5.00 </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Series D </w:t>
            </w:r>
          </w:p>
        </w:tc>
        <w:tc>
          <w:tcPr>
            <w:tcW w:w="13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489 </w:t>
            </w:r>
          </w:p>
        </w:tc>
        <w:tc>
          <w:tcPr>
            <w:tcW w:w="6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0.8000 </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391 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4.00 </w:t>
            </w:r>
          </w:p>
        </w:tc>
        <w:tc>
          <w:tcPr>
            <w:tcW w:w="7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Series E </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0.6897 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5.50 </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F</w:t>
            </w:r>
          </w:p>
        </w:tc>
        <w:tc>
          <w:tcPr>
            <w:tcW w:w="13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6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0.6250 </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3.00 </w:t>
            </w:r>
          </w:p>
        </w:tc>
        <w:tc>
          <w:tcPr>
            <w:tcW w:w="7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G</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0.6452 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3.20 </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H</w:t>
            </w:r>
          </w:p>
        </w:tc>
        <w:tc>
          <w:tcPr>
            <w:tcW w:w="13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47 </w:t>
            </w:r>
          </w:p>
        </w:tc>
        <w:tc>
          <w:tcPr>
            <w:tcW w:w="6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0.6098 </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3.00 </w:t>
            </w:r>
          </w:p>
        </w:tc>
        <w:tc>
          <w:tcPr>
            <w:tcW w:w="7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Series J </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0.6061 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2.85 </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K</w:t>
            </w:r>
          </w:p>
        </w:tc>
        <w:tc>
          <w:tcPr>
            <w:tcW w:w="13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6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0.5882 </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588 </w:t>
            </w:r>
          </w:p>
        </w:tc>
        <w:tc>
          <w:tcPr>
            <w:tcW w:w="4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4.00 </w:t>
            </w:r>
          </w:p>
        </w:tc>
        <w:tc>
          <w:tcPr>
            <w:tcW w:w="7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L</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0.6250 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3.50 </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w:t>
            </w:r>
          </w:p>
        </w:tc>
        <w:tc>
          <w:tcPr>
            <w:tcW w:w="136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2,379 </w:t>
            </w:r>
          </w:p>
        </w:tc>
        <w:tc>
          <w:tcPr>
            <w:tcW w:w="66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2,007 </w:t>
            </w:r>
          </w:p>
        </w:tc>
        <w:tc>
          <w:tcPr>
            <w:tcW w:w="47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Convertible Securities Outstanding</w:t>
            </w:r>
          </w:p>
        </w:tc>
        <w:tc>
          <w:tcPr>
            <w:tcW w:w="13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4,732 </w:t>
            </w:r>
          </w:p>
        </w:tc>
        <w:tc>
          <w:tcPr>
            <w:tcW w:w="6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4,360 </w:t>
            </w:r>
          </w:p>
        </w:tc>
        <w:tc>
          <w:tcPr>
            <w:tcW w:w="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Exchange rates are subject to adjustment upon stock splits, recapitalizations, and similar events. The exchange rates of certain series of OP units are approximated to four decimal places.</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(b) </w:t>
      </w:r>
      <w:r>
        <w:rPr>
          <w:rFonts w:ascii="Times New Roman;serif" w:hAnsi="Times New Roman;serif"/>
          <w:b w:val="false"/>
          <w:color w:val="000000"/>
          <w:sz w:val="16"/>
        </w:rPr>
        <w:t>Calculation may yield minor differences due to fractional shares paid in cash to the shareholder at conversion.</w:t>
      </w:r>
    </w:p>
    <w:p>
      <w:pPr>
        <w:pStyle w:val="TextBody"/>
        <w:bidi w:val="0"/>
        <w:spacing w:lineRule="auto" w:line="288" w:before="0" w:after="120"/>
        <w:ind w:left="0" w:right="0" w:hanging="180"/>
        <w:jc w:val="both"/>
        <w:rPr/>
      </w:pPr>
      <w:r>
        <w:rPr>
          <w:rFonts w:ascii="Times New Roman;serif" w:hAnsi="Times New Roman;serif"/>
          <w:b w:val="false"/>
          <w:color w:val="000000"/>
          <w:sz w:val="10"/>
        </w:rPr>
        <w:t xml:space="preserve">(c) </w:t>
      </w:r>
      <w:r>
        <w:rPr>
          <w:rFonts w:ascii="Times New Roman;serif" w:hAnsi="Times New Roman;serif"/>
          <w:b w:val="false"/>
          <w:color w:val="000000"/>
          <w:sz w:val="16"/>
        </w:rPr>
        <w:t>Annual distribution is based on the last quarterly distribution annualized.</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24815"/>
                <wp:effectExtent l="0" t="0" r="0" b="0"/>
                <wp:wrapNone/>
                <wp:docPr id="67" name="Frame3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18 </w:t>
                            </w:r>
                            <w:r>
                              <w:rPr/>
                              <w:drawing>
                                <wp:inline distT="0" distB="0" distL="0" distR="0">
                                  <wp:extent cx="1228725" cy="333375"/>
                                  <wp:effectExtent l="0" t="0" r="0" b="0"/>
                                  <wp:docPr id="6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1" descr=""/>
                                          <pic:cNvPicPr>
                                            <a:picLocks noChangeAspect="1" noChangeArrowheads="1"/>
                                          </pic:cNvPicPr>
                                        </pic:nvPicPr>
                                        <pic:blipFill>
                                          <a:blip r:embed="rId39"/>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18 </w:t>
                      </w:r>
                      <w:r>
                        <w:rPr/>
                        <w:drawing>
                          <wp:inline distT="0" distB="0" distL="0" distR="0">
                            <wp:extent cx="1228725" cy="333375"/>
                            <wp:effectExtent l="0" t="0" r="0" b="0"/>
                            <wp:docPr id="6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1" descr=""/>
                                    <pic:cNvPicPr>
                                      <a:picLocks noChangeAspect="1" noChangeArrowheads="1"/>
                                    </pic:cNvPicPr>
                                  </pic:nvPicPr>
                                  <pic:blipFill>
                                    <a:blip r:embed="rId40"/>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color w:val="000000"/>
          <w:sz w:val="20"/>
        </w:rPr>
        <w:t>Share</w:t>
      </w:r>
      <w:r>
        <w:rPr>
          <w:color w:val="000000"/>
        </w:rPr>
        <w:t xml:space="preserve"> </w:t>
      </w:r>
      <w:r>
        <w:rPr>
          <w:rFonts w:ascii="Times New Roman;serif" w:hAnsi="Times New Roman;serif"/>
          <w:b w:val="false"/>
          <w:color w:val="000000"/>
          <w:sz w:val="20"/>
        </w:rPr>
        <w:t>- In addition to reporting net income on a diluted basis ("EPS"), the Company reports FFO and Core FFO on a per common share and convertible securities basis (per "Share"). For the periods presented below, the Company's diluted weighted average common shares outstanding for EPS and FFO are as follows:</w:t>
      </w:r>
    </w:p>
    <w:tbl>
      <w:tblPr>
        <w:tblW w:w="9874" w:type="dxa"/>
        <w:jc w:val="left"/>
        <w:tblInd w:w="0" w:type="dxa"/>
        <w:tblLayout w:type="fixed"/>
        <w:tblCellMar>
          <w:top w:w="28" w:type="dxa"/>
          <w:left w:w="28" w:type="dxa"/>
          <w:bottom w:w="28" w:type="dxa"/>
          <w:right w:w="28" w:type="dxa"/>
        </w:tblCellMar>
      </w:tblPr>
      <w:tblGrid>
        <w:gridCol w:w="1810"/>
        <w:gridCol w:w="1590"/>
        <w:gridCol w:w="1595"/>
        <w:gridCol w:w="320"/>
        <w:gridCol w:w="236"/>
        <w:gridCol w:w="206"/>
        <w:gridCol w:w="206"/>
        <w:gridCol w:w="206"/>
        <w:gridCol w:w="206"/>
        <w:gridCol w:w="320"/>
        <w:gridCol w:w="236"/>
        <w:gridCol w:w="206"/>
        <w:gridCol w:w="109"/>
        <w:gridCol w:w="109"/>
        <w:gridCol w:w="109"/>
        <w:gridCol w:w="356"/>
        <w:gridCol w:w="229"/>
        <w:gridCol w:w="229"/>
        <w:gridCol w:w="229"/>
        <w:gridCol w:w="229"/>
        <w:gridCol w:w="229"/>
        <w:gridCol w:w="356"/>
        <w:gridCol w:w="229"/>
        <w:gridCol w:w="324"/>
      </w:tblGrid>
      <w:tr>
        <w:trPr/>
        <w:tc>
          <w:tcPr>
            <w:tcW w:w="181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Six Months Ended June 30, </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Diluted Weighted Average Common Shares Outstanding - EPS</w:t>
            </w:r>
          </w:p>
        </w:tc>
        <w:tc>
          <w:tcPr>
            <w:tcW w:w="7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shares outstanding - Basic</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126.5 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Dilutive restricted stock</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2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and preferred OP units dilutive effect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7"/>
              </w:rPr>
            </w:pPr>
            <w:r>
              <w:rPr>
                <w:rFonts w:ascii="Times New Roman;serif" w:hAnsi="Times New Roman;serif"/>
                <w:b/>
                <w:color w:val="000000"/>
                <w:sz w:val="17"/>
              </w:rPr>
              <w:t>Weighted Average Common Shares Outstanding - Diluted</w:t>
            </w:r>
          </w:p>
        </w:tc>
        <w:tc>
          <w:tcPr>
            <w:tcW w:w="55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127.0 </w:t>
            </w:r>
          </w:p>
        </w:tc>
        <w:tc>
          <w:tcPr>
            <w:tcW w:w="20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126.4 </w:t>
            </w:r>
          </w:p>
        </w:tc>
        <w:tc>
          <w:tcPr>
            <w:tcW w:w="20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127.4 </w:t>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126.5 </w:t>
            </w:r>
          </w:p>
        </w:tc>
        <w:tc>
          <w:tcPr>
            <w:tcW w:w="32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Diluted Weighted Average Common Shares Outstanding - FFO</w:t>
            </w:r>
          </w:p>
        </w:tc>
        <w:tc>
          <w:tcPr>
            <w:tcW w:w="7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shares outstanding - Basic</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122.5 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126.4 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122.6 </w:t>
            </w:r>
          </w:p>
        </w:tc>
        <w:tc>
          <w:tcPr>
            <w:tcW w:w="2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126.5 </w:t>
            </w:r>
          </w:p>
        </w:tc>
        <w:tc>
          <w:tcPr>
            <w:tcW w:w="3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OP units</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2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3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issuable upon conversion of certain preferred OP units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Weighted Average Common Shares and OP Units Outstanding</w:t>
            </w:r>
          </w:p>
        </w:tc>
        <w:tc>
          <w:tcPr>
            <w:tcW w:w="556"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127.0 </w:t>
            </w:r>
          </w:p>
        </w:tc>
        <w:tc>
          <w:tcPr>
            <w:tcW w:w="20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131.8 </w:t>
            </w:r>
          </w:p>
        </w:tc>
        <w:tc>
          <w:tcPr>
            <w:tcW w:w="20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127.4 </w:t>
            </w:r>
          </w:p>
        </w:tc>
        <w:tc>
          <w:tcPr>
            <w:tcW w:w="22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132.1 </w:t>
            </w:r>
          </w:p>
        </w:tc>
        <w:tc>
          <w:tcPr>
            <w:tcW w:w="32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color w:val="000000"/>
          <w:sz w:val="20"/>
        </w:rPr>
        <w:t xml:space="preserve">Utility Revenues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In its </w:t>
      </w:r>
      <w:r>
        <w:rPr>
          <w:rFonts w:ascii="Times New Roman;serif" w:hAnsi="Times New Roman;serif"/>
          <w:b w:val="false"/>
          <w:color w:val="2C324C"/>
          <w:sz w:val="20"/>
        </w:rPr>
        <w:t>Condensed Consolidated Statements of Operations</w:t>
      </w:r>
      <w:r>
        <w:rPr>
          <w:color w:val="000000"/>
        </w:rPr>
        <w:t xml:space="preserve"> </w:t>
      </w:r>
      <w:r>
        <w:rPr>
          <w:rFonts w:ascii="Times New Roman;serif" w:hAnsi="Times New Roman;serif"/>
          <w:b w:val="false"/>
          <w:color w:val="000000"/>
          <w:sz w:val="20"/>
        </w:rPr>
        <w:t>and its total portfolio presentation of real property operating results, the Company includes the following utility reimbursement revenues in real property revenues (excluding transient) (in millions):</w:t>
      </w:r>
    </w:p>
    <w:tbl>
      <w:tblPr>
        <w:tblW w:w="6739" w:type="dxa"/>
        <w:jc w:val="left"/>
        <w:tblInd w:w="0" w:type="dxa"/>
        <w:tblLayout w:type="fixed"/>
        <w:tblCellMar>
          <w:top w:w="28" w:type="dxa"/>
          <w:left w:w="28" w:type="dxa"/>
          <w:bottom w:w="28" w:type="dxa"/>
          <w:right w:w="28" w:type="dxa"/>
        </w:tblCellMar>
      </w:tblPr>
      <w:tblGrid>
        <w:gridCol w:w="864"/>
        <w:gridCol w:w="758"/>
        <w:gridCol w:w="762"/>
        <w:gridCol w:w="196"/>
        <w:gridCol w:w="466"/>
        <w:gridCol w:w="109"/>
        <w:gridCol w:w="109"/>
        <w:gridCol w:w="109"/>
        <w:gridCol w:w="109"/>
        <w:gridCol w:w="196"/>
        <w:gridCol w:w="466"/>
        <w:gridCol w:w="109"/>
        <w:gridCol w:w="109"/>
        <w:gridCol w:w="109"/>
        <w:gridCol w:w="109"/>
        <w:gridCol w:w="221"/>
        <w:gridCol w:w="526"/>
        <w:gridCol w:w="123"/>
        <w:gridCol w:w="123"/>
        <w:gridCol w:w="123"/>
        <w:gridCol w:w="123"/>
        <w:gridCol w:w="221"/>
        <w:gridCol w:w="526"/>
        <w:gridCol w:w="173"/>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Six Months Ended June 30, </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Consolidated Portfolio</w:t>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2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Utility reimbursement revenues</w:t>
            </w:r>
          </w:p>
        </w:tc>
        <w:tc>
          <w:tcPr>
            <w:tcW w:w="7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MH</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RV</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51.0 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46.9 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 xml:space="preserve">For its presentation of Same Property results on page </w:t>
      </w:r>
      <w:hyperlink w:anchor="i9389ffd213a74f848e53c1f852859546_79">
        <w:r>
          <w:rPr>
            <w:rStyle w:val="InternetLink"/>
            <w:rFonts w:ascii="Times New Roman;serif" w:hAnsi="Times New Roman;serif"/>
            <w:b w:val="false"/>
            <w:strike w:val="false"/>
            <w:dstrike w:val="false"/>
            <w:color w:val="000000"/>
            <w:sz w:val="20"/>
            <w:u w:val="none"/>
            <w:effect w:val="none"/>
          </w:rPr>
          <w:t>9</w:t>
        </w:r>
      </w:hyperlink>
      <w:r>
        <w:rPr>
          <w:rFonts w:ascii="Times New Roman;serif" w:hAnsi="Times New Roman;serif"/>
          <w:b w:val="false"/>
          <w:color w:val="000000"/>
          <w:sz w:val="20"/>
        </w:rPr>
        <w:t>, the Company nets the following utility revenues (which include utility reimbursement revenues from residents) against related utility expenses in Same Property operating expenses (in millions):</w:t>
      </w:r>
    </w:p>
    <w:tbl>
      <w:tblPr>
        <w:tblW w:w="8375" w:type="dxa"/>
        <w:jc w:val="left"/>
        <w:tblInd w:w="0" w:type="dxa"/>
        <w:tblLayout w:type="fixed"/>
        <w:tblCellMar>
          <w:top w:w="28" w:type="dxa"/>
          <w:left w:w="28" w:type="dxa"/>
          <w:bottom w:w="28" w:type="dxa"/>
          <w:right w:w="28" w:type="dxa"/>
        </w:tblCellMar>
      </w:tblPr>
      <w:tblGrid>
        <w:gridCol w:w="1458"/>
        <w:gridCol w:w="1276"/>
        <w:gridCol w:w="1286"/>
        <w:gridCol w:w="196"/>
        <w:gridCol w:w="466"/>
        <w:gridCol w:w="109"/>
        <w:gridCol w:w="109"/>
        <w:gridCol w:w="109"/>
        <w:gridCol w:w="109"/>
        <w:gridCol w:w="196"/>
        <w:gridCol w:w="466"/>
        <w:gridCol w:w="109"/>
        <w:gridCol w:w="109"/>
        <w:gridCol w:w="109"/>
        <w:gridCol w:w="109"/>
        <w:gridCol w:w="221"/>
        <w:gridCol w:w="526"/>
        <w:gridCol w:w="123"/>
        <w:gridCol w:w="123"/>
        <w:gridCol w:w="123"/>
        <w:gridCol w:w="123"/>
        <w:gridCol w:w="221"/>
        <w:gridCol w:w="526"/>
        <w:gridCol w:w="173"/>
      </w:tblGrid>
      <w:tr>
        <w:trPr/>
        <w:tc>
          <w:tcPr>
            <w:tcW w:w="145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Six Months Ended June 30, </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Same Property Portfolio</w:t>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4020" w:type="dxa"/>
            <w:gridSpan w:val="3"/>
            <w:tcBorders/>
            <w:shd w:fill="DBDBDB" w:val="clear"/>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color w:val="000000"/>
                <w:sz w:val="17"/>
              </w:rPr>
            </w:pPr>
            <w:r>
              <w:rPr>
                <w:rFonts w:ascii="Times New Roman;serif" w:hAnsi="Times New Roman;serif"/>
                <w:b/>
                <w:color w:val="000000"/>
                <w:sz w:val="17"/>
              </w:rPr>
              <w:t>Utility revenues netted against related utility expenses</w:t>
            </w:r>
          </w:p>
        </w:tc>
        <w:tc>
          <w:tcPr>
            <w:tcW w:w="7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MH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RV</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50.0 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46.7 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Non-GAAP Supplemental Measures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Investors and analysts following the real estate industry use non-GAAP supplemental performance measures, including net operating income ("NOI"), earnings before interest, tax, depreciation, and amortization ("EBITDA") and funds from operations ("FFO") to assess REITs. The Company believes that NOI, EBITDA, and FFO are appropriate measures given their wide use by and relevance to investors and analysts. Additionally, NOI, EBITDA, and FFO are commonly used in various ratios, pricing multiples, yields and returns and valuation calculations used to measure financial position, performance, and value.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NOI provides a measure of rental operations and does not factor in depreciation, amortization and non-property specific expenses such as general and administrative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EBITDA provides a further measure to evaluate the Company's ability to incur and service debt; EBITDA also provides further measures to evaluate the Company's ability to fund dividends and other cash needs. FFO, reflecting the assumption that real estate values rise or fall with market conditions, principally adjusts for the effects of GAAP depreciation and amortization of real estate assets.</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24815"/>
                <wp:effectExtent l="0" t="0" r="0" b="0"/>
                <wp:wrapNone/>
                <wp:docPr id="70" name="Frame3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19 </w:t>
                            </w:r>
                            <w:r>
                              <w:rPr/>
                              <w:drawing>
                                <wp:inline distT="0" distB="0" distL="0" distR="0">
                                  <wp:extent cx="1228725" cy="333375"/>
                                  <wp:effectExtent l="0" t="0" r="0" b="0"/>
                                  <wp:docPr id="7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2" descr=""/>
                                          <pic:cNvPicPr>
                                            <a:picLocks noChangeAspect="1" noChangeArrowheads="1"/>
                                          </pic:cNvPicPr>
                                        </pic:nvPicPr>
                                        <pic:blipFill>
                                          <a:blip r:embed="rId41"/>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19 </w:t>
                      </w:r>
                      <w:r>
                        <w:rPr/>
                        <w:drawing>
                          <wp:inline distT="0" distB="0" distL="0" distR="0">
                            <wp:extent cx="1228725" cy="333375"/>
                            <wp:effectExtent l="0" t="0" r="0" b="0"/>
                            <wp:docPr id="7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2" descr=""/>
                                    <pic:cNvPicPr>
                                      <a:picLocks noChangeAspect="1" noChangeArrowheads="1"/>
                                    </pic:cNvPicPr>
                                  </pic:nvPicPr>
                                  <pic:blipFill>
                                    <a:blip r:embed="rId42"/>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Net Operating Income ("NOI")</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Total Portfolio NOI</w:t>
      </w:r>
      <w:r>
        <w:rPr>
          <w:color w:val="000000"/>
        </w:rPr>
        <w:t xml:space="preserve"> </w:t>
      </w:r>
      <w:r>
        <w:rPr>
          <w:rFonts w:ascii="Times New Roman;serif" w:hAnsi="Times New Roman;serif"/>
          <w:b w:val="false"/>
          <w:color w:val="000000"/>
          <w:sz w:val="20"/>
        </w:rPr>
        <w:t>- NOI is derived from property operating revenues minus property operating expenses and real estate taxes. NOI is a non-GAAP financial measure that the Company believes is helpful to investors as a supplemental measure of operating performance because it is an indicator of the return on property investment and provides a method of comparing property performance over time. The Company uses NOI as a key measure when evaluating performance and growth of particular properties and / 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the properties of the Company rather than of the Company overall. The Company believes that NOI provides enhanced comparability for investor evaluation of property performance and growth over time.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believes that GAAP net income (loss) is the most directly comparable measure to NOI. NOI should not be considered to be an alternative to GAAP net income (loss) as an indication of the Company's financial performance or GAAP net cash provided by operating activities as a measure of the Company's liquidity; nor is it indicative of funds available for the Company's cash needs, including its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tbl>
      <w:tblPr>
        <w:tblW w:w="18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Same Property NOI</w:t>
      </w:r>
      <w:r>
        <w:rPr>
          <w:color w:val="000000"/>
        </w:rPr>
        <w:t xml:space="preserve"> </w:t>
      </w:r>
      <w:r>
        <w:rPr>
          <w:rFonts w:ascii="Times New Roman;serif" w:hAnsi="Times New Roman;serif"/>
          <w:b w:val="false"/>
          <w:color w:val="000000"/>
          <w:sz w:val="20"/>
        </w:rPr>
        <w:t>- This is a key management tool used when evaluating performance and growth of the Company's Same Property portfolio. Same Property NOI does not include the revenues and expenses related to home sales and ancillary activities at the properties. The Company believes that Same Property NOI is helpful to investors as a supplemental comparative performance measure of the income generated from the Same Property portfolio from one period to the next.</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Earnings before interest, tax, depreciation and amortization (</w:t>
      </w:r>
      <w:r>
        <w:rPr>
          <w:rFonts w:ascii="Times New Roman;serif" w:hAnsi="Times New Roman;serif"/>
          <w:b w:val="false"/>
          <w:color w:val="000000"/>
          <w:sz w:val="20"/>
        </w:rPr>
        <w:t>"</w:t>
      </w:r>
      <w:r>
        <w:rPr>
          <w:rFonts w:ascii="Times New Roman;serif" w:hAnsi="Times New Roman;serif"/>
          <w:b/>
          <w:color w:val="000000"/>
          <w:sz w:val="20"/>
        </w:rPr>
        <w:t>EBITDA</w:t>
      </w:r>
      <w:r>
        <w:rPr>
          <w:rFonts w:ascii="Times New Roman;serif" w:hAnsi="Times New Roman;serif"/>
          <w:b w:val="false"/>
          <w:color w:val="000000"/>
          <w:sz w:val="20"/>
        </w:rPr>
        <w:t>"</w:t>
      </w:r>
      <w:r>
        <w:rPr>
          <w:rFonts w:ascii="Times New Roman;serif" w:hAnsi="Times New Roman;serif"/>
          <w:b/>
          <w:color w:val="000000"/>
          <w:sz w:val="20"/>
        </w:rPr>
        <w:t>)</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EBITDAre</w:t>
      </w:r>
      <w:r>
        <w:rPr>
          <w:color w:val="000000"/>
        </w:rPr>
        <w:t xml:space="preserve"> </w:t>
      </w:r>
      <w:r>
        <w:rPr>
          <w:rFonts w:ascii="Times New Roman;serif" w:hAnsi="Times New Roman;serif"/>
          <w:b w:val="false"/>
          <w:color w:val="000000"/>
          <w:sz w:val="20"/>
        </w:rPr>
        <w:t>- Nareit refers to EBITDA as "EBITDA</w:t>
      </w:r>
      <w:r>
        <w:rPr>
          <w:rFonts w:ascii="Times New Roman;serif" w:hAnsi="Times New Roman;serif"/>
          <w:b w:val="false"/>
          <w:i/>
          <w:color w:val="000000"/>
          <w:sz w:val="20"/>
        </w:rPr>
        <w:t>re</w:t>
      </w:r>
      <w:r>
        <w:rPr>
          <w:rFonts w:ascii="Times New Roman;serif" w:hAnsi="Times New Roman;serif"/>
          <w:b w:val="false"/>
          <w:color w:val="000000"/>
          <w:sz w:val="20"/>
        </w:rPr>
        <w:t>" and calculates it as GAAP net income (loss), plus interest expense, plus income tax expense, plus depreciation and amortization, plus or minus losses or gains on the disposition of depreciated property (including losses or gains on change of control), plus impairment write-downs of depreciated property and of investments in nonconsolidated affiliates caused by a decrease in value of depreciated property in the affiliate, and adjustments to reflect the entity's share of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of nonconsolidated affiliates.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is a non-GAAP financial measure that the Company uses to evaluate its ability to incur and service debt, fund dividends and other cash needs, and cover fixed costs. Investors utilize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as a supplemental measure to evaluate and compare investment quality and enterprise value of REITs.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Recurring EBITDA</w:t>
      </w:r>
      <w:r>
        <w:rPr>
          <w:color w:val="000000"/>
        </w:rPr>
        <w:t xml:space="preserve"> </w:t>
      </w:r>
      <w:r>
        <w:rPr>
          <w:rFonts w:ascii="Times New Roman;serif" w:hAnsi="Times New Roman;serif"/>
          <w:b w:val="false"/>
          <w:color w:val="000000"/>
          <w:sz w:val="20"/>
        </w:rPr>
        <w:t>- The Company also uses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excluding certain gain and loss items that management considers unrelated to measurement of the Company's performance on a basis that is independent of capital structure ("Recurring EBITDA"). The Company believes that GAAP net income (loss) is the most directly comparable measure to EBITDA</w:t>
      </w:r>
      <w:r>
        <w:rPr>
          <w:rFonts w:ascii="Times New Roman;serif" w:hAnsi="Times New Roman;serif"/>
          <w:b w:val="false"/>
          <w:i/>
          <w:color w:val="000000"/>
          <w:sz w:val="20"/>
        </w:rPr>
        <w:t>re</w:t>
      </w:r>
      <w:r>
        <w:rPr>
          <w:rFonts w:ascii="Times New Roman;serif" w:hAnsi="Times New Roman;serif"/>
          <w:b w:val="false"/>
          <w:color w:val="000000"/>
          <w:sz w:val="20"/>
        </w:rPr>
        <w:t>.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is not intended to be used as a measure of the Company's cash generated by operations or its dividend-paying capacity, and should therefore not replace GAAP net income (loss) as an indication of the Company's financial performance or GAAP cash flow provided by / used for operating, investing, and financing activities as measures of liquidity.</w:t>
      </w:r>
    </w:p>
    <w:tbl>
      <w:tblPr>
        <w:tblW w:w="33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Funds from Operations ("FFO")</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FFO</w:t>
      </w:r>
      <w:r>
        <w:rPr>
          <w:color w:val="000000"/>
        </w:rPr>
        <w:t xml:space="preserve"> </w:t>
      </w:r>
      <w:r>
        <w:rPr>
          <w:rFonts w:ascii="Times New Roman;serif" w:hAnsi="Times New Roman;serif"/>
          <w:b w:val="false"/>
          <w:color w:val="000000"/>
          <w:sz w:val="20"/>
        </w:rPr>
        <w:t>- Nareit defines FFO as GAAP net income (loss), excluding gains (or losses) from sales of certain real estate assets, real estate related depreciation and amortization, gains (or losses) from change in control, impairments of certain real estate assets and investments, and adjustments for nonconsolidated partnerships and joint ventures. FFO is a non-GAAP financial measure that management believes is a useful supplemental measure of the Company's operating performance. By excluding gains and losses related to sales of previously depreciated operating real estate assets, real estate related impairment, and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24815"/>
                <wp:effectExtent l="0" t="0" r="0" b="0"/>
                <wp:wrapNone/>
                <wp:docPr id="73" name="Frame3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20 </w:t>
                            </w:r>
                            <w:r>
                              <w:rPr/>
                              <w:drawing>
                                <wp:inline distT="0" distB="0" distL="0" distR="0">
                                  <wp:extent cx="1228725" cy="333375"/>
                                  <wp:effectExtent l="0" t="0" r="0" b="0"/>
                                  <wp:docPr id="7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3" descr=""/>
                                          <pic:cNvPicPr>
                                            <a:picLocks noChangeAspect="1" noChangeArrowheads="1"/>
                                          </pic:cNvPicPr>
                                        </pic:nvPicPr>
                                        <pic:blipFill>
                                          <a:blip r:embed="rId43"/>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20 </w:t>
                      </w:r>
                      <w:r>
                        <w:rPr/>
                        <w:drawing>
                          <wp:inline distT="0" distB="0" distL="0" distR="0">
                            <wp:extent cx="1228725" cy="333375"/>
                            <wp:effectExtent l="0" t="0" r="0" b="0"/>
                            <wp:docPr id="7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3" descr=""/>
                                    <pic:cNvPicPr>
                                      <a:picLocks noChangeAspect="1" noChangeArrowheads="1"/>
                                    </pic:cNvPicPr>
                                  </pic:nvPicPr>
                                  <pic:blipFill>
                                    <a:blip r:embed="rId44"/>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Core FFO</w:t>
      </w:r>
      <w:r>
        <w:rPr>
          <w:color w:val="000000"/>
        </w:rPr>
        <w:t xml:space="preserve"> </w:t>
      </w:r>
      <w:r>
        <w:rPr>
          <w:rFonts w:ascii="Times New Roman;serif" w:hAnsi="Times New Roman;serif"/>
          <w:b w:val="false"/>
          <w:color w:val="000000"/>
          <w:sz w:val="20"/>
        </w:rPr>
        <w:t>- In addition to FFO, the Company uses FFO excluding certain gain and loss items that management considers unrelated to the operational and financial performance of the Company's core business ("Core FFO") to evaluate our performance. These adjustments include acquisition and other transaction costs, gains and losses from the early extinguishment of debt, costs related to catastrophic weather events, net of insurance recoveries, gains and losses on foreign currency exchanges, and other miscellaneous non-comparable items, such as restructuring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believes that FFO and Core FFO provide enhanced comparability for investor evaluations of period-over-period results. The Company believes that GAAP net income (loss) is the most directly comparable measure to FFO. The principal limitation of FFO is that it does not replace GAAP net income (loss) as a financial performance measure or GAAP cash flow from operating activities as a measure of the Company's liquidity. Because FFO excludes significant economic components of GAAP net income (loss) including depreciation and amortization, FFO should be used as a supplement to GAAP net income (loss) and not as an alternative to it. Furthermore, FFO is not intended as a measure of a REIT's ability to meet debt principal repayments and other cash requirements, nor as a measure of working capital. FFO is calculated in accordance with the Company's interpretation of standards established by Nareit, which may not be comparable to FFO reported by other REITs that interpret the Nareit definition differently. Certain financial information has been revised to reflect reclassifications in prior periods to conform to current period presentation.</w:t>
      </w:r>
    </w:p>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24815"/>
                <wp:effectExtent l="0" t="0" r="0" b="0"/>
                <wp:wrapNone/>
                <wp:docPr id="76" name="Frame3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21 </w:t>
                            </w:r>
                            <w:r>
                              <w:rPr/>
                              <w:drawing>
                                <wp:inline distT="0" distB="0" distL="0" distR="0">
                                  <wp:extent cx="1228725" cy="333375"/>
                                  <wp:effectExtent l="0" t="0" r="0" b="0"/>
                                  <wp:docPr id="7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4" descr=""/>
                                          <pic:cNvPicPr>
                                            <a:picLocks noChangeAspect="1" noChangeArrowheads="1"/>
                                          </pic:cNvPicPr>
                                        </pic:nvPicPr>
                                        <pic:blipFill>
                                          <a:blip r:embed="rId45"/>
                                          <a:stretch>
                                            <a:fillRect/>
                                          </a:stretch>
                                        </pic:blipFill>
                                        <pic:spPr bwMode="auto">
                                          <a:xfrm>
                                            <a:off x="0" y="0"/>
                                            <a:ext cx="1228725" cy="3333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 xml:space="preserve">2nd Quarter Supplemental Information, Unaudited 21 </w:t>
                      </w:r>
                      <w:r>
                        <w:rPr/>
                        <w:drawing>
                          <wp:inline distT="0" distB="0" distL="0" distR="0">
                            <wp:extent cx="1228725" cy="333375"/>
                            <wp:effectExtent l="0" t="0" r="0" b="0"/>
                            <wp:docPr id="7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4" descr=""/>
                                    <pic:cNvPicPr>
                                      <a:picLocks noChangeAspect="1" noChangeArrowheads="1"/>
                                    </pic:cNvPicPr>
                                  </pic:nvPicPr>
                                  <pic:blipFill>
                                    <a:blip r:embed="rId46"/>
                                    <a:stretch>
                                      <a:fillRect/>
                                    </a:stretch>
                                  </pic:blipFill>
                                  <pic:spPr bwMode="auto">
                                    <a:xfrm>
                                      <a:off x="0" y="0"/>
                                      <a:ext cx="1228725" cy="333375"/>
                                    </a:xfrm>
                                    <a:prstGeom prst="rect">
                                      <a:avLst/>
                                    </a:prstGeom>
                                  </pic:spPr>
                                </pic:pic>
                              </a:graphicData>
                            </a:graphic>
                          </wp:inline>
                        </w:drawing>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13366</Words>
  <Characters>71997</Characters>
  <CharactersWithSpaces>83039</CharactersWithSpaces>
  <Paragraphs>3771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