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1040" w:hanging="108"/>
        <w:spacing w:after="0"/>
        <w:tabs>
          <w:tab w:leader="none" w:pos="10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X ] QUARTERLY REPORT PURSUANT TO SECTION 13 OR 15(D) OF THE SECURITIES EXCHANGE ACT OF 1934</w:t>
      </w:r>
    </w:p>
    <w:p>
      <w:pPr>
        <w:spacing w:after="0" w:line="27" w:lineRule="exact"/>
        <w:rPr>
          <w:rFonts w:ascii="Arial" w:cs="Arial" w:eastAsia="Arial" w:hAnsi="Arial"/>
          <w:sz w:val="18"/>
          <w:szCs w:val="18"/>
          <w:b w:val="1"/>
          <w:bCs w:val="1"/>
          <w:color w:val="auto"/>
        </w:rPr>
      </w:pPr>
    </w:p>
    <w:p>
      <w:pPr>
        <w:ind w:left="3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For the quarterly period ended March 31, 2019.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jc w:val="center"/>
        <w:ind w:left="4440" w:right="1340" w:hanging="3100"/>
        <w:spacing w:after="0" w:line="495" w:lineRule="auto"/>
        <w:tabs>
          <w:tab w:leader="none" w:pos="1573"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PURSUANT TO SECTION 13 OR 15(D) OF THE SECURITIES EXCHANGE ACT OF 1934 Commission file number 1-12616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SUN COMMUNITIES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280" w:type="dxa"/>
        <w:tblCellMar>
          <w:top w:w="0" w:type="dxa"/>
          <w:left w:w="0" w:type="dxa"/>
          <w:bottom w:w="0" w:type="dxa"/>
          <w:right w:w="0" w:type="dxa"/>
        </w:tblCellMar>
      </w:tblPr>
      <w:tr>
        <w:trPr>
          <w:trHeight w:val="234"/>
        </w:trPr>
        <w:tc>
          <w:tcPr>
            <w:tcW w:w="44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6"/>
              </w:rPr>
              <w:t>Maryland</w:t>
            </w:r>
          </w:p>
        </w:tc>
        <w:tc>
          <w:tcPr>
            <w:tcW w:w="4160" w:type="dxa"/>
            <w:vAlign w:val="bottom"/>
          </w:tcPr>
          <w:p>
            <w:pPr>
              <w:jc w:val="right"/>
              <w:ind w:right="790"/>
              <w:spacing w:after="0"/>
              <w:rPr>
                <w:sz w:val="20"/>
                <w:szCs w:val="20"/>
                <w:color w:val="auto"/>
              </w:rPr>
            </w:pPr>
            <w:r>
              <w:rPr>
                <w:rFonts w:ascii="Arial" w:cs="Arial" w:eastAsia="Arial" w:hAnsi="Arial"/>
                <w:sz w:val="18"/>
                <w:szCs w:val="18"/>
                <w:b w:val="1"/>
                <w:bCs w:val="1"/>
                <w:color w:val="auto"/>
              </w:rPr>
              <w:t>38-2730780</w:t>
            </w:r>
          </w:p>
        </w:tc>
      </w:tr>
      <w:tr>
        <w:trPr>
          <w:trHeight w:val="270"/>
        </w:trPr>
        <w:tc>
          <w:tcPr>
            <w:tcW w:w="4480" w:type="dxa"/>
            <w:vAlign w:val="bottom"/>
          </w:tcPr>
          <w:p>
            <w:pPr>
              <w:jc w:val="center"/>
              <w:ind w:right="1450"/>
              <w:spacing w:after="0"/>
              <w:rPr>
                <w:sz w:val="20"/>
                <w:szCs w:val="20"/>
                <w:color w:val="auto"/>
              </w:rPr>
            </w:pPr>
            <w:r>
              <w:rPr>
                <w:rFonts w:ascii="Arial" w:cs="Arial" w:eastAsia="Arial" w:hAnsi="Arial"/>
                <w:sz w:val="18"/>
                <w:szCs w:val="18"/>
                <w:color w:val="auto"/>
                <w:w w:val="92"/>
              </w:rPr>
              <w:t>(State of Incorporation)</w:t>
            </w:r>
          </w:p>
        </w:tc>
        <w:tc>
          <w:tcPr>
            <w:tcW w:w="4160" w:type="dxa"/>
            <w:vAlign w:val="bottom"/>
          </w:tcPr>
          <w:p>
            <w:pPr>
              <w:jc w:val="center"/>
              <w:ind w:left="1450"/>
              <w:spacing w:after="0"/>
              <w:rPr>
                <w:sz w:val="20"/>
                <w:szCs w:val="20"/>
                <w:color w:val="auto"/>
              </w:rPr>
            </w:pPr>
            <w:r>
              <w:rPr>
                <w:rFonts w:ascii="Arial" w:cs="Arial" w:eastAsia="Arial" w:hAnsi="Arial"/>
                <w:sz w:val="18"/>
                <w:szCs w:val="18"/>
                <w:color w:val="auto"/>
                <w:w w:val="94"/>
              </w:rPr>
              <w:t>(I.R.S. Employer Identification No.)</w:t>
            </w:r>
          </w:p>
        </w:tc>
      </w:tr>
      <w:tr>
        <w:trPr>
          <w:trHeight w:val="554"/>
        </w:trPr>
        <w:tc>
          <w:tcPr>
            <w:tcW w:w="4480" w:type="dxa"/>
            <w:vAlign w:val="bottom"/>
          </w:tcPr>
          <w:p>
            <w:pPr>
              <w:jc w:val="center"/>
              <w:ind w:right="1450"/>
              <w:spacing w:after="0"/>
              <w:rPr>
                <w:sz w:val="20"/>
                <w:szCs w:val="20"/>
                <w:color w:val="auto"/>
              </w:rPr>
            </w:pPr>
            <w:r>
              <w:rPr>
                <w:rFonts w:ascii="Arial" w:cs="Arial" w:eastAsia="Arial" w:hAnsi="Arial"/>
                <w:sz w:val="18"/>
                <w:szCs w:val="18"/>
                <w:b w:val="1"/>
                <w:bCs w:val="1"/>
                <w:color w:val="auto"/>
                <w:w w:val="94"/>
              </w:rPr>
              <w:t>27777 Franklin Rd.</w:t>
            </w:r>
          </w:p>
        </w:tc>
        <w:tc>
          <w:tcPr>
            <w:tcW w:w="4160" w:type="dxa"/>
            <w:vAlign w:val="bottom"/>
          </w:tcPr>
          <w:p>
            <w:pPr>
              <w:spacing w:after="0"/>
              <w:rPr>
                <w:sz w:val="24"/>
                <w:szCs w:val="24"/>
                <w:color w:val="auto"/>
              </w:rPr>
            </w:pPr>
          </w:p>
        </w:tc>
      </w:tr>
      <w:tr>
        <w:trPr>
          <w:trHeight w:val="270"/>
        </w:trPr>
        <w:tc>
          <w:tcPr>
            <w:tcW w:w="4480" w:type="dxa"/>
            <w:vAlign w:val="bottom"/>
          </w:tcPr>
          <w:p>
            <w:pPr>
              <w:jc w:val="center"/>
              <w:ind w:right="1450"/>
              <w:spacing w:after="0"/>
              <w:rPr>
                <w:sz w:val="20"/>
                <w:szCs w:val="20"/>
                <w:color w:val="auto"/>
              </w:rPr>
            </w:pPr>
            <w:r>
              <w:rPr>
                <w:rFonts w:ascii="Arial" w:cs="Arial" w:eastAsia="Arial" w:hAnsi="Arial"/>
                <w:sz w:val="18"/>
                <w:szCs w:val="18"/>
                <w:b w:val="1"/>
                <w:bCs w:val="1"/>
                <w:color w:val="auto"/>
                <w:w w:val="88"/>
              </w:rPr>
              <w:t>Suite 200</w:t>
            </w:r>
          </w:p>
        </w:tc>
        <w:tc>
          <w:tcPr>
            <w:tcW w:w="4160" w:type="dxa"/>
            <w:vAlign w:val="bottom"/>
          </w:tcPr>
          <w:p>
            <w:pPr>
              <w:spacing w:after="0"/>
              <w:rPr>
                <w:sz w:val="23"/>
                <w:szCs w:val="23"/>
                <w:color w:val="auto"/>
              </w:rPr>
            </w:pPr>
          </w:p>
        </w:tc>
      </w:tr>
      <w:tr>
        <w:trPr>
          <w:trHeight w:val="270"/>
        </w:trPr>
        <w:tc>
          <w:tcPr>
            <w:tcW w:w="44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Southfield, Michigan</w:t>
            </w:r>
          </w:p>
        </w:tc>
        <w:tc>
          <w:tcPr>
            <w:tcW w:w="4160" w:type="dxa"/>
            <w:vAlign w:val="bottom"/>
          </w:tcPr>
          <w:p>
            <w:pPr>
              <w:jc w:val="right"/>
              <w:ind w:right="1010"/>
              <w:spacing w:after="0"/>
              <w:rPr>
                <w:sz w:val="20"/>
                <w:szCs w:val="20"/>
                <w:color w:val="auto"/>
              </w:rPr>
            </w:pPr>
            <w:r>
              <w:rPr>
                <w:rFonts w:ascii="Arial" w:cs="Arial" w:eastAsia="Arial" w:hAnsi="Arial"/>
                <w:sz w:val="18"/>
                <w:szCs w:val="18"/>
                <w:b w:val="1"/>
                <w:bCs w:val="1"/>
                <w:color w:val="auto"/>
              </w:rPr>
              <w:t>48034</w:t>
            </w:r>
          </w:p>
        </w:tc>
      </w:tr>
      <w:tr>
        <w:trPr>
          <w:trHeight w:val="270"/>
        </w:trPr>
        <w:tc>
          <w:tcPr>
            <w:tcW w:w="4480" w:type="dxa"/>
            <w:vAlign w:val="bottom"/>
          </w:tcPr>
          <w:p>
            <w:pPr>
              <w:jc w:val="center"/>
              <w:ind w:right="1450"/>
              <w:spacing w:after="0"/>
              <w:rPr>
                <w:sz w:val="20"/>
                <w:szCs w:val="20"/>
                <w:color w:val="auto"/>
              </w:rPr>
            </w:pPr>
            <w:r>
              <w:rPr>
                <w:rFonts w:ascii="Arial" w:cs="Arial" w:eastAsia="Arial" w:hAnsi="Arial"/>
                <w:sz w:val="18"/>
                <w:szCs w:val="18"/>
                <w:color w:val="auto"/>
                <w:w w:val="92"/>
              </w:rPr>
              <w:t>(Address of Principal Executive Offices)</w:t>
            </w:r>
          </w:p>
        </w:tc>
        <w:tc>
          <w:tcPr>
            <w:tcW w:w="416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38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(248) 208-2500</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X ] No [ ]</w:t>
      </w:r>
    </w:p>
    <w:p>
      <w:pPr>
        <w:spacing w:after="0" w:line="181"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(Check one):</w:t>
      </w:r>
    </w:p>
    <w:p>
      <w:pPr>
        <w:sectPr>
          <w:pgSz w:w="11900" w:h="16838" w:orient="portrait"/>
          <w:cols w:equalWidth="0" w:num="1">
            <w:col w:w="11420"/>
          </w:cols>
          <w:pgMar w:left="240" w:top="769" w:right="239" w:bottom="1440" w:gutter="0" w:footer="0" w:header="0"/>
        </w:sectPr>
      </w:pPr>
    </w:p>
    <w:p>
      <w:pPr>
        <w:spacing w:after="0" w:line="3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 X ]</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jc w:val="center"/>
        <w:ind w:right="1640"/>
        <w:spacing w:after="0"/>
        <w:rPr>
          <w:sz w:val="20"/>
          <w:szCs w:val="20"/>
          <w:color w:val="auto"/>
        </w:rPr>
      </w:pPr>
      <w:r>
        <w:rPr>
          <w:rFonts w:ascii="Arial" w:cs="Arial" w:eastAsia="Arial" w:hAnsi="Arial"/>
          <w:sz w:val="16"/>
          <w:szCs w:val="16"/>
          <w:color w:val="auto"/>
        </w:rPr>
        <w:t>Accelerated filer [ ]</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4"/>
          <w:szCs w:val="24"/>
          <w:color w:val="auto"/>
        </w:rPr>
      </w:pPr>
    </w:p>
    <w:p>
      <w:pPr>
        <w:sectPr>
          <w:pgSz w:w="11900" w:h="16838" w:orient="portrait"/>
          <w:cols w:equalWidth="0" w:num="4">
            <w:col w:w="3440" w:space="720"/>
            <w:col w:w="3040" w:space="720"/>
            <w:col w:w="1640" w:space="120"/>
            <w:col w:w="1740"/>
          </w:cols>
          <w:pgMar w:left="240" w:top="769"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Smaller reporting company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 [ ]</w:t>
      </w:r>
    </w:p>
    <w:p>
      <w:pPr>
        <w:spacing w:after="0" w:line="222" w:lineRule="exact"/>
        <w:rPr>
          <w:sz w:val="24"/>
          <w:szCs w:val="24"/>
          <w:color w:val="auto"/>
        </w:rPr>
      </w:pPr>
    </w:p>
    <w:p>
      <w:pPr>
        <w:sectPr>
          <w:pgSz w:w="11900" w:h="16838" w:orient="portrait"/>
          <w:cols w:equalWidth="0" w:num="3">
            <w:col w:w="2100" w:space="140"/>
            <w:col w:w="1200" w:space="720"/>
            <w:col w:w="7260"/>
          </w:cols>
          <w:pgMar w:left="240" w:top="769" w:right="239" w:bottom="1440" w:gutter="0" w:footer="0" w:header="0"/>
          <w:type w:val="continuous"/>
        </w:sectPr>
      </w:pPr>
    </w:p>
    <w:p>
      <w:pPr>
        <w:spacing w:after="0" w:line="5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 X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per share, outstanding as of April 18, 2019: 86,505,876</w:t>
      </w:r>
    </w:p>
    <w:p>
      <w:pPr>
        <w:sectPr>
          <w:pgSz w:w="11900" w:h="16838" w:orient="portrait"/>
          <w:cols w:equalWidth="0" w:num="1">
            <w:col w:w="11420"/>
          </w:cols>
          <w:pgMar w:left="240" w:top="76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20" w:type="dxa"/>
            <w:vAlign w:val="bottom"/>
            <w:gridSpan w:val="7"/>
          </w:tcPr>
          <w:p>
            <w:pPr>
              <w:jc w:val="center"/>
              <w:ind w:right="510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2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60" w:type="dxa"/>
            <w:vAlign w:val="bottom"/>
            <w:tcBorders>
              <w:bottom w:val="single" w:sz="8" w:color="auto"/>
            </w:tcBorders>
            <w:gridSpan w:val="5"/>
          </w:tcPr>
          <w:p>
            <w:pPr>
              <w:jc w:val="cente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 FINANCIAL INFORMATION</w:t>
              </w:r>
            </w:hyperlink>
          </w:p>
        </w:tc>
        <w:tc>
          <w:tcPr>
            <w:tcW w:w="392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920" w:type="dxa"/>
            <w:vAlign w:val="bottom"/>
            <w:gridSpan w:val="3"/>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10260" w:type="dxa"/>
            <w:vAlign w:val="bottom"/>
            <w:gridSpan w:val="19"/>
          </w:tcPr>
          <w:p>
            <w:pPr>
              <w:spacing w:after="0"/>
              <w:rPr>
                <w:sz w:val="20"/>
                <w:szCs w:val="20"/>
                <w:color w:val="auto"/>
              </w:rPr>
            </w:pPr>
            <w:r>
              <w:rPr>
                <w:rFonts w:ascii="Arial" w:cs="Arial" w:eastAsia="Arial" w:hAnsi="Arial"/>
                <w:sz w:val="18"/>
                <w:szCs w:val="18"/>
                <w:color w:val="auto"/>
              </w:rPr>
              <w:t>Consolidated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Consolidated Balance Sheets as of </w:t>
              </w:r>
            </w:hyperlink>
            <w:r>
              <w:rPr>
                <w:rFonts w:ascii="Arial" w:cs="Arial" w:eastAsia="Arial" w:hAnsi="Arial"/>
                <w:sz w:val="18"/>
                <w:szCs w:val="18"/>
                <w:color w:val="auto"/>
              </w:rPr>
              <w:t>March 31, 2019 (Unaudited) and December 31, 2018</w:t>
            </w:r>
          </w:p>
        </w:tc>
        <w:tc>
          <w:tcPr>
            <w:tcW w:w="180" w:type="dxa"/>
            <w:vAlign w:val="bottom"/>
            <w:gridSpan w:val="2"/>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Consolidated Statements of Operations for the </w:t>
              </w:r>
            </w:hyperlink>
            <w:r>
              <w:rPr>
                <w:rFonts w:ascii="Arial" w:cs="Arial" w:eastAsia="Arial" w:hAnsi="Arial"/>
                <w:sz w:val="18"/>
                <w:szCs w:val="18"/>
                <w:color w:val="auto"/>
              </w:rPr>
              <w:t>Three Months Ended March 31, 2019 and 2018 (Unaudited)</w:t>
            </w:r>
          </w:p>
        </w:tc>
        <w:tc>
          <w:tcPr>
            <w:tcW w:w="180" w:type="dxa"/>
            <w:vAlign w:val="bottom"/>
            <w:gridSpan w:val="2"/>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40" w:type="dxa"/>
            <w:vAlign w:val="bottom"/>
            <w:tcBorders>
              <w:bottom w:val="single" w:sz="8" w:color="auto"/>
            </w:tcBorders>
            <w:gridSpan w:val="18"/>
          </w:tcPr>
          <w:p>
            <w:pPr>
              <w:spacing w:after="0"/>
              <w:rPr>
                <w:sz w:val="20"/>
                <w:szCs w:val="20"/>
                <w:color w:val="auto"/>
              </w:rPr>
            </w:pPr>
            <w:r>
              <w:rPr>
                <w:rFonts w:ascii="Arial" w:cs="Arial" w:eastAsia="Arial" w:hAnsi="Arial"/>
                <w:sz w:val="18"/>
                <w:szCs w:val="18"/>
                <w:color w:val="auto"/>
                <w:w w:val="90"/>
              </w:rPr>
              <w:t>Consolidated Statements of Comprehensive Income for the Three Months Ended March 31, 2019 and 2018 (Unaudited)</w:t>
            </w: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3</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auto"/>
              </w:rPr>
            </w:pPr>
            <w:hyperlink w:anchor="page6">
              <w:r>
                <w:rPr>
                  <w:rFonts w:ascii="Arial" w:cs="Arial" w:eastAsia="Arial" w:hAnsi="Arial"/>
                  <w:sz w:val="18"/>
                  <w:szCs w:val="18"/>
                  <w:color w:val="auto"/>
                </w:rPr>
                <w:t xml:space="preserve">Consolidated Statement of Stockholders’ Equity </w:t>
              </w:r>
            </w:hyperlink>
            <w:r>
              <w:rPr>
                <w:rFonts w:ascii="Arial" w:cs="Arial" w:eastAsia="Arial" w:hAnsi="Arial"/>
                <w:sz w:val="18"/>
                <w:szCs w:val="18"/>
                <w:color w:val="auto"/>
              </w:rPr>
              <w:t>(Unaudited)</w:t>
            </w:r>
          </w:p>
        </w:tc>
        <w:tc>
          <w:tcPr>
            <w:tcW w:w="180" w:type="dxa"/>
            <w:vAlign w:val="bottom"/>
            <w:gridSpan w:val="2"/>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auto"/>
              </w:rPr>
            </w:pPr>
            <w:hyperlink w:anchor="page7">
              <w:r>
                <w:rPr>
                  <w:rFonts w:ascii="Arial" w:cs="Arial" w:eastAsia="Arial" w:hAnsi="Arial"/>
                  <w:sz w:val="18"/>
                  <w:szCs w:val="18"/>
                  <w:color w:val="auto"/>
                </w:rPr>
                <w:t xml:space="preserve">Consolidated Statements of Cash Flows for the </w:t>
              </w:r>
            </w:hyperlink>
            <w:r>
              <w:rPr>
                <w:rFonts w:ascii="Arial" w:cs="Arial" w:eastAsia="Arial" w:hAnsi="Arial"/>
                <w:sz w:val="18"/>
                <w:szCs w:val="18"/>
                <w:color w:val="auto"/>
              </w:rPr>
              <w:t>Three Months Ended March 31, 2019 and 2018 (Unaudited)</w:t>
            </w:r>
          </w:p>
        </w:tc>
        <w:tc>
          <w:tcPr>
            <w:tcW w:w="180" w:type="dxa"/>
            <w:vAlign w:val="bottom"/>
            <w:gridSpan w:val="2"/>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760" w:type="dxa"/>
            <w:vAlign w:val="bottom"/>
            <w:tcBorders>
              <w:top w:val="single" w:sz="8" w:color="auto"/>
            </w:tcBorders>
            <w:gridSpan w:val="17"/>
          </w:tcPr>
          <w:p>
            <w:pPr>
              <w:spacing w:after="0"/>
              <w:rPr>
                <w:rFonts w:ascii="Arial" w:cs="Arial" w:eastAsia="Arial" w:hAnsi="Arial"/>
                <w:sz w:val="18"/>
                <w:szCs w:val="18"/>
                <w:color w:val="auto"/>
              </w:rPr>
            </w:pPr>
            <w:hyperlink w:anchor="page8">
              <w:r>
                <w:rPr>
                  <w:rFonts w:ascii="Arial" w:cs="Arial" w:eastAsia="Arial" w:hAnsi="Arial"/>
                  <w:sz w:val="18"/>
                  <w:szCs w:val="18"/>
                  <w:color w:val="auto"/>
                </w:rPr>
                <w:t>Notes to Consolidated Financial Statements</w:t>
              </w:r>
            </w:hyperlink>
          </w:p>
        </w:tc>
        <w:tc>
          <w:tcPr>
            <w:tcW w:w="25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jc w:val="right"/>
              <w:spacing w:after="0"/>
              <w:rPr>
                <w:rFonts w:ascii="Arial" w:cs="Arial" w:eastAsia="Arial" w:hAnsi="Arial"/>
                <w:sz w:val="18"/>
                <w:szCs w:val="18"/>
                <w:color w:val="auto"/>
                <w:w w:val="79"/>
              </w:rPr>
            </w:pPr>
            <w:hyperlink w:anchor="page8">
              <w:r>
                <w:rPr>
                  <w:rFonts w:ascii="Arial" w:cs="Arial" w:eastAsia="Arial" w:hAnsi="Arial"/>
                  <w:sz w:val="18"/>
                  <w:szCs w:val="18"/>
                  <w:color w:val="auto"/>
                  <w:w w:val="79"/>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auto"/>
              </w:rPr>
            </w:pPr>
            <w:hyperlink w:anchor="page33">
              <w:r>
                <w:rPr>
                  <w:rFonts w:ascii="Arial" w:cs="Arial" w:eastAsia="Arial" w:hAnsi="Arial"/>
                  <w:sz w:val="18"/>
                  <w:szCs w:val="18"/>
                  <w:color w:val="auto"/>
                </w:rPr>
                <w:t>Item 2.</w:t>
              </w:r>
            </w:hyperlink>
          </w:p>
        </w:tc>
        <w:tc>
          <w:tcPr>
            <w:tcW w:w="10260" w:type="dxa"/>
            <w:vAlign w:val="bottom"/>
            <w:gridSpan w:val="19"/>
          </w:tcPr>
          <w:p>
            <w:pPr>
              <w:spacing w:after="0"/>
              <w:rPr>
                <w:rFonts w:ascii="Arial" w:cs="Arial" w:eastAsia="Arial" w:hAnsi="Arial"/>
                <w:sz w:val="18"/>
                <w:szCs w:val="18"/>
                <w:color w:val="auto"/>
              </w:rPr>
            </w:pPr>
            <w:hyperlink w:anchor="page33">
              <w:r>
                <w:rPr>
                  <w:rFonts w:ascii="Arial" w:cs="Arial" w:eastAsia="Arial" w:hAnsi="Arial"/>
                  <w:sz w:val="18"/>
                  <w:szCs w:val="18"/>
                  <w:color w:val="auto"/>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auto"/>
                <w:w w:val="79"/>
              </w:rPr>
            </w:pPr>
            <w:hyperlink w:anchor="page33">
              <w:r>
                <w:rPr>
                  <w:rFonts w:ascii="Arial" w:cs="Arial" w:eastAsia="Arial" w:hAnsi="Arial"/>
                  <w:sz w:val="18"/>
                  <w:szCs w:val="18"/>
                  <w:color w:val="auto"/>
                  <w:w w:val="79"/>
                </w:rPr>
                <w:t>30</w:t>
              </w:r>
            </w:hyperlink>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60" w:type="dxa"/>
            <w:vAlign w:val="bottom"/>
            <w:gridSpan w:val="4"/>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auto"/>
              </w:rPr>
            </w:pPr>
            <w:hyperlink w:anchor="page47">
              <w:r>
                <w:rPr>
                  <w:rFonts w:ascii="Arial" w:cs="Arial" w:eastAsia="Arial" w:hAnsi="Arial"/>
                  <w:sz w:val="18"/>
                  <w:szCs w:val="18"/>
                  <w:color w:val="auto"/>
                </w:rPr>
                <w:t>Item 3.</w:t>
              </w:r>
            </w:hyperlink>
          </w:p>
        </w:tc>
        <w:tc>
          <w:tcPr>
            <w:tcW w:w="10260" w:type="dxa"/>
            <w:vAlign w:val="bottom"/>
            <w:gridSpan w:val="19"/>
          </w:tcPr>
          <w:p>
            <w:pPr>
              <w:spacing w:after="0"/>
              <w:rPr>
                <w:rFonts w:ascii="Arial" w:cs="Arial" w:eastAsia="Arial" w:hAnsi="Arial"/>
                <w:sz w:val="18"/>
                <w:szCs w:val="18"/>
                <w:color w:val="auto"/>
              </w:rPr>
            </w:pPr>
            <w:hyperlink w:anchor="page47">
              <w:r>
                <w:rPr>
                  <w:rFonts w:ascii="Arial" w:cs="Arial" w:eastAsia="Arial" w:hAnsi="Arial"/>
                  <w:sz w:val="18"/>
                  <w:szCs w:val="18"/>
                  <w:color w:val="auto"/>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auto"/>
                <w:w w:val="79"/>
              </w:rPr>
            </w:pPr>
            <w:hyperlink w:anchor="page47">
              <w:r>
                <w:rPr>
                  <w:rFonts w:ascii="Arial" w:cs="Arial" w:eastAsia="Arial" w:hAnsi="Arial"/>
                  <w:sz w:val="18"/>
                  <w:szCs w:val="18"/>
                  <w:color w:val="auto"/>
                  <w:w w:val="79"/>
                </w:rPr>
                <w:t>44</w:t>
              </w:r>
            </w:hyperlink>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60" w:type="dxa"/>
            <w:vAlign w:val="bottom"/>
            <w:gridSpan w:val="4"/>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auto"/>
              </w:rPr>
            </w:pPr>
            <w:hyperlink w:anchor="page47">
              <w:r>
                <w:rPr>
                  <w:rFonts w:ascii="Arial" w:cs="Arial" w:eastAsia="Arial" w:hAnsi="Arial"/>
                  <w:sz w:val="18"/>
                  <w:szCs w:val="18"/>
                  <w:color w:val="auto"/>
                </w:rPr>
                <w:t>Item 4.</w:t>
              </w:r>
            </w:hyperlink>
          </w:p>
        </w:tc>
        <w:tc>
          <w:tcPr>
            <w:tcW w:w="10260" w:type="dxa"/>
            <w:vAlign w:val="bottom"/>
            <w:gridSpan w:val="19"/>
          </w:tcPr>
          <w:p>
            <w:pPr>
              <w:spacing w:after="0"/>
              <w:rPr>
                <w:rFonts w:ascii="Arial" w:cs="Arial" w:eastAsia="Arial" w:hAnsi="Arial"/>
                <w:sz w:val="18"/>
                <w:szCs w:val="18"/>
                <w:color w:val="auto"/>
              </w:rPr>
            </w:pPr>
            <w:hyperlink w:anchor="page47">
              <w:r>
                <w:rPr>
                  <w:rFonts w:ascii="Arial" w:cs="Arial" w:eastAsia="Arial" w:hAnsi="Arial"/>
                  <w:sz w:val="18"/>
                  <w:szCs w:val="18"/>
                  <w:color w:val="auto"/>
                </w:rPr>
                <w:t>Controls and Procedures</w:t>
              </w:r>
            </w:hyperlink>
          </w:p>
        </w:tc>
        <w:tc>
          <w:tcPr>
            <w:tcW w:w="180" w:type="dxa"/>
            <w:vAlign w:val="bottom"/>
            <w:gridSpan w:val="2"/>
          </w:tcPr>
          <w:p>
            <w:pPr>
              <w:jc w:val="right"/>
              <w:spacing w:after="0"/>
              <w:rPr>
                <w:rFonts w:ascii="Arial" w:cs="Arial" w:eastAsia="Arial" w:hAnsi="Arial"/>
                <w:sz w:val="18"/>
                <w:szCs w:val="18"/>
                <w:color w:val="auto"/>
                <w:w w:val="79"/>
              </w:rPr>
            </w:pPr>
            <w:hyperlink w:anchor="page47">
              <w:r>
                <w:rPr>
                  <w:rFonts w:ascii="Arial" w:cs="Arial" w:eastAsia="Arial" w:hAnsi="Arial"/>
                  <w:sz w:val="18"/>
                  <w:szCs w:val="18"/>
                  <w:color w:val="auto"/>
                  <w:w w:val="79"/>
                </w:rPr>
                <w:t>44</w:t>
              </w:r>
            </w:hyperlink>
          </w:p>
        </w:tc>
      </w:tr>
      <w:tr>
        <w:trPr>
          <w:trHeight w:val="534"/>
        </w:trPr>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9"/>
          </w:tcPr>
          <w:p>
            <w:pPr>
              <w:jc w:val="center"/>
              <w:ind w:right="4080"/>
              <w:spacing w:after="0"/>
              <w:rPr>
                <w:rFonts w:ascii="Arial" w:cs="Arial" w:eastAsia="Arial" w:hAnsi="Arial"/>
                <w:sz w:val="18"/>
                <w:szCs w:val="18"/>
                <w:b w:val="1"/>
                <w:bCs w:val="1"/>
                <w:color w:val="auto"/>
              </w:rPr>
            </w:pPr>
            <w:hyperlink w:anchor="page48">
              <w:r>
                <w:rPr>
                  <w:rFonts w:ascii="Arial" w:cs="Arial" w:eastAsia="Arial" w:hAnsi="Arial"/>
                  <w:sz w:val="18"/>
                  <w:szCs w:val="18"/>
                  <w:b w:val="1"/>
                  <w:bCs w:val="1"/>
                  <w:color w:val="auto"/>
                </w:rPr>
                <w:t>PART II – OTHER INFORMATION</w:t>
              </w:r>
            </w:hyperlink>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466"/>
        </w:trPr>
        <w:tc>
          <w:tcPr>
            <w:tcW w:w="920" w:type="dxa"/>
            <w:vAlign w:val="bottom"/>
            <w:gridSpan w:val="3"/>
          </w:tcPr>
          <w:p>
            <w:pPr>
              <w:spacing w:after="0"/>
              <w:rPr>
                <w:rFonts w:ascii="Arial" w:cs="Arial" w:eastAsia="Arial" w:hAnsi="Arial"/>
                <w:sz w:val="18"/>
                <w:szCs w:val="18"/>
                <w:color w:val="auto"/>
              </w:rPr>
            </w:pPr>
            <w:hyperlink w:anchor="page48">
              <w:r>
                <w:rPr>
                  <w:rFonts w:ascii="Arial" w:cs="Arial" w:eastAsia="Arial" w:hAnsi="Arial"/>
                  <w:sz w:val="18"/>
                  <w:szCs w:val="18"/>
                  <w:color w:val="auto"/>
                </w:rPr>
                <w:t>Item 1.</w:t>
              </w:r>
            </w:hyperlink>
          </w:p>
        </w:tc>
        <w:tc>
          <w:tcPr>
            <w:tcW w:w="3320" w:type="dxa"/>
            <w:vAlign w:val="bottom"/>
            <w:gridSpan w:val="10"/>
          </w:tcPr>
          <w:p>
            <w:pPr>
              <w:spacing w:after="0"/>
              <w:rPr>
                <w:rFonts w:ascii="Arial" w:cs="Arial" w:eastAsia="Arial" w:hAnsi="Arial"/>
                <w:sz w:val="18"/>
                <w:szCs w:val="18"/>
                <w:color w:val="auto"/>
              </w:rPr>
            </w:pPr>
            <w:hyperlink w:anchor="page48">
              <w:r>
                <w:rPr>
                  <w:rFonts w:ascii="Arial" w:cs="Arial" w:eastAsia="Arial" w:hAnsi="Arial"/>
                  <w:sz w:val="18"/>
                  <w:szCs w:val="18"/>
                  <w:color w:val="auto"/>
                </w:rPr>
                <w:t>Legal Proceedings</w:t>
              </w:r>
            </w:hyperlink>
          </w:p>
        </w:tc>
        <w:tc>
          <w:tcPr>
            <w:tcW w:w="2860" w:type="dxa"/>
            <w:vAlign w:val="bottom"/>
            <w:tcBorders>
              <w:top w:val="single" w:sz="8" w:color="auto"/>
            </w:tcBorders>
            <w:gridSpan w:val="3"/>
          </w:tcPr>
          <w:p>
            <w:pPr>
              <w:spacing w:after="0"/>
              <w:rPr>
                <w:sz w:val="24"/>
                <w:szCs w:val="24"/>
                <w:color w:val="auto"/>
              </w:rPr>
            </w:pPr>
          </w:p>
        </w:tc>
        <w:tc>
          <w:tcPr>
            <w:tcW w:w="4080" w:type="dxa"/>
            <w:vAlign w:val="bottom"/>
            <w:gridSpan w:val="6"/>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auto"/>
                <w:w w:val="79"/>
              </w:rPr>
            </w:pPr>
            <w:hyperlink w:anchor="page48">
              <w:r>
                <w:rPr>
                  <w:rFonts w:ascii="Arial" w:cs="Arial" w:eastAsia="Arial" w:hAnsi="Arial"/>
                  <w:sz w:val="18"/>
                  <w:szCs w:val="18"/>
                  <w:color w:val="auto"/>
                  <w:w w:val="79"/>
                </w:rPr>
                <w:t>45</w:t>
              </w:r>
            </w:hyperlink>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640" w:type="dxa"/>
            <w:vAlign w:val="bottom"/>
            <w:tcBorders>
              <w:bottom w:val="single" w:sz="8" w:color="auto"/>
            </w:tcBorders>
            <w:gridSpan w:val="2"/>
          </w:tcPr>
          <w:p>
            <w:pPr>
              <w:spacing w:after="0"/>
              <w:rPr>
                <w:rFonts w:ascii="Arial" w:cs="Arial" w:eastAsia="Arial" w:hAnsi="Arial"/>
                <w:sz w:val="18"/>
                <w:szCs w:val="18"/>
                <w:color w:val="auto"/>
                <w:w w:val="92"/>
              </w:rPr>
            </w:pPr>
            <w:hyperlink w:anchor="page48">
              <w:r>
                <w:rPr>
                  <w:rFonts w:ascii="Arial" w:cs="Arial" w:eastAsia="Arial" w:hAnsi="Arial"/>
                  <w:sz w:val="18"/>
                  <w:szCs w:val="18"/>
                  <w:color w:val="auto"/>
                  <w:w w:val="92"/>
                </w:rPr>
                <w:t>Item 1A.</w:t>
              </w:r>
            </w:hyperlink>
          </w:p>
        </w:tc>
        <w:tc>
          <w:tcPr>
            <w:tcW w:w="280" w:type="dxa"/>
            <w:vAlign w:val="bottom"/>
          </w:tcPr>
          <w:p>
            <w:pPr>
              <w:spacing w:after="0"/>
              <w:rPr>
                <w:sz w:val="21"/>
                <w:szCs w:val="21"/>
                <w:color w:val="auto"/>
              </w:rPr>
            </w:pPr>
          </w:p>
        </w:tc>
        <w:tc>
          <w:tcPr>
            <w:tcW w:w="900" w:type="dxa"/>
            <w:vAlign w:val="bottom"/>
            <w:tcBorders>
              <w:bottom w:val="single" w:sz="8" w:color="auto"/>
            </w:tcBorders>
            <w:gridSpan w:val="3"/>
          </w:tcPr>
          <w:p>
            <w:pPr>
              <w:spacing w:after="0"/>
              <w:rPr>
                <w:rFonts w:ascii="Arial" w:cs="Arial" w:eastAsia="Arial" w:hAnsi="Arial"/>
                <w:sz w:val="18"/>
                <w:szCs w:val="18"/>
                <w:color w:val="auto"/>
                <w:w w:val="87"/>
              </w:rPr>
            </w:pPr>
            <w:hyperlink w:anchor="page48">
              <w:r>
                <w:rPr>
                  <w:rFonts w:ascii="Arial" w:cs="Arial" w:eastAsia="Arial" w:hAnsi="Arial"/>
                  <w:sz w:val="18"/>
                  <w:szCs w:val="18"/>
                  <w:color w:val="auto"/>
                  <w:w w:val="87"/>
                </w:rPr>
                <w:t>Risk Factors</w:t>
              </w:r>
            </w:hyperlink>
          </w:p>
        </w:tc>
        <w:tc>
          <w:tcPr>
            <w:tcW w:w="9360" w:type="dxa"/>
            <w:vAlign w:val="bottom"/>
            <w:gridSpan w:val="16"/>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48">
              <w:r>
                <w:rPr>
                  <w:rFonts w:ascii="Arial" w:cs="Arial" w:eastAsia="Arial" w:hAnsi="Arial"/>
                  <w:sz w:val="18"/>
                  <w:szCs w:val="18"/>
                  <w:color w:val="auto"/>
                  <w:w w:val="79"/>
                </w:rPr>
                <w:t>45</w:t>
              </w:r>
            </w:hyperlink>
          </w:p>
        </w:tc>
      </w:tr>
      <w:tr>
        <w:trPr>
          <w:trHeight w:val="250"/>
        </w:trPr>
        <w:tc>
          <w:tcPr>
            <w:tcW w:w="920" w:type="dxa"/>
            <w:vAlign w:val="bottom"/>
            <w:gridSpan w:val="3"/>
          </w:tcPr>
          <w:p>
            <w:pPr>
              <w:spacing w:after="0"/>
              <w:rPr>
                <w:rFonts w:ascii="Arial" w:cs="Arial" w:eastAsia="Arial" w:hAnsi="Arial"/>
                <w:sz w:val="18"/>
                <w:szCs w:val="18"/>
                <w:color w:val="auto"/>
              </w:rPr>
            </w:pPr>
            <w:hyperlink w:anchor="page48">
              <w:r>
                <w:rPr>
                  <w:rFonts w:ascii="Arial" w:cs="Arial" w:eastAsia="Arial" w:hAnsi="Arial"/>
                  <w:sz w:val="18"/>
                  <w:szCs w:val="18"/>
                  <w:color w:val="auto"/>
                </w:rPr>
                <w:t>Item 2.</w:t>
              </w:r>
            </w:hyperlink>
          </w:p>
        </w:tc>
        <w:tc>
          <w:tcPr>
            <w:tcW w:w="10260" w:type="dxa"/>
            <w:vAlign w:val="bottom"/>
            <w:gridSpan w:val="19"/>
          </w:tcPr>
          <w:p>
            <w:pPr>
              <w:spacing w:after="0"/>
              <w:rPr>
                <w:rFonts w:ascii="Arial" w:cs="Arial" w:eastAsia="Arial" w:hAnsi="Arial"/>
                <w:sz w:val="18"/>
                <w:szCs w:val="18"/>
                <w:color w:val="auto"/>
              </w:rPr>
            </w:pPr>
            <w:hyperlink w:anchor="page48">
              <w:r>
                <w:rPr>
                  <w:rFonts w:ascii="Arial" w:cs="Arial" w:eastAsia="Arial" w:hAnsi="Arial"/>
                  <w:sz w:val="18"/>
                  <w:szCs w:val="18"/>
                  <w:color w:val="auto"/>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auto"/>
                <w:w w:val="79"/>
              </w:rPr>
            </w:pPr>
            <w:hyperlink w:anchor="page48">
              <w:r>
                <w:rPr>
                  <w:rFonts w:ascii="Arial" w:cs="Arial" w:eastAsia="Arial" w:hAnsi="Arial"/>
                  <w:sz w:val="18"/>
                  <w:szCs w:val="18"/>
                  <w:color w:val="auto"/>
                  <w:w w:val="79"/>
                </w:rPr>
                <w:t>45</w:t>
              </w:r>
            </w:hyperlink>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360" w:type="dxa"/>
            <w:vAlign w:val="bottom"/>
            <w:gridSpan w:val="8"/>
            <w:shd w:val="clear" w:color="auto" w:fill="000000"/>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260" w:type="dxa"/>
            <w:vAlign w:val="bottom"/>
            <w:gridSpan w:val="19"/>
          </w:tcPr>
          <w:p>
            <w:pPr>
              <w:spacing w:after="0"/>
              <w:rPr>
                <w:sz w:val="20"/>
                <w:szCs w:val="20"/>
                <w:color w:val="auto"/>
              </w:rPr>
            </w:pPr>
            <w:r>
              <w:rPr>
                <w:rFonts w:ascii="Arial" w:cs="Arial" w:eastAsia="Arial" w:hAnsi="Arial"/>
                <w:sz w:val="18"/>
                <w:szCs w:val="18"/>
                <w:color w:val="auto"/>
              </w:rPr>
              <w:t>Exhibits</w:t>
            </w:r>
          </w:p>
        </w:tc>
        <w:tc>
          <w:tcPr>
            <w:tcW w:w="180" w:type="dxa"/>
            <w:vAlign w:val="bottom"/>
            <w:gridSpan w:val="2"/>
          </w:tcPr>
          <w:p>
            <w:pPr>
              <w:jc w:val="right"/>
              <w:spacing w:after="0"/>
              <w:rPr>
                <w:rFonts w:ascii="Arial" w:cs="Arial" w:eastAsia="Arial" w:hAnsi="Arial"/>
                <w:sz w:val="18"/>
                <w:szCs w:val="18"/>
                <w:color w:val="auto"/>
                <w:w w:val="79"/>
              </w:rPr>
            </w:pPr>
            <w:hyperlink w:anchor="page48">
              <w:r>
                <w:rPr>
                  <w:rFonts w:ascii="Arial" w:cs="Arial" w:eastAsia="Arial" w:hAnsi="Arial"/>
                  <w:sz w:val="18"/>
                  <w:szCs w:val="18"/>
                  <w:color w:val="auto"/>
                  <w:w w:val="79"/>
                </w:rPr>
                <w:t>45</w:t>
              </w:r>
            </w:hyperlink>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80" w:type="dxa"/>
            <w:vAlign w:val="bottom"/>
            <w:gridSpan w:val="15"/>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3"/>
              </w:rPr>
              <w:t>Exhibit Index</w:t>
            </w:r>
          </w:p>
        </w:tc>
        <w:tc>
          <w:tcPr>
            <w:tcW w:w="9280" w:type="dxa"/>
            <w:vAlign w:val="bottom"/>
            <w:gridSpan w:val="15"/>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49">
              <w:r>
                <w:rPr>
                  <w:rFonts w:ascii="Arial" w:cs="Arial" w:eastAsia="Arial" w:hAnsi="Arial"/>
                  <w:sz w:val="18"/>
                  <w:szCs w:val="18"/>
                  <w:color w:val="auto"/>
                  <w:w w:val="79"/>
                </w:rPr>
                <w:t>46</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Borders>
              <w:bottom w:val="single" w:sz="8" w:color="auto"/>
            </w:tcBorders>
            <w:gridSpan w:val="2"/>
          </w:tcPr>
          <w:p>
            <w:pPr>
              <w:spacing w:after="0"/>
              <w:rPr>
                <w:rFonts w:ascii="Arial" w:cs="Arial" w:eastAsia="Arial" w:hAnsi="Arial"/>
                <w:sz w:val="18"/>
                <w:szCs w:val="18"/>
                <w:color w:val="auto"/>
                <w:w w:val="90"/>
              </w:rPr>
            </w:pPr>
            <w:hyperlink w:anchor="page49">
              <w:r>
                <w:rPr>
                  <w:rFonts w:ascii="Arial" w:cs="Arial" w:eastAsia="Arial" w:hAnsi="Arial"/>
                  <w:sz w:val="18"/>
                  <w:szCs w:val="18"/>
                  <w:color w:val="auto"/>
                  <w:w w:val="90"/>
                </w:rPr>
                <w:t>Signatures</w:t>
              </w:r>
            </w:hyperlink>
          </w:p>
        </w:tc>
        <w:tc>
          <w:tcPr>
            <w:tcW w:w="9460" w:type="dxa"/>
            <w:vAlign w:val="bottom"/>
            <w:gridSpan w:val="17"/>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49">
              <w:r>
                <w:rPr>
                  <w:rFonts w:ascii="Arial" w:cs="Arial" w:eastAsia="Arial" w:hAnsi="Arial"/>
                  <w:sz w:val="18"/>
                  <w:szCs w:val="18"/>
                  <w:color w:val="auto"/>
                  <w:w w:val="79"/>
                </w:rPr>
                <w:t>46</w:t>
              </w:r>
            </w:hyperlink>
          </w:p>
        </w:tc>
      </w:tr>
    </w:tbl>
    <w:p>
      <w:pPr>
        <w:sectPr>
          <w:pgSz w:w="11900" w:h="16838" w:orient="portrait"/>
          <w:cols w:equalWidth="0" w:num="1">
            <w:col w:w="11360"/>
          </w:cols>
          <w:pgMar w:left="280" w:top="36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jc w:val="center"/>
        <w:ind w:right="-59"/>
        <w:spacing w:after="0"/>
        <w:rPr>
          <w:sz w:val="20"/>
          <w:szCs w:val="20"/>
          <w:color w:val="auto"/>
        </w:rPr>
      </w:pPr>
      <w:r>
        <w:rPr>
          <w:rFonts w:ascii="Arial" w:cs="Arial" w:eastAsia="Arial" w:hAnsi="Arial"/>
          <w:sz w:val="14"/>
          <w:szCs w:val="14"/>
          <w:b w:val="1"/>
          <w:bCs w:val="1"/>
          <w:color w:val="auto"/>
        </w:rPr>
        <w:t>(Unaudited - in thousands, except per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ind w:left="2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15"/>
                <w:szCs w:val="15"/>
                <w:color w:val="auto"/>
              </w:rPr>
            </w:pPr>
          </w:p>
        </w:tc>
        <w:tc>
          <w:tcPr>
            <w:tcW w:w="1420" w:type="dxa"/>
            <w:vAlign w:val="bottom"/>
          </w:tcPr>
          <w:p>
            <w:pPr>
              <w:jc w:val="right"/>
              <w:ind w:right="172"/>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57"/>
        </w:trPr>
        <w:tc>
          <w:tcPr>
            <w:tcW w:w="8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000" w:type="dxa"/>
            <w:vAlign w:val="bottom"/>
          </w:tcPr>
          <w:p>
            <w:pPr>
              <w:ind w:left="380"/>
              <w:spacing w:after="0"/>
              <w:rPr>
                <w:sz w:val="20"/>
                <w:szCs w:val="20"/>
                <w:color w:val="auto"/>
              </w:rPr>
            </w:pPr>
            <w:r>
              <w:rPr>
                <w:rFonts w:ascii="Arial" w:cs="Arial" w:eastAsia="Arial" w:hAnsi="Arial"/>
                <w:sz w:val="14"/>
                <w:szCs w:val="14"/>
                <w:color w:val="auto"/>
              </w:rPr>
              <w:t>Land</w:t>
            </w: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52"/>
              <w:spacing w:after="0"/>
              <w:rPr>
                <w:sz w:val="20"/>
                <w:szCs w:val="20"/>
                <w:color w:val="auto"/>
              </w:rPr>
            </w:pPr>
            <w:r>
              <w:rPr>
                <w:rFonts w:ascii="Arial" w:cs="Arial" w:eastAsia="Arial" w:hAnsi="Arial"/>
                <w:sz w:val="14"/>
                <w:szCs w:val="14"/>
                <w:color w:val="auto"/>
              </w:rPr>
              <w:t>1,279,306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1,201,945</w:t>
            </w:r>
          </w:p>
        </w:tc>
        <w:tc>
          <w:tcPr>
            <w:tcW w:w="0" w:type="dxa"/>
            <w:vAlign w:val="bottom"/>
          </w:tcPr>
          <w:p>
            <w:pPr>
              <w:spacing w:after="0"/>
              <w:rPr>
                <w:sz w:val="1"/>
                <w:szCs w:val="1"/>
                <w:color w:val="auto"/>
              </w:rPr>
            </w:pPr>
          </w:p>
        </w:tc>
      </w:tr>
      <w:tr>
        <w:trPr>
          <w:trHeight w:val="277"/>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Land improvements and buildings</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5,899,149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5,586,250</w:t>
            </w:r>
          </w:p>
        </w:tc>
        <w:tc>
          <w:tcPr>
            <w:tcW w:w="0" w:type="dxa"/>
            <w:vAlign w:val="bottom"/>
          </w:tcPr>
          <w:p>
            <w:pPr>
              <w:spacing w:after="0"/>
              <w:rPr>
                <w:sz w:val="1"/>
                <w:szCs w:val="1"/>
                <w:color w:val="auto"/>
              </w:rPr>
            </w:pPr>
          </w:p>
        </w:tc>
      </w:tr>
      <w:tr>
        <w:trPr>
          <w:trHeight w:val="263"/>
        </w:trPr>
        <w:tc>
          <w:tcPr>
            <w:tcW w:w="8000" w:type="dxa"/>
            <w:vAlign w:val="bottom"/>
          </w:tcPr>
          <w:p>
            <w:pPr>
              <w:ind w:left="380"/>
              <w:spacing w:after="0"/>
              <w:rPr>
                <w:sz w:val="20"/>
                <w:szCs w:val="20"/>
                <w:color w:val="auto"/>
              </w:rPr>
            </w:pPr>
            <w:r>
              <w:rPr>
                <w:rFonts w:ascii="Arial" w:cs="Arial" w:eastAsia="Arial" w:hAnsi="Arial"/>
                <w:sz w:val="14"/>
                <w:szCs w:val="14"/>
                <w:color w:val="auto"/>
              </w:rPr>
              <w:t>Rental homes and improvements</w:t>
            </w:r>
          </w:p>
        </w:tc>
        <w:tc>
          <w:tcPr>
            <w:tcW w:w="260" w:type="dxa"/>
            <w:vAlign w:val="bottom"/>
          </w:tcPr>
          <w:p>
            <w:pPr>
              <w:spacing w:after="0"/>
              <w:rPr>
                <w:sz w:val="22"/>
                <w:szCs w:val="22"/>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color w:val="auto"/>
              </w:rPr>
              <w:t>585,994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571,661</w:t>
            </w:r>
          </w:p>
        </w:tc>
        <w:tc>
          <w:tcPr>
            <w:tcW w:w="0" w:type="dxa"/>
            <w:vAlign w:val="bottom"/>
          </w:tcPr>
          <w:p>
            <w:pPr>
              <w:spacing w:after="0"/>
              <w:rPr>
                <w:sz w:val="1"/>
                <w:szCs w:val="1"/>
                <w:color w:val="auto"/>
              </w:rPr>
            </w:pPr>
          </w:p>
        </w:tc>
      </w:tr>
      <w:tr>
        <w:trPr>
          <w:trHeight w:val="271"/>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Furniture, fixtures and equipment</w:t>
            </w:r>
          </w:p>
        </w:tc>
        <w:tc>
          <w:tcPr>
            <w:tcW w:w="2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208,177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201,090</w:t>
            </w:r>
          </w:p>
        </w:tc>
        <w:tc>
          <w:tcPr>
            <w:tcW w:w="0" w:type="dxa"/>
            <w:vAlign w:val="bottom"/>
          </w:tcPr>
          <w:p>
            <w:pPr>
              <w:spacing w:after="0"/>
              <w:rPr>
                <w:sz w:val="1"/>
                <w:szCs w:val="1"/>
                <w:color w:val="auto"/>
              </w:rPr>
            </w:pPr>
          </w:p>
        </w:tc>
      </w:tr>
      <w:tr>
        <w:trPr>
          <w:trHeight w:val="250"/>
        </w:trPr>
        <w:tc>
          <w:tcPr>
            <w:tcW w:w="8000" w:type="dxa"/>
            <w:vAlign w:val="bottom"/>
          </w:tcPr>
          <w:p>
            <w:pPr>
              <w:ind w:left="380"/>
              <w:spacing w:after="0"/>
              <w:rPr>
                <w:sz w:val="20"/>
                <w:szCs w:val="20"/>
                <w:color w:val="auto"/>
              </w:rPr>
            </w:pPr>
            <w:r>
              <w:rPr>
                <w:rFonts w:ascii="Arial" w:cs="Arial" w:eastAsia="Arial" w:hAnsi="Arial"/>
                <w:sz w:val="14"/>
                <w:szCs w:val="14"/>
                <w:color w:val="auto"/>
              </w:rPr>
              <w:t>Investment property</w:t>
            </w:r>
          </w:p>
        </w:tc>
        <w:tc>
          <w:tcPr>
            <w:tcW w:w="26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color w:val="auto"/>
              </w:rPr>
              <w:t>7,972,626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7,560,946</w:t>
            </w:r>
          </w:p>
        </w:tc>
        <w:tc>
          <w:tcPr>
            <w:tcW w:w="0" w:type="dxa"/>
            <w:vAlign w:val="bottom"/>
          </w:tcPr>
          <w:p>
            <w:pPr>
              <w:spacing w:after="0"/>
              <w:rPr>
                <w:sz w:val="1"/>
                <w:szCs w:val="1"/>
                <w:color w:val="auto"/>
              </w:rPr>
            </w:pPr>
          </w:p>
        </w:tc>
      </w:tr>
      <w:tr>
        <w:trPr>
          <w:trHeight w:val="277"/>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Accumulated depreciation</w:t>
            </w:r>
          </w:p>
        </w:tc>
        <w:tc>
          <w:tcPr>
            <w:tcW w:w="2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(1,501,370)</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(1,442,630)</w:t>
            </w:r>
          </w:p>
        </w:tc>
        <w:tc>
          <w:tcPr>
            <w:tcW w:w="0" w:type="dxa"/>
            <w:vAlign w:val="bottom"/>
          </w:tcPr>
          <w:p>
            <w:pPr>
              <w:spacing w:after="0"/>
              <w:rPr>
                <w:sz w:val="1"/>
                <w:szCs w:val="1"/>
                <w:color w:val="auto"/>
              </w:rPr>
            </w:pPr>
          </w:p>
        </w:tc>
      </w:tr>
      <w:tr>
        <w:trPr>
          <w:trHeight w:val="145"/>
        </w:trPr>
        <w:tc>
          <w:tcPr>
            <w:tcW w:w="8000" w:type="dxa"/>
            <w:vAlign w:val="bottom"/>
          </w:tcPr>
          <w:p>
            <w:pPr>
              <w:ind w:left="380"/>
              <w:spacing w:after="0" w:line="145" w:lineRule="exact"/>
              <w:rPr>
                <w:sz w:val="20"/>
                <w:szCs w:val="20"/>
                <w:color w:val="auto"/>
              </w:rPr>
            </w:pPr>
            <w:r>
              <w:rPr>
                <w:rFonts w:ascii="Arial" w:cs="Arial" w:eastAsia="Arial" w:hAnsi="Arial"/>
                <w:sz w:val="14"/>
                <w:szCs w:val="14"/>
                <w:color w:val="auto"/>
                <w:w w:val="88"/>
              </w:rPr>
              <w:t>Investment property, net (including $314,669 and $308,171 for consolidated variable interest entities at March 31, 2019 and December 31,</w:t>
            </w: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000" w:type="dxa"/>
            <w:vAlign w:val="bottom"/>
          </w:tcPr>
          <w:p>
            <w:pPr>
              <w:ind w:left="380"/>
              <w:spacing w:after="0"/>
              <w:rPr>
                <w:sz w:val="20"/>
                <w:szCs w:val="20"/>
                <w:color w:val="auto"/>
              </w:rPr>
            </w:pPr>
            <w:r>
              <w:rPr>
                <w:rFonts w:ascii="Arial" w:cs="Arial" w:eastAsia="Arial" w:hAnsi="Arial"/>
                <w:sz w:val="14"/>
                <w:szCs w:val="14"/>
                <w:color w:val="auto"/>
              </w:rPr>
              <w:t>2018; see Note 8)</w:t>
            </w:r>
          </w:p>
        </w:tc>
        <w:tc>
          <w:tcPr>
            <w:tcW w:w="260" w:type="dxa"/>
            <w:vAlign w:val="bottom"/>
          </w:tcPr>
          <w:p>
            <w:pPr>
              <w:spacing w:after="0"/>
              <w:rPr>
                <w:sz w:val="15"/>
                <w:szCs w:val="15"/>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color w:val="auto"/>
              </w:rPr>
              <w:t>6,471,256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6,118,316</w:t>
            </w:r>
          </w:p>
        </w:tc>
        <w:tc>
          <w:tcPr>
            <w:tcW w:w="0" w:type="dxa"/>
            <w:vAlign w:val="bottom"/>
          </w:tcPr>
          <w:p>
            <w:pPr>
              <w:spacing w:after="0"/>
              <w:rPr>
                <w:sz w:val="1"/>
                <w:szCs w:val="1"/>
                <w:color w:val="auto"/>
              </w:rPr>
            </w:pPr>
          </w:p>
        </w:tc>
      </w:tr>
      <w:tr>
        <w:trPr>
          <w:trHeight w:val="277"/>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21,946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50,311</w:t>
            </w:r>
          </w:p>
        </w:tc>
        <w:tc>
          <w:tcPr>
            <w:tcW w:w="0" w:type="dxa"/>
            <w:vAlign w:val="bottom"/>
          </w:tcPr>
          <w:p>
            <w:pPr>
              <w:spacing w:after="0"/>
              <w:rPr>
                <w:sz w:val="1"/>
                <w:szCs w:val="1"/>
                <w:color w:val="auto"/>
              </w:rPr>
            </w:pPr>
          </w:p>
        </w:tc>
      </w:tr>
      <w:tr>
        <w:trPr>
          <w:trHeight w:val="263"/>
        </w:trPr>
        <w:tc>
          <w:tcPr>
            <w:tcW w:w="8000" w:type="dxa"/>
            <w:vAlign w:val="bottom"/>
          </w:tcPr>
          <w:p>
            <w:pPr>
              <w:ind w:left="380"/>
              <w:spacing w:after="0"/>
              <w:rPr>
                <w:sz w:val="20"/>
                <w:szCs w:val="20"/>
                <w:color w:val="auto"/>
              </w:rPr>
            </w:pPr>
            <w:r>
              <w:rPr>
                <w:rFonts w:ascii="Arial" w:cs="Arial" w:eastAsia="Arial" w:hAnsi="Arial"/>
                <w:sz w:val="14"/>
                <w:szCs w:val="14"/>
                <w:color w:val="auto"/>
              </w:rPr>
              <w:t>Marketable securities</w:t>
            </w:r>
          </w:p>
        </w:tc>
        <w:tc>
          <w:tcPr>
            <w:tcW w:w="260" w:type="dxa"/>
            <w:vAlign w:val="bottom"/>
          </w:tcPr>
          <w:p>
            <w:pPr>
              <w:spacing w:after="0"/>
              <w:rPr>
                <w:sz w:val="22"/>
                <w:szCs w:val="22"/>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color w:val="auto"/>
              </w:rPr>
              <w:t>50,501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49,037</w:t>
            </w:r>
          </w:p>
        </w:tc>
        <w:tc>
          <w:tcPr>
            <w:tcW w:w="0" w:type="dxa"/>
            <w:vAlign w:val="bottom"/>
          </w:tcPr>
          <w:p>
            <w:pPr>
              <w:spacing w:after="0"/>
              <w:rPr>
                <w:sz w:val="1"/>
                <w:szCs w:val="1"/>
                <w:color w:val="auto"/>
              </w:rPr>
            </w:pPr>
          </w:p>
        </w:tc>
      </w:tr>
      <w:tr>
        <w:trPr>
          <w:trHeight w:val="277"/>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Inventory of manufactured homes</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52,993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49,199</w:t>
            </w:r>
          </w:p>
        </w:tc>
        <w:tc>
          <w:tcPr>
            <w:tcW w:w="0" w:type="dxa"/>
            <w:vAlign w:val="bottom"/>
          </w:tcPr>
          <w:p>
            <w:pPr>
              <w:spacing w:after="0"/>
              <w:rPr>
                <w:sz w:val="1"/>
                <w:szCs w:val="1"/>
                <w:color w:val="auto"/>
              </w:rPr>
            </w:pPr>
          </w:p>
        </w:tc>
      </w:tr>
      <w:tr>
        <w:trPr>
          <w:trHeight w:val="263"/>
        </w:trPr>
        <w:tc>
          <w:tcPr>
            <w:tcW w:w="8000" w:type="dxa"/>
            <w:vAlign w:val="bottom"/>
          </w:tcPr>
          <w:p>
            <w:pPr>
              <w:ind w:left="380"/>
              <w:spacing w:after="0"/>
              <w:rPr>
                <w:sz w:val="20"/>
                <w:szCs w:val="20"/>
                <w:color w:val="auto"/>
              </w:rPr>
            </w:pPr>
            <w:r>
              <w:rPr>
                <w:rFonts w:ascii="Arial" w:cs="Arial" w:eastAsia="Arial" w:hAnsi="Arial"/>
                <w:sz w:val="14"/>
                <w:szCs w:val="14"/>
                <w:color w:val="auto"/>
              </w:rPr>
              <w:t>Notes and other receivables, net</w:t>
            </w:r>
          </w:p>
        </w:tc>
        <w:tc>
          <w:tcPr>
            <w:tcW w:w="260" w:type="dxa"/>
            <w:vAlign w:val="bottom"/>
          </w:tcPr>
          <w:p>
            <w:pPr>
              <w:spacing w:after="0"/>
              <w:rPr>
                <w:sz w:val="22"/>
                <w:szCs w:val="22"/>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color w:val="auto"/>
              </w:rPr>
              <w:t>179,814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160,077</w:t>
            </w:r>
          </w:p>
        </w:tc>
        <w:tc>
          <w:tcPr>
            <w:tcW w:w="0" w:type="dxa"/>
            <w:vAlign w:val="bottom"/>
          </w:tcPr>
          <w:p>
            <w:pPr>
              <w:spacing w:after="0"/>
              <w:rPr>
                <w:sz w:val="1"/>
                <w:szCs w:val="1"/>
                <w:color w:val="auto"/>
              </w:rPr>
            </w:pPr>
          </w:p>
        </w:tc>
      </w:tr>
      <w:tr>
        <w:trPr>
          <w:trHeight w:val="277"/>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Collateralized receivables, net</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101,938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106,924</w:t>
            </w:r>
          </w:p>
        </w:tc>
        <w:tc>
          <w:tcPr>
            <w:tcW w:w="0" w:type="dxa"/>
            <w:vAlign w:val="bottom"/>
          </w:tcPr>
          <w:p>
            <w:pPr>
              <w:spacing w:after="0"/>
              <w:rPr>
                <w:sz w:val="1"/>
                <w:szCs w:val="1"/>
                <w:color w:val="auto"/>
              </w:rPr>
            </w:pPr>
          </w:p>
        </w:tc>
      </w:tr>
      <w:tr>
        <w:trPr>
          <w:trHeight w:val="165"/>
        </w:trPr>
        <w:tc>
          <w:tcPr>
            <w:tcW w:w="8000" w:type="dxa"/>
            <w:vAlign w:val="bottom"/>
          </w:tcPr>
          <w:p>
            <w:pPr>
              <w:ind w:left="380"/>
              <w:spacing w:after="0"/>
              <w:rPr>
                <w:sz w:val="20"/>
                <w:szCs w:val="20"/>
                <w:color w:val="auto"/>
              </w:rPr>
            </w:pPr>
            <w:r>
              <w:rPr>
                <w:rFonts w:ascii="Arial" w:cs="Arial" w:eastAsia="Arial" w:hAnsi="Arial"/>
                <w:sz w:val="14"/>
                <w:szCs w:val="14"/>
                <w:color w:val="auto"/>
                <w:w w:val="88"/>
              </w:rPr>
              <w:t>Other assets, net (including $22,369 and $19,809 for consolidated variable interest entities at March 31, 2019 and December 31, 2018; see</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Note 8)</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220,214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176,162</w:t>
            </w: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7,098,662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6,710,026</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0"/>
              </w:rPr>
              <w:t>Mortgage loans payable (including $43,913 and $44,172 for consolidated variable interest entities at March 31, 2019 and December 31,</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2018; see Note 8)</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2,879,017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2,815,957</w:t>
            </w:r>
          </w:p>
        </w:tc>
        <w:tc>
          <w:tcPr>
            <w:tcW w:w="0" w:type="dxa"/>
            <w:vAlign w:val="bottom"/>
          </w:tcPr>
          <w:p>
            <w:pPr>
              <w:spacing w:after="0"/>
              <w:rPr>
                <w:sz w:val="1"/>
                <w:szCs w:val="1"/>
                <w:color w:val="auto"/>
              </w:rPr>
            </w:pPr>
          </w:p>
        </w:tc>
      </w:tr>
      <w:tr>
        <w:trPr>
          <w:trHeight w:val="263"/>
        </w:trPr>
        <w:tc>
          <w:tcPr>
            <w:tcW w:w="8000" w:type="dxa"/>
            <w:vAlign w:val="bottom"/>
          </w:tcPr>
          <w:p>
            <w:pPr>
              <w:ind w:left="380"/>
              <w:spacing w:after="0"/>
              <w:rPr>
                <w:sz w:val="20"/>
                <w:szCs w:val="20"/>
                <w:color w:val="auto"/>
              </w:rPr>
            </w:pPr>
            <w:r>
              <w:rPr>
                <w:rFonts w:ascii="Arial" w:cs="Arial" w:eastAsia="Arial" w:hAnsi="Arial"/>
                <w:sz w:val="14"/>
                <w:szCs w:val="14"/>
                <w:color w:val="auto"/>
              </w:rPr>
              <w:t>Secured borrowings on collateralized receivables</w:t>
            </w:r>
          </w:p>
        </w:tc>
        <w:tc>
          <w:tcPr>
            <w:tcW w:w="260" w:type="dxa"/>
            <w:vAlign w:val="bottom"/>
          </w:tcPr>
          <w:p>
            <w:pPr>
              <w:spacing w:after="0"/>
              <w:rPr>
                <w:sz w:val="22"/>
                <w:szCs w:val="22"/>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color w:val="auto"/>
              </w:rPr>
              <w:t>102,676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107,731</w:t>
            </w:r>
          </w:p>
        </w:tc>
        <w:tc>
          <w:tcPr>
            <w:tcW w:w="0" w:type="dxa"/>
            <w:vAlign w:val="bottom"/>
          </w:tcPr>
          <w:p>
            <w:pPr>
              <w:spacing w:after="0"/>
              <w:rPr>
                <w:sz w:val="1"/>
                <w:szCs w:val="1"/>
                <w:color w:val="auto"/>
              </w:rPr>
            </w:pPr>
          </w:p>
        </w:tc>
      </w:tr>
      <w:tr>
        <w:trPr>
          <w:trHeight w:val="172"/>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w w:val="89"/>
              </w:rPr>
              <w:t>Preferred Equity - Sun NG RV Resorts LLC - mandatorily redeemable (fully attributable to consolidated variable interest entities; See Note</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8)</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35,249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35,277</w:t>
            </w:r>
          </w:p>
        </w:tc>
        <w:tc>
          <w:tcPr>
            <w:tcW w:w="0" w:type="dxa"/>
            <w:vAlign w:val="bottom"/>
          </w:tcPr>
          <w:p>
            <w:pPr>
              <w:spacing w:after="0"/>
              <w:rPr>
                <w:sz w:val="1"/>
                <w:szCs w:val="1"/>
                <w:color w:val="auto"/>
              </w:rPr>
            </w:pPr>
          </w:p>
        </w:tc>
      </w:tr>
      <w:tr>
        <w:trPr>
          <w:trHeight w:val="263"/>
        </w:trPr>
        <w:tc>
          <w:tcPr>
            <w:tcW w:w="8000" w:type="dxa"/>
            <w:vAlign w:val="bottom"/>
          </w:tcPr>
          <w:p>
            <w:pPr>
              <w:ind w:left="380"/>
              <w:spacing w:after="0"/>
              <w:rPr>
                <w:sz w:val="20"/>
                <w:szCs w:val="20"/>
                <w:color w:val="auto"/>
              </w:rPr>
            </w:pPr>
            <w:r>
              <w:rPr>
                <w:rFonts w:ascii="Arial" w:cs="Arial" w:eastAsia="Arial" w:hAnsi="Arial"/>
                <w:sz w:val="14"/>
                <w:szCs w:val="14"/>
                <w:color w:val="auto"/>
              </w:rPr>
              <w:t>Preferred OP units - mandatorily redeemable</w:t>
            </w:r>
          </w:p>
        </w:tc>
        <w:tc>
          <w:tcPr>
            <w:tcW w:w="260" w:type="dxa"/>
            <w:vAlign w:val="bottom"/>
          </w:tcPr>
          <w:p>
            <w:pPr>
              <w:spacing w:after="0"/>
              <w:rPr>
                <w:sz w:val="22"/>
                <w:szCs w:val="22"/>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color w:val="auto"/>
              </w:rPr>
              <w:t>34,663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37,338</w:t>
            </w:r>
          </w:p>
        </w:tc>
        <w:tc>
          <w:tcPr>
            <w:tcW w:w="0" w:type="dxa"/>
            <w:vAlign w:val="bottom"/>
          </w:tcPr>
          <w:p>
            <w:pPr>
              <w:spacing w:after="0"/>
              <w:rPr>
                <w:sz w:val="1"/>
                <w:szCs w:val="1"/>
                <w:color w:val="auto"/>
              </w:rPr>
            </w:pPr>
          </w:p>
        </w:tc>
      </w:tr>
      <w:tr>
        <w:trPr>
          <w:trHeight w:val="277"/>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Lines of credit</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396,512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128,000</w:t>
            </w:r>
          </w:p>
        </w:tc>
        <w:tc>
          <w:tcPr>
            <w:tcW w:w="0" w:type="dxa"/>
            <w:vAlign w:val="bottom"/>
          </w:tcPr>
          <w:p>
            <w:pPr>
              <w:spacing w:after="0"/>
              <w:rPr>
                <w:sz w:val="1"/>
                <w:szCs w:val="1"/>
                <w:color w:val="auto"/>
              </w:rPr>
            </w:pPr>
          </w:p>
        </w:tc>
      </w:tr>
      <w:tr>
        <w:trPr>
          <w:trHeight w:val="263"/>
        </w:trPr>
        <w:tc>
          <w:tcPr>
            <w:tcW w:w="8000" w:type="dxa"/>
            <w:vAlign w:val="bottom"/>
          </w:tcPr>
          <w:p>
            <w:pPr>
              <w:ind w:left="380"/>
              <w:spacing w:after="0"/>
              <w:rPr>
                <w:sz w:val="20"/>
                <w:szCs w:val="20"/>
                <w:color w:val="auto"/>
              </w:rPr>
            </w:pPr>
            <w:r>
              <w:rPr>
                <w:rFonts w:ascii="Arial" w:cs="Arial" w:eastAsia="Arial" w:hAnsi="Arial"/>
                <w:sz w:val="14"/>
                <w:szCs w:val="14"/>
                <w:color w:val="auto"/>
              </w:rPr>
              <w:t>Distributions payable</w:t>
            </w:r>
          </w:p>
        </w:tc>
        <w:tc>
          <w:tcPr>
            <w:tcW w:w="260" w:type="dxa"/>
            <w:vAlign w:val="bottom"/>
          </w:tcPr>
          <w:p>
            <w:pPr>
              <w:spacing w:after="0"/>
              <w:rPr>
                <w:sz w:val="22"/>
                <w:szCs w:val="22"/>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color w:val="auto"/>
              </w:rPr>
              <w:t>66,887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63,249</w:t>
            </w:r>
          </w:p>
        </w:tc>
        <w:tc>
          <w:tcPr>
            <w:tcW w:w="0" w:type="dxa"/>
            <w:vAlign w:val="bottom"/>
          </w:tcPr>
          <w:p>
            <w:pPr>
              <w:spacing w:after="0"/>
              <w:rPr>
                <w:sz w:val="1"/>
                <w:szCs w:val="1"/>
                <w:color w:val="auto"/>
              </w:rPr>
            </w:pPr>
          </w:p>
        </w:tc>
      </w:tr>
      <w:tr>
        <w:trPr>
          <w:trHeight w:val="277"/>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Advanced reservation deposits and rent</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151,860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133,698</w:t>
            </w:r>
          </w:p>
        </w:tc>
        <w:tc>
          <w:tcPr>
            <w:tcW w:w="0" w:type="dxa"/>
            <w:vAlign w:val="bottom"/>
          </w:tcPr>
          <w:p>
            <w:pPr>
              <w:spacing w:after="0"/>
              <w:rPr>
                <w:sz w:val="1"/>
                <w:szCs w:val="1"/>
                <w:color w:val="auto"/>
              </w:rPr>
            </w:pPr>
          </w:p>
        </w:tc>
      </w:tr>
      <w:tr>
        <w:trPr>
          <w:trHeight w:val="165"/>
        </w:trPr>
        <w:tc>
          <w:tcPr>
            <w:tcW w:w="8000" w:type="dxa"/>
            <w:vAlign w:val="bottom"/>
          </w:tcPr>
          <w:p>
            <w:pPr>
              <w:ind w:left="380"/>
              <w:spacing w:after="0"/>
              <w:rPr>
                <w:sz w:val="20"/>
                <w:szCs w:val="20"/>
                <w:color w:val="auto"/>
              </w:rPr>
            </w:pPr>
            <w:r>
              <w:rPr>
                <w:rFonts w:ascii="Arial" w:cs="Arial" w:eastAsia="Arial" w:hAnsi="Arial"/>
                <w:sz w:val="14"/>
                <w:szCs w:val="14"/>
                <w:color w:val="auto"/>
                <w:w w:val="90"/>
              </w:rPr>
              <w:t>Other liabilities (including $21,049 and $6,914 for consolidated variable interest entities at March 31, 2019 and December 31, 2018; see</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Note 8)</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179,461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157,862</w:t>
            </w:r>
          </w:p>
        </w:tc>
        <w:tc>
          <w:tcPr>
            <w:tcW w:w="0" w:type="dxa"/>
            <w:vAlign w:val="bottom"/>
          </w:tcPr>
          <w:p>
            <w:pPr>
              <w:spacing w:after="0"/>
              <w:rPr>
                <w:sz w:val="1"/>
                <w:szCs w:val="1"/>
                <w:color w:val="auto"/>
              </w:rPr>
            </w:pPr>
          </w:p>
        </w:tc>
      </w:tr>
      <w:tr>
        <w:trPr>
          <w:trHeight w:val="257"/>
        </w:trPr>
        <w:tc>
          <w:tcPr>
            <w:tcW w:w="8000" w:type="dxa"/>
            <w:vAlign w:val="bottom"/>
            <w:shd w:val="clear" w:color="auto" w:fill="CCEEFF"/>
          </w:tcPr>
          <w:p>
            <w:pPr>
              <w:ind w:left="82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3,846,325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3,479,112</w:t>
            </w:r>
          </w:p>
        </w:tc>
        <w:tc>
          <w:tcPr>
            <w:tcW w:w="0" w:type="dxa"/>
            <w:vAlign w:val="bottom"/>
          </w:tcPr>
          <w:p>
            <w:pPr>
              <w:spacing w:after="0"/>
              <w:rPr>
                <w:sz w:val="1"/>
                <w:szCs w:val="1"/>
                <w:color w:val="auto"/>
              </w:rPr>
            </w:pPr>
          </w:p>
        </w:tc>
      </w:tr>
      <w:tr>
        <w:trPr>
          <w:trHeight w:val="257"/>
        </w:trPr>
        <w:tc>
          <w:tcPr>
            <w:tcW w:w="8000" w:type="dxa"/>
            <w:vAlign w:val="bottom"/>
          </w:tcPr>
          <w:p>
            <w:pPr>
              <w:ind w:left="380"/>
              <w:spacing w:after="0"/>
              <w:rPr>
                <w:sz w:val="20"/>
                <w:szCs w:val="20"/>
                <w:color w:val="auto"/>
              </w:rPr>
            </w:pPr>
            <w:r>
              <w:rPr>
                <w:rFonts w:ascii="Arial" w:cs="Arial" w:eastAsia="Arial" w:hAnsi="Arial"/>
                <w:sz w:val="14"/>
                <w:szCs w:val="14"/>
                <w:color w:val="auto"/>
              </w:rPr>
              <w:t>Commitments and contingencies (see Note 17)</w:t>
            </w:r>
          </w:p>
        </w:tc>
        <w:tc>
          <w:tcPr>
            <w:tcW w:w="2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8"/>
              </w:rPr>
              <w:t>Series A-4 preferred stock, $0.01 par value. Issued and outstanding:1,063 shares at March 31, 2019 and December 31, 2018</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31,739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31,739</w:t>
            </w:r>
          </w:p>
        </w:tc>
        <w:tc>
          <w:tcPr>
            <w:tcW w:w="0" w:type="dxa"/>
            <w:vAlign w:val="bottom"/>
          </w:tcPr>
          <w:p>
            <w:pPr>
              <w:spacing w:after="0"/>
              <w:rPr>
                <w:sz w:val="1"/>
                <w:szCs w:val="1"/>
                <w:color w:val="auto"/>
              </w:rPr>
            </w:pPr>
          </w:p>
        </w:tc>
      </w:tr>
      <w:tr>
        <w:trPr>
          <w:trHeight w:val="263"/>
        </w:trPr>
        <w:tc>
          <w:tcPr>
            <w:tcW w:w="8000" w:type="dxa"/>
            <w:vAlign w:val="bottom"/>
          </w:tcPr>
          <w:p>
            <w:pPr>
              <w:ind w:left="380"/>
              <w:spacing w:after="0"/>
              <w:rPr>
                <w:sz w:val="20"/>
                <w:szCs w:val="20"/>
                <w:color w:val="auto"/>
              </w:rPr>
            </w:pPr>
            <w:r>
              <w:rPr>
                <w:rFonts w:ascii="Arial" w:cs="Arial" w:eastAsia="Arial" w:hAnsi="Arial"/>
                <w:sz w:val="14"/>
                <w:szCs w:val="14"/>
                <w:color w:val="auto"/>
              </w:rPr>
              <w:t>Series A-4 preferred OP units</w:t>
            </w:r>
          </w:p>
        </w:tc>
        <w:tc>
          <w:tcPr>
            <w:tcW w:w="260" w:type="dxa"/>
            <w:vAlign w:val="bottom"/>
          </w:tcPr>
          <w:p>
            <w:pPr>
              <w:spacing w:after="0"/>
              <w:rPr>
                <w:sz w:val="22"/>
                <w:szCs w:val="22"/>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color w:val="auto"/>
              </w:rPr>
              <w:t>9,784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9,877</w:t>
            </w:r>
          </w:p>
        </w:tc>
        <w:tc>
          <w:tcPr>
            <w:tcW w:w="0" w:type="dxa"/>
            <w:vAlign w:val="bottom"/>
          </w:tcPr>
          <w:p>
            <w:pPr>
              <w:spacing w:after="0"/>
              <w:rPr>
                <w:sz w:val="1"/>
                <w:szCs w:val="1"/>
                <w:color w:val="auto"/>
              </w:rPr>
            </w:pPr>
          </w:p>
        </w:tc>
      </w:tr>
      <w:tr>
        <w:trPr>
          <w:trHeight w:val="277"/>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D preferred OP units</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51,738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8000" w:type="dxa"/>
            <w:vAlign w:val="bottom"/>
          </w:tcPr>
          <w:p>
            <w:pPr>
              <w:ind w:left="380"/>
              <w:spacing w:after="0"/>
              <w:rPr>
                <w:sz w:val="20"/>
                <w:szCs w:val="20"/>
                <w:color w:val="auto"/>
              </w:rPr>
            </w:pPr>
            <w:r>
              <w:rPr>
                <w:rFonts w:ascii="Arial" w:cs="Arial" w:eastAsia="Arial" w:hAnsi="Arial"/>
                <w:sz w:val="14"/>
                <w:szCs w:val="14"/>
                <w:color w:val="auto"/>
              </w:rPr>
              <w:t>Equity Interests - NG Sun LLC (fully attributable to consolidated variable interest entities; See Note 8)</w:t>
            </w:r>
          </w:p>
        </w:tc>
        <w:tc>
          <w:tcPr>
            <w:tcW w:w="260" w:type="dxa"/>
            <w:vAlign w:val="bottom"/>
          </w:tcPr>
          <w:p>
            <w:pPr>
              <w:spacing w:after="0"/>
              <w:rPr>
                <w:sz w:val="22"/>
                <w:szCs w:val="22"/>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color w:val="auto"/>
              </w:rPr>
              <w:t>22,167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21,976</w:t>
            </w:r>
          </w:p>
        </w:tc>
        <w:tc>
          <w:tcPr>
            <w:tcW w:w="0" w:type="dxa"/>
            <w:vAlign w:val="bottom"/>
          </w:tcPr>
          <w:p>
            <w:pPr>
              <w:spacing w:after="0"/>
              <w:rPr>
                <w:sz w:val="1"/>
                <w:szCs w:val="1"/>
                <w:color w:val="auto"/>
              </w:rPr>
            </w:pPr>
          </w:p>
        </w:tc>
      </w:tr>
      <w:tr>
        <w:trPr>
          <w:trHeight w:val="277"/>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000" w:type="dxa"/>
            <w:vAlign w:val="bottom"/>
          </w:tcPr>
          <w:p>
            <w:pPr>
              <w:ind w:left="360"/>
              <w:spacing w:after="0"/>
              <w:rPr>
                <w:sz w:val="20"/>
                <w:szCs w:val="20"/>
                <w:color w:val="auto"/>
              </w:rPr>
            </w:pPr>
            <w:r>
              <w:rPr>
                <w:rFonts w:ascii="Arial" w:cs="Arial" w:eastAsia="Arial" w:hAnsi="Arial"/>
                <w:sz w:val="14"/>
                <w:szCs w:val="14"/>
                <w:color w:val="auto"/>
                <w:w w:val="87"/>
              </w:rPr>
              <w:t>Common stock, $0.01 par value. Authorized: 180,000 shares; Issued and outstanding:86,463 shares at March 31, 2019 and 86,357 shares at</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000" w:type="dxa"/>
            <w:vAlign w:val="bottom"/>
          </w:tcPr>
          <w:p>
            <w:pPr>
              <w:ind w:left="360"/>
              <w:spacing w:after="0"/>
              <w:rPr>
                <w:sz w:val="20"/>
                <w:szCs w:val="20"/>
                <w:color w:val="auto"/>
              </w:rPr>
            </w:pPr>
            <w:r>
              <w:rPr>
                <w:rFonts w:ascii="Arial" w:cs="Arial" w:eastAsia="Arial" w:hAnsi="Arial"/>
                <w:sz w:val="14"/>
                <w:szCs w:val="14"/>
                <w:color w:val="auto"/>
              </w:rPr>
              <w:t>December 31, 2018</w:t>
            </w:r>
          </w:p>
        </w:tc>
        <w:tc>
          <w:tcPr>
            <w:tcW w:w="260" w:type="dxa"/>
            <w:vAlign w:val="bottom"/>
          </w:tcPr>
          <w:p>
            <w:pPr>
              <w:spacing w:after="0"/>
              <w:rPr>
                <w:sz w:val="15"/>
                <w:szCs w:val="15"/>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277"/>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4,398,641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4,398,949</w:t>
            </w:r>
          </w:p>
        </w:tc>
        <w:tc>
          <w:tcPr>
            <w:tcW w:w="0" w:type="dxa"/>
            <w:vAlign w:val="bottom"/>
          </w:tcPr>
          <w:p>
            <w:pPr>
              <w:spacing w:after="0"/>
              <w:rPr>
                <w:sz w:val="1"/>
                <w:szCs w:val="1"/>
                <w:color w:val="auto"/>
              </w:rPr>
            </w:pPr>
          </w:p>
        </w:tc>
      </w:tr>
      <w:tr>
        <w:trPr>
          <w:trHeight w:val="263"/>
        </w:trPr>
        <w:tc>
          <w:tcPr>
            <w:tcW w:w="8000" w:type="dxa"/>
            <w:vAlign w:val="bottom"/>
          </w:tcPr>
          <w:p>
            <w:pPr>
              <w:ind w:left="38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Pr>
          <w:p>
            <w:pPr>
              <w:spacing w:after="0"/>
              <w:rPr>
                <w:sz w:val="22"/>
                <w:szCs w:val="22"/>
                <w:color w:val="auto"/>
              </w:rPr>
            </w:pPr>
          </w:p>
        </w:tc>
        <w:tc>
          <w:tcPr>
            <w:tcW w:w="1480" w:type="dxa"/>
            <w:vAlign w:val="bottom"/>
          </w:tcPr>
          <w:p>
            <w:pPr>
              <w:jc w:val="right"/>
              <w:ind w:right="12"/>
              <w:spacing w:after="0"/>
              <w:rPr>
                <w:sz w:val="20"/>
                <w:szCs w:val="20"/>
                <w:color w:val="auto"/>
              </w:rPr>
            </w:pPr>
            <w:r>
              <w:rPr>
                <w:rFonts w:ascii="Arial" w:cs="Arial" w:eastAsia="Arial" w:hAnsi="Arial"/>
                <w:sz w:val="14"/>
                <w:szCs w:val="14"/>
                <w:color w:val="auto"/>
              </w:rPr>
              <w:t>(3,006)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(4,504)</w:t>
            </w:r>
          </w:p>
        </w:tc>
        <w:tc>
          <w:tcPr>
            <w:tcW w:w="0" w:type="dxa"/>
            <w:vAlign w:val="bottom"/>
          </w:tcPr>
          <w:p>
            <w:pPr>
              <w:spacing w:after="0"/>
              <w:rPr>
                <w:sz w:val="1"/>
                <w:szCs w:val="1"/>
                <w:color w:val="auto"/>
              </w:rPr>
            </w:pPr>
          </w:p>
        </w:tc>
      </w:tr>
      <w:tr>
        <w:trPr>
          <w:trHeight w:val="271"/>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in excess of accumulated earnings</w:t>
            </w:r>
          </w:p>
        </w:tc>
        <w:tc>
          <w:tcPr>
            <w:tcW w:w="2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(1,317,605)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(1,288,486)</w:t>
            </w:r>
          </w:p>
        </w:tc>
        <w:tc>
          <w:tcPr>
            <w:tcW w:w="0" w:type="dxa"/>
            <w:vAlign w:val="bottom"/>
          </w:tcPr>
          <w:p>
            <w:pPr>
              <w:spacing w:after="0"/>
              <w:rPr>
                <w:sz w:val="1"/>
                <w:szCs w:val="1"/>
                <w:color w:val="auto"/>
              </w:rPr>
            </w:pPr>
          </w:p>
        </w:tc>
      </w:tr>
      <w:tr>
        <w:trPr>
          <w:trHeight w:val="250"/>
        </w:trPr>
        <w:tc>
          <w:tcPr>
            <w:tcW w:w="8000" w:type="dxa"/>
            <w:vAlign w:val="bottom"/>
          </w:tcPr>
          <w:p>
            <w:pPr>
              <w:ind w:left="820"/>
              <w:spacing w:after="0"/>
              <w:rPr>
                <w:sz w:val="20"/>
                <w:szCs w:val="20"/>
                <w:color w:val="auto"/>
              </w:rPr>
            </w:pPr>
            <w:r>
              <w:rPr>
                <w:rFonts w:ascii="Arial" w:cs="Arial" w:eastAsia="Arial" w:hAnsi="Arial"/>
                <w:sz w:val="14"/>
                <w:szCs w:val="14"/>
                <w:color w:val="auto"/>
              </w:rPr>
              <w:t>Total Sun Communities, Inc. stockholders' equity</w:t>
            </w:r>
          </w:p>
        </w:tc>
        <w:tc>
          <w:tcPr>
            <w:tcW w:w="26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color w:val="auto"/>
              </w:rPr>
              <w:t>3,078,895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3,106,823</w:t>
            </w:r>
          </w:p>
        </w:tc>
        <w:tc>
          <w:tcPr>
            <w:tcW w:w="0" w:type="dxa"/>
            <w:vAlign w:val="bottom"/>
          </w:tcPr>
          <w:p>
            <w:pPr>
              <w:spacing w:after="0"/>
              <w:rPr>
                <w:sz w:val="1"/>
                <w:szCs w:val="1"/>
                <w:color w:val="auto"/>
              </w:rPr>
            </w:pPr>
          </w:p>
        </w:tc>
      </w:tr>
      <w:tr>
        <w:trPr>
          <w:trHeight w:val="277"/>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Noncontrolling interests</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000" w:type="dxa"/>
            <w:vAlign w:val="bottom"/>
          </w:tcPr>
          <w:p>
            <w:pPr>
              <w:ind w:left="500"/>
              <w:spacing w:after="0"/>
              <w:rPr>
                <w:sz w:val="20"/>
                <w:szCs w:val="20"/>
                <w:color w:val="auto"/>
              </w:rPr>
            </w:pPr>
            <w:r>
              <w:rPr>
                <w:rFonts w:ascii="Arial" w:cs="Arial" w:eastAsia="Arial" w:hAnsi="Arial"/>
                <w:sz w:val="14"/>
                <w:szCs w:val="14"/>
                <w:color w:val="auto"/>
              </w:rPr>
              <w:t>Common and preferred OP units</w:t>
            </w:r>
          </w:p>
        </w:tc>
        <w:tc>
          <w:tcPr>
            <w:tcW w:w="260" w:type="dxa"/>
            <w:vAlign w:val="bottom"/>
          </w:tcPr>
          <w:p>
            <w:pPr>
              <w:spacing w:after="0"/>
              <w:rPr>
                <w:sz w:val="22"/>
                <w:szCs w:val="22"/>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color w:val="auto"/>
              </w:rPr>
              <w:t>51,816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53,354</w:t>
            </w:r>
          </w:p>
        </w:tc>
        <w:tc>
          <w:tcPr>
            <w:tcW w:w="0" w:type="dxa"/>
            <w:vAlign w:val="bottom"/>
          </w:tcPr>
          <w:p>
            <w:pPr>
              <w:spacing w:after="0"/>
              <w:rPr>
                <w:sz w:val="1"/>
                <w:szCs w:val="1"/>
                <w:color w:val="auto"/>
              </w:rPr>
            </w:pPr>
          </w:p>
        </w:tc>
      </w:tr>
      <w:tr>
        <w:trPr>
          <w:trHeight w:val="271"/>
        </w:trPr>
        <w:tc>
          <w:tcPr>
            <w:tcW w:w="80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Consolidated variable interest entities</w:t>
            </w:r>
          </w:p>
        </w:tc>
        <w:tc>
          <w:tcPr>
            <w:tcW w:w="2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6,198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7,145</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tcPr>
          <w:p>
            <w:pPr>
              <w:ind w:left="820"/>
              <w:spacing w:after="0"/>
              <w:rPr>
                <w:sz w:val="20"/>
                <w:szCs w:val="20"/>
                <w:color w:val="auto"/>
              </w:rPr>
            </w:pPr>
            <w:r>
              <w:rPr>
                <w:rFonts w:ascii="Arial" w:cs="Arial" w:eastAsia="Arial" w:hAnsi="Arial"/>
                <w:sz w:val="14"/>
                <w:szCs w:val="14"/>
                <w:color w:val="auto"/>
              </w:rPr>
              <w:t>Total noncontrolling interests</w:t>
            </w: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58,014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60,499</w:t>
            </w:r>
          </w:p>
        </w:tc>
        <w:tc>
          <w:tcPr>
            <w:tcW w:w="0" w:type="dxa"/>
            <w:vAlign w:val="bottom"/>
          </w:tcPr>
          <w:p>
            <w:pPr>
              <w:spacing w:after="0"/>
              <w:rPr>
                <w:sz w:val="1"/>
                <w:szCs w:val="1"/>
                <w:color w:val="auto"/>
              </w:rPr>
            </w:pPr>
          </w:p>
        </w:tc>
      </w:tr>
      <w:tr>
        <w:trPr>
          <w:trHeight w:val="250"/>
        </w:trPr>
        <w:tc>
          <w:tcPr>
            <w:tcW w:w="8000" w:type="dxa"/>
            <w:vAlign w:val="bottom"/>
            <w:shd w:val="clear" w:color="auto" w:fill="CCEEFF"/>
          </w:tcPr>
          <w:p>
            <w:pPr>
              <w:ind w:left="820"/>
              <w:spacing w:after="0"/>
              <w:rPr>
                <w:sz w:val="20"/>
                <w:szCs w:val="20"/>
                <w:color w:val="auto"/>
              </w:rPr>
            </w:pPr>
            <w:r>
              <w:rPr>
                <w:rFonts w:ascii="Arial" w:cs="Arial" w:eastAsia="Arial" w:hAnsi="Arial"/>
                <w:sz w:val="14"/>
                <w:szCs w:val="14"/>
                <w:b w:val="1"/>
                <w:bCs w:val="1"/>
                <w:color w:val="auto"/>
              </w:rPr>
              <w:t>TOTAL STOCKHOLDERS' EQUITY</w:t>
            </w:r>
          </w:p>
        </w:tc>
        <w:tc>
          <w:tcPr>
            <w:tcW w:w="2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3,136,909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3,167,322</w:t>
            </w:r>
          </w:p>
        </w:tc>
        <w:tc>
          <w:tcPr>
            <w:tcW w:w="0" w:type="dxa"/>
            <w:vAlign w:val="bottom"/>
          </w:tcPr>
          <w:p>
            <w:pPr>
              <w:spacing w:after="0"/>
              <w:rPr>
                <w:sz w:val="1"/>
                <w:szCs w:val="1"/>
                <w:color w:val="auto"/>
              </w:rPr>
            </w:pPr>
          </w:p>
        </w:tc>
      </w:tr>
      <w:tr>
        <w:trPr>
          <w:trHeight w:val="243"/>
        </w:trPr>
        <w:tc>
          <w:tcPr>
            <w:tcW w:w="8000" w:type="dxa"/>
            <w:vAlign w:val="bottom"/>
          </w:tcPr>
          <w:p>
            <w:pPr>
              <w:ind w:left="820"/>
              <w:spacing w:after="0"/>
              <w:rPr>
                <w:sz w:val="20"/>
                <w:szCs w:val="20"/>
                <w:color w:val="auto"/>
              </w:rPr>
            </w:pPr>
            <w:r>
              <w:rPr>
                <w:rFonts w:ascii="Arial" w:cs="Arial" w:eastAsia="Arial" w:hAnsi="Arial"/>
                <w:sz w:val="14"/>
                <w:szCs w:val="14"/>
                <w:b w:val="1"/>
                <w:bCs w:val="1"/>
                <w:color w:val="auto"/>
              </w:rPr>
              <w:t>TOTAL LIABILITIES, TEMPORARY EQUITY AND STOCKHOLDERS' EQUITY</w:t>
            </w:r>
          </w:p>
        </w:tc>
        <w:tc>
          <w:tcPr>
            <w:tcW w:w="2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7,098,662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6,710,026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(Unaudited - dollars in thousands, except per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8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3"/>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Income from real property</w:t>
            </w:r>
          </w:p>
        </w:tc>
        <w:tc>
          <w:tcPr>
            <w:tcW w:w="820" w:type="dxa"/>
            <w:vAlign w:val="bottom"/>
            <w:tcBorders>
              <w:bottom w:val="single" w:sz="8" w:color="CCEEFF"/>
            </w:tcBorders>
            <w:shd w:val="clear" w:color="auto" w:fill="CCEEFF"/>
          </w:tcPr>
          <w:p>
            <w:pPr>
              <w:jc w:val="right"/>
              <w:ind w:right="67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82"/>
              </w:rPr>
              <w:t>216,779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197,211</w:t>
            </w:r>
          </w:p>
        </w:tc>
        <w:tc>
          <w:tcPr>
            <w:tcW w:w="0" w:type="dxa"/>
            <w:vAlign w:val="bottom"/>
          </w:tcPr>
          <w:p>
            <w:pPr>
              <w:spacing w:after="0"/>
              <w:rPr>
                <w:sz w:val="1"/>
                <w:szCs w:val="1"/>
                <w:color w:val="auto"/>
              </w:rPr>
            </w:pPr>
          </w:p>
        </w:tc>
      </w:tr>
      <w:tr>
        <w:trPr>
          <w:trHeight w:val="263"/>
        </w:trPr>
        <w:tc>
          <w:tcPr>
            <w:tcW w:w="8580" w:type="dxa"/>
            <w:vAlign w:val="bottom"/>
          </w:tcPr>
          <w:p>
            <w:pPr>
              <w:ind w:left="380"/>
              <w:spacing w:after="0"/>
              <w:rPr>
                <w:sz w:val="20"/>
                <w:szCs w:val="20"/>
                <w:color w:val="auto"/>
              </w:rPr>
            </w:pPr>
            <w:r>
              <w:rPr>
                <w:rFonts w:ascii="Arial" w:cs="Arial" w:eastAsia="Arial" w:hAnsi="Arial"/>
                <w:sz w:val="14"/>
                <w:szCs w:val="14"/>
                <w:color w:val="auto"/>
              </w:rPr>
              <w:t>Revenue from home sales</w:t>
            </w:r>
          </w:p>
        </w:tc>
        <w:tc>
          <w:tcPr>
            <w:tcW w:w="82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w w:val="97"/>
              </w:rPr>
              <w:t>39,618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34,900</w:t>
            </w: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Rental home revenue</w:t>
            </w:r>
          </w:p>
        </w:tc>
        <w:tc>
          <w:tcPr>
            <w:tcW w:w="8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97"/>
              </w:rPr>
              <w:t>13,971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13,020</w:t>
            </w:r>
          </w:p>
        </w:tc>
        <w:tc>
          <w:tcPr>
            <w:tcW w:w="0" w:type="dxa"/>
            <w:vAlign w:val="bottom"/>
          </w:tcPr>
          <w:p>
            <w:pPr>
              <w:spacing w:after="0"/>
              <w:rPr>
                <w:sz w:val="1"/>
                <w:szCs w:val="1"/>
                <w:color w:val="auto"/>
              </w:rPr>
            </w:pPr>
          </w:p>
        </w:tc>
      </w:tr>
      <w:tr>
        <w:trPr>
          <w:trHeight w:val="263"/>
        </w:trPr>
        <w:tc>
          <w:tcPr>
            <w:tcW w:w="8580" w:type="dxa"/>
            <w:vAlign w:val="bottom"/>
          </w:tcPr>
          <w:p>
            <w:pPr>
              <w:ind w:left="380"/>
              <w:spacing w:after="0"/>
              <w:rPr>
                <w:sz w:val="20"/>
                <w:szCs w:val="20"/>
                <w:color w:val="auto"/>
              </w:rPr>
            </w:pPr>
            <w:r>
              <w:rPr>
                <w:rFonts w:ascii="Arial" w:cs="Arial" w:eastAsia="Arial" w:hAnsi="Arial"/>
                <w:sz w:val="14"/>
                <w:szCs w:val="14"/>
                <w:color w:val="auto"/>
              </w:rPr>
              <w:t>Ancillary revenue</w:t>
            </w:r>
          </w:p>
        </w:tc>
        <w:tc>
          <w:tcPr>
            <w:tcW w:w="82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8,482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6,568</w:t>
            </w: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Interest</w:t>
            </w:r>
          </w:p>
        </w:tc>
        <w:tc>
          <w:tcPr>
            <w:tcW w:w="8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4,800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5,316</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Brokerage commissions and other revenues, net</w:t>
            </w:r>
          </w:p>
        </w:tc>
        <w:tc>
          <w:tcPr>
            <w:tcW w:w="8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3,680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shd w:val="clear" w:color="auto" w:fill="CCEEFF"/>
              </w:rPr>
              <w:t>Total revenues</w:t>
            </w:r>
          </w:p>
        </w:tc>
        <w:tc>
          <w:tcPr>
            <w:tcW w:w="8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82"/>
              </w:rPr>
              <w:t>287,330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257,975</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8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Property operating and maintenance</w:t>
            </w:r>
          </w:p>
        </w:tc>
        <w:tc>
          <w:tcPr>
            <w:tcW w:w="8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97"/>
              </w:rPr>
              <w:t>57,909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51,630</w:t>
            </w:r>
          </w:p>
        </w:tc>
        <w:tc>
          <w:tcPr>
            <w:tcW w:w="0" w:type="dxa"/>
            <w:vAlign w:val="bottom"/>
          </w:tcPr>
          <w:p>
            <w:pPr>
              <w:spacing w:after="0"/>
              <w:rPr>
                <w:sz w:val="1"/>
                <w:szCs w:val="1"/>
                <w:color w:val="auto"/>
              </w:rPr>
            </w:pPr>
          </w:p>
        </w:tc>
      </w:tr>
      <w:tr>
        <w:trPr>
          <w:trHeight w:val="263"/>
        </w:trPr>
        <w:tc>
          <w:tcPr>
            <w:tcW w:w="8580" w:type="dxa"/>
            <w:vAlign w:val="bottom"/>
          </w:tcPr>
          <w:p>
            <w:pPr>
              <w:ind w:left="380"/>
              <w:spacing w:after="0"/>
              <w:rPr>
                <w:sz w:val="20"/>
                <w:szCs w:val="20"/>
                <w:color w:val="auto"/>
              </w:rPr>
            </w:pPr>
            <w:r>
              <w:rPr>
                <w:rFonts w:ascii="Arial" w:cs="Arial" w:eastAsia="Arial" w:hAnsi="Arial"/>
                <w:sz w:val="14"/>
                <w:szCs w:val="14"/>
                <w:color w:val="auto"/>
              </w:rPr>
              <w:t>Real estate taxes</w:t>
            </w:r>
          </w:p>
        </w:tc>
        <w:tc>
          <w:tcPr>
            <w:tcW w:w="82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w w:val="97"/>
              </w:rPr>
              <w:t>15,330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13,836</w:t>
            </w: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Cost of home sales</w:t>
            </w:r>
          </w:p>
        </w:tc>
        <w:tc>
          <w:tcPr>
            <w:tcW w:w="8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97"/>
              </w:rPr>
              <w:t>29,277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26,571</w:t>
            </w:r>
          </w:p>
        </w:tc>
        <w:tc>
          <w:tcPr>
            <w:tcW w:w="0" w:type="dxa"/>
            <w:vAlign w:val="bottom"/>
          </w:tcPr>
          <w:p>
            <w:pPr>
              <w:spacing w:after="0"/>
              <w:rPr>
                <w:sz w:val="1"/>
                <w:szCs w:val="1"/>
                <w:color w:val="auto"/>
              </w:rPr>
            </w:pPr>
          </w:p>
        </w:tc>
      </w:tr>
      <w:tr>
        <w:trPr>
          <w:trHeight w:val="263"/>
        </w:trPr>
        <w:tc>
          <w:tcPr>
            <w:tcW w:w="8580" w:type="dxa"/>
            <w:vAlign w:val="bottom"/>
          </w:tcPr>
          <w:p>
            <w:pPr>
              <w:ind w:left="380"/>
              <w:spacing w:after="0"/>
              <w:rPr>
                <w:sz w:val="20"/>
                <w:szCs w:val="20"/>
                <w:color w:val="auto"/>
              </w:rPr>
            </w:pPr>
            <w:r>
              <w:rPr>
                <w:rFonts w:ascii="Arial" w:cs="Arial" w:eastAsia="Arial" w:hAnsi="Arial"/>
                <w:sz w:val="14"/>
                <w:szCs w:val="14"/>
                <w:color w:val="auto"/>
              </w:rPr>
              <w:t>Rental home operating and maintenance</w:t>
            </w:r>
          </w:p>
        </w:tc>
        <w:tc>
          <w:tcPr>
            <w:tcW w:w="82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4,788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5,227</w:t>
            </w: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Ancillary expenses</w:t>
            </w:r>
          </w:p>
        </w:tc>
        <w:tc>
          <w:tcPr>
            <w:tcW w:w="8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7,101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5,383</w:t>
            </w:r>
          </w:p>
        </w:tc>
        <w:tc>
          <w:tcPr>
            <w:tcW w:w="0" w:type="dxa"/>
            <w:vAlign w:val="bottom"/>
          </w:tcPr>
          <w:p>
            <w:pPr>
              <w:spacing w:after="0"/>
              <w:rPr>
                <w:sz w:val="1"/>
                <w:szCs w:val="1"/>
                <w:color w:val="auto"/>
              </w:rPr>
            </w:pPr>
          </w:p>
        </w:tc>
      </w:tr>
      <w:tr>
        <w:trPr>
          <w:trHeight w:val="263"/>
        </w:trPr>
        <w:tc>
          <w:tcPr>
            <w:tcW w:w="8580" w:type="dxa"/>
            <w:vAlign w:val="bottom"/>
          </w:tcPr>
          <w:p>
            <w:pPr>
              <w:ind w:left="380"/>
              <w:spacing w:after="0"/>
              <w:rPr>
                <w:sz w:val="20"/>
                <w:szCs w:val="20"/>
                <w:color w:val="auto"/>
              </w:rPr>
            </w:pPr>
            <w:r>
              <w:rPr>
                <w:rFonts w:ascii="Arial" w:cs="Arial" w:eastAsia="Arial" w:hAnsi="Arial"/>
                <w:sz w:val="14"/>
                <w:szCs w:val="14"/>
                <w:color w:val="auto"/>
              </w:rPr>
              <w:t>Home selling expenses</w:t>
            </w:r>
          </w:p>
        </w:tc>
        <w:tc>
          <w:tcPr>
            <w:tcW w:w="82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3,324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3,290</w:t>
            </w: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w:t>
            </w:r>
          </w:p>
        </w:tc>
        <w:tc>
          <w:tcPr>
            <w:tcW w:w="8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7"/>
              </w:rPr>
              <w:t>21,887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19,757</w:t>
            </w:r>
          </w:p>
        </w:tc>
        <w:tc>
          <w:tcPr>
            <w:tcW w:w="0" w:type="dxa"/>
            <w:vAlign w:val="bottom"/>
          </w:tcPr>
          <w:p>
            <w:pPr>
              <w:spacing w:after="0"/>
              <w:rPr>
                <w:sz w:val="1"/>
                <w:szCs w:val="1"/>
                <w:color w:val="auto"/>
              </w:rPr>
            </w:pPr>
          </w:p>
        </w:tc>
      </w:tr>
      <w:tr>
        <w:trPr>
          <w:trHeight w:val="263"/>
        </w:trPr>
        <w:tc>
          <w:tcPr>
            <w:tcW w:w="8580" w:type="dxa"/>
            <w:vAlign w:val="bottom"/>
          </w:tcPr>
          <w:p>
            <w:pPr>
              <w:ind w:left="380"/>
              <w:spacing w:after="0"/>
              <w:rPr>
                <w:sz w:val="20"/>
                <w:szCs w:val="20"/>
                <w:color w:val="auto"/>
              </w:rPr>
            </w:pPr>
            <w:r>
              <w:rPr>
                <w:rFonts w:ascii="Arial" w:cs="Arial" w:eastAsia="Arial" w:hAnsi="Arial"/>
                <w:sz w:val="14"/>
                <w:szCs w:val="14"/>
                <w:color w:val="auto"/>
              </w:rPr>
              <w:t>Catastrophic weather related charges, net</w:t>
            </w:r>
          </w:p>
        </w:tc>
        <w:tc>
          <w:tcPr>
            <w:tcW w:w="82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(2,213)</w:t>
            </w: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8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7"/>
              </w:rPr>
              <w:t>76,556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66,437</w:t>
            </w:r>
          </w:p>
        </w:tc>
        <w:tc>
          <w:tcPr>
            <w:tcW w:w="0" w:type="dxa"/>
            <w:vAlign w:val="bottom"/>
          </w:tcPr>
          <w:p>
            <w:pPr>
              <w:spacing w:after="0"/>
              <w:rPr>
                <w:sz w:val="1"/>
                <w:szCs w:val="1"/>
                <w:color w:val="auto"/>
              </w:rPr>
            </w:pPr>
          </w:p>
        </w:tc>
      </w:tr>
      <w:tr>
        <w:trPr>
          <w:trHeight w:val="263"/>
        </w:trPr>
        <w:tc>
          <w:tcPr>
            <w:tcW w:w="8580" w:type="dxa"/>
            <w:vAlign w:val="bottom"/>
          </w:tcPr>
          <w:p>
            <w:pPr>
              <w:ind w:left="380"/>
              <w:spacing w:after="0"/>
              <w:rPr>
                <w:sz w:val="20"/>
                <w:szCs w:val="20"/>
                <w:color w:val="auto"/>
              </w:rPr>
            </w:pPr>
            <w:r>
              <w:rPr>
                <w:rFonts w:ascii="Arial" w:cs="Arial" w:eastAsia="Arial" w:hAnsi="Arial"/>
                <w:sz w:val="14"/>
                <w:szCs w:val="14"/>
                <w:color w:val="auto"/>
              </w:rPr>
              <w:t>Loss on extinguishment of debt</w:t>
            </w:r>
          </w:p>
        </w:tc>
        <w:tc>
          <w:tcPr>
            <w:tcW w:w="82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w:t>
            </w:r>
          </w:p>
        </w:tc>
        <w:tc>
          <w:tcPr>
            <w:tcW w:w="8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7"/>
              </w:rPr>
              <w:t>34,014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31,138</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Interest on mandatorily redeemable preferred OP units / equity</w:t>
            </w:r>
          </w:p>
        </w:tc>
        <w:tc>
          <w:tcPr>
            <w:tcW w:w="8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1,094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50"/>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expenses</w:t>
            </w:r>
          </w:p>
        </w:tc>
        <w:tc>
          <w:tcPr>
            <w:tcW w:w="8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82"/>
              </w:rPr>
              <w:t>252,715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221,871</w:t>
            </w:r>
          </w:p>
        </w:tc>
        <w:tc>
          <w:tcPr>
            <w:tcW w:w="0" w:type="dxa"/>
            <w:vAlign w:val="bottom"/>
          </w:tcPr>
          <w:p>
            <w:pPr>
              <w:spacing w:after="0"/>
              <w:rPr>
                <w:sz w:val="1"/>
                <w:szCs w:val="1"/>
                <w:color w:val="auto"/>
              </w:rPr>
            </w:pP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color w:val="auto"/>
              </w:rPr>
              <w:t>Income Before Other Items</w:t>
            </w:r>
          </w:p>
        </w:tc>
        <w:tc>
          <w:tcPr>
            <w:tcW w:w="820" w:type="dxa"/>
            <w:vAlign w:val="bottom"/>
          </w:tcPr>
          <w:p>
            <w:pPr>
              <w:spacing w:after="0"/>
              <w:rPr>
                <w:sz w:val="21"/>
                <w:szCs w:val="21"/>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w w:val="97"/>
              </w:rPr>
              <w:t>34,615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36,104</w:t>
            </w: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Remeasurement of marketable securities</w:t>
            </w:r>
          </w:p>
        </w:tc>
        <w:tc>
          <w:tcPr>
            <w:tcW w:w="8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8580" w:type="dxa"/>
            <w:vAlign w:val="bottom"/>
          </w:tcPr>
          <w:p>
            <w:pPr>
              <w:ind w:left="380"/>
              <w:spacing w:after="0"/>
              <w:rPr>
                <w:sz w:val="20"/>
                <w:szCs w:val="20"/>
                <w:color w:val="auto"/>
              </w:rPr>
            </w:pPr>
            <w:r>
              <w:rPr>
                <w:rFonts w:ascii="Arial" w:cs="Arial" w:eastAsia="Arial" w:hAnsi="Arial"/>
                <w:sz w:val="14"/>
                <w:szCs w:val="14"/>
                <w:color w:val="auto"/>
              </w:rPr>
              <w:t>Other income / (expense), net</w:t>
            </w:r>
          </w:p>
        </w:tc>
        <w:tc>
          <w:tcPr>
            <w:tcW w:w="82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1,898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(2,617)</w:t>
            </w: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 (loss) from nonconsolidated affiliates</w:t>
            </w:r>
          </w:p>
        </w:tc>
        <w:tc>
          <w:tcPr>
            <w:tcW w:w="8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63"/>
        </w:trPr>
        <w:tc>
          <w:tcPr>
            <w:tcW w:w="8580" w:type="dxa"/>
            <w:vAlign w:val="bottom"/>
          </w:tcPr>
          <w:p>
            <w:pPr>
              <w:ind w:left="380"/>
              <w:spacing w:after="0"/>
              <w:rPr>
                <w:sz w:val="20"/>
                <w:szCs w:val="20"/>
                <w:color w:val="auto"/>
              </w:rPr>
            </w:pPr>
            <w:r>
              <w:rPr>
                <w:rFonts w:ascii="Arial" w:cs="Arial" w:eastAsia="Arial" w:hAnsi="Arial"/>
                <w:sz w:val="14"/>
                <w:szCs w:val="14"/>
                <w:color w:val="auto"/>
              </w:rPr>
              <w:t>Current tax expense</w:t>
            </w:r>
          </w:p>
        </w:tc>
        <w:tc>
          <w:tcPr>
            <w:tcW w:w="820" w:type="dxa"/>
            <w:vAlign w:val="bottom"/>
          </w:tcPr>
          <w:p>
            <w:pPr>
              <w:spacing w:after="0"/>
              <w:rPr>
                <w:sz w:val="22"/>
                <w:szCs w:val="22"/>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71"/>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tax benefit</w:t>
            </w:r>
          </w:p>
        </w:tc>
        <w:tc>
          <w:tcPr>
            <w:tcW w:w="8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209"/>
        </w:trPr>
        <w:tc>
          <w:tcPr>
            <w:tcW w:w="85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w w:val="97"/>
              </w:rPr>
              <w:t>37,127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33,601</w:t>
            </w: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Less: Preferred return to preferred OP units / equity</w:t>
            </w:r>
          </w:p>
        </w:tc>
        <w:tc>
          <w:tcPr>
            <w:tcW w:w="8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(1,323)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Less: Amounts attributable to noncontrolling interests</w:t>
            </w:r>
          </w:p>
        </w:tc>
        <w:tc>
          <w:tcPr>
            <w:tcW w:w="8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(1,041)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Sun Communities, Inc.</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7"/>
              </w:rPr>
              <w:t>34,763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30,427</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Less: Preferred stock distribution</w:t>
            </w:r>
          </w:p>
        </w:tc>
        <w:tc>
          <w:tcPr>
            <w:tcW w:w="8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(432)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21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Sun Communities, Inc. common stockholders</w:t>
            </w:r>
          </w:p>
        </w:tc>
        <w:tc>
          <w:tcPr>
            <w:tcW w:w="82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97"/>
              </w:rPr>
              <w:t>34,331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29,986</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8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8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7"/>
              </w:rPr>
              <w:t>85,520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78,855</w:t>
            </w:r>
          </w:p>
        </w:tc>
        <w:tc>
          <w:tcPr>
            <w:tcW w:w="0" w:type="dxa"/>
            <w:vAlign w:val="bottom"/>
          </w:tcPr>
          <w:p>
            <w:pPr>
              <w:spacing w:after="0"/>
              <w:rPr>
                <w:sz w:val="1"/>
                <w:szCs w:val="1"/>
                <w:color w:val="auto"/>
              </w:rPr>
            </w:pPr>
          </w:p>
        </w:tc>
      </w:tr>
      <w:tr>
        <w:trPr>
          <w:trHeight w:val="263"/>
        </w:trPr>
        <w:tc>
          <w:tcPr>
            <w:tcW w:w="8580" w:type="dxa"/>
            <w:vAlign w:val="bottom"/>
          </w:tcPr>
          <w:p>
            <w:pPr>
              <w:ind w:left="380"/>
              <w:spacing w:after="0"/>
              <w:rPr>
                <w:sz w:val="20"/>
                <w:szCs w:val="20"/>
                <w:color w:val="auto"/>
              </w:rPr>
            </w:pPr>
            <w:r>
              <w:rPr>
                <w:rFonts w:ascii="Arial" w:cs="Arial" w:eastAsia="Arial" w:hAnsi="Arial"/>
                <w:sz w:val="14"/>
                <w:szCs w:val="14"/>
                <w:color w:val="auto"/>
              </w:rPr>
              <w:t>Diluted</w:t>
            </w:r>
          </w:p>
        </w:tc>
        <w:tc>
          <w:tcPr>
            <w:tcW w:w="82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w w:val="97"/>
              </w:rPr>
              <w:t>86,033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79,464</w:t>
            </w: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per share (Refer to Note 14):</w:t>
            </w:r>
          </w:p>
        </w:tc>
        <w:tc>
          <w:tcPr>
            <w:tcW w:w="8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80" w:type="dxa"/>
            <w:vAlign w:val="bottom"/>
          </w:tcPr>
          <w:p>
            <w:pPr>
              <w:ind w:left="380"/>
              <w:spacing w:after="0"/>
              <w:rPr>
                <w:sz w:val="20"/>
                <w:szCs w:val="20"/>
                <w:color w:val="auto"/>
              </w:rPr>
            </w:pPr>
            <w:r>
              <w:rPr>
                <w:rFonts w:ascii="Arial" w:cs="Arial" w:eastAsia="Arial" w:hAnsi="Arial"/>
                <w:sz w:val="14"/>
                <w:szCs w:val="14"/>
                <w:color w:val="auto"/>
              </w:rPr>
              <w:t>Basic</w:t>
            </w:r>
          </w:p>
        </w:tc>
        <w:tc>
          <w:tcPr>
            <w:tcW w:w="820" w:type="dxa"/>
            <w:vAlign w:val="bottom"/>
          </w:tcPr>
          <w:p>
            <w:pPr>
              <w:jc w:val="right"/>
              <w:ind w:right="672"/>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22"/>
                <w:szCs w:val="22"/>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Diluted</w:t>
            </w:r>
          </w:p>
        </w:tc>
        <w:tc>
          <w:tcPr>
            <w:tcW w:w="820" w:type="dxa"/>
            <w:vAlign w:val="bottom"/>
            <w:shd w:val="clear" w:color="auto" w:fill="CCEEFF"/>
          </w:tcPr>
          <w:p>
            <w:pPr>
              <w:jc w:val="right"/>
              <w:ind w:right="672"/>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 dollars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20" w:type="dxa"/>
            <w:vAlign w:val="bottom"/>
            <w:shd w:val="clear" w:color="auto" w:fill="CCEEFF"/>
          </w:tcPr>
          <w:p>
            <w:pPr>
              <w:jc w:val="right"/>
              <w:ind w:right="87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37,127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5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33,601</w:t>
            </w: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Foreign currency translation adjustment</w:t>
            </w:r>
          </w:p>
        </w:tc>
        <w:tc>
          <w:tcPr>
            <w:tcW w:w="10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1,575</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(1,861)</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income</w:t>
            </w:r>
          </w:p>
        </w:tc>
        <w:tc>
          <w:tcPr>
            <w:tcW w:w="10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38,702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31,740</w:t>
            </w: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Less: Comprehensive income attributable to noncontrolling interests</w:t>
            </w:r>
          </w:p>
        </w:tc>
        <w:tc>
          <w:tcPr>
            <w:tcW w:w="10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1,118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2,005</w:t>
            </w: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Sun Communities, Inc.</w:t>
            </w:r>
          </w:p>
        </w:tc>
        <w:tc>
          <w:tcPr>
            <w:tcW w:w="102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37,584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29,735</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dollars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63"/>
        </w:trPr>
        <w:tc>
          <w:tcPr>
            <w:tcW w:w="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Distributions in</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79"/>
              </w:rPr>
              <w:t>Excess of</w:t>
            </w:r>
          </w:p>
        </w:tc>
        <w:tc>
          <w:tcPr>
            <w:tcW w:w="140" w:type="dxa"/>
            <w:vAlign w:val="bottom"/>
          </w:tcPr>
          <w:p>
            <w:pPr>
              <w:spacing w:after="0"/>
              <w:rPr>
                <w:sz w:val="12"/>
                <w:szCs w:val="12"/>
                <w:color w:val="auto"/>
              </w:rPr>
            </w:pPr>
          </w:p>
        </w:tc>
        <w:tc>
          <w:tcPr>
            <w:tcW w:w="13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Accumulated Other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88"/>
              </w:rPr>
              <w:t>Common</w:t>
            </w:r>
          </w:p>
        </w:tc>
        <w:tc>
          <w:tcPr>
            <w:tcW w:w="108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Additional Paid-</w:t>
            </w:r>
          </w:p>
        </w:tc>
        <w:tc>
          <w:tcPr>
            <w:tcW w:w="160" w:type="dxa"/>
            <w:vAlign w:val="bottom"/>
          </w:tcPr>
          <w:p>
            <w:pPr>
              <w:spacing w:after="0"/>
              <w:rPr>
                <w:sz w:val="12"/>
                <w:szCs w:val="12"/>
                <w:color w:val="auto"/>
              </w:rPr>
            </w:pPr>
          </w:p>
        </w:tc>
        <w:tc>
          <w:tcPr>
            <w:tcW w:w="11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Comprehensive Income</w:t>
            </w:r>
          </w:p>
        </w:tc>
        <w:tc>
          <w:tcPr>
            <w:tcW w:w="12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1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Total Stockholders’</w:t>
            </w:r>
          </w:p>
        </w:tc>
      </w:tr>
      <w:tr>
        <w:trPr>
          <w:trHeight w:val="182"/>
        </w:trPr>
        <w:tc>
          <w:tcPr>
            <w:tcW w:w="40" w:type="dxa"/>
            <w:vAlign w:val="bottom"/>
            <w:tcBorders>
              <w:bottom w:val="single" w:sz="8" w:color="CCEEFF"/>
            </w:tcBorders>
          </w:tcPr>
          <w:p>
            <w:pPr>
              <w:spacing w:after="0"/>
              <w:rPr>
                <w:sz w:val="15"/>
                <w:szCs w:val="15"/>
                <w:color w:val="auto"/>
              </w:rPr>
            </w:pPr>
          </w:p>
        </w:tc>
        <w:tc>
          <w:tcPr>
            <w:tcW w:w="28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Temporary Equity</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1"/>
              </w:rPr>
              <w:t>in Capital</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6"/>
              </w:rPr>
              <w:t>Earnings</w:t>
            </w: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8"/>
              </w:rPr>
              <w:t>/ (Loss)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Interests</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Equity</w:t>
            </w: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 at December 31, 2018</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63,592</w:t>
            </w:r>
          </w:p>
        </w:tc>
        <w:tc>
          <w:tcPr>
            <w:tcW w:w="140" w:type="dxa"/>
            <w:vAlign w:val="bottom"/>
            <w:tcBorders>
              <w:right w:val="single" w:sz="8" w:color="CCEEFF"/>
            </w:tcBorders>
          </w:tcPr>
          <w:p>
            <w:pPr>
              <w:spacing w:after="0"/>
              <w:rPr>
                <w:sz w:val="22"/>
                <w:szCs w:val="22"/>
                <w:color w:val="auto"/>
              </w:rPr>
            </w:pP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864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4,398,949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(1,288,486)</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60,499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3,167,322</w:t>
            </w:r>
          </w:p>
        </w:tc>
        <w:tc>
          <w:tcPr>
            <w:tcW w:w="20" w:type="dxa"/>
            <w:vAlign w:val="bottom"/>
            <w:shd w:val="clear" w:color="auto" w:fill="CCEEFF"/>
          </w:tcPr>
          <w:p>
            <w:pPr>
              <w:spacing w:after="0"/>
              <w:rPr>
                <w:sz w:val="22"/>
                <w:szCs w:val="22"/>
                <w:color w:val="auto"/>
              </w:rPr>
            </w:pPr>
          </w:p>
        </w:tc>
      </w:tr>
      <w:tr>
        <w:trPr>
          <w:trHeight w:val="165"/>
        </w:trPr>
        <w:tc>
          <w:tcPr>
            <w:tcW w:w="2880" w:type="dxa"/>
            <w:vAlign w:val="bottom"/>
            <w:gridSpan w:val="2"/>
          </w:tcPr>
          <w:p>
            <w:pPr>
              <w:ind w:left="40"/>
              <w:spacing w:after="0"/>
              <w:rPr>
                <w:sz w:val="20"/>
                <w:szCs w:val="20"/>
                <w:color w:val="auto"/>
              </w:rPr>
            </w:pPr>
            <w:r>
              <w:rPr>
                <w:rFonts w:ascii="Arial" w:cs="Arial" w:eastAsia="Arial" w:hAnsi="Arial"/>
                <w:sz w:val="14"/>
                <w:szCs w:val="14"/>
                <w:color w:val="auto"/>
                <w:w w:val="90"/>
              </w:rPr>
              <w:t>Issuance of common stock and common OP units,</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net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(4,322)</w:t>
            </w:r>
          </w:p>
        </w:tc>
        <w:tc>
          <w:tcPr>
            <w:tcW w:w="160" w:type="dxa"/>
            <w:vAlign w:val="bottom"/>
          </w:tcPr>
          <w:p>
            <w:pPr>
              <w:spacing w:after="0"/>
              <w:rPr>
                <w:sz w:val="15"/>
                <w:szCs w:val="15"/>
                <w:color w:val="auto"/>
              </w:rPr>
            </w:pP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(4,321)</w:t>
            </w:r>
          </w:p>
        </w:tc>
        <w:tc>
          <w:tcPr>
            <w:tcW w:w="20" w:type="dxa"/>
            <w:vAlign w:val="bottom"/>
          </w:tcPr>
          <w:p>
            <w:pPr>
              <w:spacing w:after="0"/>
              <w:rPr>
                <w:sz w:val="15"/>
                <w:szCs w:val="15"/>
                <w:color w:val="auto"/>
              </w:rPr>
            </w:pPr>
          </w:p>
        </w:tc>
      </w:tr>
      <w:tr>
        <w:trPr>
          <w:trHeight w:val="27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Conversion of OP units</w:t>
            </w: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280</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5"/>
        </w:trPr>
        <w:tc>
          <w:tcPr>
            <w:tcW w:w="2880" w:type="dxa"/>
            <w:vAlign w:val="bottom"/>
            <w:gridSpan w:val="2"/>
          </w:tcPr>
          <w:p>
            <w:pPr>
              <w:ind w:left="40"/>
              <w:spacing w:after="0"/>
              <w:rPr>
                <w:sz w:val="20"/>
                <w:szCs w:val="20"/>
                <w:color w:val="auto"/>
              </w:rPr>
            </w:pPr>
            <w:r>
              <w:rPr>
                <w:rFonts w:ascii="Arial" w:cs="Arial" w:eastAsia="Arial" w:hAnsi="Arial"/>
                <w:sz w:val="14"/>
                <w:szCs w:val="14"/>
                <w:color w:val="auto"/>
                <w:w w:val="98"/>
              </w:rPr>
              <w:t>Share-based compensation - amortization and</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forfeitures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3,719</w:t>
            </w:r>
          </w:p>
        </w:tc>
        <w:tc>
          <w:tcPr>
            <w:tcW w:w="160" w:type="dxa"/>
            <w:vAlign w:val="bottom"/>
          </w:tcPr>
          <w:p>
            <w:pPr>
              <w:spacing w:after="0"/>
              <w:rPr>
                <w:sz w:val="15"/>
                <w:szCs w:val="15"/>
                <w:color w:val="auto"/>
              </w:rPr>
            </w:pP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74</w:t>
            </w:r>
          </w:p>
        </w:tc>
        <w:tc>
          <w:tcPr>
            <w:tcW w:w="140" w:type="dxa"/>
            <w:vAlign w:val="bottom"/>
          </w:tcPr>
          <w:p>
            <w:pPr>
              <w:spacing w:after="0"/>
              <w:rPr>
                <w:sz w:val="15"/>
                <w:szCs w:val="15"/>
                <w:color w:val="auto"/>
              </w:rPr>
            </w:pPr>
          </w:p>
        </w:tc>
        <w:tc>
          <w:tcPr>
            <w:tcW w:w="13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3,793</w:t>
            </w:r>
          </w:p>
        </w:tc>
        <w:tc>
          <w:tcPr>
            <w:tcW w:w="20" w:type="dxa"/>
            <w:vAlign w:val="bottom"/>
          </w:tcPr>
          <w:p>
            <w:pPr>
              <w:spacing w:after="0"/>
              <w:rPr>
                <w:sz w:val="15"/>
                <w:szCs w:val="15"/>
                <w:color w:val="auto"/>
              </w:rPr>
            </w:pPr>
          </w:p>
        </w:tc>
      </w:tr>
      <w:tr>
        <w:trPr>
          <w:trHeight w:val="27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Issuance of Series D OP Units</w:t>
            </w: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51,930</w:t>
            </w:r>
          </w:p>
        </w:tc>
        <w:tc>
          <w:tcPr>
            <w:tcW w:w="140" w:type="dxa"/>
            <w:vAlign w:val="bottom"/>
            <w:tcBorders>
              <w:right w:val="single" w:sz="8" w:color="CCEEFF"/>
            </w:tcBorders>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63"/>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Foreign currency translation</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4"/>
                <w:szCs w:val="14"/>
                <w:color w:val="auto"/>
              </w:rPr>
              <w:t>1,498</w:t>
            </w:r>
          </w:p>
        </w:tc>
        <w:tc>
          <w:tcPr>
            <w:tcW w:w="12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77</w:t>
            </w:r>
          </w:p>
        </w:tc>
        <w:tc>
          <w:tcPr>
            <w:tcW w:w="14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1,575</w:t>
            </w:r>
          </w:p>
        </w:tc>
        <w:tc>
          <w:tcPr>
            <w:tcW w:w="20" w:type="dxa"/>
            <w:vAlign w:val="bottom"/>
          </w:tcPr>
          <w:p>
            <w:pPr>
              <w:spacing w:after="0"/>
              <w:rPr>
                <w:sz w:val="22"/>
                <w:szCs w:val="22"/>
                <w:color w:val="auto"/>
              </w:rPr>
            </w:pPr>
          </w:p>
        </w:tc>
      </w:tr>
      <w:tr>
        <w:trPr>
          <w:trHeight w:val="27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178</w:t>
            </w:r>
          </w:p>
        </w:tc>
        <w:tc>
          <w:tcPr>
            <w:tcW w:w="140" w:type="dxa"/>
            <w:vAlign w:val="bottom"/>
            <w:tcBorders>
              <w:right w:val="single" w:sz="8" w:color="CCEEFF"/>
            </w:tcBorders>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36,086</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863</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36,949</w:t>
            </w:r>
          </w:p>
        </w:tc>
        <w:tc>
          <w:tcPr>
            <w:tcW w:w="20" w:type="dxa"/>
            <w:vAlign w:val="bottom"/>
            <w:shd w:val="clear" w:color="auto" w:fill="CCEEFF"/>
          </w:tcPr>
          <w:p>
            <w:pPr>
              <w:spacing w:after="0"/>
              <w:rPr>
                <w:sz w:val="24"/>
                <w:szCs w:val="24"/>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Distributions</w:t>
            </w: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(272)</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15</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(65,279)</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(3,145)</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(68,409)</w:t>
            </w:r>
          </w:p>
        </w:tc>
        <w:tc>
          <w:tcPr>
            <w:tcW w:w="20" w:type="dxa"/>
            <w:vAlign w:val="bottom"/>
            <w:tcBorders>
              <w:bottom w:val="single" w:sz="8" w:color="auto"/>
            </w:tcBorders>
          </w:tcPr>
          <w:p>
            <w:pPr>
              <w:spacing w:after="0"/>
              <w:rPr>
                <w:sz w:val="22"/>
                <w:szCs w:val="22"/>
                <w:color w:val="auto"/>
              </w:rPr>
            </w:pPr>
          </w:p>
        </w:tc>
      </w:tr>
      <w:tr>
        <w:trPr>
          <w:trHeight w:val="24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 at March 31, 2019</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115,428</w:t>
            </w:r>
          </w:p>
        </w:tc>
        <w:tc>
          <w:tcPr>
            <w:tcW w:w="280" w:type="dxa"/>
            <w:vAlign w:val="bottom"/>
            <w:tcBorders>
              <w:left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865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4,398,641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(1,317,605)</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58,014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3,136,909</w:t>
            </w:r>
          </w:p>
        </w:tc>
        <w:tc>
          <w:tcPr>
            <w:tcW w:w="20" w:type="dxa"/>
            <w:vAlign w:val="bottom"/>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812"/>
        </w:trPr>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3"/>
        </w:trPr>
        <w:tc>
          <w:tcPr>
            <w:tcW w:w="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Distributions in</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79"/>
              </w:rPr>
              <w:t>Excess of</w:t>
            </w:r>
          </w:p>
        </w:tc>
        <w:tc>
          <w:tcPr>
            <w:tcW w:w="140" w:type="dxa"/>
            <w:vAlign w:val="bottom"/>
          </w:tcPr>
          <w:p>
            <w:pPr>
              <w:spacing w:after="0"/>
              <w:rPr>
                <w:sz w:val="12"/>
                <w:szCs w:val="12"/>
                <w:color w:val="auto"/>
              </w:rPr>
            </w:pPr>
          </w:p>
        </w:tc>
        <w:tc>
          <w:tcPr>
            <w:tcW w:w="13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88"/>
              </w:rPr>
              <w:t>Accumulated Other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88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2"/>
                <w:szCs w:val="12"/>
                <w:color w:val="auto"/>
              </w:rPr>
            </w:pPr>
          </w:p>
        </w:tc>
        <w:tc>
          <w:tcPr>
            <w:tcW w:w="11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4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8"/>
              </w:rPr>
              <w:t>Comprehensive Income</w:t>
            </w:r>
          </w:p>
        </w:tc>
        <w:tc>
          <w:tcPr>
            <w:tcW w:w="112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w w:val="95"/>
              </w:rPr>
              <w:t>Non-controlling</w:t>
            </w:r>
          </w:p>
        </w:tc>
        <w:tc>
          <w:tcPr>
            <w:tcW w:w="138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96"/>
              </w:rPr>
              <w:t>Total Stockholders’</w:t>
            </w:r>
          </w:p>
        </w:tc>
      </w:tr>
      <w:tr>
        <w:trPr>
          <w:trHeight w:val="182"/>
        </w:trPr>
        <w:tc>
          <w:tcPr>
            <w:tcW w:w="40" w:type="dxa"/>
            <w:vAlign w:val="bottom"/>
          </w:tcPr>
          <w:p>
            <w:pPr>
              <w:spacing w:after="0"/>
              <w:rPr>
                <w:sz w:val="15"/>
                <w:szCs w:val="15"/>
                <w:color w:val="auto"/>
              </w:rPr>
            </w:pPr>
          </w:p>
        </w:tc>
        <w:tc>
          <w:tcPr>
            <w:tcW w:w="28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Temporary Equity</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Stock</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Paid-in Capital</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6"/>
              </w:rPr>
              <w:t>Earnings</w:t>
            </w: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 (Loss)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Interests</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5"/>
                <w:szCs w:val="15"/>
                <w:color w:val="auto"/>
              </w:rPr>
            </w:pPr>
          </w:p>
        </w:tc>
      </w:tr>
      <w:tr>
        <w:trPr>
          <w:trHeight w:val="257"/>
        </w:trPr>
        <w:tc>
          <w:tcPr>
            <w:tcW w:w="40" w:type="dxa"/>
            <w:vAlign w:val="bottom"/>
          </w:tcPr>
          <w:p>
            <w:pPr>
              <w:spacing w:after="0"/>
              <w:rPr>
                <w:sz w:val="22"/>
                <w:szCs w:val="22"/>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2017</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43,066</w:t>
            </w:r>
          </w:p>
        </w:tc>
        <w:tc>
          <w:tcPr>
            <w:tcW w:w="140" w:type="dxa"/>
            <w:vAlign w:val="bottom"/>
            <w:tcBorders>
              <w:left w:val="single" w:sz="8" w:color="CCEEFF"/>
            </w:tcBorders>
          </w:tcPr>
          <w:p>
            <w:pPr>
              <w:spacing w:after="0"/>
              <w:rPr>
                <w:sz w:val="22"/>
                <w:szCs w:val="22"/>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3,758,533</w:t>
            </w: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(1,162,001)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1,102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65,256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2,663,687</w:t>
            </w:r>
          </w:p>
        </w:tc>
        <w:tc>
          <w:tcPr>
            <w:tcW w:w="20" w:type="dxa"/>
            <w:vAlign w:val="bottom"/>
          </w:tcPr>
          <w:p>
            <w:pPr>
              <w:spacing w:after="0"/>
              <w:rPr>
                <w:sz w:val="22"/>
                <w:szCs w:val="22"/>
                <w:color w:val="auto"/>
              </w:rPr>
            </w:pPr>
          </w:p>
        </w:tc>
      </w:tr>
      <w:tr>
        <w:trPr>
          <w:trHeight w:val="165"/>
        </w:trPr>
        <w:tc>
          <w:tcPr>
            <w:tcW w:w="40" w:type="dxa"/>
            <w:vAlign w:val="bottom"/>
          </w:tcPr>
          <w:p>
            <w:pPr>
              <w:spacing w:after="0"/>
              <w:rPr>
                <w:sz w:val="14"/>
                <w:szCs w:val="14"/>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w w:val="89"/>
              </w:rPr>
              <w:t>Issuance of common stock and common OP units,</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40" w:type="dxa"/>
            <w:vAlign w:val="bottom"/>
          </w:tcPr>
          <w:p>
            <w:pPr>
              <w:spacing w:after="0"/>
              <w:rPr>
                <w:sz w:val="15"/>
                <w:szCs w:val="15"/>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net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5"/>
                <w:szCs w:val="15"/>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(3,298)</w:t>
            </w:r>
          </w:p>
        </w:tc>
        <w:tc>
          <w:tcPr>
            <w:tcW w:w="160" w:type="dxa"/>
            <w:vAlign w:val="bottom"/>
          </w:tcPr>
          <w:p>
            <w:pPr>
              <w:spacing w:after="0"/>
              <w:rPr>
                <w:sz w:val="15"/>
                <w:szCs w:val="15"/>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(3,296)</w:t>
            </w:r>
          </w:p>
        </w:tc>
        <w:tc>
          <w:tcPr>
            <w:tcW w:w="20" w:type="dxa"/>
            <w:vAlign w:val="bottom"/>
          </w:tcPr>
          <w:p>
            <w:pPr>
              <w:spacing w:after="0"/>
              <w:rPr>
                <w:sz w:val="15"/>
                <w:szCs w:val="15"/>
                <w:color w:val="auto"/>
              </w:rPr>
            </w:pPr>
          </w:p>
        </w:tc>
      </w:tr>
      <w:tr>
        <w:trPr>
          <w:trHeight w:val="277"/>
        </w:trPr>
        <w:tc>
          <w:tcPr>
            <w:tcW w:w="40" w:type="dxa"/>
            <w:vAlign w:val="bottom"/>
          </w:tcPr>
          <w:p>
            <w:pPr>
              <w:spacing w:after="0"/>
              <w:rPr>
                <w:sz w:val="24"/>
                <w:szCs w:val="24"/>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OP units</w:t>
            </w: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40" w:type="dxa"/>
            <w:vAlign w:val="bottom"/>
            <w:tcBorders>
              <w:left w:val="single" w:sz="8" w:color="CCEEFF"/>
            </w:tcBorders>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342</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59</w:t>
            </w:r>
          </w:p>
        </w:tc>
        <w:tc>
          <w:tcPr>
            <w:tcW w:w="20" w:type="dxa"/>
            <w:vAlign w:val="bottom"/>
          </w:tcPr>
          <w:p>
            <w:pPr>
              <w:spacing w:after="0"/>
              <w:rPr>
                <w:sz w:val="24"/>
                <w:szCs w:val="24"/>
                <w:color w:val="auto"/>
              </w:rPr>
            </w:pPr>
          </w:p>
        </w:tc>
      </w:tr>
      <w:tr>
        <w:trPr>
          <w:trHeight w:val="165"/>
        </w:trPr>
        <w:tc>
          <w:tcPr>
            <w:tcW w:w="40" w:type="dxa"/>
            <w:vAlign w:val="bottom"/>
          </w:tcPr>
          <w:p>
            <w:pPr>
              <w:spacing w:after="0"/>
              <w:rPr>
                <w:sz w:val="14"/>
                <w:szCs w:val="14"/>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w w:val="97"/>
              </w:rPr>
              <w:t>Share-based compensation - amortization and</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40" w:type="dxa"/>
            <w:vAlign w:val="bottom"/>
          </w:tcPr>
          <w:p>
            <w:pPr>
              <w:spacing w:after="0"/>
              <w:rPr>
                <w:sz w:val="15"/>
                <w:szCs w:val="15"/>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forfeitures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3,489</w:t>
            </w:r>
          </w:p>
        </w:tc>
        <w:tc>
          <w:tcPr>
            <w:tcW w:w="160" w:type="dxa"/>
            <w:vAlign w:val="bottom"/>
          </w:tcPr>
          <w:p>
            <w:pPr>
              <w:spacing w:after="0"/>
              <w:rPr>
                <w:sz w:val="15"/>
                <w:szCs w:val="15"/>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rPr>
                <w:sz w:val="15"/>
                <w:szCs w:val="15"/>
                <w:color w:val="auto"/>
              </w:rPr>
            </w:pPr>
          </w:p>
        </w:tc>
        <w:tc>
          <w:tcPr>
            <w:tcW w:w="13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3,579</w:t>
            </w:r>
          </w:p>
        </w:tc>
        <w:tc>
          <w:tcPr>
            <w:tcW w:w="20" w:type="dxa"/>
            <w:vAlign w:val="bottom"/>
          </w:tcPr>
          <w:p>
            <w:pPr>
              <w:spacing w:after="0"/>
              <w:rPr>
                <w:sz w:val="15"/>
                <w:szCs w:val="15"/>
                <w:color w:val="auto"/>
              </w:rPr>
            </w:pPr>
          </w:p>
        </w:tc>
      </w:tr>
      <w:tr>
        <w:trPr>
          <w:trHeight w:val="277"/>
        </w:trPr>
        <w:tc>
          <w:tcPr>
            <w:tcW w:w="40" w:type="dxa"/>
            <w:vAlign w:val="bottom"/>
          </w:tcPr>
          <w:p>
            <w:pPr>
              <w:spacing w:after="0"/>
              <w:rPr>
                <w:sz w:val="24"/>
                <w:szCs w:val="24"/>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(1,772)</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(1,861)</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71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31,507</w:t>
            </w:r>
          </w:p>
        </w:tc>
        <w:tc>
          <w:tcPr>
            <w:tcW w:w="140" w:type="dxa"/>
            <w:vAlign w:val="bottom"/>
          </w:tcPr>
          <w:p>
            <w:pPr>
              <w:spacing w:after="0"/>
              <w:rPr>
                <w:sz w:val="22"/>
                <w:szCs w:val="22"/>
                <w:color w:val="auto"/>
              </w:rPr>
            </w:pPr>
          </w:p>
        </w:tc>
        <w:tc>
          <w:tcPr>
            <w:tcW w:w="13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2,023</w:t>
            </w:r>
          </w:p>
        </w:tc>
        <w:tc>
          <w:tcPr>
            <w:tcW w:w="140" w:type="dxa"/>
            <w:vAlign w:val="bottom"/>
          </w:tcPr>
          <w:p>
            <w:pPr>
              <w:spacing w:after="0"/>
              <w:rPr>
                <w:sz w:val="22"/>
                <w:szCs w:val="22"/>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33,530</w:t>
            </w:r>
          </w:p>
        </w:tc>
        <w:tc>
          <w:tcPr>
            <w:tcW w:w="20" w:type="dxa"/>
            <w:vAlign w:val="bottom"/>
          </w:tcPr>
          <w:p>
            <w:pPr>
              <w:spacing w:after="0"/>
              <w:rPr>
                <w:sz w:val="22"/>
                <w:szCs w:val="22"/>
                <w:color w:val="auto"/>
              </w:rPr>
            </w:pPr>
          </w:p>
        </w:tc>
      </w:tr>
      <w:tr>
        <w:trPr>
          <w:trHeight w:val="271"/>
        </w:trPr>
        <w:tc>
          <w:tcPr>
            <w:tcW w:w="40" w:type="dxa"/>
            <w:vAlign w:val="bottom"/>
          </w:tcPr>
          <w:p>
            <w:pPr>
              <w:spacing w:after="0"/>
              <w:rPr>
                <w:sz w:val="23"/>
                <w:szCs w:val="23"/>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40" w:type="dxa"/>
            <w:vAlign w:val="bottom"/>
            <w:tcBorders>
              <w:left w:val="single" w:sz="8" w:color="CCEEFF"/>
            </w:tcBorders>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(57,159)</w:t>
            </w: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(2,888)</w:t>
            </w: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(60,047)</w:t>
            </w:r>
          </w:p>
        </w:tc>
        <w:tc>
          <w:tcPr>
            <w:tcW w:w="20" w:type="dxa"/>
            <w:vAlign w:val="bottom"/>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Balance at March 31, 2018</w:t>
            </w:r>
          </w:p>
        </w:tc>
        <w:tc>
          <w:tcPr>
            <w:tcW w:w="3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42,906</w:t>
            </w:r>
          </w:p>
        </w:tc>
        <w:tc>
          <w:tcPr>
            <w:tcW w:w="280" w:type="dxa"/>
            <w:vAlign w:val="bottom"/>
            <w:gridSpan w:val="2"/>
          </w:tcPr>
          <w:p>
            <w:pPr>
              <w:jc w:val="right"/>
              <w:ind w:right="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799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3,759,066</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(1,187,563)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(670)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64,019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2,635,651</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dollars in thousands)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5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30"/>
        </w:trPr>
        <w:tc>
          <w:tcPr>
            <w:tcW w:w="8580" w:type="dxa"/>
            <w:vAlign w:val="bottom"/>
            <w:gridSpan w:val="6"/>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53"/>
        </w:trPr>
        <w:tc>
          <w:tcPr>
            <w:tcW w:w="500" w:type="dxa"/>
            <w:vAlign w:val="bottom"/>
            <w:tcBorders>
              <w:bottom w:val="single" w:sz="8" w:color="CCEEFF"/>
            </w:tcBorders>
          </w:tcPr>
          <w:p>
            <w:pPr>
              <w:spacing w:after="0"/>
              <w:rPr>
                <w:sz w:val="4"/>
                <w:szCs w:val="4"/>
                <w:color w:val="auto"/>
              </w:rPr>
            </w:pPr>
          </w:p>
        </w:tc>
        <w:tc>
          <w:tcPr>
            <w:tcW w:w="17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780" w:type="dxa"/>
            <w:vAlign w:val="bottom"/>
            <w:tcBorders>
              <w:bottom w:val="single" w:sz="8" w:color="CCEEFF"/>
            </w:tcBorders>
          </w:tcPr>
          <w:p>
            <w:pPr>
              <w:spacing w:after="0"/>
              <w:rPr>
                <w:sz w:val="4"/>
                <w:szCs w:val="4"/>
                <w:color w:val="auto"/>
              </w:rPr>
            </w:pPr>
          </w:p>
        </w:tc>
        <w:tc>
          <w:tcPr>
            <w:tcW w:w="1580" w:type="dxa"/>
            <w:vAlign w:val="bottom"/>
            <w:tcBorders>
              <w:bottom w:val="single" w:sz="8" w:color="CCEEFF"/>
            </w:tcBorders>
          </w:tcPr>
          <w:p>
            <w:pPr>
              <w:spacing w:after="0"/>
              <w:rPr>
                <w:sz w:val="4"/>
                <w:szCs w:val="4"/>
                <w:color w:val="auto"/>
              </w:rPr>
            </w:pPr>
          </w:p>
        </w:tc>
        <w:tc>
          <w:tcPr>
            <w:tcW w:w="25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4480" w:type="dxa"/>
            <w:vAlign w:val="bottom"/>
            <w:tcBorders>
              <w:top w:val="single" w:sz="8" w:color="CCEEFF"/>
              <w:left w:val="single" w:sz="8" w:color="CCEEFF"/>
              <w:bottom w:val="single" w:sz="8" w:color="CCEEFF"/>
            </w:tcBorders>
            <w:gridSpan w:val="4"/>
            <w:shd w:val="clear" w:color="auto" w:fill="D2F0FF"/>
          </w:tcPr>
          <w:p>
            <w:pPr>
              <w:ind w:left="40"/>
              <w:spacing w:after="0" w:line="202" w:lineRule="exact"/>
              <w:rPr>
                <w:sz w:val="20"/>
                <w:szCs w:val="20"/>
                <w:color w:val="auto"/>
              </w:rPr>
            </w:pPr>
            <w:r>
              <w:rPr>
                <w:rFonts w:ascii="Arial" w:cs="Arial" w:eastAsia="Arial" w:hAnsi="Arial"/>
                <w:sz w:val="18"/>
                <w:szCs w:val="18"/>
                <w:b w:val="1"/>
                <w:bCs w:val="1"/>
                <w:color w:val="auto"/>
                <w:shd w:val="clear" w:color="auto" w:fill="D2F0FF"/>
              </w:rPr>
              <w:t>NET CASH PROVIDED BY OPERATING ACTIVITIES</w:t>
            </w:r>
          </w:p>
        </w:tc>
        <w:tc>
          <w:tcPr>
            <w:tcW w:w="1580" w:type="dxa"/>
            <w:vAlign w:val="bottom"/>
            <w:tcBorders>
              <w:top w:val="single" w:sz="8" w:color="CCEEFF"/>
              <w:bottom w:val="single" w:sz="8" w:color="CCEEFF"/>
            </w:tcBorders>
            <w:shd w:val="clear" w:color="auto" w:fill="CCEEFF"/>
          </w:tcPr>
          <w:p>
            <w:pPr>
              <w:spacing w:after="0"/>
              <w:rPr>
                <w:sz w:val="21"/>
                <w:szCs w:val="21"/>
                <w:color w:val="auto"/>
              </w:rPr>
            </w:pPr>
          </w:p>
        </w:tc>
        <w:tc>
          <w:tcPr>
            <w:tcW w:w="25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bottom w:val="single" w:sz="8" w:color="CCEEFF"/>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103,141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bottom w:val="single" w:sz="8" w:color="CCEEFF"/>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80,905</w:t>
            </w:r>
          </w:p>
        </w:tc>
      </w:tr>
      <w:tr>
        <w:trPr>
          <w:trHeight w:val="223"/>
        </w:trPr>
        <w:tc>
          <w:tcPr>
            <w:tcW w:w="8580" w:type="dxa"/>
            <w:vAlign w:val="bottom"/>
            <w:gridSpan w:val="6"/>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34"/>
        </w:trPr>
        <w:tc>
          <w:tcPr>
            <w:tcW w:w="5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23"/>
        </w:trPr>
        <w:tc>
          <w:tcPr>
            <w:tcW w:w="500" w:type="dxa"/>
            <w:vAlign w:val="bottom"/>
            <w:tcBorders>
              <w:left w:val="single" w:sz="8" w:color="CCEEFF"/>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D2F0FF"/>
          </w:tcPr>
          <w:p>
            <w:pPr>
              <w:spacing w:after="0" w:line="202" w:lineRule="exact"/>
              <w:rPr>
                <w:sz w:val="20"/>
                <w:szCs w:val="20"/>
                <w:color w:val="auto"/>
              </w:rPr>
            </w:pPr>
            <w:r>
              <w:rPr>
                <w:rFonts w:ascii="Arial" w:cs="Arial" w:eastAsia="Arial" w:hAnsi="Arial"/>
                <w:sz w:val="18"/>
                <w:szCs w:val="18"/>
                <w:color w:val="auto"/>
                <w:w w:val="89"/>
                <w:shd w:val="clear" w:color="auto" w:fill="D2F0FF"/>
              </w:rPr>
              <w:t>Investment in properties</w:t>
            </w:r>
          </w:p>
        </w:tc>
        <w:tc>
          <w:tcPr>
            <w:tcW w:w="460" w:type="dxa"/>
            <w:vAlign w:val="bottom"/>
            <w:tcBorders>
              <w:bottom w:val="single" w:sz="8" w:color="CCEEFF"/>
            </w:tcBorders>
            <w:shd w:val="clear" w:color="auto" w:fill="CCEEFF"/>
          </w:tcPr>
          <w:p>
            <w:pPr>
              <w:spacing w:after="0"/>
              <w:rPr>
                <w:sz w:val="19"/>
                <w:szCs w:val="19"/>
                <w:color w:val="auto"/>
              </w:rPr>
            </w:pPr>
          </w:p>
        </w:tc>
        <w:tc>
          <w:tcPr>
            <w:tcW w:w="3360" w:type="dxa"/>
            <w:vAlign w:val="bottom"/>
            <w:tcBorders>
              <w:bottom w:val="single" w:sz="8" w:color="CCEEFF"/>
            </w:tcBorders>
            <w:gridSpan w:val="2"/>
            <w:shd w:val="clear" w:color="auto" w:fill="CCEEFF"/>
          </w:tcPr>
          <w:p>
            <w:pPr>
              <w:spacing w:after="0"/>
              <w:rPr>
                <w:sz w:val="19"/>
                <w:szCs w:val="19"/>
                <w:color w:val="auto"/>
              </w:rPr>
            </w:pPr>
          </w:p>
        </w:tc>
        <w:tc>
          <w:tcPr>
            <w:tcW w:w="25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(114,804)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(68,524)</w:t>
            </w:r>
          </w:p>
        </w:tc>
      </w:tr>
      <w:tr>
        <w:trPr>
          <w:trHeight w:val="243"/>
        </w:trPr>
        <w:tc>
          <w:tcPr>
            <w:tcW w:w="8580" w:type="dxa"/>
            <w:vAlign w:val="bottom"/>
            <w:gridSpan w:val="6"/>
          </w:tcPr>
          <w:p>
            <w:pPr>
              <w:ind w:left="500"/>
              <w:spacing w:after="0"/>
              <w:rPr>
                <w:sz w:val="20"/>
                <w:szCs w:val="20"/>
                <w:color w:val="auto"/>
              </w:rPr>
            </w:pPr>
            <w:r>
              <w:rPr>
                <w:rFonts w:ascii="Arial" w:cs="Arial" w:eastAsia="Arial" w:hAnsi="Arial"/>
                <w:sz w:val="18"/>
                <w:szCs w:val="18"/>
                <w:color w:val="auto"/>
              </w:rPr>
              <w:t>Acquisitions of properties, net of cash acquired</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(279,302)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(2,384)</w:t>
            </w:r>
          </w:p>
        </w:tc>
      </w:tr>
      <w:tr>
        <w:trPr>
          <w:trHeight w:val="27"/>
        </w:trPr>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left w:val="single" w:sz="8" w:color="CCEEFF"/>
              <w:bottom w:val="single" w:sz="8" w:color="CCEEFF"/>
            </w:tcBorders>
            <w:gridSpan w:val="6"/>
            <w:shd w:val="clear" w:color="auto" w:fill="CCEEFF"/>
          </w:tcPr>
          <w:p>
            <w:pPr>
              <w:ind w:left="500"/>
              <w:spacing w:after="0"/>
              <w:rPr>
                <w:sz w:val="20"/>
                <w:szCs w:val="20"/>
                <w:color w:val="auto"/>
              </w:rPr>
            </w:pPr>
            <w:r>
              <w:rPr>
                <w:rFonts w:ascii="Arial" w:cs="Arial" w:eastAsia="Arial" w:hAnsi="Arial"/>
                <w:sz w:val="18"/>
                <w:szCs w:val="18"/>
                <w:color w:val="auto"/>
              </w:rPr>
              <w:t>Proceeds from dispositions of assets and depreciated homes,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5,312</w:t>
            </w:r>
          </w:p>
        </w:tc>
      </w:tr>
      <w:tr>
        <w:trPr>
          <w:trHeight w:val="243"/>
        </w:trPr>
        <w:tc>
          <w:tcPr>
            <w:tcW w:w="8580" w:type="dxa"/>
            <w:vAlign w:val="bottom"/>
            <w:gridSpan w:val="6"/>
          </w:tcPr>
          <w:p>
            <w:pPr>
              <w:ind w:left="500"/>
              <w:spacing w:after="0"/>
              <w:rPr>
                <w:sz w:val="20"/>
                <w:szCs w:val="20"/>
                <w:color w:val="auto"/>
              </w:rPr>
            </w:pPr>
            <w:r>
              <w:rPr>
                <w:rFonts w:ascii="Arial" w:cs="Arial" w:eastAsia="Arial" w:hAnsi="Arial"/>
                <w:sz w:val="18"/>
                <w:szCs w:val="18"/>
                <w:color w:val="auto"/>
              </w:rPr>
              <w:t>Purchases of notes receivable</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(893)</w:t>
            </w:r>
          </w:p>
        </w:tc>
      </w:tr>
      <w:tr>
        <w:trPr>
          <w:trHeight w:val="27"/>
        </w:trPr>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left w:val="single" w:sz="8" w:color="CCEEFF"/>
              <w:bottom w:val="single" w:sz="8" w:color="CCEEFF"/>
            </w:tcBorders>
            <w:gridSpan w:val="6"/>
            <w:shd w:val="clear" w:color="auto" w:fill="CCEEFF"/>
          </w:tcPr>
          <w:p>
            <w:pPr>
              <w:ind w:left="500"/>
              <w:spacing w:after="0"/>
              <w:rPr>
                <w:sz w:val="20"/>
                <w:szCs w:val="20"/>
                <w:color w:val="auto"/>
              </w:rPr>
            </w:pPr>
            <w:r>
              <w:rPr>
                <w:rFonts w:ascii="Arial" w:cs="Arial" w:eastAsia="Arial" w:hAnsi="Arial"/>
                <w:sz w:val="18"/>
                <w:szCs w:val="18"/>
                <w:color w:val="auto"/>
              </w:rPr>
              <w:t>Other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r>
      <w:tr>
        <w:trPr>
          <w:trHeight w:val="243"/>
        </w:trPr>
        <w:tc>
          <w:tcPr>
            <w:tcW w:w="8580" w:type="dxa"/>
            <w:vAlign w:val="bottom"/>
            <w:gridSpan w:val="6"/>
          </w:tcPr>
          <w:p>
            <w:pPr>
              <w:ind w:left="500"/>
              <w:spacing w:after="0"/>
              <w:rPr>
                <w:sz w:val="20"/>
                <w:szCs w:val="20"/>
                <w:color w:val="auto"/>
              </w:rPr>
            </w:pPr>
            <w:r>
              <w:rPr>
                <w:rFonts w:ascii="Arial" w:cs="Arial" w:eastAsia="Arial" w:hAnsi="Arial"/>
                <w:sz w:val="18"/>
                <w:szCs w:val="18"/>
                <w:color w:val="auto"/>
              </w:rPr>
              <w:t>Repayments of notes and other receivables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679</w:t>
            </w:r>
          </w:p>
        </w:tc>
      </w:tr>
      <w:tr>
        <w:trPr>
          <w:trHeight w:val="27"/>
        </w:trPr>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left w:val="single" w:sz="8" w:color="CCEEFF"/>
              <w:bottom w:val="single" w:sz="8" w:color="CCEEFF"/>
            </w:tcBorders>
            <w:gridSpan w:val="6"/>
            <w:shd w:val="clear" w:color="auto" w:fill="CCEEFF"/>
          </w:tcPr>
          <w:p>
            <w:pPr>
              <w:ind w:left="500"/>
              <w:spacing w:after="0"/>
              <w:rPr>
                <w:sz w:val="20"/>
                <w:szCs w:val="20"/>
                <w:color w:val="auto"/>
              </w:rPr>
            </w:pPr>
            <w:r>
              <w:rPr>
                <w:rFonts w:ascii="Arial" w:cs="Arial" w:eastAsia="Arial" w:hAnsi="Arial"/>
                <w:sz w:val="18"/>
                <w:szCs w:val="18"/>
                <w:color w:val="auto"/>
              </w:rPr>
              <w:t>Investments in nonconsolidated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37"/>
        </w:trPr>
        <w:tc>
          <w:tcPr>
            <w:tcW w:w="8580" w:type="dxa"/>
            <w:vAlign w:val="bottom"/>
            <w:gridSpan w:val="6"/>
          </w:tcPr>
          <w:p>
            <w:pPr>
              <w:ind w:left="40"/>
              <w:spacing w:after="0"/>
              <w:rPr>
                <w:sz w:val="20"/>
                <w:szCs w:val="20"/>
                <w:color w:val="auto"/>
              </w:rPr>
            </w:pPr>
            <w:r>
              <w:rPr>
                <w:rFonts w:ascii="Arial" w:cs="Arial" w:eastAsia="Arial" w:hAnsi="Arial"/>
                <w:sz w:val="18"/>
                <w:szCs w:val="18"/>
                <w:b w:val="1"/>
                <w:bCs w:val="1"/>
                <w:color w:val="auto"/>
              </w:rPr>
              <w:t>NET CASH USED FOR INVESTING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(392,483)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(68,518)</w:t>
            </w:r>
          </w:p>
        </w:tc>
      </w:tr>
      <w:tr>
        <w:trPr>
          <w:trHeight w:val="27"/>
        </w:trPr>
        <w:tc>
          <w:tcPr>
            <w:tcW w:w="5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left w:val="single" w:sz="8" w:color="CCEEFF"/>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gridSpan w:val="6"/>
          </w:tcPr>
          <w:p>
            <w:pPr>
              <w:ind w:left="500"/>
              <w:spacing w:after="0"/>
              <w:rPr>
                <w:sz w:val="20"/>
                <w:szCs w:val="20"/>
                <w:color w:val="auto"/>
              </w:rPr>
            </w:pPr>
            <w:r>
              <w:rPr>
                <w:rFonts w:ascii="Arial" w:cs="Arial" w:eastAsia="Arial" w:hAnsi="Arial"/>
                <w:sz w:val="18"/>
                <w:szCs w:val="18"/>
                <w:color w:val="auto"/>
              </w:rPr>
              <w:t>Issuance of common stock, OP units, and preferred OP units,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(3,296)</w:t>
            </w:r>
          </w:p>
        </w:tc>
      </w:tr>
      <w:tr>
        <w:trPr>
          <w:trHeight w:val="27"/>
        </w:trPr>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left w:val="single" w:sz="8" w:color="CCEEFF"/>
              <w:bottom w:val="single" w:sz="8" w:color="CCEEFF"/>
            </w:tcBorders>
            <w:gridSpan w:val="6"/>
            <w:shd w:val="clear" w:color="auto" w:fill="CCEEFF"/>
          </w:tcPr>
          <w:p>
            <w:pPr>
              <w:ind w:left="500"/>
              <w:spacing w:after="0"/>
              <w:rPr>
                <w:sz w:val="20"/>
                <w:szCs w:val="20"/>
                <w:color w:val="auto"/>
              </w:rPr>
            </w:pPr>
            <w:r>
              <w:rPr>
                <w:rFonts w:ascii="Arial" w:cs="Arial" w:eastAsia="Arial" w:hAnsi="Arial"/>
                <w:sz w:val="18"/>
                <w:szCs w:val="18"/>
                <w:color w:val="auto"/>
              </w:rPr>
              <w:t>Redemption of Series B-3 preferred OP units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r>
      <w:tr>
        <w:trPr>
          <w:trHeight w:val="243"/>
        </w:trPr>
        <w:tc>
          <w:tcPr>
            <w:tcW w:w="8580" w:type="dxa"/>
            <w:vAlign w:val="bottom"/>
            <w:gridSpan w:val="6"/>
          </w:tcPr>
          <w:p>
            <w:pPr>
              <w:ind w:left="500"/>
              <w:spacing w:after="0"/>
              <w:rPr>
                <w:sz w:val="20"/>
                <w:szCs w:val="20"/>
                <w:color w:val="auto"/>
              </w:rPr>
            </w:pPr>
            <w:r>
              <w:rPr>
                <w:rFonts w:ascii="Arial" w:cs="Arial" w:eastAsia="Arial" w:hAnsi="Arial"/>
                <w:sz w:val="18"/>
                <w:szCs w:val="18"/>
                <w:color w:val="auto"/>
              </w:rPr>
              <w:t>Borrowings on lines of credit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1,428,948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302,355</w:t>
            </w:r>
          </w:p>
        </w:tc>
      </w:tr>
      <w:tr>
        <w:trPr>
          <w:trHeight w:val="27"/>
        </w:trPr>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left w:val="single" w:sz="8" w:color="CCEEFF"/>
              <w:bottom w:val="single" w:sz="8" w:color="CCEEFF"/>
            </w:tcBorders>
            <w:gridSpan w:val="6"/>
            <w:shd w:val="clear" w:color="auto" w:fill="CCEEFF"/>
          </w:tcPr>
          <w:p>
            <w:pPr>
              <w:ind w:left="500"/>
              <w:spacing w:after="0"/>
              <w:rPr>
                <w:sz w:val="20"/>
                <w:szCs w:val="20"/>
                <w:color w:val="auto"/>
              </w:rPr>
            </w:pPr>
            <w:r>
              <w:rPr>
                <w:rFonts w:ascii="Arial" w:cs="Arial" w:eastAsia="Arial" w:hAnsi="Arial"/>
                <w:sz w:val="18"/>
                <w:szCs w:val="18"/>
                <w:color w:val="auto"/>
              </w:rPr>
              <w:t>Payments on lines of credit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(1,160,436)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(201,853)</w:t>
            </w:r>
          </w:p>
        </w:tc>
      </w:tr>
      <w:tr>
        <w:trPr>
          <w:trHeight w:val="243"/>
        </w:trPr>
        <w:tc>
          <w:tcPr>
            <w:tcW w:w="8580" w:type="dxa"/>
            <w:vAlign w:val="bottom"/>
            <w:gridSpan w:val="6"/>
          </w:tcPr>
          <w:p>
            <w:pPr>
              <w:ind w:left="500"/>
              <w:spacing w:after="0"/>
              <w:rPr>
                <w:sz w:val="20"/>
                <w:szCs w:val="20"/>
                <w:color w:val="auto"/>
              </w:rPr>
            </w:pPr>
            <w:r>
              <w:rPr>
                <w:rFonts w:ascii="Arial" w:cs="Arial" w:eastAsia="Arial" w:hAnsi="Arial"/>
                <w:sz w:val="18"/>
                <w:szCs w:val="18"/>
                <w:color w:val="auto"/>
              </w:rPr>
              <w:t>Proceeds from issuance of other debt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265,000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left w:val="single" w:sz="8" w:color="CCEEFF"/>
              <w:bottom w:val="single" w:sz="8" w:color="CCEEFF"/>
            </w:tcBorders>
            <w:gridSpan w:val="6"/>
            <w:shd w:val="clear" w:color="auto" w:fill="CCEEFF"/>
          </w:tcPr>
          <w:p>
            <w:pPr>
              <w:ind w:left="500"/>
              <w:spacing w:after="0"/>
              <w:rPr>
                <w:sz w:val="20"/>
                <w:szCs w:val="20"/>
                <w:color w:val="auto"/>
              </w:rPr>
            </w:pPr>
            <w:r>
              <w:rPr>
                <w:rFonts w:ascii="Arial" w:cs="Arial" w:eastAsia="Arial" w:hAnsi="Arial"/>
                <w:sz w:val="18"/>
                <w:szCs w:val="18"/>
                <w:color w:val="auto"/>
              </w:rPr>
              <w:t>Payments on other debt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(43,883)</w:t>
            </w:r>
          </w:p>
        </w:tc>
      </w:tr>
      <w:tr>
        <w:trPr>
          <w:trHeight w:val="243"/>
        </w:trPr>
        <w:tc>
          <w:tcPr>
            <w:tcW w:w="8580" w:type="dxa"/>
            <w:vAlign w:val="bottom"/>
            <w:gridSpan w:val="6"/>
          </w:tcPr>
          <w:p>
            <w:pPr>
              <w:ind w:left="500"/>
              <w:spacing w:after="0"/>
              <w:rPr>
                <w:sz w:val="20"/>
                <w:szCs w:val="20"/>
                <w:color w:val="auto"/>
              </w:rPr>
            </w:pPr>
            <w:r>
              <w:rPr>
                <w:rFonts w:ascii="Arial" w:cs="Arial" w:eastAsia="Arial" w:hAnsi="Arial"/>
                <w:sz w:val="18"/>
                <w:szCs w:val="18"/>
                <w:color w:val="auto"/>
              </w:rPr>
              <w:t>Prepayment penalty on debt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left w:val="single" w:sz="8" w:color="CCEEFF"/>
              <w:bottom w:val="single" w:sz="8" w:color="CCEEFF"/>
            </w:tcBorders>
            <w:gridSpan w:val="6"/>
            <w:shd w:val="clear" w:color="auto" w:fill="CCEEFF"/>
          </w:tcPr>
          <w:p>
            <w:pPr>
              <w:ind w:left="500"/>
              <w:spacing w:after="0"/>
              <w:rPr>
                <w:sz w:val="20"/>
                <w:szCs w:val="20"/>
                <w:color w:val="auto"/>
              </w:rPr>
            </w:pPr>
            <w:r>
              <w:rPr>
                <w:rFonts w:ascii="Arial" w:cs="Arial" w:eastAsia="Arial" w:hAnsi="Arial"/>
                <w:sz w:val="18"/>
                <w:szCs w:val="18"/>
                <w:color w:val="auto"/>
              </w:rPr>
              <w:t>Proceeds received from return of prepaid deferred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6"/>
          </w:tcPr>
          <w:p>
            <w:pPr>
              <w:ind w:left="500"/>
              <w:spacing w:after="0"/>
              <w:rPr>
                <w:sz w:val="20"/>
                <w:szCs w:val="20"/>
                <w:color w:val="auto"/>
              </w:rPr>
            </w:pPr>
            <w:r>
              <w:rPr>
                <w:rFonts w:ascii="Arial" w:cs="Arial" w:eastAsia="Arial" w:hAnsi="Arial"/>
                <w:sz w:val="18"/>
                <w:szCs w:val="18"/>
                <w:color w:val="auto"/>
              </w:rPr>
              <w:t>Distributions to stockholders, OP unit holders, and preferred OP unit holders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(65,145)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(56,881)</w:t>
            </w:r>
          </w:p>
        </w:tc>
      </w:tr>
      <w:tr>
        <w:trPr>
          <w:trHeight w:val="27"/>
        </w:trPr>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left w:val="single" w:sz="8" w:color="CCEEFF"/>
              <w:bottom w:val="single" w:sz="8" w:color="CCEEFF"/>
            </w:tcBorders>
            <w:gridSpan w:val="6"/>
            <w:shd w:val="clear" w:color="auto" w:fill="CCEEFF"/>
          </w:tcPr>
          <w:p>
            <w:pPr>
              <w:ind w:left="500"/>
              <w:spacing w:after="0"/>
              <w:rPr>
                <w:sz w:val="20"/>
                <w:szCs w:val="20"/>
                <w:color w:val="auto"/>
              </w:rPr>
            </w:pPr>
            <w:r>
              <w:rPr>
                <w:rFonts w:ascii="Arial" w:cs="Arial" w:eastAsia="Arial" w:hAnsi="Arial"/>
                <w:sz w:val="18"/>
                <w:szCs w:val="18"/>
                <w:color w:val="auto"/>
              </w:rPr>
              <w:t>Payments for deferred financing costs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37"/>
        </w:trPr>
        <w:tc>
          <w:tcPr>
            <w:tcW w:w="8580" w:type="dxa"/>
            <w:vAlign w:val="bottom"/>
            <w:gridSpan w:val="6"/>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261,097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(8,464)</w:t>
            </w:r>
          </w:p>
        </w:tc>
      </w:tr>
      <w:tr>
        <w:trPr>
          <w:trHeight w:val="27"/>
        </w:trPr>
        <w:tc>
          <w:tcPr>
            <w:tcW w:w="5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left w:val="single" w:sz="8" w:color="CCEEFF"/>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8580" w:type="dxa"/>
            <w:vAlign w:val="bottom"/>
            <w:gridSpan w:val="6"/>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(28,087)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3,915</w:t>
            </w:r>
          </w:p>
        </w:tc>
      </w:tr>
      <w:tr>
        <w:trPr>
          <w:trHeight w:val="27"/>
        </w:trPr>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left w:val="single" w:sz="8" w:color="CCEEFF"/>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62,262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23,509</w:t>
            </w:r>
          </w:p>
        </w:tc>
      </w:tr>
      <w:tr>
        <w:trPr>
          <w:trHeight w:val="257"/>
        </w:trPr>
        <w:tc>
          <w:tcPr>
            <w:tcW w:w="8580" w:type="dxa"/>
            <w:vAlign w:val="bottom"/>
            <w:gridSpan w:val="6"/>
          </w:tcPr>
          <w:p>
            <w:pPr>
              <w:ind w:left="40"/>
              <w:spacing w:after="0"/>
              <w:rPr>
                <w:sz w:val="20"/>
                <w:szCs w:val="20"/>
                <w:color w:val="auto"/>
              </w:rPr>
            </w:pPr>
            <w:r>
              <w:rPr>
                <w:rFonts w:ascii="Arial" w:cs="Arial" w:eastAsia="Arial" w:hAnsi="Arial"/>
                <w:sz w:val="18"/>
                <w:szCs w:val="18"/>
                <w:color w:val="auto"/>
              </w:rPr>
              <w:t>Cash, cash equivalents and restricted cash, end of period (See Note 16)</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34,175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27,424</w:t>
            </w:r>
          </w:p>
        </w:tc>
      </w:tr>
      <w:tr>
        <w:trPr>
          <w:trHeight w:val="20"/>
        </w:trPr>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386"/>
        </w:trPr>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5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30"/>
        </w:trPr>
        <w:tc>
          <w:tcPr>
            <w:tcW w:w="8580" w:type="dxa"/>
            <w:vAlign w:val="bottom"/>
            <w:gridSpan w:val="6"/>
          </w:tcPr>
          <w:p>
            <w:pPr>
              <w:ind w:left="40"/>
              <w:spacing w:after="0"/>
              <w:rPr>
                <w:sz w:val="20"/>
                <w:szCs w:val="20"/>
                <w:color w:val="auto"/>
              </w:rPr>
            </w:pPr>
            <w:r>
              <w:rPr>
                <w:rFonts w:ascii="Arial" w:cs="Arial" w:eastAsia="Arial" w:hAnsi="Arial"/>
                <w:sz w:val="18"/>
                <w:szCs w:val="18"/>
                <w:b w:val="1"/>
                <w:bCs w:val="1"/>
                <w:color w:val="auto"/>
              </w:rPr>
              <w:t>SUPPLEMENTAL INFORMATION:</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4"/>
        </w:trPr>
        <w:tc>
          <w:tcPr>
            <w:tcW w:w="5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23"/>
        </w:trPr>
        <w:tc>
          <w:tcPr>
            <w:tcW w:w="6060" w:type="dxa"/>
            <w:vAlign w:val="bottom"/>
            <w:tcBorders>
              <w:left w:val="single" w:sz="8" w:color="CCEEFF"/>
              <w:bottom w:val="single" w:sz="8" w:color="CCEEFF"/>
            </w:tcBorders>
            <w:gridSpan w:val="5"/>
            <w:shd w:val="clear" w:color="auto" w:fill="D2F0FF"/>
          </w:tcPr>
          <w:p>
            <w:pPr>
              <w:ind w:left="40"/>
              <w:spacing w:after="0" w:line="202" w:lineRule="exact"/>
              <w:rPr>
                <w:sz w:val="20"/>
                <w:szCs w:val="20"/>
                <w:color w:val="auto"/>
              </w:rPr>
            </w:pPr>
            <w:r>
              <w:rPr>
                <w:rFonts w:ascii="Arial" w:cs="Arial" w:eastAsia="Arial" w:hAnsi="Arial"/>
                <w:sz w:val="18"/>
                <w:szCs w:val="18"/>
                <w:color w:val="auto"/>
                <w:w w:val="90"/>
                <w:shd w:val="clear" w:color="auto" w:fill="D2F0FF"/>
              </w:rPr>
              <w:t>Cash paid for interest (net of capitalized interest of $1,357 and $1,184 respectively)</w:t>
            </w:r>
          </w:p>
        </w:tc>
        <w:tc>
          <w:tcPr>
            <w:tcW w:w="25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32,711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30,402</w:t>
            </w:r>
          </w:p>
        </w:tc>
      </w:tr>
      <w:tr>
        <w:trPr>
          <w:trHeight w:val="243"/>
        </w:trPr>
        <w:tc>
          <w:tcPr>
            <w:tcW w:w="8580" w:type="dxa"/>
            <w:vAlign w:val="bottom"/>
            <w:gridSpan w:val="6"/>
          </w:tcPr>
          <w:p>
            <w:pPr>
              <w:ind w:left="40"/>
              <w:spacing w:after="0"/>
              <w:rPr>
                <w:sz w:val="20"/>
                <w:szCs w:val="20"/>
                <w:color w:val="auto"/>
              </w:rPr>
            </w:pPr>
            <w:r>
              <w:rPr>
                <w:rFonts w:ascii="Arial" w:cs="Arial" w:eastAsia="Arial" w:hAnsi="Arial"/>
                <w:sz w:val="18"/>
                <w:szCs w:val="18"/>
                <w:color w:val="auto"/>
              </w:rPr>
              <w:t>Cash paid for interest on mandatorily redeemable debt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619</w:t>
            </w:r>
          </w:p>
        </w:tc>
      </w:tr>
      <w:tr>
        <w:trPr>
          <w:trHeight w:val="34"/>
        </w:trPr>
        <w:tc>
          <w:tcPr>
            <w:tcW w:w="5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23"/>
        </w:trPr>
        <w:tc>
          <w:tcPr>
            <w:tcW w:w="2700" w:type="dxa"/>
            <w:vAlign w:val="bottom"/>
            <w:tcBorders>
              <w:left w:val="single" w:sz="8" w:color="CCEEFF"/>
              <w:bottom w:val="single" w:sz="8" w:color="CCEEFF"/>
            </w:tcBorders>
            <w:gridSpan w:val="3"/>
            <w:shd w:val="clear" w:color="auto" w:fill="D2F0FF"/>
          </w:tcPr>
          <w:p>
            <w:pPr>
              <w:ind w:left="40"/>
              <w:spacing w:after="0" w:line="202" w:lineRule="exact"/>
              <w:rPr>
                <w:sz w:val="20"/>
                <w:szCs w:val="20"/>
                <w:color w:val="auto"/>
              </w:rPr>
            </w:pPr>
            <w:r>
              <w:rPr>
                <w:rFonts w:ascii="Arial" w:cs="Arial" w:eastAsia="Arial" w:hAnsi="Arial"/>
                <w:sz w:val="18"/>
                <w:szCs w:val="18"/>
                <w:color w:val="auto"/>
                <w:w w:val="89"/>
                <w:shd w:val="clear" w:color="auto" w:fill="D2F0FF"/>
              </w:rPr>
              <w:t>Cash paid (refunds) for income taxes</w:t>
            </w:r>
          </w:p>
        </w:tc>
        <w:tc>
          <w:tcPr>
            <w:tcW w:w="5880" w:type="dxa"/>
            <w:vAlign w:val="bottom"/>
            <w:tcBorders>
              <w:bottom w:val="single" w:sz="8" w:color="CCEEFF"/>
            </w:tcBorders>
            <w:gridSpan w:val="3"/>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135</w:t>
            </w:r>
          </w:p>
        </w:tc>
      </w:tr>
      <w:tr>
        <w:trPr>
          <w:trHeight w:val="243"/>
        </w:trPr>
        <w:tc>
          <w:tcPr>
            <w:tcW w:w="8580" w:type="dxa"/>
            <w:vAlign w:val="bottom"/>
            <w:gridSpan w:val="6"/>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left w:val="single" w:sz="8" w:color="CCEEFF"/>
              <w:bottom w:val="single" w:sz="8" w:color="CCEEFF"/>
            </w:tcBorders>
            <w:gridSpan w:val="6"/>
            <w:shd w:val="clear" w:color="auto" w:fill="CCEEFF"/>
          </w:tcPr>
          <w:p>
            <w:pPr>
              <w:ind w:left="500"/>
              <w:spacing w:after="0"/>
              <w:rPr>
                <w:sz w:val="20"/>
                <w:szCs w:val="20"/>
                <w:color w:val="auto"/>
              </w:rPr>
            </w:pPr>
            <w:r>
              <w:rPr>
                <w:rFonts w:ascii="Arial" w:cs="Arial" w:eastAsia="Arial" w:hAnsi="Arial"/>
                <w:sz w:val="18"/>
                <w:szCs w:val="18"/>
                <w:color w:val="auto"/>
              </w:rPr>
              <w:t>Reduction in secured borrowing balance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5,105</w:t>
            </w:r>
          </w:p>
        </w:tc>
      </w:tr>
      <w:tr>
        <w:trPr>
          <w:trHeight w:val="243"/>
        </w:trPr>
        <w:tc>
          <w:tcPr>
            <w:tcW w:w="8580" w:type="dxa"/>
            <w:vAlign w:val="bottom"/>
            <w:gridSpan w:val="6"/>
          </w:tcPr>
          <w:p>
            <w:pPr>
              <w:ind w:left="500"/>
              <w:spacing w:after="0"/>
              <w:rPr>
                <w:sz w:val="20"/>
                <w:szCs w:val="20"/>
                <w:color w:val="auto"/>
              </w:rPr>
            </w:pPr>
            <w:r>
              <w:rPr>
                <w:rFonts w:ascii="Arial" w:cs="Arial" w:eastAsia="Arial" w:hAnsi="Arial"/>
                <w:sz w:val="18"/>
                <w:szCs w:val="18"/>
                <w:color w:val="auto"/>
              </w:rPr>
              <w:t>Change in distributions declared and outstanding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3,536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3,337</w:t>
            </w:r>
          </w:p>
        </w:tc>
      </w:tr>
      <w:tr>
        <w:trPr>
          <w:trHeight w:val="27"/>
        </w:trPr>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left w:val="single" w:sz="8" w:color="CCEEFF"/>
              <w:bottom w:val="single" w:sz="8" w:color="CCEEFF"/>
            </w:tcBorders>
            <w:gridSpan w:val="6"/>
            <w:shd w:val="clear" w:color="auto" w:fill="CCEEFF"/>
          </w:tcPr>
          <w:p>
            <w:pPr>
              <w:ind w:left="500"/>
              <w:spacing w:after="0"/>
              <w:rPr>
                <w:sz w:val="20"/>
                <w:szCs w:val="20"/>
                <w:color w:val="auto"/>
              </w:rPr>
            </w:pPr>
            <w:r>
              <w:rPr>
                <w:rFonts w:ascii="Arial" w:cs="Arial" w:eastAsia="Arial" w:hAnsi="Arial"/>
                <w:sz w:val="18"/>
                <w:szCs w:val="18"/>
                <w:color w:val="auto"/>
              </w:rPr>
              <w:t>Conversion of common and preferred OP units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r>
      <w:tr>
        <w:trPr>
          <w:trHeight w:val="243"/>
        </w:trPr>
        <w:tc>
          <w:tcPr>
            <w:tcW w:w="8580" w:type="dxa"/>
            <w:vAlign w:val="bottom"/>
            <w:gridSpan w:val="6"/>
          </w:tcPr>
          <w:p>
            <w:pPr>
              <w:ind w:left="40"/>
              <w:spacing w:after="0"/>
              <w:rPr>
                <w:sz w:val="20"/>
                <w:szCs w:val="20"/>
                <w:color w:val="auto"/>
              </w:rPr>
            </w:pPr>
            <w:r>
              <w:rPr>
                <w:rFonts w:ascii="Arial" w:cs="Arial" w:eastAsia="Arial" w:hAnsi="Arial"/>
                <w:sz w:val="18"/>
                <w:szCs w:val="18"/>
                <w:color w:val="auto"/>
              </w:rPr>
              <w:t>Noncash investing and financing activities at the date of acquisition:</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left w:val="single" w:sz="8" w:color="CCEEFF"/>
              <w:bottom w:val="single" w:sz="8" w:color="CCEEFF"/>
            </w:tcBorders>
            <w:gridSpan w:val="6"/>
            <w:shd w:val="clear" w:color="auto" w:fill="CCEEFF"/>
          </w:tcPr>
          <w:p>
            <w:pPr>
              <w:ind w:left="500"/>
              <w:spacing w:after="0"/>
              <w:rPr>
                <w:sz w:val="20"/>
                <w:szCs w:val="20"/>
                <w:color w:val="auto"/>
              </w:rPr>
            </w:pPr>
            <w:r>
              <w:rPr>
                <w:rFonts w:ascii="Arial" w:cs="Arial" w:eastAsia="Arial" w:hAnsi="Arial"/>
                <w:sz w:val="18"/>
                <w:szCs w:val="18"/>
                <w:color w:val="auto"/>
              </w:rPr>
              <w:t>Acquisitions - Series D preferred interest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6"/>
          </w:tcPr>
          <w:p>
            <w:pPr>
              <w:ind w:left="500"/>
              <w:spacing w:after="0"/>
              <w:rPr>
                <w:sz w:val="20"/>
                <w:szCs w:val="20"/>
                <w:color w:val="auto"/>
              </w:rPr>
            </w:pPr>
            <w:r>
              <w:rPr>
                <w:rFonts w:ascii="Arial" w:cs="Arial" w:eastAsia="Arial" w:hAnsi="Arial"/>
                <w:sz w:val="18"/>
                <w:szCs w:val="18"/>
                <w:color w:val="auto"/>
              </w:rPr>
              <w:t>Acquisitions - Escrow</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4,035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Sun Communities, Inc., a Maryland corporation, and all wholly-owned or majority-owned and controlled subsidiaries, including Sun Communities Operating Limited Partnership (the “Operating Partnership”) and Sun Home Services, Inc. (“SHS”) are referred to herein as the “Company,” “us,” “we,” and “our.”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follow accounting standards set by the Financial Accounting Standards Board (“FASB”). FASB sets generally accepted accounting principles (“GAAP”), which we follow to ensure that we consistently report our financial condition, results of operations, and cash flows. References to GAAP issued by the FASB in these footnotes are to the FASB Accounting Standards Codification (“ASC”).</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unaudited Consolidated Financial Statements have been prepared pursuant to the rules and regulations of the Securities and Exchange Commission (“SEC”) for interim financial information and in accordance with GAAP. Pursuant to the SEC rules and regulations we present interim disclosures and certain information and footnote disclosures as required.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intercompany transactions have been eliminated in consolidation. Certain reclassifications have been made to prior period financial statements in order to conform to current period presentation.</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2018 as filed with the SEC on February 21, 2019 (the “2018 Annual Report”). These statements have been prepared on a basis that is substantially consistent with the accounting principles applied in our 2018 Annual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details our revenue by major source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gridSpan w:val="6"/>
          </w:tcPr>
          <w:p>
            <w:pPr>
              <w:jc w:val="right"/>
              <w:spacing w:after="0"/>
              <w:rPr>
                <w:sz w:val="20"/>
                <w:szCs w:val="20"/>
                <w:color w:val="auto"/>
              </w:rPr>
            </w:pPr>
            <w:r>
              <w:rPr>
                <w:rFonts w:ascii="Arial" w:cs="Arial" w:eastAsia="Arial" w:hAnsi="Arial"/>
                <w:sz w:val="15"/>
                <w:szCs w:val="15"/>
                <w:b w:val="1"/>
                <w:bCs w:val="1"/>
                <w:color w:val="auto"/>
                <w:w w:val="94"/>
              </w:rPr>
              <w:t>Three Months Ended</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gridSpan w:val="6"/>
          </w:tcPr>
          <w:p>
            <w:pPr>
              <w:jc w:val="right"/>
              <w:spacing w:after="0"/>
              <w:rPr>
                <w:sz w:val="20"/>
                <w:szCs w:val="20"/>
                <w:color w:val="auto"/>
              </w:rPr>
            </w:pPr>
            <w:r>
              <w:rPr>
                <w:rFonts w:ascii="Arial" w:cs="Arial" w:eastAsia="Arial" w:hAnsi="Arial"/>
                <w:sz w:val="15"/>
                <w:szCs w:val="15"/>
                <w:b w:val="1"/>
                <w:bCs w:val="1"/>
                <w:color w:val="auto"/>
                <w:w w:val="94"/>
              </w:rPr>
              <w:t>Three Months Ended</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w w:val="97"/>
              </w:rPr>
              <w:t>March 31, 2019</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w w:val="95"/>
              </w:rPr>
              <w:t>March 31, 2018</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460" w:type="dxa"/>
            <w:vAlign w:val="bottom"/>
          </w:tcPr>
          <w:p>
            <w:pPr>
              <w:spacing w:after="0"/>
              <w:rPr>
                <w:sz w:val="13"/>
                <w:szCs w:val="13"/>
                <w:color w:val="auto"/>
              </w:rPr>
            </w:pPr>
          </w:p>
        </w:tc>
        <w:tc>
          <w:tcPr>
            <w:tcW w:w="100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Real Property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40"/>
              <w:spacing w:after="0" w:line="151" w:lineRule="exact"/>
              <w:rPr>
                <w:sz w:val="20"/>
                <w:szCs w:val="20"/>
                <w:color w:val="auto"/>
              </w:rPr>
            </w:pPr>
            <w:r>
              <w:rPr>
                <w:rFonts w:ascii="Arial" w:cs="Arial" w:eastAsia="Arial" w:hAnsi="Arial"/>
                <w:sz w:val="14"/>
                <w:szCs w:val="14"/>
                <w:b w:val="1"/>
                <w:bCs w:val="1"/>
                <w:color w:val="auto"/>
              </w:rPr>
              <w:t>Home Sales</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96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Real Property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Home Sales</w:t>
            </w:r>
          </w:p>
        </w:tc>
        <w:tc>
          <w:tcPr>
            <w:tcW w:w="140" w:type="dxa"/>
            <w:vAlign w:val="bottom"/>
          </w:tcPr>
          <w:p>
            <w:pPr>
              <w:spacing w:after="0"/>
              <w:rPr>
                <w:sz w:val="13"/>
                <w:szCs w:val="13"/>
                <w:color w:val="auto"/>
              </w:rPr>
            </w:pPr>
          </w:p>
        </w:tc>
        <w:tc>
          <w:tcPr>
            <w:tcW w:w="10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36"/>
              <w:spacing w:after="0"/>
              <w:rPr>
                <w:sz w:val="20"/>
                <w:szCs w:val="20"/>
                <w:color w:val="auto"/>
              </w:rPr>
            </w:pPr>
            <w:r>
              <w:rPr>
                <w:rFonts w:ascii="Arial" w:cs="Arial" w:eastAsia="Arial" w:hAnsi="Arial"/>
                <w:sz w:val="14"/>
                <w:szCs w:val="14"/>
                <w:b w:val="1"/>
                <w:bCs w:val="1"/>
                <w:color w:val="auto"/>
                <w:w w:val="94"/>
              </w:rPr>
              <w:t>Operations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and Rentals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6"/>
              <w:spacing w:after="0"/>
              <w:rPr>
                <w:sz w:val="20"/>
                <w:szCs w:val="20"/>
                <w:color w:val="auto"/>
              </w:rPr>
            </w:pPr>
            <w:r>
              <w:rPr>
                <w:rFonts w:ascii="Arial" w:cs="Arial" w:eastAsia="Arial" w:hAnsi="Arial"/>
                <w:sz w:val="14"/>
                <w:szCs w:val="14"/>
                <w:b w:val="1"/>
                <w:bCs w:val="1"/>
                <w:color w:val="auto"/>
                <w:w w:val="94"/>
              </w:rPr>
              <w:t>Operations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and Rentals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380"/>
              <w:spacing w:after="0"/>
              <w:rPr>
                <w:sz w:val="20"/>
                <w:szCs w:val="20"/>
                <w:color w:val="auto"/>
              </w:rPr>
            </w:pPr>
            <w:r>
              <w:rPr>
                <w:rFonts w:ascii="Arial" w:cs="Arial" w:eastAsia="Arial" w:hAnsi="Arial"/>
                <w:sz w:val="17"/>
                <w:szCs w:val="17"/>
                <w:color w:val="auto"/>
              </w:rPr>
              <w:t>Income from real property</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216,779</w:t>
            </w: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216,779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197,211</w:t>
            </w: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197,211</w:t>
            </w:r>
          </w:p>
        </w:tc>
        <w:tc>
          <w:tcPr>
            <w:tcW w:w="0" w:type="dxa"/>
            <w:vAlign w:val="bottom"/>
          </w:tcPr>
          <w:p>
            <w:pPr>
              <w:spacing w:after="0"/>
              <w:rPr>
                <w:sz w:val="1"/>
                <w:szCs w:val="1"/>
                <w:color w:val="auto"/>
              </w:rPr>
            </w:pPr>
          </w:p>
        </w:tc>
      </w:tr>
      <w:tr>
        <w:trPr>
          <w:trHeight w:val="31"/>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Revenue from home sales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39,618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39,618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34,900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34,900</w:t>
            </w:r>
          </w:p>
        </w:tc>
        <w:tc>
          <w:tcPr>
            <w:tcW w:w="0" w:type="dxa"/>
            <w:vAlign w:val="bottom"/>
          </w:tcPr>
          <w:p>
            <w:pPr>
              <w:spacing w:after="0"/>
              <w:rPr>
                <w:sz w:val="1"/>
                <w:szCs w:val="1"/>
                <w:color w:val="auto"/>
              </w:rPr>
            </w:pPr>
          </w:p>
        </w:tc>
      </w:tr>
      <w:tr>
        <w:trPr>
          <w:trHeight w:val="239"/>
        </w:trPr>
        <w:tc>
          <w:tcPr>
            <w:tcW w:w="4460" w:type="dxa"/>
            <w:vAlign w:val="bottom"/>
          </w:tcPr>
          <w:p>
            <w:pPr>
              <w:ind w:left="380"/>
              <w:spacing w:after="0"/>
              <w:rPr>
                <w:sz w:val="20"/>
                <w:szCs w:val="20"/>
                <w:color w:val="auto"/>
              </w:rPr>
            </w:pPr>
            <w:r>
              <w:rPr>
                <w:rFonts w:ascii="Arial" w:cs="Arial" w:eastAsia="Arial" w:hAnsi="Arial"/>
                <w:sz w:val="17"/>
                <w:szCs w:val="17"/>
                <w:color w:val="auto"/>
              </w:rPr>
              <w:t>Rental home revenue</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13,971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13,971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13,020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13,020</w:t>
            </w:r>
          </w:p>
        </w:tc>
        <w:tc>
          <w:tcPr>
            <w:tcW w:w="0" w:type="dxa"/>
            <w:vAlign w:val="bottom"/>
          </w:tcPr>
          <w:p>
            <w:pPr>
              <w:spacing w:after="0"/>
              <w:rPr>
                <w:sz w:val="1"/>
                <w:szCs w:val="1"/>
                <w:color w:val="auto"/>
              </w:rPr>
            </w:pPr>
          </w:p>
        </w:tc>
      </w:tr>
      <w:tr>
        <w:trPr>
          <w:trHeight w:val="31"/>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Ancillary revenues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8,482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8,482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6,568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6,568</w:t>
            </w:r>
          </w:p>
        </w:tc>
        <w:tc>
          <w:tcPr>
            <w:tcW w:w="0" w:type="dxa"/>
            <w:vAlign w:val="bottom"/>
          </w:tcPr>
          <w:p>
            <w:pPr>
              <w:spacing w:after="0"/>
              <w:rPr>
                <w:sz w:val="1"/>
                <w:szCs w:val="1"/>
                <w:color w:val="auto"/>
              </w:rPr>
            </w:pPr>
          </w:p>
        </w:tc>
      </w:tr>
      <w:tr>
        <w:trPr>
          <w:trHeight w:val="239"/>
        </w:trPr>
        <w:tc>
          <w:tcPr>
            <w:tcW w:w="4460" w:type="dxa"/>
            <w:vAlign w:val="bottom"/>
          </w:tcPr>
          <w:p>
            <w:pPr>
              <w:ind w:left="380"/>
              <w:spacing w:after="0"/>
              <w:rPr>
                <w:sz w:val="20"/>
                <w:szCs w:val="20"/>
                <w:color w:val="auto"/>
              </w:rPr>
            </w:pPr>
            <w:r>
              <w:rPr>
                <w:rFonts w:ascii="Arial" w:cs="Arial" w:eastAsia="Arial" w:hAnsi="Arial"/>
                <w:sz w:val="17"/>
                <w:szCs w:val="17"/>
                <w:color w:val="auto"/>
              </w:rPr>
              <w:t>Interest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4,800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5,316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5,316</w:t>
            </w:r>
          </w:p>
        </w:tc>
        <w:tc>
          <w:tcPr>
            <w:tcW w:w="0" w:type="dxa"/>
            <w:vAlign w:val="bottom"/>
          </w:tcPr>
          <w:p>
            <w:pPr>
              <w:spacing w:after="0"/>
              <w:rPr>
                <w:sz w:val="1"/>
                <w:szCs w:val="1"/>
                <w:color w:val="auto"/>
              </w:rPr>
            </w:pPr>
          </w:p>
        </w:tc>
      </w:tr>
      <w:tr>
        <w:trPr>
          <w:trHeight w:val="31"/>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Brokerage commissions and other revenues, net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3,680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r>
        <w:trPr>
          <w:trHeight w:val="244"/>
        </w:trPr>
        <w:tc>
          <w:tcPr>
            <w:tcW w:w="4460" w:type="dxa"/>
            <w:vAlign w:val="bottom"/>
          </w:tcPr>
          <w:p>
            <w:pPr>
              <w:ind w:left="500"/>
              <w:spacing w:after="0"/>
              <w:rPr>
                <w:sz w:val="20"/>
                <w:szCs w:val="20"/>
                <w:color w:val="auto"/>
              </w:rPr>
            </w:pPr>
            <w:r>
              <w:rPr>
                <w:rFonts w:ascii="Arial" w:cs="Arial" w:eastAsia="Arial" w:hAnsi="Arial"/>
                <w:sz w:val="17"/>
                <w:szCs w:val="17"/>
                <w:b w:val="1"/>
                <w:bCs w:val="1"/>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233,741</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53,589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287,330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210,055</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47,920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257,975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 and Performance Obligations</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1, 2018, we adopted FASB Accounting Standards Update (“ASU”) 2014-09 “Revenue from Contracts with Customers” and the other related ASUs and amendments to the codification (collectively “ASC 606”). The core principle of ASC 606 is that an entity should recognize revenue to depict the transfer of promised goods or services to customers in an amount that reflects the consideration to which the entity expects to be entitled in exchange for those goods or services. A five-step transactional analysis is required to determine how and when to recognize revenue. ASC 606 applies to all contracts with customers, except those that are within the scope of other topics in the FASB accounting standards codification.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real estate owner and operator, the majority of our revenue is derived from site and home leases that are accounted for pursuant to ASC 842 “Leases.” For transactions in the scope of ASC 606, we recognize revenue when control of goods or services transfers to the customer, in the amount that we expect to receive for the transfer of goods or provision of services. The adoption of ASC 606 did not result in any change to our accounting policies for revenue recognition. Accordingly, retrospective application to prior periods or a cumulative catch-up adjustment was unnecessary.</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Income from real property </w:t>
      </w:r>
      <w:r>
        <w:rPr>
          <w:rFonts w:ascii="Arial" w:cs="Arial" w:eastAsia="Arial" w:hAnsi="Arial"/>
          <w:sz w:val="17"/>
          <w:szCs w:val="17"/>
          <w:color w:val="auto"/>
        </w:rPr>
        <w:t>- Residents in our communities lease the site on which their home is located, and either own or lease their home. Lease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for sites and homes fall under the scope of ASC 842, and are accounted for as operating leases with straight-line recognition. Resident leases are generally for one-year or month-to-month terms, and are renewable by mutual agreement from us and the resident, or in some cases, as provided by jurisdictional statute. Income from real property includes site leases for annual MH residents which are within the scope of ASC 842. Annual recreational vehicle (“RV”) site leases with residents are also included within the scope of ASC 842 and revenue is recorded within Income from real property. Non-lease components of our site lease contracts, which are primarily provision of utility services, are accounted for with the site lease as a single lease under ASC 842. Additionally, we include collections of real estate taxes from residents within Income from real property. The site rental associated with a transient RV resident stay is accounted for under ASC 842 and is recorded within Income from real property.</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Revenue from home sales </w:t>
      </w:r>
      <w:r>
        <w:rPr>
          <w:rFonts w:ascii="Arial" w:cs="Arial" w:eastAsia="Arial" w:hAnsi="Arial"/>
          <w:sz w:val="18"/>
          <w:szCs w:val="18"/>
          <w:color w:val="auto"/>
        </w:rPr>
        <w:t>- Our taxable REIT subsidiary, SHS, sells manufactured homes (“MH”) to current and prospective residents in our communities.</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adoption of ASC 606, we recognized revenue for home sales pursuant to ASC 605 “Revenue Recognition,” as manufactured homes are tangible personal property that can be located on any land parcel. Manufactured homes are not permanent fixtures or improvements to the underlying real estate, and were therefore not considered to be subject to the guidance in ASC 360-20 “Real Estate Sales” by the Company. In accordance with the core principle of ASC 606, we recognize revenue from home sales at the time of closing when control of the home transfers to the customer. After closing of the sale transaction, we have no remaining performance obligation.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Rental home revenue </w:t>
      </w:r>
      <w:r>
        <w:rPr>
          <w:rFonts w:ascii="Arial" w:cs="Arial" w:eastAsia="Arial" w:hAnsi="Arial"/>
          <w:sz w:val="18"/>
          <w:szCs w:val="18"/>
          <w:color w:val="auto"/>
        </w:rPr>
        <w:t>- is comprised of rental agreements whereby we lease homes to residents in our communities. We account for these revenues under ASC</w:t>
      </w:r>
      <w:r>
        <w:rPr>
          <w:rFonts w:ascii="Arial" w:cs="Arial" w:eastAsia="Arial" w:hAnsi="Arial"/>
          <w:sz w:val="18"/>
          <w:szCs w:val="18"/>
          <w:i w:val="1"/>
          <w:iCs w:val="1"/>
          <w:color w:val="auto"/>
        </w:rPr>
        <w:t xml:space="preserve"> </w:t>
      </w:r>
      <w:r>
        <w:rPr>
          <w:rFonts w:ascii="Arial" w:cs="Arial" w:eastAsia="Arial" w:hAnsi="Arial"/>
          <w:sz w:val="18"/>
          <w:szCs w:val="18"/>
          <w:color w:val="auto"/>
        </w:rPr>
        <w:t>842.</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Ancillary revenues </w:t>
      </w:r>
      <w:r>
        <w:rPr>
          <w:rFonts w:ascii="Arial" w:cs="Arial" w:eastAsia="Arial" w:hAnsi="Arial"/>
          <w:sz w:val="18"/>
          <w:szCs w:val="18"/>
          <w:color w:val="auto"/>
        </w:rPr>
        <w:t>- are primarily composed of proceeds from restaurant, golf, merchandise and other activities at our RV communities and are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scope of ASC 606. Short-term vacation home rentals are included within ancillary revenues and within the scope of ASC 842. Revenues are recognized at point of sale when control of the good or service transfers to the customer and our performance obligation is satisfied. In addition, ancillary revenues include the leasing of short term vacation rentals. Sales and other taxes that we collect concurrent with revenue-producing activities are excluded from the transaction price.</w:t>
      </w:r>
    </w:p>
    <w:p>
      <w:pPr>
        <w:spacing w:after="0" w:line="10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 is earned primarily on our notes and collateralized receivables, which includes installment loans for manufactured homes purchased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from loan originators and transferred loans that previously did not meet the requirements for sale accounting. Interest income on these receivables is accrued based on the unpaid principal balances of the underlying loans on a level yield basis over the life of the loans. Interest income is not in the scope of ASC 606. Refer to Notes 4, “Collateralized Receivables and Transfers of Financial Assets” and 5, “Notes and Other Receivables” for additional information.</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Broker commissions and other revenues, net </w:t>
      </w:r>
      <w:r>
        <w:rPr>
          <w:rFonts w:ascii="Arial" w:cs="Arial" w:eastAsia="Arial" w:hAnsi="Arial"/>
          <w:sz w:val="17"/>
          <w:szCs w:val="17"/>
          <w:color w:val="auto"/>
        </w:rPr>
        <w:t>- is primarily comprised of brokerage commissions for sales of manufactured homes, where we act as agent and</w:t>
      </w:r>
      <w:r>
        <w:rPr>
          <w:rFonts w:ascii="Arial" w:cs="Arial" w:eastAsia="Arial" w:hAnsi="Arial"/>
          <w:sz w:val="17"/>
          <w:szCs w:val="17"/>
          <w:i w:val="1"/>
          <w:iCs w:val="1"/>
          <w:color w:val="auto"/>
        </w:rPr>
        <w:t xml:space="preserve"> </w:t>
      </w:r>
      <w:r>
        <w:rPr>
          <w:rFonts w:ascii="Arial" w:cs="Arial" w:eastAsia="Arial" w:hAnsi="Arial"/>
          <w:sz w:val="17"/>
          <w:szCs w:val="17"/>
          <w:color w:val="auto"/>
        </w:rPr>
        <w:t>arrange for a third party to transfer a manufactured home to a customer within one of our communities. Brokerage commission revenues are recognized on a net basis at closing, when the transaction is completed and our performance obligations have been fulfilled. Loan loss reserve expenses for our collateralized receivables and notes receivables are also included herein. Refer to Notes 4, “Collateralized Receivables and Transfers of Financial Assets” and 5, “Notes and Other Receivables” for additional information regarding our loan loss reserves.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2019 and December 31, 2018, we had $18.0 million and $16.1 million, respectively, of receivables from contracts with customers. Receivables from contracts with customers are presented as a component of Notes and other receivables on our Consolidated Balance Sheets. These receivables represent balances owed to us for previously completed performance obligations for sales of manufactured homes. Due to the nature of our revenue from contracts with customers, we do not have material contract assets or liabilities that fall under the scope of ASC 606.</w:t>
      </w:r>
    </w:p>
    <w:p>
      <w:pPr>
        <w:spacing w:after="0" w:line="16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In 2019 we acquired the following communities: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700" w:type="dxa"/>
            <w:vAlign w:val="bottom"/>
          </w:tcPr>
          <w:p>
            <w:pPr>
              <w:ind w:left="900"/>
              <w:spacing w:after="0"/>
              <w:rPr>
                <w:sz w:val="20"/>
                <w:szCs w:val="20"/>
                <w:color w:val="auto"/>
              </w:rPr>
            </w:pPr>
            <w:r>
              <w:rPr>
                <w:rFonts w:ascii="Arial" w:cs="Arial" w:eastAsia="Arial" w:hAnsi="Arial"/>
                <w:sz w:val="16"/>
                <w:szCs w:val="16"/>
                <w:b w:val="1"/>
                <w:bCs w:val="1"/>
                <w:color w:val="auto"/>
              </w:rPr>
              <w:t>Community Name</w:t>
            </w:r>
          </w:p>
        </w:tc>
        <w:tc>
          <w:tcPr>
            <w:tcW w:w="3120" w:type="dxa"/>
            <w:vAlign w:val="bottom"/>
          </w:tcPr>
          <w:p>
            <w:pPr>
              <w:ind w:left="1560"/>
              <w:spacing w:after="0"/>
              <w:rPr>
                <w:sz w:val="20"/>
                <w:szCs w:val="20"/>
                <w:color w:val="auto"/>
              </w:rPr>
            </w:pPr>
            <w:r>
              <w:rPr>
                <w:rFonts w:ascii="Arial" w:cs="Arial" w:eastAsia="Arial" w:hAnsi="Arial"/>
                <w:sz w:val="16"/>
                <w:szCs w:val="16"/>
                <w:b w:val="1"/>
                <w:bCs w:val="1"/>
                <w:color w:val="auto"/>
              </w:rPr>
              <w:t>Type</w:t>
            </w:r>
          </w:p>
        </w:tc>
        <w:tc>
          <w:tcPr>
            <w:tcW w:w="1360" w:type="dxa"/>
            <w:vAlign w:val="bottom"/>
            <w:gridSpan w:val="2"/>
          </w:tcPr>
          <w:p>
            <w:pPr>
              <w:ind w:left="460"/>
              <w:spacing w:after="0"/>
              <w:rPr>
                <w:sz w:val="20"/>
                <w:szCs w:val="20"/>
                <w:color w:val="auto"/>
              </w:rPr>
            </w:pPr>
            <w:r>
              <w:rPr>
                <w:rFonts w:ascii="Arial" w:cs="Arial" w:eastAsia="Arial" w:hAnsi="Arial"/>
                <w:sz w:val="16"/>
                <w:szCs w:val="16"/>
                <w:b w:val="1"/>
                <w:bCs w:val="1"/>
                <w:color w:val="auto"/>
              </w:rPr>
              <w:t>Sites</w:t>
            </w: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w w:val="90"/>
              </w:rPr>
              <w:t>Development Sites</w:t>
            </w:r>
          </w:p>
        </w:tc>
        <w:tc>
          <w:tcPr>
            <w:tcW w:w="1100" w:type="dxa"/>
            <w:vAlign w:val="bottom"/>
          </w:tcPr>
          <w:p>
            <w:pPr>
              <w:ind w:left="480"/>
              <w:spacing w:after="0"/>
              <w:rPr>
                <w:sz w:val="20"/>
                <w:szCs w:val="20"/>
                <w:color w:val="auto"/>
              </w:rPr>
            </w:pPr>
            <w:r>
              <w:rPr>
                <w:rFonts w:ascii="Arial" w:cs="Arial" w:eastAsia="Arial" w:hAnsi="Arial"/>
                <w:sz w:val="16"/>
                <w:szCs w:val="16"/>
                <w:b w:val="1"/>
                <w:bCs w:val="1"/>
                <w:color w:val="auto"/>
              </w:rPr>
              <w:t>State</w:t>
            </w:r>
          </w:p>
        </w:tc>
        <w:tc>
          <w:tcPr>
            <w:tcW w:w="1720" w:type="dxa"/>
            <w:vAlign w:val="bottom"/>
          </w:tcPr>
          <w:p>
            <w:pPr>
              <w:ind w:left="400"/>
              <w:spacing w:after="0"/>
              <w:rPr>
                <w:sz w:val="20"/>
                <w:szCs w:val="20"/>
                <w:color w:val="auto"/>
              </w:rPr>
            </w:pPr>
            <w:r>
              <w:rPr>
                <w:rFonts w:ascii="Arial" w:cs="Arial" w:eastAsia="Arial" w:hAnsi="Arial"/>
                <w:sz w:val="16"/>
                <w:szCs w:val="16"/>
                <w:b w:val="1"/>
                <w:bCs w:val="1"/>
                <w:color w:val="auto"/>
              </w:rPr>
              <w:t>Month Acquired</w:t>
            </w:r>
          </w:p>
        </w:tc>
      </w:tr>
      <w:tr>
        <w:trPr>
          <w:trHeight w:val="33"/>
        </w:trPr>
        <w:tc>
          <w:tcPr>
            <w:tcW w:w="27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Massey’s Landing RV</w:t>
            </w:r>
          </w:p>
        </w:tc>
        <w:tc>
          <w:tcPr>
            <w:tcW w:w="3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RV</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w:t>
            </w:r>
          </w:p>
        </w:tc>
        <w:tc>
          <w:tcPr>
            <w:tcW w:w="1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February</w:t>
            </w:r>
          </w:p>
        </w:tc>
      </w:tr>
      <w:tr>
        <w:trPr>
          <w:trHeight w:val="270"/>
        </w:trPr>
        <w:tc>
          <w:tcPr>
            <w:tcW w:w="2700" w:type="dxa"/>
            <w:vAlign w:val="bottom"/>
          </w:tcPr>
          <w:p>
            <w:pPr>
              <w:ind w:left="20"/>
              <w:spacing w:after="0" w:line="270" w:lineRule="exact"/>
              <w:rPr>
                <w:sz w:val="20"/>
                <w:szCs w:val="20"/>
                <w:color w:val="auto"/>
              </w:rPr>
            </w:pPr>
            <w:r>
              <w:rPr>
                <w:rFonts w:ascii="Arial" w:cs="Arial" w:eastAsia="Arial" w:hAnsi="Arial"/>
                <w:sz w:val="18"/>
                <w:szCs w:val="18"/>
                <w:color w:val="auto"/>
              </w:rPr>
              <w:t>Shelby Properties</w:t>
            </w:r>
            <w:r>
              <w:rPr>
                <w:rFonts w:ascii="Arial" w:cs="Arial" w:eastAsia="Arial" w:hAnsi="Arial"/>
                <w:sz w:val="25"/>
                <w:szCs w:val="25"/>
                <w:color w:val="auto"/>
                <w:vertAlign w:val="superscript"/>
              </w:rPr>
              <w:t>(1)</w:t>
            </w:r>
          </w:p>
        </w:tc>
        <w:tc>
          <w:tcPr>
            <w:tcW w:w="3120" w:type="dxa"/>
            <w:vAlign w:val="bottom"/>
          </w:tcPr>
          <w:p>
            <w:pPr>
              <w:ind w:left="520"/>
              <w:spacing w:after="0"/>
              <w:rPr>
                <w:sz w:val="20"/>
                <w:szCs w:val="20"/>
                <w:color w:val="auto"/>
              </w:rPr>
            </w:pPr>
            <w:r>
              <w:rPr>
                <w:rFonts w:ascii="Arial" w:cs="Arial" w:eastAsia="Arial" w:hAnsi="Arial"/>
                <w:sz w:val="18"/>
                <w:szCs w:val="18"/>
                <w:color w:val="auto"/>
              </w:rPr>
              <w:t>MH</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3"/>
                <w:szCs w:val="23"/>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c>
          <w:tcPr>
            <w:tcW w:w="1100" w:type="dxa"/>
            <w:vAlign w:val="bottom"/>
          </w:tcPr>
          <w:p>
            <w:pPr>
              <w:ind w:left="120"/>
              <w:spacing w:after="0"/>
              <w:rPr>
                <w:sz w:val="20"/>
                <w:szCs w:val="20"/>
                <w:color w:val="auto"/>
              </w:rPr>
            </w:pPr>
            <w:r>
              <w:rPr>
                <w:rFonts w:ascii="Arial" w:cs="Arial" w:eastAsia="Arial" w:hAnsi="Arial"/>
                <w:sz w:val="18"/>
                <w:szCs w:val="18"/>
                <w:color w:val="auto"/>
              </w:rPr>
              <w:t>MI</w:t>
            </w:r>
          </w:p>
        </w:tc>
        <w:tc>
          <w:tcPr>
            <w:tcW w:w="1720" w:type="dxa"/>
            <w:vAlign w:val="bottom"/>
          </w:tcPr>
          <w:p>
            <w:pPr>
              <w:ind w:left="260"/>
              <w:spacing w:after="0"/>
              <w:rPr>
                <w:sz w:val="20"/>
                <w:szCs w:val="20"/>
                <w:color w:val="auto"/>
              </w:rPr>
            </w:pPr>
            <w:r>
              <w:rPr>
                <w:rFonts w:ascii="Arial" w:cs="Arial" w:eastAsia="Arial" w:hAnsi="Arial"/>
                <w:sz w:val="18"/>
                <w:szCs w:val="18"/>
                <w:color w:val="auto"/>
              </w:rPr>
              <w:t>February</w:t>
            </w: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Buena Vista</w:t>
            </w:r>
          </w:p>
        </w:tc>
        <w:tc>
          <w:tcPr>
            <w:tcW w:w="3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MH</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AZ</w:t>
            </w:r>
          </w:p>
        </w:tc>
        <w:tc>
          <w:tcPr>
            <w:tcW w:w="1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February</w:t>
            </w:r>
          </w:p>
        </w:tc>
      </w:tr>
      <w:tr>
        <w:trPr>
          <w:trHeight w:val="270"/>
        </w:trPr>
        <w:tc>
          <w:tcPr>
            <w:tcW w:w="27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Country Village Estates </w:t>
            </w:r>
            <w:r>
              <w:rPr>
                <w:rFonts w:ascii="Arial" w:cs="Arial" w:eastAsia="Arial" w:hAnsi="Arial"/>
                <w:sz w:val="25"/>
                <w:szCs w:val="25"/>
                <w:color w:val="auto"/>
                <w:vertAlign w:val="superscript"/>
              </w:rPr>
              <w:t>(2)</w:t>
            </w:r>
          </w:p>
        </w:tc>
        <w:tc>
          <w:tcPr>
            <w:tcW w:w="3120" w:type="dxa"/>
            <w:vAlign w:val="bottom"/>
          </w:tcPr>
          <w:p>
            <w:pPr>
              <w:ind w:left="520"/>
              <w:spacing w:after="0"/>
              <w:rPr>
                <w:sz w:val="20"/>
                <w:szCs w:val="20"/>
                <w:color w:val="auto"/>
              </w:rPr>
            </w:pPr>
            <w:r>
              <w:rPr>
                <w:rFonts w:ascii="Arial" w:cs="Arial" w:eastAsia="Arial" w:hAnsi="Arial"/>
                <w:sz w:val="18"/>
                <w:szCs w:val="18"/>
                <w:color w:val="auto"/>
              </w:rPr>
              <w:t>MH</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3"/>
                <w:szCs w:val="23"/>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c>
          <w:tcPr>
            <w:tcW w:w="1100" w:type="dxa"/>
            <w:vAlign w:val="bottom"/>
          </w:tcPr>
          <w:p>
            <w:pPr>
              <w:ind w:left="120"/>
              <w:spacing w:after="0"/>
              <w:rPr>
                <w:sz w:val="20"/>
                <w:szCs w:val="20"/>
                <w:color w:val="auto"/>
              </w:rPr>
            </w:pPr>
            <w:r>
              <w:rPr>
                <w:rFonts w:ascii="Arial" w:cs="Arial" w:eastAsia="Arial" w:hAnsi="Arial"/>
                <w:sz w:val="18"/>
                <w:szCs w:val="18"/>
                <w:color w:val="auto"/>
              </w:rPr>
              <w:t>OR</w:t>
            </w:r>
          </w:p>
        </w:tc>
        <w:tc>
          <w:tcPr>
            <w:tcW w:w="1720" w:type="dxa"/>
            <w:vAlign w:val="bottom"/>
          </w:tcPr>
          <w:p>
            <w:pPr>
              <w:ind w:left="260"/>
              <w:spacing w:after="0"/>
              <w:rPr>
                <w:sz w:val="20"/>
                <w:szCs w:val="20"/>
                <w:color w:val="auto"/>
              </w:rPr>
            </w:pPr>
            <w:r>
              <w:rPr>
                <w:rFonts w:ascii="Arial" w:cs="Arial" w:eastAsia="Arial" w:hAnsi="Arial"/>
                <w:sz w:val="18"/>
                <w:szCs w:val="18"/>
                <w:color w:val="auto"/>
              </w:rPr>
              <w:t>January</w:t>
            </w: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Hid’n Pines RV</w:t>
            </w:r>
          </w:p>
        </w:tc>
        <w:tc>
          <w:tcPr>
            <w:tcW w:w="3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RV</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ME</w:t>
            </w:r>
          </w:p>
        </w:tc>
        <w:tc>
          <w:tcPr>
            <w:tcW w:w="1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January</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Hacienda del Rio</w:t>
            </w:r>
          </w:p>
        </w:tc>
        <w:tc>
          <w:tcPr>
            <w:tcW w:w="3120" w:type="dxa"/>
            <w:vAlign w:val="bottom"/>
          </w:tcPr>
          <w:p>
            <w:pPr>
              <w:ind w:left="520"/>
              <w:spacing w:after="0"/>
              <w:rPr>
                <w:sz w:val="20"/>
                <w:szCs w:val="20"/>
                <w:color w:val="auto"/>
              </w:rPr>
            </w:pPr>
            <w:r>
              <w:rPr>
                <w:rFonts w:ascii="Arial" w:cs="Arial" w:eastAsia="Arial" w:hAnsi="Arial"/>
                <w:sz w:val="18"/>
                <w:szCs w:val="18"/>
                <w:color w:val="auto"/>
              </w:rPr>
              <w:t>MH (Age-Restricted)</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70</w:t>
            </w:r>
          </w:p>
        </w:tc>
        <w:tc>
          <w:tcPr>
            <w:tcW w:w="1100" w:type="dxa"/>
            <w:vAlign w:val="bottom"/>
          </w:tcPr>
          <w:p>
            <w:pPr>
              <w:ind w:left="120"/>
              <w:spacing w:after="0"/>
              <w:rPr>
                <w:sz w:val="20"/>
                <w:szCs w:val="20"/>
                <w:color w:val="auto"/>
              </w:rPr>
            </w:pPr>
            <w:r>
              <w:rPr>
                <w:rFonts w:ascii="Arial" w:cs="Arial" w:eastAsia="Arial" w:hAnsi="Arial"/>
                <w:sz w:val="18"/>
                <w:szCs w:val="18"/>
                <w:color w:val="auto"/>
              </w:rPr>
              <w:t>FL</w:t>
            </w:r>
          </w:p>
        </w:tc>
        <w:tc>
          <w:tcPr>
            <w:tcW w:w="1720" w:type="dxa"/>
            <w:vAlign w:val="bottom"/>
          </w:tcPr>
          <w:p>
            <w:pPr>
              <w:ind w:left="260"/>
              <w:spacing w:after="0"/>
              <w:rPr>
                <w:sz w:val="20"/>
                <w:szCs w:val="20"/>
                <w:color w:val="auto"/>
              </w:rPr>
            </w:pPr>
            <w:r>
              <w:rPr>
                <w:rFonts w:ascii="Arial" w:cs="Arial" w:eastAsia="Arial" w:hAnsi="Arial"/>
                <w:sz w:val="18"/>
                <w:szCs w:val="18"/>
                <w:color w:val="auto"/>
              </w:rPr>
              <w:t>January</w:t>
            </w:r>
          </w:p>
        </w:tc>
      </w:tr>
      <w:tr>
        <w:trPr>
          <w:trHeight w:val="27"/>
        </w:trPr>
        <w:tc>
          <w:tcPr>
            <w:tcW w:w="2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3120" w:type="dxa"/>
            <w:vAlign w:val="bottom"/>
          </w:tcPr>
          <w:p>
            <w:pPr>
              <w:ind w:left="520"/>
              <w:spacing w:after="0"/>
              <w:rPr>
                <w:sz w:val="20"/>
                <w:szCs w:val="20"/>
                <w:color w:val="auto"/>
              </w:rPr>
            </w:pPr>
            <w:r>
              <w:rPr>
                <w:rFonts w:ascii="Arial" w:cs="Arial" w:eastAsia="Arial" w:hAnsi="Arial"/>
                <w:sz w:val="18"/>
                <w:szCs w:val="18"/>
                <w:color w:val="auto"/>
              </w:rPr>
              <w:t>Total</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3,568</w:t>
            </w:r>
          </w:p>
        </w:tc>
        <w:tc>
          <w:tcPr>
            <w:tcW w:w="100" w:type="dxa"/>
            <w:vAlign w:val="bottom"/>
          </w:tcPr>
          <w:p>
            <w:pPr>
              <w:spacing w:after="0"/>
              <w:rPr>
                <w:sz w:val="20"/>
                <w:szCs w:val="20"/>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70</w:t>
            </w: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-162560</wp:posOffset>
            </wp:positionV>
            <wp:extent cx="720344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Contains two MH communities.</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In conjunction with the acquisition, we issued Series D Preferred Operating Partnership (“OP”) Units. As of March 31, 2019, 488,958 Series D Preferred OP Units were outstanding.</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in the three months ended March 31, 2019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 xml:space="preserve">At Acquisition Date </w:t>
            </w:r>
            <w:r>
              <w:rPr>
                <w:rFonts w:ascii="Arial" w:cs="Arial" w:eastAsia="Arial" w:hAnsi="Arial"/>
                <w:sz w:val="21"/>
                <w:szCs w:val="21"/>
                <w:b w:val="1"/>
                <w:bCs w:val="1"/>
                <w:color w:val="auto"/>
                <w:vertAlign w:val="superscript"/>
              </w:rPr>
              <w:t>(1)</w:t>
            </w:r>
          </w:p>
        </w:tc>
        <w:tc>
          <w:tcPr>
            <w:tcW w:w="120" w:type="dxa"/>
            <w:vAlign w:val="bottom"/>
            <w:vMerge w:val="restart"/>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Massey's Landing</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Shelby</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Buena Vista</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Country</w:t>
            </w:r>
          </w:p>
        </w:tc>
        <w:tc>
          <w:tcPr>
            <w:tcW w:w="9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Hid'n Pines</w:t>
            </w:r>
          </w:p>
        </w:tc>
        <w:tc>
          <w:tcPr>
            <w:tcW w:w="100" w:type="dxa"/>
            <w:vAlign w:val="bottom"/>
            <w:vMerge w:val="restart"/>
          </w:tcPr>
          <w:p>
            <w:pPr>
              <w:spacing w:after="0"/>
              <w:rPr>
                <w:sz w:val="14"/>
                <w:szCs w:val="14"/>
                <w:color w:val="auto"/>
              </w:rPr>
            </w:pPr>
          </w:p>
        </w:tc>
        <w:tc>
          <w:tcPr>
            <w:tcW w:w="1140" w:type="dxa"/>
            <w:vAlign w:val="bottom"/>
            <w:gridSpan w:val="3"/>
          </w:tcPr>
          <w:p>
            <w:pPr>
              <w:ind w:left="120"/>
              <w:spacing w:after="0"/>
              <w:rPr>
                <w:sz w:val="20"/>
                <w:szCs w:val="20"/>
                <w:color w:val="auto"/>
              </w:rPr>
            </w:pPr>
            <w:r>
              <w:rPr>
                <w:rFonts w:ascii="Arial" w:cs="Arial" w:eastAsia="Arial" w:hAnsi="Arial"/>
                <w:sz w:val="14"/>
                <w:szCs w:val="14"/>
                <w:b w:val="1"/>
                <w:bCs w:val="1"/>
                <w:color w:val="auto"/>
              </w:rPr>
              <w:t>Hacienda del</w:t>
            </w:r>
          </w:p>
        </w:tc>
        <w:tc>
          <w:tcPr>
            <w:tcW w:w="220" w:type="dxa"/>
            <w:vAlign w:val="bottom"/>
          </w:tcPr>
          <w:p>
            <w:pPr>
              <w:spacing w:after="0"/>
              <w:rPr>
                <w:sz w:val="14"/>
                <w:szCs w:val="14"/>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7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Properties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Village</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Rio</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 property</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85,969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111,971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311,625</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Inventory of manufactured homes</w:t>
            </w:r>
          </w:p>
        </w:tc>
        <w:tc>
          <w:tcPr>
            <w:tcW w:w="34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In-place leases and other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13,480</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Other assets (liabilities), net</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identifiable assets acquired net of</w:t>
            </w: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19,554</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93,485</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22,157</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64,835</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10,517</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115,029</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325,577</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liabilities assumed</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Consideration</w:t>
            </w: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9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escrow</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93,485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273,647</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Series D Preferred OP units</w:t>
            </w:r>
          </w:p>
        </w:tc>
        <w:tc>
          <w:tcPr>
            <w:tcW w:w="34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51,930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51,930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consideration</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19,554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93,485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64,835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115,029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325,577</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The purchase price allocations are preliminary and may be adjusted as final valuations are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-98425</wp:posOffset>
            </wp:positionV>
            <wp:extent cx="4776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31,2019, the Company has incurred $5.1 million of additional capitalized transaction costs which have been allocated among the various categories above.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the Company entered into a four year Temporary Occupancy and Use Permit with the Port of San Diego to operate an RV resort located in Chula Vista, CA until such time as a new RV resort is constructed in the area. Concurrent with the transaction, we purchased tangible personal property from the prior owner of the RV resort for $0.3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19, “Subsequent Events,” for information regarding real estate acquisition activity after March 31,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amount of revenues and net income included in the Consolidated Statements of Operations for the three months ended March 31, 2019 related to the acquisitions completed in 2019 are set forth in the following table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20" w:type="dxa"/>
            <w:vAlign w:val="bottom"/>
          </w:tcPr>
          <w:p>
            <w:pPr>
              <w:jc w:val="right"/>
              <w:ind w:right="701"/>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20" w:type="dxa"/>
            <w:vAlign w:val="bottom"/>
          </w:tcPr>
          <w:p>
            <w:pPr>
              <w:jc w:val="right"/>
              <w:ind w:right="861"/>
              <w:spacing w:after="0"/>
              <w:rPr>
                <w:sz w:val="20"/>
                <w:szCs w:val="20"/>
                <w:color w:val="auto"/>
              </w:rPr>
            </w:pPr>
            <w:r>
              <w:rPr>
                <w:rFonts w:ascii="Arial" w:cs="Arial" w:eastAsia="Arial" w:hAnsi="Arial"/>
                <w:sz w:val="14"/>
                <w:szCs w:val="14"/>
                <w:b w:val="1"/>
                <w:bCs w:val="1"/>
                <w:color w:val="auto"/>
              </w:rPr>
              <w:t>March 31, 2019</w:t>
            </w:r>
          </w:p>
        </w:tc>
      </w:tr>
      <w:tr>
        <w:trPr>
          <w:trHeight w:val="203"/>
        </w:trPr>
        <w:tc>
          <w:tcPr>
            <w:tcW w:w="8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20" w:type="dxa"/>
            <w:vAlign w:val="bottom"/>
          </w:tcPr>
          <w:p>
            <w:pPr>
              <w:jc w:val="right"/>
              <w:ind w:right="981"/>
              <w:spacing w:after="0"/>
              <w:rPr>
                <w:sz w:val="20"/>
                <w:szCs w:val="20"/>
                <w:color w:val="auto"/>
              </w:rPr>
            </w:pPr>
            <w:r>
              <w:rPr>
                <w:rFonts w:ascii="Arial" w:cs="Arial" w:eastAsia="Arial" w:hAnsi="Arial"/>
                <w:sz w:val="14"/>
                <w:szCs w:val="14"/>
                <w:b w:val="1"/>
                <w:bCs w:val="1"/>
                <w:color w:val="auto"/>
              </w:rPr>
              <w:t>(unaudited)</w:t>
            </w:r>
          </w:p>
        </w:tc>
      </w:tr>
      <w:tr>
        <w:trPr>
          <w:trHeight w:val="80"/>
        </w:trPr>
        <w:tc>
          <w:tcPr>
            <w:tcW w:w="8460" w:type="dxa"/>
            <w:vAlign w:val="bottom"/>
            <w:tcBorders>
              <w:bottom w:val="single" w:sz="8" w:color="D2F0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r>
      <w:tr>
        <w:trPr>
          <w:trHeight w:val="244"/>
        </w:trPr>
        <w:tc>
          <w:tcPr>
            <w:tcW w:w="8460" w:type="dxa"/>
            <w:vAlign w:val="bottom"/>
            <w:tcBorders>
              <w:bottom w:val="single" w:sz="8" w:color="D2F0FF"/>
            </w:tcBorders>
            <w:shd w:val="clear" w:color="auto" w:fill="D2F0FF"/>
          </w:tcPr>
          <w:p>
            <w:pPr>
              <w:ind w:left="40"/>
              <w:spacing w:after="0"/>
              <w:rPr>
                <w:sz w:val="20"/>
                <w:szCs w:val="20"/>
                <w:color w:val="auto"/>
              </w:rPr>
            </w:pPr>
            <w:r>
              <w:rPr>
                <w:rFonts w:ascii="Arial" w:cs="Arial" w:eastAsia="Arial" w:hAnsi="Arial"/>
                <w:sz w:val="18"/>
                <w:szCs w:val="18"/>
                <w:color w:val="auto"/>
              </w:rPr>
              <w:t>Total revenues</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3,764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20" w:type="dxa"/>
            <w:vAlign w:val="bottom"/>
          </w:tcPr>
          <w:p>
            <w:pPr>
              <w:jc w:val="right"/>
              <w:ind w:right="21"/>
              <w:spacing w:after="0"/>
              <w:rPr>
                <w:sz w:val="20"/>
                <w:szCs w:val="20"/>
                <w:color w:val="auto"/>
              </w:rPr>
            </w:pPr>
            <w:r>
              <w:rPr>
                <w:rFonts w:ascii="Arial" w:cs="Arial" w:eastAsia="Arial" w:hAnsi="Arial"/>
                <w:sz w:val="18"/>
                <w:szCs w:val="18"/>
                <w:color w:val="auto"/>
              </w:rPr>
              <w:t>1,317</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unaudited pro forma financial information presents the results of our operations for the three months ended March 31, 2019 and 2018, as if the properties acquired in 2019 had been acquired on January 1, 2018. The unaudited pro forma results reflect certain adjustments for items that are not expected to have a continuing impact, such as adjustments for transaction costs incurred, management fees, and purchase accounting.</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information presented below has been prepared for comparative purposes only and does not purport to be indicative of either future results of operations or the results of operations that would have actually occurred had the acquisition been consummated on January 1, 2018 (in thousands, except per-share data):</w:t>
      </w:r>
    </w:p>
    <w:p>
      <w:pPr>
        <w:spacing w:after="0" w:line="129"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 March 31,</w:t>
      </w:r>
    </w:p>
    <w:p>
      <w:pPr>
        <w:spacing w:after="0" w:line="42"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66675</wp:posOffset>
            </wp:positionV>
            <wp:extent cx="1800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Borders>
              <w:bottom w:val="single" w:sz="8" w:color="auto"/>
            </w:tcBorders>
          </w:tcPr>
          <w:p>
            <w:pPr>
              <w:spacing w:after="0"/>
              <w:rPr>
                <w:sz w:val="16"/>
                <w:szCs w:val="16"/>
                <w:color w:val="auto"/>
              </w:rPr>
            </w:pPr>
          </w:p>
        </w:tc>
        <w:tc>
          <w:tcPr>
            <w:tcW w:w="120" w:type="dxa"/>
            <w:vAlign w:val="bottom"/>
            <w:tcBorders>
              <w:bottom w:val="single" w:sz="8" w:color="D2F0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D2F0FF"/>
            </w:tcBorders>
            <w:shd w:val="clear" w:color="auto" w:fill="D2F0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D2F0FF"/>
            </w:tcBorders>
            <w:shd w:val="clear" w:color="auto" w:fill="D2F0FF"/>
          </w:tcPr>
          <w:p>
            <w:pPr>
              <w:jc w:val="right"/>
              <w:ind w:right="34"/>
              <w:spacing w:after="0"/>
              <w:rPr>
                <w:sz w:val="20"/>
                <w:szCs w:val="20"/>
                <w:color w:val="auto"/>
              </w:rPr>
            </w:pPr>
            <w:r>
              <w:rPr>
                <w:rFonts w:ascii="Arial" w:cs="Arial" w:eastAsia="Arial" w:hAnsi="Arial"/>
                <w:sz w:val="18"/>
                <w:szCs w:val="18"/>
                <w:color w:val="auto"/>
              </w:rPr>
              <w:t>289,253</w:t>
            </w:r>
          </w:p>
        </w:tc>
        <w:tc>
          <w:tcPr>
            <w:tcW w:w="420" w:type="dxa"/>
            <w:vAlign w:val="bottom"/>
            <w:tcBorders>
              <w:bottom w:val="single" w:sz="8" w:color="D2F0FF"/>
            </w:tcBorders>
            <w:shd w:val="clear" w:color="auto" w:fill="D2F0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2F0FF"/>
            </w:tcBorders>
            <w:shd w:val="clear" w:color="auto" w:fill="D2F0FF"/>
          </w:tcPr>
          <w:p>
            <w:pPr>
              <w:jc w:val="right"/>
              <w:ind w:right="14"/>
              <w:spacing w:after="0"/>
              <w:rPr>
                <w:sz w:val="20"/>
                <w:szCs w:val="20"/>
                <w:color w:val="auto"/>
              </w:rPr>
            </w:pPr>
            <w:r>
              <w:rPr>
                <w:rFonts w:ascii="Arial" w:cs="Arial" w:eastAsia="Arial" w:hAnsi="Arial"/>
                <w:sz w:val="18"/>
                <w:szCs w:val="18"/>
                <w:color w:val="auto"/>
              </w:rPr>
              <w:t>263,706</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Sun Communities, Inc. common stockholders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34,885</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31,732</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Net income per share attributable to Sun Communities, Inc. common stockholders - basic</w:t>
            </w:r>
          </w:p>
        </w:tc>
        <w:tc>
          <w:tcPr>
            <w:tcW w:w="340" w:type="dxa"/>
            <w:vAlign w:val="bottom"/>
            <w:tcBorders>
              <w:bottom w:val="single" w:sz="8" w:color="D2F0FF"/>
            </w:tcBorders>
            <w:shd w:val="clear" w:color="auto" w:fill="D2F0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D2F0FF"/>
            </w:tcBorders>
            <w:shd w:val="clear" w:color="auto" w:fill="D2F0FF"/>
          </w:tcPr>
          <w:p>
            <w:pPr>
              <w:jc w:val="right"/>
              <w:ind w:right="34"/>
              <w:spacing w:after="0"/>
              <w:rPr>
                <w:sz w:val="20"/>
                <w:szCs w:val="20"/>
                <w:color w:val="auto"/>
              </w:rPr>
            </w:pPr>
            <w:r>
              <w:rPr>
                <w:rFonts w:ascii="Arial" w:cs="Arial" w:eastAsia="Arial" w:hAnsi="Arial"/>
                <w:sz w:val="18"/>
                <w:szCs w:val="18"/>
                <w:color w:val="auto"/>
              </w:rPr>
              <w:t>0.41</w:t>
            </w:r>
          </w:p>
        </w:tc>
        <w:tc>
          <w:tcPr>
            <w:tcW w:w="420" w:type="dxa"/>
            <w:vAlign w:val="bottom"/>
            <w:tcBorders>
              <w:bottom w:val="single" w:sz="8" w:color="D2F0FF"/>
            </w:tcBorders>
            <w:shd w:val="clear" w:color="auto" w:fill="D2F0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2F0FF"/>
            </w:tcBorders>
            <w:shd w:val="clear" w:color="auto" w:fill="D2F0FF"/>
          </w:tcPr>
          <w:p>
            <w:pPr>
              <w:jc w:val="right"/>
              <w:ind w:right="14"/>
              <w:spacing w:after="0"/>
              <w:rPr>
                <w:sz w:val="20"/>
                <w:szCs w:val="20"/>
                <w:color w:val="auto"/>
              </w:rPr>
            </w:pPr>
            <w:r>
              <w:rPr>
                <w:rFonts w:ascii="Arial" w:cs="Arial" w:eastAsia="Arial" w:hAnsi="Arial"/>
                <w:sz w:val="18"/>
                <w:szCs w:val="18"/>
                <w:color w:val="auto"/>
              </w:rPr>
              <w:t>0.40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income per share attributable to Sun Communities, Inc. common stockholders -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0.41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0.40</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2018 we acquired the following communities: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740" w:type="dxa"/>
            <w:vAlign w:val="bottom"/>
          </w:tcPr>
          <w:p>
            <w:pPr>
              <w:ind w:left="900"/>
              <w:spacing w:after="0"/>
              <w:rPr>
                <w:sz w:val="20"/>
                <w:szCs w:val="20"/>
                <w:color w:val="auto"/>
              </w:rPr>
            </w:pPr>
            <w:r>
              <w:rPr>
                <w:rFonts w:ascii="Arial" w:cs="Arial" w:eastAsia="Arial" w:hAnsi="Arial"/>
                <w:sz w:val="16"/>
                <w:szCs w:val="16"/>
                <w:b w:val="1"/>
                <w:bCs w:val="1"/>
                <w:color w:val="auto"/>
              </w:rPr>
              <w:t>Community Name</w:t>
            </w:r>
          </w:p>
        </w:tc>
        <w:tc>
          <w:tcPr>
            <w:tcW w:w="3080" w:type="dxa"/>
            <w:vAlign w:val="bottom"/>
          </w:tcPr>
          <w:p>
            <w:pPr>
              <w:ind w:left="1520"/>
              <w:spacing w:after="0"/>
              <w:rPr>
                <w:sz w:val="20"/>
                <w:szCs w:val="20"/>
                <w:color w:val="auto"/>
              </w:rPr>
            </w:pPr>
            <w:r>
              <w:rPr>
                <w:rFonts w:ascii="Arial" w:cs="Arial" w:eastAsia="Arial" w:hAnsi="Arial"/>
                <w:sz w:val="16"/>
                <w:szCs w:val="16"/>
                <w:b w:val="1"/>
                <w:bCs w:val="1"/>
                <w:color w:val="auto"/>
              </w:rPr>
              <w:t>Type</w:t>
            </w:r>
          </w:p>
        </w:tc>
        <w:tc>
          <w:tcPr>
            <w:tcW w:w="1360" w:type="dxa"/>
            <w:vAlign w:val="bottom"/>
            <w:gridSpan w:val="2"/>
          </w:tcPr>
          <w:p>
            <w:pPr>
              <w:ind w:left="460"/>
              <w:spacing w:after="0"/>
              <w:rPr>
                <w:sz w:val="20"/>
                <w:szCs w:val="20"/>
                <w:color w:val="auto"/>
              </w:rPr>
            </w:pPr>
            <w:r>
              <w:rPr>
                <w:rFonts w:ascii="Arial" w:cs="Arial" w:eastAsia="Arial" w:hAnsi="Arial"/>
                <w:sz w:val="16"/>
                <w:szCs w:val="16"/>
                <w:b w:val="1"/>
                <w:bCs w:val="1"/>
                <w:color w:val="auto"/>
              </w:rPr>
              <w:t>Sites</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w w:val="89"/>
              </w:rPr>
              <w:t>Development Sites</w:t>
            </w:r>
          </w:p>
        </w:tc>
        <w:tc>
          <w:tcPr>
            <w:tcW w:w="1100" w:type="dxa"/>
            <w:vAlign w:val="bottom"/>
          </w:tcPr>
          <w:p>
            <w:pPr>
              <w:ind w:left="480"/>
              <w:spacing w:after="0"/>
              <w:rPr>
                <w:sz w:val="20"/>
                <w:szCs w:val="20"/>
                <w:color w:val="auto"/>
              </w:rPr>
            </w:pPr>
            <w:r>
              <w:rPr>
                <w:rFonts w:ascii="Arial" w:cs="Arial" w:eastAsia="Arial" w:hAnsi="Arial"/>
                <w:sz w:val="16"/>
                <w:szCs w:val="16"/>
                <w:b w:val="1"/>
                <w:bCs w:val="1"/>
                <w:color w:val="auto"/>
              </w:rPr>
              <w:t>State</w:t>
            </w:r>
          </w:p>
        </w:tc>
        <w:tc>
          <w:tcPr>
            <w:tcW w:w="1720" w:type="dxa"/>
            <w:vAlign w:val="bottom"/>
          </w:tcPr>
          <w:p>
            <w:pPr>
              <w:ind w:left="400"/>
              <w:spacing w:after="0"/>
              <w:rPr>
                <w:sz w:val="20"/>
                <w:szCs w:val="20"/>
                <w:color w:val="auto"/>
              </w:rPr>
            </w:pPr>
            <w:r>
              <w:rPr>
                <w:rFonts w:ascii="Arial" w:cs="Arial" w:eastAsia="Arial" w:hAnsi="Arial"/>
                <w:sz w:val="16"/>
                <w:szCs w:val="16"/>
                <w:b w:val="1"/>
                <w:bCs w:val="1"/>
                <w:color w:val="auto"/>
              </w:rPr>
              <w:t>Month Acquired</w:t>
            </w:r>
          </w:p>
        </w:tc>
      </w:tr>
      <w:tr>
        <w:trPr>
          <w:trHeight w:val="33"/>
        </w:trPr>
        <w:tc>
          <w:tcPr>
            <w:tcW w:w="27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Leaf Verde RV Resort</w:t>
            </w:r>
          </w:p>
        </w:tc>
        <w:tc>
          <w:tcPr>
            <w:tcW w:w="3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RV</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AZ</w:t>
            </w:r>
          </w:p>
        </w:tc>
        <w:tc>
          <w:tcPr>
            <w:tcW w:w="1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October</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Archview</w:t>
            </w:r>
          </w:p>
        </w:tc>
        <w:tc>
          <w:tcPr>
            <w:tcW w:w="3080" w:type="dxa"/>
            <w:vAlign w:val="bottom"/>
          </w:tcPr>
          <w:p>
            <w:pPr>
              <w:ind w:left="480"/>
              <w:spacing w:after="0"/>
              <w:rPr>
                <w:sz w:val="20"/>
                <w:szCs w:val="20"/>
                <w:color w:val="auto"/>
              </w:rPr>
            </w:pPr>
            <w:r>
              <w:rPr>
                <w:rFonts w:ascii="Arial" w:cs="Arial" w:eastAsia="Arial" w:hAnsi="Arial"/>
                <w:sz w:val="18"/>
                <w:szCs w:val="18"/>
                <w:color w:val="auto"/>
              </w:rPr>
              <w:t>RV</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100" w:type="dxa"/>
            <w:vAlign w:val="bottom"/>
          </w:tcPr>
          <w:p>
            <w:pPr>
              <w:ind w:left="120"/>
              <w:spacing w:after="0"/>
              <w:rPr>
                <w:sz w:val="20"/>
                <w:szCs w:val="20"/>
                <w:color w:val="auto"/>
              </w:rPr>
            </w:pPr>
            <w:r>
              <w:rPr>
                <w:rFonts w:ascii="Arial" w:cs="Arial" w:eastAsia="Arial" w:hAnsi="Arial"/>
                <w:sz w:val="18"/>
                <w:szCs w:val="18"/>
                <w:color w:val="auto"/>
              </w:rPr>
              <w:t>UT</w:t>
            </w:r>
          </w:p>
        </w:tc>
        <w:tc>
          <w:tcPr>
            <w:tcW w:w="1720" w:type="dxa"/>
            <w:vAlign w:val="bottom"/>
          </w:tcPr>
          <w:p>
            <w:pPr>
              <w:ind w:left="260"/>
              <w:spacing w:after="0"/>
              <w:rPr>
                <w:sz w:val="20"/>
                <w:szCs w:val="20"/>
                <w:color w:val="auto"/>
              </w:rPr>
            </w:pPr>
            <w:r>
              <w:rPr>
                <w:rFonts w:ascii="Arial" w:cs="Arial" w:eastAsia="Arial" w:hAnsi="Arial"/>
                <w:sz w:val="18"/>
                <w:szCs w:val="18"/>
                <w:color w:val="auto"/>
              </w:rPr>
              <w:t>August</w:t>
            </w:r>
          </w:p>
        </w:tc>
      </w:tr>
      <w:tr>
        <w:trPr>
          <w:trHeight w:val="27"/>
        </w:trPr>
        <w:tc>
          <w:tcPr>
            <w:tcW w:w="27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Petoskey KOA</w:t>
            </w:r>
          </w:p>
        </w:tc>
        <w:tc>
          <w:tcPr>
            <w:tcW w:w="3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RV</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MI</w:t>
            </w:r>
          </w:p>
        </w:tc>
        <w:tc>
          <w:tcPr>
            <w:tcW w:w="1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August</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The Sands RV and Golf Resort</w:t>
            </w:r>
          </w:p>
        </w:tc>
        <w:tc>
          <w:tcPr>
            <w:tcW w:w="3080" w:type="dxa"/>
            <w:vAlign w:val="bottom"/>
          </w:tcPr>
          <w:p>
            <w:pPr>
              <w:ind w:left="480"/>
              <w:spacing w:after="0"/>
              <w:rPr>
                <w:sz w:val="20"/>
                <w:szCs w:val="20"/>
                <w:color w:val="auto"/>
              </w:rPr>
            </w:pPr>
            <w:r>
              <w:rPr>
                <w:rFonts w:ascii="Arial" w:cs="Arial" w:eastAsia="Arial" w:hAnsi="Arial"/>
                <w:sz w:val="18"/>
                <w:szCs w:val="18"/>
                <w:color w:val="auto"/>
              </w:rPr>
              <w:t>RV (Age Restricted)</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Pr>
          <w:p>
            <w:pPr>
              <w:ind w:left="120"/>
              <w:spacing w:after="0"/>
              <w:rPr>
                <w:sz w:val="20"/>
                <w:szCs w:val="20"/>
                <w:color w:val="auto"/>
              </w:rPr>
            </w:pPr>
            <w:r>
              <w:rPr>
                <w:rFonts w:ascii="Arial" w:cs="Arial" w:eastAsia="Arial" w:hAnsi="Arial"/>
                <w:sz w:val="18"/>
                <w:szCs w:val="18"/>
                <w:color w:val="auto"/>
              </w:rPr>
              <w:t>CA</w:t>
            </w:r>
          </w:p>
        </w:tc>
        <w:tc>
          <w:tcPr>
            <w:tcW w:w="1720" w:type="dxa"/>
            <w:vAlign w:val="bottom"/>
          </w:tcPr>
          <w:p>
            <w:pPr>
              <w:ind w:left="260"/>
              <w:spacing w:after="0"/>
              <w:rPr>
                <w:sz w:val="20"/>
                <w:szCs w:val="20"/>
                <w:color w:val="auto"/>
              </w:rPr>
            </w:pPr>
            <w:r>
              <w:rPr>
                <w:rFonts w:ascii="Arial" w:cs="Arial" w:eastAsia="Arial" w:hAnsi="Arial"/>
                <w:sz w:val="18"/>
                <w:szCs w:val="18"/>
                <w:color w:val="auto"/>
              </w:rPr>
              <w:t>July</w:t>
            </w:r>
          </w:p>
        </w:tc>
      </w:tr>
      <w:tr>
        <w:trPr>
          <w:trHeight w:val="27"/>
        </w:trPr>
        <w:tc>
          <w:tcPr>
            <w:tcW w:w="27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27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Sun NG RV Resorts LLC </w:t>
            </w:r>
            <w:r>
              <w:rPr>
                <w:rFonts w:ascii="Arial" w:cs="Arial" w:eastAsia="Arial" w:hAnsi="Arial"/>
                <w:sz w:val="25"/>
                <w:szCs w:val="25"/>
                <w:color w:val="auto"/>
                <w:vertAlign w:val="superscript"/>
              </w:rPr>
              <w:t>(1)(2)</w:t>
            </w:r>
          </w:p>
        </w:tc>
        <w:tc>
          <w:tcPr>
            <w:tcW w:w="3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RV</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940</w:t>
            </w:r>
          </w:p>
        </w:tc>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Various</w:t>
            </w:r>
          </w:p>
        </w:tc>
        <w:tc>
          <w:tcPr>
            <w:tcW w:w="1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June</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Silver Creek</w:t>
            </w:r>
          </w:p>
        </w:tc>
        <w:tc>
          <w:tcPr>
            <w:tcW w:w="3080" w:type="dxa"/>
            <w:vAlign w:val="bottom"/>
          </w:tcPr>
          <w:p>
            <w:pPr>
              <w:ind w:left="480"/>
              <w:spacing w:after="0"/>
              <w:rPr>
                <w:sz w:val="20"/>
                <w:szCs w:val="20"/>
                <w:color w:val="auto"/>
              </w:rPr>
            </w:pPr>
            <w:r>
              <w:rPr>
                <w:rFonts w:ascii="Arial" w:cs="Arial" w:eastAsia="Arial" w:hAnsi="Arial"/>
                <w:sz w:val="18"/>
                <w:szCs w:val="18"/>
                <w:color w:val="auto"/>
              </w:rPr>
              <w:t>RV</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176</w:t>
            </w:r>
          </w:p>
        </w:tc>
        <w:tc>
          <w:tcPr>
            <w:tcW w:w="1100" w:type="dxa"/>
            <w:vAlign w:val="bottom"/>
          </w:tcPr>
          <w:p>
            <w:pPr>
              <w:ind w:left="120"/>
              <w:spacing w:after="0"/>
              <w:rPr>
                <w:sz w:val="20"/>
                <w:szCs w:val="20"/>
                <w:color w:val="auto"/>
              </w:rPr>
            </w:pPr>
            <w:r>
              <w:rPr>
                <w:rFonts w:ascii="Arial" w:cs="Arial" w:eastAsia="Arial" w:hAnsi="Arial"/>
                <w:sz w:val="18"/>
                <w:szCs w:val="18"/>
                <w:color w:val="auto"/>
              </w:rPr>
              <w:t>MI</w:t>
            </w:r>
          </w:p>
        </w:tc>
        <w:tc>
          <w:tcPr>
            <w:tcW w:w="1720" w:type="dxa"/>
            <w:vAlign w:val="bottom"/>
          </w:tcPr>
          <w:p>
            <w:pPr>
              <w:ind w:left="260"/>
              <w:spacing w:after="0"/>
              <w:rPr>
                <w:sz w:val="20"/>
                <w:szCs w:val="20"/>
                <w:color w:val="auto"/>
              </w:rPr>
            </w:pPr>
            <w:r>
              <w:rPr>
                <w:rFonts w:ascii="Arial" w:cs="Arial" w:eastAsia="Arial" w:hAnsi="Arial"/>
                <w:sz w:val="18"/>
                <w:szCs w:val="18"/>
                <w:color w:val="auto"/>
              </w:rPr>
              <w:t>June</w:t>
            </w:r>
          </w:p>
        </w:tc>
      </w:tr>
      <w:tr>
        <w:trPr>
          <w:trHeight w:val="27"/>
        </w:trPr>
        <w:tc>
          <w:tcPr>
            <w:tcW w:w="27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27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Highway West </w:t>
            </w:r>
            <w:r>
              <w:rPr>
                <w:rFonts w:ascii="Arial" w:cs="Arial" w:eastAsia="Arial" w:hAnsi="Arial"/>
                <w:sz w:val="25"/>
                <w:szCs w:val="25"/>
                <w:color w:val="auto"/>
                <w:vertAlign w:val="superscript"/>
              </w:rPr>
              <w:t>(1)</w:t>
            </w:r>
          </w:p>
        </w:tc>
        <w:tc>
          <w:tcPr>
            <w:tcW w:w="3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RV</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UT &amp; OR</w:t>
            </w:r>
          </w:p>
        </w:tc>
        <w:tc>
          <w:tcPr>
            <w:tcW w:w="1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June</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Compass RV</w:t>
            </w:r>
          </w:p>
        </w:tc>
        <w:tc>
          <w:tcPr>
            <w:tcW w:w="3080" w:type="dxa"/>
            <w:vAlign w:val="bottom"/>
          </w:tcPr>
          <w:p>
            <w:pPr>
              <w:ind w:left="480"/>
              <w:spacing w:after="0"/>
              <w:rPr>
                <w:sz w:val="20"/>
                <w:szCs w:val="20"/>
                <w:color w:val="auto"/>
              </w:rPr>
            </w:pPr>
            <w:r>
              <w:rPr>
                <w:rFonts w:ascii="Arial" w:cs="Arial" w:eastAsia="Arial" w:hAnsi="Arial"/>
                <w:sz w:val="18"/>
                <w:szCs w:val="18"/>
                <w:color w:val="auto"/>
              </w:rPr>
              <w:t>RV</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Pr>
          <w:p>
            <w:pPr>
              <w:ind w:left="120"/>
              <w:spacing w:after="0"/>
              <w:rPr>
                <w:sz w:val="20"/>
                <w:szCs w:val="20"/>
                <w:color w:val="auto"/>
              </w:rPr>
            </w:pPr>
            <w:r>
              <w:rPr>
                <w:rFonts w:ascii="Arial" w:cs="Arial" w:eastAsia="Arial" w:hAnsi="Arial"/>
                <w:sz w:val="18"/>
                <w:szCs w:val="18"/>
                <w:color w:val="auto"/>
              </w:rPr>
              <w:t>FL</w:t>
            </w:r>
          </w:p>
        </w:tc>
        <w:tc>
          <w:tcPr>
            <w:tcW w:w="1720" w:type="dxa"/>
            <w:vAlign w:val="bottom"/>
          </w:tcPr>
          <w:p>
            <w:pPr>
              <w:ind w:left="260"/>
              <w:spacing w:after="0"/>
              <w:rPr>
                <w:sz w:val="20"/>
                <w:szCs w:val="20"/>
                <w:color w:val="auto"/>
              </w:rPr>
            </w:pPr>
            <w:r>
              <w:rPr>
                <w:rFonts w:ascii="Arial" w:cs="Arial" w:eastAsia="Arial" w:hAnsi="Arial"/>
                <w:sz w:val="18"/>
                <w:szCs w:val="18"/>
                <w:color w:val="auto"/>
              </w:rPr>
              <w:t>May</w:t>
            </w:r>
          </w:p>
        </w:tc>
      </w:tr>
      <w:tr>
        <w:trPr>
          <w:trHeight w:val="27"/>
        </w:trPr>
        <w:tc>
          <w:tcPr>
            <w:tcW w:w="274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37"/>
        </w:trPr>
        <w:tc>
          <w:tcPr>
            <w:tcW w:w="2740" w:type="dxa"/>
            <w:vAlign w:val="bottom"/>
            <w:shd w:val="clear" w:color="auto" w:fill="CCEEFF"/>
          </w:tcPr>
          <w:p>
            <w:pPr>
              <w:spacing w:after="0"/>
              <w:rPr>
                <w:sz w:val="20"/>
                <w:szCs w:val="20"/>
                <w:color w:val="auto"/>
              </w:rPr>
            </w:pPr>
          </w:p>
        </w:tc>
        <w:tc>
          <w:tcPr>
            <w:tcW w:w="3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1,166</w:t>
            </w:r>
          </w:p>
        </w:tc>
        <w:tc>
          <w:tcPr>
            <w:tcW w:w="1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7"/>
        </w:trPr>
        <w:tc>
          <w:tcPr>
            <w:tcW w:w="274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140" w:hanging="132"/>
        <w:spacing w:after="0"/>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Highway West and Sun NG RV Resorts LLC are comprised of 4 RV and 10 RV resorts, respectively.</w:t>
      </w:r>
    </w:p>
    <w:p>
      <w:pPr>
        <w:spacing w:after="0" w:line="13" w:lineRule="exact"/>
        <w:rPr>
          <w:rFonts w:ascii="Arial" w:cs="Arial" w:eastAsia="Arial" w:hAnsi="Arial"/>
          <w:sz w:val="9"/>
          <w:szCs w:val="9"/>
          <w:color w:val="auto"/>
        </w:rPr>
      </w:pPr>
    </w:p>
    <w:p>
      <w:pPr>
        <w:ind w:right="20" w:firstLine="8"/>
        <w:spacing w:after="0" w:line="255" w:lineRule="auto"/>
        <w:tabs>
          <w:tab w:leader="none" w:pos="141" w:val="left"/>
        </w:tabs>
        <w:numPr>
          <w:ilvl w:val="0"/>
          <w:numId w:val="7"/>
        </w:numPr>
        <w:rPr>
          <w:rFonts w:ascii="Arial" w:cs="Arial" w:eastAsia="Arial" w:hAnsi="Arial"/>
          <w:sz w:val="9"/>
          <w:szCs w:val="9"/>
          <w:color w:val="auto"/>
        </w:rPr>
      </w:pPr>
      <w:r>
        <w:rPr>
          <w:rFonts w:ascii="Arial" w:cs="Arial" w:eastAsia="Arial" w:hAnsi="Arial"/>
          <w:sz w:val="14"/>
          <w:szCs w:val="14"/>
          <w:color w:val="auto"/>
        </w:rPr>
        <w:t>Refer to Note 8, “Consolidated Variable Interest Entities,” Note 9, “Debt and Lines of Credit,” and Note 10, “Equity and Temporary Equity” in our accompanying Consolidated Financial Statements for additional information.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in 2018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At Acquisition Date</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4"/>
              </w:rPr>
              <w:t>Leaf Verde</w:t>
            </w: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6"/>
              </w:rPr>
              <w:t>Archview</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Petoskey</w:t>
            </w:r>
          </w:p>
        </w:tc>
        <w:tc>
          <w:tcPr>
            <w:tcW w:w="200" w:type="dxa"/>
            <w:vAlign w:val="bottom"/>
          </w:tcPr>
          <w:p>
            <w:pPr>
              <w:spacing w:after="0"/>
              <w:rPr>
                <w:sz w:val="14"/>
                <w:szCs w:val="14"/>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Sands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Sun NG</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Silver Creek</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Highway</w:t>
            </w:r>
          </w:p>
        </w:tc>
        <w:tc>
          <w:tcPr>
            <w:tcW w:w="120" w:type="dxa"/>
            <w:vAlign w:val="bottom"/>
          </w:tcPr>
          <w:p>
            <w:pPr>
              <w:spacing w:after="0"/>
              <w:rPr>
                <w:sz w:val="14"/>
                <w:szCs w:val="14"/>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w w:val="86"/>
              </w:rPr>
              <w:t>Compass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2F0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D2F0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2F0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KOA</w:t>
            </w:r>
          </w:p>
        </w:tc>
        <w:tc>
          <w:tcPr>
            <w:tcW w:w="100" w:type="dxa"/>
            <w:vAlign w:val="bottom"/>
            <w:tcBorders>
              <w:bottom w:val="single" w:sz="8" w:color="D2F0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2F0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Resorts</w:t>
            </w:r>
          </w:p>
        </w:tc>
        <w:tc>
          <w:tcPr>
            <w:tcW w:w="120" w:type="dxa"/>
            <w:vAlign w:val="bottom"/>
            <w:tcBorders>
              <w:bottom w:val="single" w:sz="8" w:color="D2F0FF"/>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D2F0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West</w:t>
            </w:r>
          </w:p>
        </w:tc>
        <w:tc>
          <w:tcPr>
            <w:tcW w:w="100" w:type="dxa"/>
            <w:vAlign w:val="bottom"/>
            <w:tcBorders>
              <w:bottom w:val="single" w:sz="8" w:color="D2F0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2F0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Investment in property</w:t>
            </w:r>
          </w:p>
        </w:tc>
        <w:tc>
          <w:tcPr>
            <w:tcW w:w="12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D2F0FF"/>
            </w:tcBorders>
            <w:shd w:val="clear" w:color="auto" w:fill="D2F0FF"/>
          </w:tcPr>
          <w:p>
            <w:pPr>
              <w:jc w:val="right"/>
              <w:ind w:right="32"/>
              <w:spacing w:after="0"/>
              <w:rPr>
                <w:sz w:val="20"/>
                <w:szCs w:val="20"/>
                <w:color w:val="auto"/>
              </w:rPr>
            </w:pPr>
            <w:r>
              <w:rPr>
                <w:rFonts w:ascii="Arial" w:cs="Arial" w:eastAsia="Arial" w:hAnsi="Arial"/>
                <w:sz w:val="18"/>
                <w:szCs w:val="18"/>
                <w:color w:val="auto"/>
              </w:rPr>
              <w:t>11,587</w:t>
            </w:r>
          </w:p>
        </w:tc>
        <w:tc>
          <w:tcPr>
            <w:tcW w:w="140" w:type="dxa"/>
            <w:vAlign w:val="bottom"/>
            <w:tcBorders>
              <w:bottom w:val="single" w:sz="8" w:color="D2F0FF"/>
            </w:tcBorders>
            <w:shd w:val="clear" w:color="auto" w:fill="D2F0FF"/>
          </w:tcPr>
          <w:p>
            <w:pPr>
              <w:spacing w:after="0"/>
              <w:rPr>
                <w:sz w:val="21"/>
                <w:szCs w:val="21"/>
                <w:color w:val="auto"/>
              </w:rPr>
            </w:pPr>
          </w:p>
        </w:tc>
        <w:tc>
          <w:tcPr>
            <w:tcW w:w="14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D2F0FF"/>
            </w:tcBorders>
            <w:shd w:val="clear" w:color="auto" w:fill="D2F0FF"/>
          </w:tcPr>
          <w:p>
            <w:pPr>
              <w:jc w:val="right"/>
              <w:ind w:right="32"/>
              <w:spacing w:after="0"/>
              <w:rPr>
                <w:sz w:val="20"/>
                <w:szCs w:val="20"/>
                <w:color w:val="auto"/>
              </w:rPr>
            </w:pPr>
            <w:r>
              <w:rPr>
                <w:rFonts w:ascii="Arial" w:cs="Arial" w:eastAsia="Arial" w:hAnsi="Arial"/>
                <w:sz w:val="18"/>
                <w:szCs w:val="18"/>
                <w:color w:val="auto"/>
              </w:rPr>
              <w:t>14,550</w:t>
            </w:r>
          </w:p>
        </w:tc>
        <w:tc>
          <w:tcPr>
            <w:tcW w:w="100" w:type="dxa"/>
            <w:vAlign w:val="bottom"/>
            <w:tcBorders>
              <w:bottom w:val="single" w:sz="8" w:color="D2F0FF"/>
            </w:tcBorders>
            <w:shd w:val="clear" w:color="auto" w:fill="D2F0FF"/>
          </w:tcPr>
          <w:p>
            <w:pPr>
              <w:spacing w:after="0"/>
              <w:rPr>
                <w:sz w:val="21"/>
                <w:szCs w:val="21"/>
                <w:color w:val="auto"/>
              </w:rPr>
            </w:pPr>
          </w:p>
        </w:tc>
        <w:tc>
          <w:tcPr>
            <w:tcW w:w="12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D2F0FF"/>
            </w:tcBorders>
            <w:shd w:val="clear" w:color="auto" w:fill="D2F0FF"/>
          </w:tcPr>
          <w:p>
            <w:pPr>
              <w:jc w:val="right"/>
              <w:ind w:right="13"/>
              <w:spacing w:after="0"/>
              <w:rPr>
                <w:sz w:val="20"/>
                <w:szCs w:val="20"/>
                <w:color w:val="auto"/>
              </w:rPr>
            </w:pPr>
            <w:r>
              <w:rPr>
                <w:rFonts w:ascii="Arial" w:cs="Arial" w:eastAsia="Arial" w:hAnsi="Arial"/>
                <w:sz w:val="18"/>
                <w:szCs w:val="18"/>
                <w:color w:val="auto"/>
              </w:rPr>
              <w:t>8,730</w:t>
            </w:r>
          </w:p>
        </w:tc>
        <w:tc>
          <w:tcPr>
            <w:tcW w:w="100" w:type="dxa"/>
            <w:vAlign w:val="bottom"/>
            <w:tcBorders>
              <w:bottom w:val="single" w:sz="8" w:color="D2F0FF"/>
            </w:tcBorders>
            <w:shd w:val="clear" w:color="auto" w:fill="D2F0FF"/>
          </w:tcPr>
          <w:p>
            <w:pPr>
              <w:spacing w:after="0"/>
              <w:rPr>
                <w:sz w:val="21"/>
                <w:szCs w:val="21"/>
                <w:color w:val="auto"/>
              </w:rPr>
            </w:pPr>
          </w:p>
        </w:tc>
        <w:tc>
          <w:tcPr>
            <w:tcW w:w="20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D2F0FF"/>
            </w:tcBorders>
            <w:shd w:val="clear" w:color="auto" w:fill="D2F0FF"/>
          </w:tcPr>
          <w:p>
            <w:pPr>
              <w:jc w:val="right"/>
              <w:ind w:right="32"/>
              <w:spacing w:after="0"/>
              <w:rPr>
                <w:sz w:val="20"/>
                <w:szCs w:val="20"/>
                <w:color w:val="auto"/>
              </w:rPr>
            </w:pPr>
            <w:r>
              <w:rPr>
                <w:rFonts w:ascii="Arial" w:cs="Arial" w:eastAsia="Arial" w:hAnsi="Arial"/>
                <w:sz w:val="18"/>
                <w:szCs w:val="18"/>
                <w:color w:val="auto"/>
              </w:rPr>
              <w:t>13,790</w:t>
            </w:r>
          </w:p>
        </w:tc>
        <w:tc>
          <w:tcPr>
            <w:tcW w:w="100" w:type="dxa"/>
            <w:vAlign w:val="bottom"/>
            <w:tcBorders>
              <w:bottom w:val="single" w:sz="8" w:color="D2F0FF"/>
            </w:tcBorders>
            <w:shd w:val="clear" w:color="auto" w:fill="D2F0FF"/>
          </w:tcPr>
          <w:p>
            <w:pPr>
              <w:spacing w:after="0"/>
              <w:rPr>
                <w:sz w:val="21"/>
                <w:szCs w:val="21"/>
                <w:color w:val="auto"/>
              </w:rPr>
            </w:pPr>
          </w:p>
        </w:tc>
        <w:tc>
          <w:tcPr>
            <w:tcW w:w="16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D2F0FF"/>
            </w:tcBorders>
            <w:shd w:val="clear" w:color="auto" w:fill="D2F0FF"/>
          </w:tcPr>
          <w:p>
            <w:pPr>
              <w:jc w:val="right"/>
              <w:ind w:right="13"/>
              <w:spacing w:after="0"/>
              <w:rPr>
                <w:sz w:val="20"/>
                <w:szCs w:val="20"/>
                <w:color w:val="auto"/>
              </w:rPr>
            </w:pPr>
            <w:r>
              <w:rPr>
                <w:rFonts w:ascii="Arial" w:cs="Arial" w:eastAsia="Arial" w:hAnsi="Arial"/>
                <w:sz w:val="18"/>
                <w:szCs w:val="18"/>
                <w:color w:val="auto"/>
                <w:w w:val="95"/>
              </w:rPr>
              <w:t>240,649</w:t>
            </w:r>
          </w:p>
        </w:tc>
        <w:tc>
          <w:tcPr>
            <w:tcW w:w="120" w:type="dxa"/>
            <w:vAlign w:val="bottom"/>
            <w:tcBorders>
              <w:bottom w:val="single" w:sz="8" w:color="D2F0FF"/>
            </w:tcBorders>
            <w:shd w:val="clear" w:color="auto" w:fill="D2F0FF"/>
          </w:tcPr>
          <w:p>
            <w:pPr>
              <w:spacing w:after="0"/>
              <w:rPr>
                <w:sz w:val="21"/>
                <w:szCs w:val="21"/>
                <w:color w:val="auto"/>
              </w:rPr>
            </w:pPr>
          </w:p>
        </w:tc>
        <w:tc>
          <w:tcPr>
            <w:tcW w:w="240" w:type="dxa"/>
            <w:vAlign w:val="bottom"/>
            <w:tcBorders>
              <w:bottom w:val="single" w:sz="8" w:color="D2F0FF"/>
            </w:tcBorders>
            <w:shd w:val="clear" w:color="auto" w:fill="D2F0FF"/>
          </w:tcPr>
          <w:p>
            <w:pPr>
              <w:jc w:val="right"/>
              <w:ind w:right="3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D2F0FF"/>
            </w:tcBorders>
            <w:shd w:val="clear" w:color="auto" w:fill="D2F0FF"/>
          </w:tcPr>
          <w:p>
            <w:pPr>
              <w:jc w:val="right"/>
              <w:ind w:right="11"/>
              <w:spacing w:after="0"/>
              <w:rPr>
                <w:sz w:val="20"/>
                <w:szCs w:val="20"/>
                <w:color w:val="auto"/>
              </w:rPr>
            </w:pPr>
            <w:r>
              <w:rPr>
                <w:rFonts w:ascii="Arial" w:cs="Arial" w:eastAsia="Arial" w:hAnsi="Arial"/>
                <w:sz w:val="18"/>
                <w:szCs w:val="18"/>
                <w:color w:val="auto"/>
              </w:rPr>
              <w:t>7,250</w:t>
            </w:r>
          </w:p>
        </w:tc>
        <w:tc>
          <w:tcPr>
            <w:tcW w:w="100" w:type="dxa"/>
            <w:vAlign w:val="bottom"/>
            <w:tcBorders>
              <w:bottom w:val="single" w:sz="8" w:color="D2F0FF"/>
            </w:tcBorders>
            <w:shd w:val="clear" w:color="auto" w:fill="D2F0FF"/>
          </w:tcPr>
          <w:p>
            <w:pPr>
              <w:spacing w:after="0"/>
              <w:rPr>
                <w:sz w:val="21"/>
                <w:szCs w:val="21"/>
                <w:color w:val="auto"/>
              </w:rPr>
            </w:pPr>
          </w:p>
        </w:tc>
        <w:tc>
          <w:tcPr>
            <w:tcW w:w="16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D2F0FF"/>
            </w:tcBorders>
            <w:shd w:val="clear" w:color="auto" w:fill="D2F0FF"/>
          </w:tcPr>
          <w:p>
            <w:pPr>
              <w:jc w:val="right"/>
              <w:ind w:right="34"/>
              <w:spacing w:after="0"/>
              <w:rPr>
                <w:sz w:val="20"/>
                <w:szCs w:val="20"/>
                <w:color w:val="auto"/>
              </w:rPr>
            </w:pPr>
            <w:r>
              <w:rPr>
                <w:rFonts w:ascii="Arial" w:cs="Arial" w:eastAsia="Arial" w:hAnsi="Arial"/>
                <w:sz w:val="18"/>
                <w:szCs w:val="18"/>
                <w:color w:val="auto"/>
              </w:rPr>
              <w:t>36,500</w:t>
            </w:r>
          </w:p>
        </w:tc>
        <w:tc>
          <w:tcPr>
            <w:tcW w:w="100" w:type="dxa"/>
            <w:vAlign w:val="bottom"/>
            <w:tcBorders>
              <w:bottom w:val="single" w:sz="8" w:color="D2F0FF"/>
            </w:tcBorders>
            <w:shd w:val="clear" w:color="auto" w:fill="D2F0FF"/>
          </w:tcPr>
          <w:p>
            <w:pPr>
              <w:spacing w:after="0"/>
              <w:rPr>
                <w:sz w:val="21"/>
                <w:szCs w:val="21"/>
                <w:color w:val="auto"/>
              </w:rPr>
            </w:pPr>
          </w:p>
        </w:tc>
        <w:tc>
          <w:tcPr>
            <w:tcW w:w="12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D2F0FF"/>
            </w:tcBorders>
            <w:shd w:val="clear" w:color="auto" w:fill="D2F0FF"/>
          </w:tcPr>
          <w:p>
            <w:pPr>
              <w:jc w:val="right"/>
              <w:ind w:right="12"/>
              <w:spacing w:after="0"/>
              <w:rPr>
                <w:sz w:val="20"/>
                <w:szCs w:val="20"/>
                <w:color w:val="auto"/>
              </w:rPr>
            </w:pPr>
            <w:r>
              <w:rPr>
                <w:rFonts w:ascii="Arial" w:cs="Arial" w:eastAsia="Arial" w:hAnsi="Arial"/>
                <w:sz w:val="18"/>
                <w:szCs w:val="18"/>
                <w:color w:val="auto"/>
              </w:rPr>
              <w:t>13,930</w:t>
            </w:r>
          </w:p>
        </w:tc>
        <w:tc>
          <w:tcPr>
            <w:tcW w:w="120" w:type="dxa"/>
            <w:vAlign w:val="bottom"/>
            <w:tcBorders>
              <w:bottom w:val="single" w:sz="8" w:color="D2F0FF"/>
            </w:tcBorders>
            <w:shd w:val="clear" w:color="auto" w:fill="D2F0FF"/>
          </w:tcPr>
          <w:p>
            <w:pPr>
              <w:spacing w:after="0"/>
              <w:rPr>
                <w:sz w:val="21"/>
                <w:szCs w:val="21"/>
                <w:color w:val="auto"/>
              </w:rPr>
            </w:pPr>
          </w:p>
        </w:tc>
        <w:tc>
          <w:tcPr>
            <w:tcW w:w="220" w:type="dxa"/>
            <w:vAlign w:val="bottom"/>
            <w:tcBorders>
              <w:bottom w:val="single" w:sz="8" w:color="D2F0FF"/>
            </w:tcBorders>
            <w:shd w:val="clear" w:color="auto" w:fill="D2F0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D2F0FF"/>
            </w:tcBorders>
            <w:shd w:val="clear" w:color="auto" w:fill="D2F0FF"/>
          </w:tcPr>
          <w:p>
            <w:pPr>
              <w:jc w:val="right"/>
              <w:ind w:right="11"/>
              <w:spacing w:after="0"/>
              <w:rPr>
                <w:sz w:val="20"/>
                <w:szCs w:val="20"/>
                <w:color w:val="auto"/>
              </w:rPr>
            </w:pPr>
            <w:r>
              <w:rPr>
                <w:rFonts w:ascii="Arial" w:cs="Arial" w:eastAsia="Arial" w:hAnsi="Arial"/>
                <w:sz w:val="18"/>
                <w:szCs w:val="18"/>
                <w:color w:val="auto"/>
              </w:rPr>
              <w:t>346,986</w:t>
            </w:r>
          </w:p>
        </w:tc>
        <w:tc>
          <w:tcPr>
            <w:tcW w:w="0" w:type="dxa"/>
            <w:vAlign w:val="bottom"/>
          </w:tcPr>
          <w:p>
            <w:pPr>
              <w:spacing w:after="0"/>
              <w:rPr>
                <w:sz w:val="1"/>
                <w:szCs w:val="1"/>
                <w:color w:val="auto"/>
              </w:rPr>
            </w:pP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In-place leases and other</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16,339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17,199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assumed</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Other liabilities, net</w:t>
            </w:r>
          </w:p>
        </w:tc>
        <w:tc>
          <w:tcPr>
            <w:tcW w:w="1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(11,990)</w:t>
            </w:r>
          </w:p>
        </w:tc>
        <w:tc>
          <w:tcPr>
            <w:tcW w:w="0" w:type="dxa"/>
            <w:vAlign w:val="bottom"/>
          </w:tcPr>
          <w:p>
            <w:pPr>
              <w:spacing w:after="0"/>
              <w:rPr>
                <w:sz w:val="1"/>
                <w:szCs w:val="1"/>
                <w:color w:val="auto"/>
              </w:rPr>
            </w:pPr>
          </w:p>
        </w:tc>
      </w:tr>
      <w:tr>
        <w:trPr>
          <w:trHeight w:val="27"/>
        </w:trPr>
        <w:tc>
          <w:tcPr>
            <w:tcW w:w="2180" w:type="dxa"/>
            <w:vAlign w:val="bottom"/>
            <w:tcBorders>
              <w:bottom w:val="single" w:sz="8" w:color="D2F0FF"/>
            </w:tcBorders>
          </w:tcPr>
          <w:p>
            <w:pPr>
              <w:spacing w:after="0"/>
              <w:rPr>
                <w:sz w:val="2"/>
                <w:szCs w:val="2"/>
                <w:color w:val="auto"/>
              </w:rPr>
            </w:pPr>
          </w:p>
        </w:tc>
        <w:tc>
          <w:tcPr>
            <w:tcW w:w="120" w:type="dxa"/>
            <w:vAlign w:val="bottom"/>
            <w:tcBorders>
              <w:bottom w:val="single" w:sz="8" w:color="D2F0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D2F0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D2F0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D2F0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00" w:type="dxa"/>
            <w:vAlign w:val="bottom"/>
            <w:gridSpan w:val="2"/>
            <w:shd w:val="clear" w:color="auto" w:fill="D2F0FF"/>
          </w:tcPr>
          <w:p>
            <w:pPr>
              <w:ind w:left="280"/>
              <w:spacing w:after="0"/>
              <w:rPr>
                <w:sz w:val="20"/>
                <w:szCs w:val="20"/>
                <w:color w:val="auto"/>
              </w:rPr>
            </w:pPr>
            <w:r>
              <w:rPr>
                <w:rFonts w:ascii="Arial" w:cs="Arial" w:eastAsia="Arial" w:hAnsi="Arial"/>
                <w:sz w:val="18"/>
                <w:szCs w:val="18"/>
                <w:color w:val="auto"/>
              </w:rPr>
              <w:t>Total identifiable assets</w:t>
            </w:r>
          </w:p>
        </w:tc>
        <w:tc>
          <w:tcPr>
            <w:tcW w:w="120" w:type="dxa"/>
            <w:vAlign w:val="bottom"/>
            <w:shd w:val="clear" w:color="auto" w:fill="D2F0FF"/>
          </w:tcPr>
          <w:p>
            <w:pPr>
              <w:spacing w:after="0"/>
              <w:rPr>
                <w:sz w:val="18"/>
                <w:szCs w:val="18"/>
                <w:color w:val="auto"/>
              </w:rPr>
            </w:pPr>
          </w:p>
        </w:tc>
        <w:tc>
          <w:tcPr>
            <w:tcW w:w="820" w:type="dxa"/>
            <w:vAlign w:val="bottom"/>
            <w:shd w:val="clear" w:color="auto" w:fill="D2F0FF"/>
          </w:tcPr>
          <w:p>
            <w:pPr>
              <w:spacing w:after="0"/>
              <w:rPr>
                <w:sz w:val="18"/>
                <w:szCs w:val="18"/>
                <w:color w:val="auto"/>
              </w:rPr>
            </w:pPr>
          </w:p>
        </w:tc>
        <w:tc>
          <w:tcPr>
            <w:tcW w:w="140" w:type="dxa"/>
            <w:vAlign w:val="bottom"/>
            <w:shd w:val="clear" w:color="auto" w:fill="D2F0FF"/>
          </w:tcPr>
          <w:p>
            <w:pPr>
              <w:spacing w:after="0"/>
              <w:rPr>
                <w:sz w:val="18"/>
                <w:szCs w:val="18"/>
                <w:color w:val="auto"/>
              </w:rPr>
            </w:pPr>
          </w:p>
        </w:tc>
        <w:tc>
          <w:tcPr>
            <w:tcW w:w="140" w:type="dxa"/>
            <w:vAlign w:val="bottom"/>
            <w:shd w:val="clear" w:color="auto" w:fill="D2F0FF"/>
          </w:tcPr>
          <w:p>
            <w:pPr>
              <w:spacing w:after="0"/>
              <w:rPr>
                <w:sz w:val="18"/>
                <w:szCs w:val="18"/>
                <w:color w:val="auto"/>
              </w:rPr>
            </w:pPr>
          </w:p>
        </w:tc>
        <w:tc>
          <w:tcPr>
            <w:tcW w:w="800" w:type="dxa"/>
            <w:vAlign w:val="bottom"/>
            <w:shd w:val="clear" w:color="auto" w:fill="D2F0FF"/>
          </w:tcPr>
          <w:p>
            <w:pPr>
              <w:spacing w:after="0"/>
              <w:rPr>
                <w:sz w:val="18"/>
                <w:szCs w:val="18"/>
                <w:color w:val="auto"/>
              </w:rPr>
            </w:pPr>
          </w:p>
        </w:tc>
        <w:tc>
          <w:tcPr>
            <w:tcW w:w="100" w:type="dxa"/>
            <w:vAlign w:val="bottom"/>
            <w:shd w:val="clear" w:color="auto" w:fill="D2F0FF"/>
          </w:tcPr>
          <w:p>
            <w:pPr>
              <w:spacing w:after="0"/>
              <w:rPr>
                <w:sz w:val="18"/>
                <w:szCs w:val="18"/>
                <w:color w:val="auto"/>
              </w:rPr>
            </w:pPr>
          </w:p>
        </w:tc>
        <w:tc>
          <w:tcPr>
            <w:tcW w:w="120" w:type="dxa"/>
            <w:vAlign w:val="bottom"/>
            <w:shd w:val="clear" w:color="auto" w:fill="D2F0FF"/>
          </w:tcPr>
          <w:p>
            <w:pPr>
              <w:spacing w:after="0"/>
              <w:rPr>
                <w:sz w:val="18"/>
                <w:szCs w:val="18"/>
                <w:color w:val="auto"/>
              </w:rPr>
            </w:pPr>
          </w:p>
        </w:tc>
        <w:tc>
          <w:tcPr>
            <w:tcW w:w="680" w:type="dxa"/>
            <w:vAlign w:val="bottom"/>
            <w:shd w:val="clear" w:color="auto" w:fill="D2F0FF"/>
          </w:tcPr>
          <w:p>
            <w:pPr>
              <w:spacing w:after="0"/>
              <w:rPr>
                <w:sz w:val="18"/>
                <w:szCs w:val="18"/>
                <w:color w:val="auto"/>
              </w:rPr>
            </w:pPr>
          </w:p>
        </w:tc>
        <w:tc>
          <w:tcPr>
            <w:tcW w:w="100" w:type="dxa"/>
            <w:vAlign w:val="bottom"/>
            <w:shd w:val="clear" w:color="auto" w:fill="D2F0FF"/>
          </w:tcPr>
          <w:p>
            <w:pPr>
              <w:spacing w:after="0"/>
              <w:rPr>
                <w:sz w:val="18"/>
                <w:szCs w:val="18"/>
                <w:color w:val="auto"/>
              </w:rPr>
            </w:pPr>
          </w:p>
        </w:tc>
        <w:tc>
          <w:tcPr>
            <w:tcW w:w="200" w:type="dxa"/>
            <w:vAlign w:val="bottom"/>
            <w:shd w:val="clear" w:color="auto" w:fill="D2F0FF"/>
          </w:tcPr>
          <w:p>
            <w:pPr>
              <w:spacing w:after="0"/>
              <w:rPr>
                <w:sz w:val="18"/>
                <w:szCs w:val="18"/>
                <w:color w:val="auto"/>
              </w:rPr>
            </w:pPr>
          </w:p>
        </w:tc>
        <w:tc>
          <w:tcPr>
            <w:tcW w:w="720" w:type="dxa"/>
            <w:vAlign w:val="bottom"/>
            <w:shd w:val="clear" w:color="auto" w:fill="D2F0FF"/>
          </w:tcPr>
          <w:p>
            <w:pPr>
              <w:spacing w:after="0"/>
              <w:rPr>
                <w:sz w:val="18"/>
                <w:szCs w:val="18"/>
                <w:color w:val="auto"/>
              </w:rPr>
            </w:pPr>
          </w:p>
        </w:tc>
        <w:tc>
          <w:tcPr>
            <w:tcW w:w="100" w:type="dxa"/>
            <w:vAlign w:val="bottom"/>
            <w:shd w:val="clear" w:color="auto" w:fill="D2F0FF"/>
          </w:tcPr>
          <w:p>
            <w:pPr>
              <w:spacing w:after="0"/>
              <w:rPr>
                <w:sz w:val="18"/>
                <w:szCs w:val="18"/>
                <w:color w:val="auto"/>
              </w:rPr>
            </w:pPr>
          </w:p>
        </w:tc>
        <w:tc>
          <w:tcPr>
            <w:tcW w:w="160" w:type="dxa"/>
            <w:vAlign w:val="bottom"/>
            <w:shd w:val="clear" w:color="auto" w:fill="D2F0FF"/>
          </w:tcPr>
          <w:p>
            <w:pPr>
              <w:spacing w:after="0"/>
              <w:rPr>
                <w:sz w:val="18"/>
                <w:szCs w:val="18"/>
                <w:color w:val="auto"/>
              </w:rPr>
            </w:pPr>
          </w:p>
        </w:tc>
        <w:tc>
          <w:tcPr>
            <w:tcW w:w="740" w:type="dxa"/>
            <w:vAlign w:val="bottom"/>
            <w:shd w:val="clear" w:color="auto" w:fill="D2F0FF"/>
          </w:tcPr>
          <w:p>
            <w:pPr>
              <w:spacing w:after="0"/>
              <w:rPr>
                <w:sz w:val="18"/>
                <w:szCs w:val="18"/>
                <w:color w:val="auto"/>
              </w:rPr>
            </w:pPr>
          </w:p>
        </w:tc>
        <w:tc>
          <w:tcPr>
            <w:tcW w:w="120" w:type="dxa"/>
            <w:vAlign w:val="bottom"/>
            <w:shd w:val="clear" w:color="auto" w:fill="D2F0FF"/>
          </w:tcPr>
          <w:p>
            <w:pPr>
              <w:spacing w:after="0"/>
              <w:rPr>
                <w:sz w:val="18"/>
                <w:szCs w:val="18"/>
                <w:color w:val="auto"/>
              </w:rPr>
            </w:pPr>
          </w:p>
        </w:tc>
        <w:tc>
          <w:tcPr>
            <w:tcW w:w="240" w:type="dxa"/>
            <w:vAlign w:val="bottom"/>
            <w:shd w:val="clear" w:color="auto" w:fill="D2F0FF"/>
          </w:tcPr>
          <w:p>
            <w:pPr>
              <w:spacing w:after="0"/>
              <w:rPr>
                <w:sz w:val="18"/>
                <w:szCs w:val="18"/>
                <w:color w:val="auto"/>
              </w:rPr>
            </w:pPr>
          </w:p>
        </w:tc>
        <w:tc>
          <w:tcPr>
            <w:tcW w:w="660" w:type="dxa"/>
            <w:vAlign w:val="bottom"/>
            <w:shd w:val="clear" w:color="auto" w:fill="D2F0FF"/>
          </w:tcPr>
          <w:p>
            <w:pPr>
              <w:spacing w:after="0"/>
              <w:rPr>
                <w:sz w:val="18"/>
                <w:szCs w:val="18"/>
                <w:color w:val="auto"/>
              </w:rPr>
            </w:pPr>
          </w:p>
        </w:tc>
        <w:tc>
          <w:tcPr>
            <w:tcW w:w="100" w:type="dxa"/>
            <w:vAlign w:val="bottom"/>
            <w:shd w:val="clear" w:color="auto" w:fill="D2F0FF"/>
          </w:tcPr>
          <w:p>
            <w:pPr>
              <w:spacing w:after="0"/>
              <w:rPr>
                <w:sz w:val="18"/>
                <w:szCs w:val="18"/>
                <w:color w:val="auto"/>
              </w:rPr>
            </w:pPr>
          </w:p>
        </w:tc>
        <w:tc>
          <w:tcPr>
            <w:tcW w:w="160" w:type="dxa"/>
            <w:vAlign w:val="bottom"/>
            <w:shd w:val="clear" w:color="auto" w:fill="D2F0FF"/>
          </w:tcPr>
          <w:p>
            <w:pPr>
              <w:spacing w:after="0"/>
              <w:rPr>
                <w:sz w:val="18"/>
                <w:szCs w:val="18"/>
                <w:color w:val="auto"/>
              </w:rPr>
            </w:pPr>
          </w:p>
        </w:tc>
        <w:tc>
          <w:tcPr>
            <w:tcW w:w="760" w:type="dxa"/>
            <w:vAlign w:val="bottom"/>
            <w:shd w:val="clear" w:color="auto" w:fill="D2F0FF"/>
          </w:tcPr>
          <w:p>
            <w:pPr>
              <w:spacing w:after="0"/>
              <w:rPr>
                <w:sz w:val="18"/>
                <w:szCs w:val="18"/>
                <w:color w:val="auto"/>
              </w:rPr>
            </w:pPr>
          </w:p>
        </w:tc>
        <w:tc>
          <w:tcPr>
            <w:tcW w:w="100" w:type="dxa"/>
            <w:vAlign w:val="bottom"/>
            <w:shd w:val="clear" w:color="auto" w:fill="D2F0FF"/>
          </w:tcPr>
          <w:p>
            <w:pPr>
              <w:spacing w:after="0"/>
              <w:rPr>
                <w:sz w:val="18"/>
                <w:szCs w:val="18"/>
                <w:color w:val="auto"/>
              </w:rPr>
            </w:pPr>
          </w:p>
        </w:tc>
        <w:tc>
          <w:tcPr>
            <w:tcW w:w="120" w:type="dxa"/>
            <w:vAlign w:val="bottom"/>
            <w:shd w:val="clear" w:color="auto" w:fill="D2F0FF"/>
          </w:tcPr>
          <w:p>
            <w:pPr>
              <w:spacing w:after="0"/>
              <w:rPr>
                <w:sz w:val="18"/>
                <w:szCs w:val="18"/>
                <w:color w:val="auto"/>
              </w:rPr>
            </w:pPr>
          </w:p>
        </w:tc>
        <w:tc>
          <w:tcPr>
            <w:tcW w:w="780" w:type="dxa"/>
            <w:vAlign w:val="bottom"/>
            <w:shd w:val="clear" w:color="auto" w:fill="D2F0FF"/>
          </w:tcPr>
          <w:p>
            <w:pPr>
              <w:spacing w:after="0"/>
              <w:rPr>
                <w:sz w:val="18"/>
                <w:szCs w:val="18"/>
                <w:color w:val="auto"/>
              </w:rPr>
            </w:pPr>
          </w:p>
        </w:tc>
        <w:tc>
          <w:tcPr>
            <w:tcW w:w="120" w:type="dxa"/>
            <w:vAlign w:val="bottom"/>
            <w:shd w:val="clear" w:color="auto" w:fill="D2F0FF"/>
          </w:tcPr>
          <w:p>
            <w:pPr>
              <w:spacing w:after="0"/>
              <w:rPr>
                <w:sz w:val="18"/>
                <w:szCs w:val="18"/>
                <w:color w:val="auto"/>
              </w:rPr>
            </w:pPr>
          </w:p>
        </w:tc>
        <w:tc>
          <w:tcPr>
            <w:tcW w:w="220" w:type="dxa"/>
            <w:vAlign w:val="bottom"/>
            <w:shd w:val="clear" w:color="auto" w:fill="D2F0FF"/>
          </w:tcPr>
          <w:p>
            <w:pPr>
              <w:spacing w:after="0"/>
              <w:rPr>
                <w:sz w:val="18"/>
                <w:szCs w:val="18"/>
                <w:color w:val="auto"/>
              </w:rPr>
            </w:pPr>
          </w:p>
        </w:tc>
        <w:tc>
          <w:tcPr>
            <w:tcW w:w="800" w:type="dxa"/>
            <w:vAlign w:val="bottom"/>
            <w:shd w:val="clear" w:color="auto" w:fill="D2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D2F0FF"/>
          </w:tcPr>
          <w:p>
            <w:pPr>
              <w:ind w:left="280"/>
              <w:spacing w:after="0"/>
              <w:rPr>
                <w:sz w:val="20"/>
                <w:szCs w:val="20"/>
                <w:color w:val="auto"/>
              </w:rPr>
            </w:pPr>
            <w:r>
              <w:rPr>
                <w:rFonts w:ascii="Arial" w:cs="Arial" w:eastAsia="Arial" w:hAnsi="Arial"/>
                <w:sz w:val="18"/>
                <w:szCs w:val="18"/>
                <w:color w:val="auto"/>
              </w:rPr>
              <w:t>acquired net of liabilities</w:t>
            </w:r>
          </w:p>
        </w:tc>
        <w:tc>
          <w:tcPr>
            <w:tcW w:w="120" w:type="dxa"/>
            <w:vAlign w:val="bottom"/>
            <w:vMerge w:val="restart"/>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D2F0FF"/>
          </w:tcPr>
          <w:p>
            <w:pPr>
              <w:jc w:val="right"/>
              <w:ind w:right="32"/>
              <w:spacing w:after="0"/>
              <w:rPr>
                <w:sz w:val="20"/>
                <w:szCs w:val="20"/>
                <w:color w:val="auto"/>
              </w:rPr>
            </w:pPr>
            <w:r>
              <w:rPr>
                <w:rFonts w:ascii="Arial" w:cs="Arial" w:eastAsia="Arial" w:hAnsi="Arial"/>
                <w:sz w:val="18"/>
                <w:szCs w:val="18"/>
                <w:color w:val="auto"/>
              </w:rPr>
              <w:t>11,647</w:t>
            </w:r>
          </w:p>
        </w:tc>
        <w:tc>
          <w:tcPr>
            <w:tcW w:w="140" w:type="dxa"/>
            <w:vAlign w:val="bottom"/>
            <w:shd w:val="clear" w:color="auto" w:fill="D2F0FF"/>
          </w:tcPr>
          <w:p>
            <w:pPr>
              <w:spacing w:after="0"/>
              <w:rPr>
                <w:sz w:val="18"/>
                <w:szCs w:val="18"/>
                <w:color w:val="auto"/>
              </w:rPr>
            </w:pPr>
          </w:p>
        </w:tc>
        <w:tc>
          <w:tcPr>
            <w:tcW w:w="140" w:type="dxa"/>
            <w:vAlign w:val="bottom"/>
            <w:vMerge w:val="restart"/>
            <w:shd w:val="clear" w:color="auto" w:fill="D2F0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D2F0FF"/>
          </w:tcPr>
          <w:p>
            <w:pPr>
              <w:jc w:val="right"/>
              <w:ind w:right="32"/>
              <w:spacing w:after="0"/>
              <w:rPr>
                <w:sz w:val="20"/>
                <w:szCs w:val="20"/>
                <w:color w:val="auto"/>
              </w:rPr>
            </w:pPr>
            <w:r>
              <w:rPr>
                <w:rFonts w:ascii="Arial" w:cs="Arial" w:eastAsia="Arial" w:hAnsi="Arial"/>
                <w:sz w:val="18"/>
                <w:szCs w:val="18"/>
                <w:color w:val="auto"/>
              </w:rPr>
              <w:t>14,550</w:t>
            </w:r>
          </w:p>
        </w:tc>
        <w:tc>
          <w:tcPr>
            <w:tcW w:w="100" w:type="dxa"/>
            <w:vAlign w:val="bottom"/>
            <w:shd w:val="clear" w:color="auto" w:fill="D2F0FF"/>
          </w:tcPr>
          <w:p>
            <w:pPr>
              <w:spacing w:after="0"/>
              <w:rPr>
                <w:sz w:val="18"/>
                <w:szCs w:val="18"/>
                <w:color w:val="auto"/>
              </w:rPr>
            </w:pPr>
          </w:p>
        </w:tc>
        <w:tc>
          <w:tcPr>
            <w:tcW w:w="120" w:type="dxa"/>
            <w:vAlign w:val="bottom"/>
            <w:vMerge w:val="restart"/>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D2F0FF"/>
          </w:tcPr>
          <w:p>
            <w:pPr>
              <w:jc w:val="right"/>
              <w:ind w:right="13"/>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D2F0FF"/>
          </w:tcPr>
          <w:p>
            <w:pPr>
              <w:spacing w:after="0"/>
              <w:rPr>
                <w:sz w:val="18"/>
                <w:szCs w:val="18"/>
                <w:color w:val="auto"/>
              </w:rPr>
            </w:pPr>
          </w:p>
        </w:tc>
        <w:tc>
          <w:tcPr>
            <w:tcW w:w="200" w:type="dxa"/>
            <w:vAlign w:val="bottom"/>
            <w:vMerge w:val="restart"/>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D2F0FF"/>
          </w:tcPr>
          <w:p>
            <w:pPr>
              <w:jc w:val="right"/>
              <w:ind w:right="32"/>
              <w:spacing w:after="0"/>
              <w:rPr>
                <w:sz w:val="20"/>
                <w:szCs w:val="20"/>
                <w:color w:val="auto"/>
              </w:rPr>
            </w:pPr>
            <w:r>
              <w:rPr>
                <w:rFonts w:ascii="Arial" w:cs="Arial" w:eastAsia="Arial" w:hAnsi="Arial"/>
                <w:sz w:val="18"/>
                <w:szCs w:val="18"/>
                <w:color w:val="auto"/>
              </w:rPr>
              <w:t>14,250</w:t>
            </w:r>
          </w:p>
        </w:tc>
        <w:tc>
          <w:tcPr>
            <w:tcW w:w="100" w:type="dxa"/>
            <w:vAlign w:val="bottom"/>
            <w:shd w:val="clear" w:color="auto" w:fill="D2F0FF"/>
          </w:tcPr>
          <w:p>
            <w:pPr>
              <w:spacing w:after="0"/>
              <w:rPr>
                <w:sz w:val="18"/>
                <w:szCs w:val="18"/>
                <w:color w:val="auto"/>
              </w:rPr>
            </w:pPr>
          </w:p>
        </w:tc>
        <w:tc>
          <w:tcPr>
            <w:tcW w:w="160" w:type="dxa"/>
            <w:vAlign w:val="bottom"/>
            <w:vMerge w:val="restart"/>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D2F0FF"/>
          </w:tcPr>
          <w:p>
            <w:pPr>
              <w:jc w:val="right"/>
              <w:ind w:right="13"/>
              <w:spacing w:after="0"/>
              <w:rPr>
                <w:sz w:val="20"/>
                <w:szCs w:val="20"/>
                <w:color w:val="auto"/>
              </w:rPr>
            </w:pPr>
            <w:r>
              <w:rPr>
                <w:rFonts w:ascii="Arial" w:cs="Arial" w:eastAsia="Arial" w:hAnsi="Arial"/>
                <w:sz w:val="18"/>
                <w:szCs w:val="18"/>
                <w:color w:val="auto"/>
                <w:w w:val="95"/>
              </w:rPr>
              <w:t>241,878</w:t>
            </w:r>
          </w:p>
        </w:tc>
        <w:tc>
          <w:tcPr>
            <w:tcW w:w="120" w:type="dxa"/>
            <w:vAlign w:val="bottom"/>
            <w:shd w:val="clear" w:color="auto" w:fill="D2F0FF"/>
          </w:tcPr>
          <w:p>
            <w:pPr>
              <w:spacing w:after="0"/>
              <w:rPr>
                <w:sz w:val="18"/>
                <w:szCs w:val="18"/>
                <w:color w:val="auto"/>
              </w:rPr>
            </w:pPr>
          </w:p>
        </w:tc>
        <w:tc>
          <w:tcPr>
            <w:tcW w:w="240" w:type="dxa"/>
            <w:vAlign w:val="bottom"/>
            <w:vMerge w:val="restart"/>
            <w:shd w:val="clear" w:color="auto" w:fill="D2F0FF"/>
          </w:tcPr>
          <w:p>
            <w:pPr>
              <w:jc w:val="right"/>
              <w:ind w:right="34"/>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D2F0FF"/>
          </w:tcPr>
          <w:p>
            <w:pPr>
              <w:jc w:val="right"/>
              <w:ind w:right="11"/>
              <w:spacing w:after="0"/>
              <w:rPr>
                <w:sz w:val="20"/>
                <w:szCs w:val="20"/>
                <w:color w:val="auto"/>
              </w:rPr>
            </w:pPr>
            <w:r>
              <w:rPr>
                <w:rFonts w:ascii="Arial" w:cs="Arial" w:eastAsia="Arial" w:hAnsi="Arial"/>
                <w:sz w:val="18"/>
                <w:szCs w:val="18"/>
                <w:color w:val="auto"/>
              </w:rPr>
              <w:t>7,250</w:t>
            </w:r>
          </w:p>
        </w:tc>
        <w:tc>
          <w:tcPr>
            <w:tcW w:w="100" w:type="dxa"/>
            <w:vAlign w:val="bottom"/>
            <w:shd w:val="clear" w:color="auto" w:fill="D2F0FF"/>
          </w:tcPr>
          <w:p>
            <w:pPr>
              <w:spacing w:after="0"/>
              <w:rPr>
                <w:sz w:val="18"/>
                <w:szCs w:val="18"/>
                <w:color w:val="auto"/>
              </w:rPr>
            </w:pPr>
          </w:p>
        </w:tc>
        <w:tc>
          <w:tcPr>
            <w:tcW w:w="160" w:type="dxa"/>
            <w:vAlign w:val="bottom"/>
            <w:vMerge w:val="restart"/>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D2F0FF"/>
          </w:tcPr>
          <w:p>
            <w:pPr>
              <w:jc w:val="right"/>
              <w:ind w:right="34"/>
              <w:spacing w:after="0"/>
              <w:rPr>
                <w:sz w:val="20"/>
                <w:szCs w:val="20"/>
                <w:color w:val="auto"/>
              </w:rPr>
            </w:pPr>
            <w:r>
              <w:rPr>
                <w:rFonts w:ascii="Arial" w:cs="Arial" w:eastAsia="Arial" w:hAnsi="Arial"/>
                <w:sz w:val="18"/>
                <w:szCs w:val="18"/>
                <w:color w:val="auto"/>
              </w:rPr>
              <w:t>36,500</w:t>
            </w:r>
          </w:p>
        </w:tc>
        <w:tc>
          <w:tcPr>
            <w:tcW w:w="100" w:type="dxa"/>
            <w:vAlign w:val="bottom"/>
            <w:shd w:val="clear" w:color="auto" w:fill="D2F0FF"/>
          </w:tcPr>
          <w:p>
            <w:pPr>
              <w:spacing w:after="0"/>
              <w:rPr>
                <w:sz w:val="18"/>
                <w:szCs w:val="18"/>
                <w:color w:val="auto"/>
              </w:rPr>
            </w:pPr>
          </w:p>
        </w:tc>
        <w:tc>
          <w:tcPr>
            <w:tcW w:w="120" w:type="dxa"/>
            <w:vAlign w:val="bottom"/>
            <w:vMerge w:val="restart"/>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D2F0FF"/>
          </w:tcPr>
          <w:p>
            <w:pPr>
              <w:jc w:val="right"/>
              <w:ind w:right="12"/>
              <w:spacing w:after="0"/>
              <w:rPr>
                <w:sz w:val="20"/>
                <w:szCs w:val="20"/>
                <w:color w:val="auto"/>
              </w:rPr>
            </w:pPr>
            <w:r>
              <w:rPr>
                <w:rFonts w:ascii="Arial" w:cs="Arial" w:eastAsia="Arial" w:hAnsi="Arial"/>
                <w:sz w:val="18"/>
                <w:szCs w:val="18"/>
                <w:color w:val="auto"/>
              </w:rPr>
              <w:t>14,000</w:t>
            </w:r>
          </w:p>
        </w:tc>
        <w:tc>
          <w:tcPr>
            <w:tcW w:w="120" w:type="dxa"/>
            <w:vAlign w:val="bottom"/>
            <w:shd w:val="clear" w:color="auto" w:fill="D2F0FF"/>
          </w:tcPr>
          <w:p>
            <w:pPr>
              <w:spacing w:after="0"/>
              <w:rPr>
                <w:sz w:val="18"/>
                <w:szCs w:val="18"/>
                <w:color w:val="auto"/>
              </w:rPr>
            </w:pPr>
          </w:p>
        </w:tc>
        <w:tc>
          <w:tcPr>
            <w:tcW w:w="220" w:type="dxa"/>
            <w:vAlign w:val="bottom"/>
            <w:vMerge w:val="restart"/>
            <w:shd w:val="clear" w:color="auto" w:fill="D2F0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D2F0FF"/>
          </w:tcPr>
          <w:p>
            <w:pPr>
              <w:jc w:val="right"/>
              <w:ind w:right="11"/>
              <w:spacing w:after="0"/>
              <w:rPr>
                <w:sz w:val="20"/>
                <w:szCs w:val="20"/>
                <w:color w:val="auto"/>
              </w:rPr>
            </w:pPr>
            <w:r>
              <w:rPr>
                <w:rFonts w:ascii="Arial" w:cs="Arial" w:eastAsia="Arial" w:hAnsi="Arial"/>
                <w:sz w:val="18"/>
                <w:szCs w:val="18"/>
                <w:color w:val="auto"/>
              </w:rPr>
              <w:t>349,075</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D2F0FF"/>
            </w:tcBorders>
            <w:gridSpan w:val="2"/>
            <w:shd w:val="clear" w:color="auto" w:fill="D2F0FF"/>
          </w:tcPr>
          <w:p>
            <w:pPr>
              <w:ind w:left="280"/>
              <w:spacing w:after="0"/>
              <w:rPr>
                <w:sz w:val="20"/>
                <w:szCs w:val="20"/>
                <w:color w:val="auto"/>
              </w:rPr>
            </w:pPr>
            <w:r>
              <w:rPr>
                <w:rFonts w:ascii="Arial" w:cs="Arial" w:eastAsia="Arial" w:hAnsi="Arial"/>
                <w:sz w:val="18"/>
                <w:szCs w:val="18"/>
                <w:color w:val="auto"/>
              </w:rPr>
              <w:t>assumed</w:t>
            </w:r>
          </w:p>
        </w:tc>
        <w:tc>
          <w:tcPr>
            <w:tcW w:w="120" w:type="dxa"/>
            <w:vAlign w:val="bottom"/>
            <w:tcBorders>
              <w:bottom w:val="single" w:sz="8" w:color="auto"/>
            </w:tcBorders>
            <w:vMerge w:val="continue"/>
            <w:shd w:val="clear" w:color="auto" w:fill="D2F0FF"/>
          </w:tcPr>
          <w:p>
            <w:pPr>
              <w:spacing w:after="0"/>
              <w:rPr>
                <w:sz w:val="20"/>
                <w:szCs w:val="20"/>
                <w:color w:val="auto"/>
              </w:rPr>
            </w:pPr>
          </w:p>
        </w:tc>
        <w:tc>
          <w:tcPr>
            <w:tcW w:w="820" w:type="dxa"/>
            <w:vAlign w:val="bottom"/>
            <w:tcBorders>
              <w:bottom w:val="single" w:sz="8" w:color="auto"/>
            </w:tcBorders>
            <w:vMerge w:val="continue"/>
            <w:shd w:val="clear" w:color="auto" w:fill="D2F0FF"/>
          </w:tcPr>
          <w:p>
            <w:pPr>
              <w:spacing w:after="0"/>
              <w:rPr>
                <w:sz w:val="20"/>
                <w:szCs w:val="20"/>
                <w:color w:val="auto"/>
              </w:rPr>
            </w:pPr>
          </w:p>
        </w:tc>
        <w:tc>
          <w:tcPr>
            <w:tcW w:w="140" w:type="dxa"/>
            <w:vAlign w:val="bottom"/>
            <w:tcBorders>
              <w:bottom w:val="single" w:sz="8" w:color="D2F0FF"/>
            </w:tcBorders>
            <w:shd w:val="clear" w:color="auto" w:fill="D2F0FF"/>
          </w:tcPr>
          <w:p>
            <w:pPr>
              <w:spacing w:after="0"/>
              <w:rPr>
                <w:sz w:val="20"/>
                <w:szCs w:val="20"/>
                <w:color w:val="auto"/>
              </w:rPr>
            </w:pPr>
          </w:p>
        </w:tc>
        <w:tc>
          <w:tcPr>
            <w:tcW w:w="140" w:type="dxa"/>
            <w:vAlign w:val="bottom"/>
            <w:tcBorders>
              <w:bottom w:val="single" w:sz="8" w:color="auto"/>
            </w:tcBorders>
            <w:vMerge w:val="continue"/>
            <w:shd w:val="clear" w:color="auto" w:fill="D2F0FF"/>
          </w:tcPr>
          <w:p>
            <w:pPr>
              <w:spacing w:after="0"/>
              <w:rPr>
                <w:sz w:val="20"/>
                <w:szCs w:val="20"/>
                <w:color w:val="auto"/>
              </w:rPr>
            </w:pPr>
          </w:p>
        </w:tc>
        <w:tc>
          <w:tcPr>
            <w:tcW w:w="800" w:type="dxa"/>
            <w:vAlign w:val="bottom"/>
            <w:tcBorders>
              <w:bottom w:val="single" w:sz="8" w:color="auto"/>
            </w:tcBorders>
            <w:vMerge w:val="continue"/>
            <w:shd w:val="clear" w:color="auto" w:fill="D2F0FF"/>
          </w:tcPr>
          <w:p>
            <w:pPr>
              <w:spacing w:after="0"/>
              <w:rPr>
                <w:sz w:val="20"/>
                <w:szCs w:val="20"/>
                <w:color w:val="auto"/>
              </w:rPr>
            </w:pPr>
          </w:p>
        </w:tc>
        <w:tc>
          <w:tcPr>
            <w:tcW w:w="100" w:type="dxa"/>
            <w:vAlign w:val="bottom"/>
            <w:tcBorders>
              <w:bottom w:val="single" w:sz="8" w:color="D2F0FF"/>
            </w:tcBorders>
            <w:shd w:val="clear" w:color="auto" w:fill="D2F0FF"/>
          </w:tcPr>
          <w:p>
            <w:pPr>
              <w:spacing w:after="0"/>
              <w:rPr>
                <w:sz w:val="20"/>
                <w:szCs w:val="20"/>
                <w:color w:val="auto"/>
              </w:rPr>
            </w:pPr>
          </w:p>
        </w:tc>
        <w:tc>
          <w:tcPr>
            <w:tcW w:w="120" w:type="dxa"/>
            <w:vAlign w:val="bottom"/>
            <w:tcBorders>
              <w:bottom w:val="single" w:sz="8" w:color="auto"/>
            </w:tcBorders>
            <w:vMerge w:val="continue"/>
            <w:shd w:val="clear" w:color="auto" w:fill="D2F0FF"/>
          </w:tcPr>
          <w:p>
            <w:pPr>
              <w:spacing w:after="0"/>
              <w:rPr>
                <w:sz w:val="20"/>
                <w:szCs w:val="20"/>
                <w:color w:val="auto"/>
              </w:rPr>
            </w:pPr>
          </w:p>
        </w:tc>
        <w:tc>
          <w:tcPr>
            <w:tcW w:w="680" w:type="dxa"/>
            <w:vAlign w:val="bottom"/>
            <w:tcBorders>
              <w:bottom w:val="single" w:sz="8" w:color="auto"/>
            </w:tcBorders>
            <w:vMerge w:val="continue"/>
            <w:shd w:val="clear" w:color="auto" w:fill="D2F0FF"/>
          </w:tcPr>
          <w:p>
            <w:pPr>
              <w:spacing w:after="0"/>
              <w:rPr>
                <w:sz w:val="20"/>
                <w:szCs w:val="20"/>
                <w:color w:val="auto"/>
              </w:rPr>
            </w:pPr>
          </w:p>
        </w:tc>
        <w:tc>
          <w:tcPr>
            <w:tcW w:w="100" w:type="dxa"/>
            <w:vAlign w:val="bottom"/>
            <w:tcBorders>
              <w:bottom w:val="single" w:sz="8" w:color="D2F0FF"/>
            </w:tcBorders>
            <w:shd w:val="clear" w:color="auto" w:fill="D2F0FF"/>
          </w:tcPr>
          <w:p>
            <w:pPr>
              <w:spacing w:after="0"/>
              <w:rPr>
                <w:sz w:val="20"/>
                <w:szCs w:val="20"/>
                <w:color w:val="auto"/>
              </w:rPr>
            </w:pPr>
          </w:p>
        </w:tc>
        <w:tc>
          <w:tcPr>
            <w:tcW w:w="200" w:type="dxa"/>
            <w:vAlign w:val="bottom"/>
            <w:tcBorders>
              <w:bottom w:val="single" w:sz="8" w:color="auto"/>
            </w:tcBorders>
            <w:vMerge w:val="continue"/>
            <w:shd w:val="clear" w:color="auto" w:fill="D2F0FF"/>
          </w:tcPr>
          <w:p>
            <w:pPr>
              <w:spacing w:after="0"/>
              <w:rPr>
                <w:sz w:val="20"/>
                <w:szCs w:val="20"/>
                <w:color w:val="auto"/>
              </w:rPr>
            </w:pPr>
          </w:p>
        </w:tc>
        <w:tc>
          <w:tcPr>
            <w:tcW w:w="720" w:type="dxa"/>
            <w:vAlign w:val="bottom"/>
            <w:tcBorders>
              <w:bottom w:val="single" w:sz="8" w:color="auto"/>
            </w:tcBorders>
            <w:vMerge w:val="continue"/>
            <w:shd w:val="clear" w:color="auto" w:fill="D2F0FF"/>
          </w:tcPr>
          <w:p>
            <w:pPr>
              <w:spacing w:after="0"/>
              <w:rPr>
                <w:sz w:val="20"/>
                <w:szCs w:val="20"/>
                <w:color w:val="auto"/>
              </w:rPr>
            </w:pPr>
          </w:p>
        </w:tc>
        <w:tc>
          <w:tcPr>
            <w:tcW w:w="100" w:type="dxa"/>
            <w:vAlign w:val="bottom"/>
            <w:tcBorders>
              <w:bottom w:val="single" w:sz="8" w:color="D2F0FF"/>
            </w:tcBorders>
            <w:shd w:val="clear" w:color="auto" w:fill="D2F0FF"/>
          </w:tcPr>
          <w:p>
            <w:pPr>
              <w:spacing w:after="0"/>
              <w:rPr>
                <w:sz w:val="20"/>
                <w:szCs w:val="20"/>
                <w:color w:val="auto"/>
              </w:rPr>
            </w:pPr>
          </w:p>
        </w:tc>
        <w:tc>
          <w:tcPr>
            <w:tcW w:w="160" w:type="dxa"/>
            <w:vAlign w:val="bottom"/>
            <w:tcBorders>
              <w:bottom w:val="single" w:sz="8" w:color="auto"/>
            </w:tcBorders>
            <w:vMerge w:val="continue"/>
            <w:shd w:val="clear" w:color="auto" w:fill="D2F0FF"/>
          </w:tcPr>
          <w:p>
            <w:pPr>
              <w:spacing w:after="0"/>
              <w:rPr>
                <w:sz w:val="20"/>
                <w:szCs w:val="20"/>
                <w:color w:val="auto"/>
              </w:rPr>
            </w:pPr>
          </w:p>
        </w:tc>
        <w:tc>
          <w:tcPr>
            <w:tcW w:w="740" w:type="dxa"/>
            <w:vAlign w:val="bottom"/>
            <w:tcBorders>
              <w:bottom w:val="single" w:sz="8" w:color="auto"/>
            </w:tcBorders>
            <w:vMerge w:val="continue"/>
            <w:shd w:val="clear" w:color="auto" w:fill="D2F0FF"/>
          </w:tcPr>
          <w:p>
            <w:pPr>
              <w:spacing w:after="0"/>
              <w:rPr>
                <w:sz w:val="20"/>
                <w:szCs w:val="20"/>
                <w:color w:val="auto"/>
              </w:rPr>
            </w:pPr>
          </w:p>
        </w:tc>
        <w:tc>
          <w:tcPr>
            <w:tcW w:w="120" w:type="dxa"/>
            <w:vAlign w:val="bottom"/>
            <w:tcBorders>
              <w:bottom w:val="single" w:sz="8" w:color="D2F0FF"/>
            </w:tcBorders>
            <w:shd w:val="clear" w:color="auto" w:fill="D2F0FF"/>
          </w:tcPr>
          <w:p>
            <w:pPr>
              <w:spacing w:after="0"/>
              <w:rPr>
                <w:sz w:val="20"/>
                <w:szCs w:val="20"/>
                <w:color w:val="auto"/>
              </w:rPr>
            </w:pPr>
          </w:p>
        </w:tc>
        <w:tc>
          <w:tcPr>
            <w:tcW w:w="240" w:type="dxa"/>
            <w:vAlign w:val="bottom"/>
            <w:tcBorders>
              <w:bottom w:val="single" w:sz="8" w:color="auto"/>
            </w:tcBorders>
            <w:vMerge w:val="continue"/>
            <w:shd w:val="clear" w:color="auto" w:fill="D2F0FF"/>
          </w:tcPr>
          <w:p>
            <w:pPr>
              <w:spacing w:after="0"/>
              <w:rPr>
                <w:sz w:val="20"/>
                <w:szCs w:val="20"/>
                <w:color w:val="auto"/>
              </w:rPr>
            </w:pPr>
          </w:p>
        </w:tc>
        <w:tc>
          <w:tcPr>
            <w:tcW w:w="660" w:type="dxa"/>
            <w:vAlign w:val="bottom"/>
            <w:tcBorders>
              <w:bottom w:val="single" w:sz="8" w:color="auto"/>
            </w:tcBorders>
            <w:vMerge w:val="continue"/>
            <w:shd w:val="clear" w:color="auto" w:fill="D2F0FF"/>
          </w:tcPr>
          <w:p>
            <w:pPr>
              <w:spacing w:after="0"/>
              <w:rPr>
                <w:sz w:val="20"/>
                <w:szCs w:val="20"/>
                <w:color w:val="auto"/>
              </w:rPr>
            </w:pPr>
          </w:p>
        </w:tc>
        <w:tc>
          <w:tcPr>
            <w:tcW w:w="100" w:type="dxa"/>
            <w:vAlign w:val="bottom"/>
            <w:tcBorders>
              <w:bottom w:val="single" w:sz="8" w:color="D2F0FF"/>
            </w:tcBorders>
            <w:shd w:val="clear" w:color="auto" w:fill="D2F0FF"/>
          </w:tcPr>
          <w:p>
            <w:pPr>
              <w:spacing w:after="0"/>
              <w:rPr>
                <w:sz w:val="20"/>
                <w:szCs w:val="20"/>
                <w:color w:val="auto"/>
              </w:rPr>
            </w:pPr>
          </w:p>
        </w:tc>
        <w:tc>
          <w:tcPr>
            <w:tcW w:w="160" w:type="dxa"/>
            <w:vAlign w:val="bottom"/>
            <w:tcBorders>
              <w:bottom w:val="single" w:sz="8" w:color="auto"/>
            </w:tcBorders>
            <w:vMerge w:val="continue"/>
            <w:shd w:val="clear" w:color="auto" w:fill="D2F0FF"/>
          </w:tcPr>
          <w:p>
            <w:pPr>
              <w:spacing w:after="0"/>
              <w:rPr>
                <w:sz w:val="20"/>
                <w:szCs w:val="20"/>
                <w:color w:val="auto"/>
              </w:rPr>
            </w:pPr>
          </w:p>
        </w:tc>
        <w:tc>
          <w:tcPr>
            <w:tcW w:w="760" w:type="dxa"/>
            <w:vAlign w:val="bottom"/>
            <w:tcBorders>
              <w:bottom w:val="single" w:sz="8" w:color="auto"/>
            </w:tcBorders>
            <w:vMerge w:val="continue"/>
            <w:shd w:val="clear" w:color="auto" w:fill="D2F0FF"/>
          </w:tcPr>
          <w:p>
            <w:pPr>
              <w:spacing w:after="0"/>
              <w:rPr>
                <w:sz w:val="20"/>
                <w:szCs w:val="20"/>
                <w:color w:val="auto"/>
              </w:rPr>
            </w:pPr>
          </w:p>
        </w:tc>
        <w:tc>
          <w:tcPr>
            <w:tcW w:w="100" w:type="dxa"/>
            <w:vAlign w:val="bottom"/>
            <w:tcBorders>
              <w:bottom w:val="single" w:sz="8" w:color="D2F0FF"/>
            </w:tcBorders>
            <w:shd w:val="clear" w:color="auto" w:fill="D2F0FF"/>
          </w:tcPr>
          <w:p>
            <w:pPr>
              <w:spacing w:after="0"/>
              <w:rPr>
                <w:sz w:val="20"/>
                <w:szCs w:val="20"/>
                <w:color w:val="auto"/>
              </w:rPr>
            </w:pPr>
          </w:p>
        </w:tc>
        <w:tc>
          <w:tcPr>
            <w:tcW w:w="120" w:type="dxa"/>
            <w:vAlign w:val="bottom"/>
            <w:tcBorders>
              <w:bottom w:val="single" w:sz="8" w:color="auto"/>
            </w:tcBorders>
            <w:vMerge w:val="continue"/>
            <w:shd w:val="clear" w:color="auto" w:fill="D2F0FF"/>
          </w:tcPr>
          <w:p>
            <w:pPr>
              <w:spacing w:after="0"/>
              <w:rPr>
                <w:sz w:val="20"/>
                <w:szCs w:val="20"/>
                <w:color w:val="auto"/>
              </w:rPr>
            </w:pPr>
          </w:p>
        </w:tc>
        <w:tc>
          <w:tcPr>
            <w:tcW w:w="780" w:type="dxa"/>
            <w:vAlign w:val="bottom"/>
            <w:tcBorders>
              <w:bottom w:val="single" w:sz="8" w:color="auto"/>
            </w:tcBorders>
            <w:vMerge w:val="continue"/>
            <w:shd w:val="clear" w:color="auto" w:fill="D2F0FF"/>
          </w:tcPr>
          <w:p>
            <w:pPr>
              <w:spacing w:after="0"/>
              <w:rPr>
                <w:sz w:val="20"/>
                <w:szCs w:val="20"/>
                <w:color w:val="auto"/>
              </w:rPr>
            </w:pPr>
          </w:p>
        </w:tc>
        <w:tc>
          <w:tcPr>
            <w:tcW w:w="120" w:type="dxa"/>
            <w:vAlign w:val="bottom"/>
            <w:tcBorders>
              <w:bottom w:val="single" w:sz="8" w:color="D2F0FF"/>
            </w:tcBorders>
            <w:shd w:val="clear" w:color="auto" w:fill="D2F0FF"/>
          </w:tcPr>
          <w:p>
            <w:pPr>
              <w:spacing w:after="0"/>
              <w:rPr>
                <w:sz w:val="20"/>
                <w:szCs w:val="20"/>
                <w:color w:val="auto"/>
              </w:rPr>
            </w:pPr>
          </w:p>
        </w:tc>
        <w:tc>
          <w:tcPr>
            <w:tcW w:w="220" w:type="dxa"/>
            <w:vAlign w:val="bottom"/>
            <w:tcBorders>
              <w:bottom w:val="single" w:sz="8" w:color="auto"/>
            </w:tcBorders>
            <w:vMerge w:val="continue"/>
            <w:shd w:val="clear" w:color="auto" w:fill="D2F0FF"/>
          </w:tcPr>
          <w:p>
            <w:pPr>
              <w:spacing w:after="0"/>
              <w:rPr>
                <w:sz w:val="20"/>
                <w:szCs w:val="20"/>
                <w:color w:val="auto"/>
              </w:rPr>
            </w:pPr>
          </w:p>
        </w:tc>
        <w:tc>
          <w:tcPr>
            <w:tcW w:w="800" w:type="dxa"/>
            <w:vAlign w:val="bottom"/>
            <w:tcBorders>
              <w:bottom w:val="single" w:sz="8" w:color="auto"/>
            </w:tcBorders>
            <w:vMerge w:val="continue"/>
            <w:shd w:val="clear" w:color="auto" w:fill="D2F0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Consideration</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3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D2F0FF"/>
            </w:tcBorders>
          </w:tcPr>
          <w:p>
            <w:pPr>
              <w:spacing w:after="0"/>
              <w:rPr>
                <w:sz w:val="2"/>
                <w:szCs w:val="2"/>
                <w:color w:val="auto"/>
              </w:rPr>
            </w:pPr>
          </w:p>
        </w:tc>
        <w:tc>
          <w:tcPr>
            <w:tcW w:w="120" w:type="dxa"/>
            <w:vAlign w:val="bottom"/>
            <w:tcBorders>
              <w:bottom w:val="single" w:sz="8" w:color="D2F0FF"/>
            </w:tcBorders>
          </w:tcPr>
          <w:p>
            <w:pPr>
              <w:spacing w:after="0"/>
              <w:rPr>
                <w:sz w:val="2"/>
                <w:szCs w:val="2"/>
                <w:color w:val="auto"/>
              </w:rPr>
            </w:pPr>
          </w:p>
        </w:tc>
        <w:tc>
          <w:tcPr>
            <w:tcW w:w="820" w:type="dxa"/>
            <w:vAlign w:val="bottom"/>
            <w:tcBorders>
              <w:bottom w:val="single" w:sz="8" w:color="D2F0FF"/>
            </w:tcBorders>
          </w:tcPr>
          <w:p>
            <w:pPr>
              <w:spacing w:after="0"/>
              <w:rPr>
                <w:sz w:val="2"/>
                <w:szCs w:val="2"/>
                <w:color w:val="auto"/>
              </w:rPr>
            </w:pPr>
          </w:p>
        </w:tc>
        <w:tc>
          <w:tcPr>
            <w:tcW w:w="140" w:type="dxa"/>
            <w:vAlign w:val="bottom"/>
            <w:tcBorders>
              <w:bottom w:val="single" w:sz="8" w:color="D2F0FF"/>
            </w:tcBorders>
          </w:tcPr>
          <w:p>
            <w:pPr>
              <w:spacing w:after="0"/>
              <w:rPr>
                <w:sz w:val="2"/>
                <w:szCs w:val="2"/>
                <w:color w:val="auto"/>
              </w:rPr>
            </w:pPr>
          </w:p>
        </w:tc>
        <w:tc>
          <w:tcPr>
            <w:tcW w:w="140" w:type="dxa"/>
            <w:vAlign w:val="bottom"/>
            <w:tcBorders>
              <w:bottom w:val="single" w:sz="8" w:color="D2F0FF"/>
            </w:tcBorders>
          </w:tcPr>
          <w:p>
            <w:pPr>
              <w:spacing w:after="0"/>
              <w:rPr>
                <w:sz w:val="2"/>
                <w:szCs w:val="2"/>
                <w:color w:val="auto"/>
              </w:rPr>
            </w:pPr>
          </w:p>
        </w:tc>
        <w:tc>
          <w:tcPr>
            <w:tcW w:w="800" w:type="dxa"/>
            <w:vAlign w:val="bottom"/>
            <w:tcBorders>
              <w:bottom w:val="single" w:sz="8" w:color="D2F0FF"/>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120" w:type="dxa"/>
            <w:vAlign w:val="bottom"/>
            <w:tcBorders>
              <w:bottom w:val="single" w:sz="8" w:color="D2F0FF"/>
            </w:tcBorders>
          </w:tcPr>
          <w:p>
            <w:pPr>
              <w:spacing w:after="0"/>
              <w:rPr>
                <w:sz w:val="2"/>
                <w:szCs w:val="2"/>
                <w:color w:val="auto"/>
              </w:rPr>
            </w:pPr>
          </w:p>
        </w:tc>
        <w:tc>
          <w:tcPr>
            <w:tcW w:w="680" w:type="dxa"/>
            <w:vAlign w:val="bottom"/>
            <w:tcBorders>
              <w:bottom w:val="single" w:sz="8" w:color="D2F0FF"/>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200" w:type="dxa"/>
            <w:vAlign w:val="bottom"/>
            <w:tcBorders>
              <w:bottom w:val="single" w:sz="8" w:color="D2F0FF"/>
            </w:tcBorders>
          </w:tcPr>
          <w:p>
            <w:pPr>
              <w:spacing w:after="0"/>
              <w:rPr>
                <w:sz w:val="2"/>
                <w:szCs w:val="2"/>
                <w:color w:val="auto"/>
              </w:rPr>
            </w:pPr>
          </w:p>
        </w:tc>
        <w:tc>
          <w:tcPr>
            <w:tcW w:w="720" w:type="dxa"/>
            <w:vAlign w:val="bottom"/>
            <w:tcBorders>
              <w:bottom w:val="single" w:sz="8" w:color="D2F0FF"/>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160" w:type="dxa"/>
            <w:vAlign w:val="bottom"/>
            <w:tcBorders>
              <w:bottom w:val="single" w:sz="8" w:color="D2F0FF"/>
            </w:tcBorders>
          </w:tcPr>
          <w:p>
            <w:pPr>
              <w:spacing w:after="0"/>
              <w:rPr>
                <w:sz w:val="2"/>
                <w:szCs w:val="2"/>
                <w:color w:val="auto"/>
              </w:rPr>
            </w:pPr>
          </w:p>
        </w:tc>
        <w:tc>
          <w:tcPr>
            <w:tcW w:w="740" w:type="dxa"/>
            <w:vAlign w:val="bottom"/>
            <w:tcBorders>
              <w:bottom w:val="single" w:sz="8" w:color="D2F0FF"/>
            </w:tcBorders>
          </w:tcPr>
          <w:p>
            <w:pPr>
              <w:spacing w:after="0"/>
              <w:rPr>
                <w:sz w:val="2"/>
                <w:szCs w:val="2"/>
                <w:color w:val="auto"/>
              </w:rPr>
            </w:pPr>
          </w:p>
        </w:tc>
        <w:tc>
          <w:tcPr>
            <w:tcW w:w="120" w:type="dxa"/>
            <w:vAlign w:val="bottom"/>
            <w:tcBorders>
              <w:bottom w:val="single" w:sz="8" w:color="D2F0FF"/>
            </w:tcBorders>
          </w:tcPr>
          <w:p>
            <w:pPr>
              <w:spacing w:after="0"/>
              <w:rPr>
                <w:sz w:val="2"/>
                <w:szCs w:val="2"/>
                <w:color w:val="auto"/>
              </w:rPr>
            </w:pPr>
          </w:p>
        </w:tc>
        <w:tc>
          <w:tcPr>
            <w:tcW w:w="240" w:type="dxa"/>
            <w:vAlign w:val="bottom"/>
            <w:tcBorders>
              <w:bottom w:val="single" w:sz="8" w:color="D2F0FF"/>
            </w:tcBorders>
          </w:tcPr>
          <w:p>
            <w:pPr>
              <w:spacing w:after="0"/>
              <w:rPr>
                <w:sz w:val="2"/>
                <w:szCs w:val="2"/>
                <w:color w:val="auto"/>
              </w:rPr>
            </w:pPr>
          </w:p>
        </w:tc>
        <w:tc>
          <w:tcPr>
            <w:tcW w:w="660" w:type="dxa"/>
            <w:vAlign w:val="bottom"/>
            <w:tcBorders>
              <w:bottom w:val="single" w:sz="8" w:color="D2F0FF"/>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160" w:type="dxa"/>
            <w:vAlign w:val="bottom"/>
            <w:tcBorders>
              <w:bottom w:val="single" w:sz="8" w:color="D2F0FF"/>
            </w:tcBorders>
          </w:tcPr>
          <w:p>
            <w:pPr>
              <w:spacing w:after="0"/>
              <w:rPr>
                <w:sz w:val="2"/>
                <w:szCs w:val="2"/>
                <w:color w:val="auto"/>
              </w:rPr>
            </w:pPr>
          </w:p>
        </w:tc>
        <w:tc>
          <w:tcPr>
            <w:tcW w:w="760" w:type="dxa"/>
            <w:vAlign w:val="bottom"/>
            <w:tcBorders>
              <w:bottom w:val="single" w:sz="8" w:color="D2F0FF"/>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120" w:type="dxa"/>
            <w:vAlign w:val="bottom"/>
            <w:tcBorders>
              <w:bottom w:val="single" w:sz="8" w:color="D2F0FF"/>
            </w:tcBorders>
          </w:tcPr>
          <w:p>
            <w:pPr>
              <w:spacing w:after="0"/>
              <w:rPr>
                <w:sz w:val="2"/>
                <w:szCs w:val="2"/>
                <w:color w:val="auto"/>
              </w:rPr>
            </w:pPr>
          </w:p>
        </w:tc>
        <w:tc>
          <w:tcPr>
            <w:tcW w:w="780" w:type="dxa"/>
            <w:vAlign w:val="bottom"/>
            <w:tcBorders>
              <w:bottom w:val="single" w:sz="8" w:color="D2F0FF"/>
            </w:tcBorders>
          </w:tcPr>
          <w:p>
            <w:pPr>
              <w:spacing w:after="0"/>
              <w:rPr>
                <w:sz w:val="2"/>
                <w:szCs w:val="2"/>
                <w:color w:val="auto"/>
              </w:rPr>
            </w:pPr>
          </w:p>
        </w:tc>
        <w:tc>
          <w:tcPr>
            <w:tcW w:w="120" w:type="dxa"/>
            <w:vAlign w:val="bottom"/>
            <w:tcBorders>
              <w:bottom w:val="single" w:sz="8" w:color="D2F0FF"/>
            </w:tcBorders>
          </w:tcPr>
          <w:p>
            <w:pPr>
              <w:spacing w:after="0"/>
              <w:rPr>
                <w:sz w:val="2"/>
                <w:szCs w:val="2"/>
                <w:color w:val="auto"/>
              </w:rPr>
            </w:pPr>
          </w:p>
        </w:tc>
        <w:tc>
          <w:tcPr>
            <w:tcW w:w="220" w:type="dxa"/>
            <w:vAlign w:val="bottom"/>
            <w:tcBorders>
              <w:bottom w:val="single" w:sz="8" w:color="D2F0FF"/>
            </w:tcBorders>
          </w:tcPr>
          <w:p>
            <w:pPr>
              <w:spacing w:after="0"/>
              <w:rPr>
                <w:sz w:val="2"/>
                <w:szCs w:val="2"/>
                <w:color w:val="auto"/>
              </w:rPr>
            </w:pPr>
          </w:p>
        </w:tc>
        <w:tc>
          <w:tcPr>
            <w:tcW w:w="800" w:type="dxa"/>
            <w:vAlign w:val="bottom"/>
            <w:tcBorders>
              <w:bottom w:val="single" w:sz="8" w:color="D2F0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Cash</w:t>
            </w:r>
          </w:p>
        </w:tc>
        <w:tc>
          <w:tcPr>
            <w:tcW w:w="12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D2F0FF"/>
            </w:tcBorders>
            <w:shd w:val="clear" w:color="auto" w:fill="D2F0FF"/>
          </w:tcPr>
          <w:p>
            <w:pPr>
              <w:jc w:val="right"/>
              <w:ind w:right="32"/>
              <w:spacing w:after="0"/>
              <w:rPr>
                <w:sz w:val="20"/>
                <w:szCs w:val="20"/>
                <w:color w:val="auto"/>
              </w:rPr>
            </w:pPr>
            <w:r>
              <w:rPr>
                <w:rFonts w:ascii="Arial" w:cs="Arial" w:eastAsia="Arial" w:hAnsi="Arial"/>
                <w:sz w:val="18"/>
                <w:szCs w:val="18"/>
                <w:color w:val="auto"/>
              </w:rPr>
              <w:t>11,647</w:t>
            </w:r>
          </w:p>
        </w:tc>
        <w:tc>
          <w:tcPr>
            <w:tcW w:w="140" w:type="dxa"/>
            <w:vAlign w:val="bottom"/>
            <w:tcBorders>
              <w:bottom w:val="single" w:sz="8" w:color="D2F0FF"/>
            </w:tcBorders>
            <w:shd w:val="clear" w:color="auto" w:fill="D2F0FF"/>
          </w:tcPr>
          <w:p>
            <w:pPr>
              <w:spacing w:after="0"/>
              <w:rPr>
                <w:sz w:val="21"/>
                <w:szCs w:val="21"/>
                <w:color w:val="auto"/>
              </w:rPr>
            </w:pPr>
          </w:p>
        </w:tc>
        <w:tc>
          <w:tcPr>
            <w:tcW w:w="14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D2F0FF"/>
            </w:tcBorders>
            <w:shd w:val="clear" w:color="auto" w:fill="D2F0FF"/>
          </w:tcPr>
          <w:p>
            <w:pPr>
              <w:jc w:val="right"/>
              <w:ind w:right="32"/>
              <w:spacing w:after="0"/>
              <w:rPr>
                <w:sz w:val="20"/>
                <w:szCs w:val="20"/>
                <w:color w:val="auto"/>
              </w:rPr>
            </w:pPr>
            <w:r>
              <w:rPr>
                <w:rFonts w:ascii="Arial" w:cs="Arial" w:eastAsia="Arial" w:hAnsi="Arial"/>
                <w:sz w:val="18"/>
                <w:szCs w:val="18"/>
                <w:color w:val="auto"/>
              </w:rPr>
              <w:t>14,550</w:t>
            </w:r>
          </w:p>
        </w:tc>
        <w:tc>
          <w:tcPr>
            <w:tcW w:w="100" w:type="dxa"/>
            <w:vAlign w:val="bottom"/>
            <w:tcBorders>
              <w:bottom w:val="single" w:sz="8" w:color="D2F0FF"/>
            </w:tcBorders>
            <w:shd w:val="clear" w:color="auto" w:fill="D2F0FF"/>
          </w:tcPr>
          <w:p>
            <w:pPr>
              <w:spacing w:after="0"/>
              <w:rPr>
                <w:sz w:val="21"/>
                <w:szCs w:val="21"/>
                <w:color w:val="auto"/>
              </w:rPr>
            </w:pPr>
          </w:p>
        </w:tc>
        <w:tc>
          <w:tcPr>
            <w:tcW w:w="12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D2F0FF"/>
            </w:tcBorders>
            <w:shd w:val="clear" w:color="auto" w:fill="D2F0FF"/>
          </w:tcPr>
          <w:p>
            <w:pPr>
              <w:jc w:val="right"/>
              <w:ind w:right="13"/>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D2F0FF"/>
            </w:tcBorders>
            <w:shd w:val="clear" w:color="auto" w:fill="D2F0FF"/>
          </w:tcPr>
          <w:p>
            <w:pPr>
              <w:spacing w:after="0"/>
              <w:rPr>
                <w:sz w:val="21"/>
                <w:szCs w:val="21"/>
                <w:color w:val="auto"/>
              </w:rPr>
            </w:pPr>
          </w:p>
        </w:tc>
        <w:tc>
          <w:tcPr>
            <w:tcW w:w="20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D2F0FF"/>
            </w:tcBorders>
            <w:shd w:val="clear" w:color="auto" w:fill="D2F0FF"/>
          </w:tcPr>
          <w:p>
            <w:pPr>
              <w:jc w:val="right"/>
              <w:ind w:right="32"/>
              <w:spacing w:after="0"/>
              <w:rPr>
                <w:sz w:val="20"/>
                <w:szCs w:val="20"/>
                <w:color w:val="auto"/>
              </w:rPr>
            </w:pPr>
            <w:r>
              <w:rPr>
                <w:rFonts w:ascii="Arial" w:cs="Arial" w:eastAsia="Arial" w:hAnsi="Arial"/>
                <w:sz w:val="18"/>
                <w:szCs w:val="18"/>
                <w:color w:val="auto"/>
              </w:rPr>
              <w:t>14,250</w:t>
            </w:r>
          </w:p>
        </w:tc>
        <w:tc>
          <w:tcPr>
            <w:tcW w:w="100" w:type="dxa"/>
            <w:vAlign w:val="bottom"/>
            <w:tcBorders>
              <w:bottom w:val="single" w:sz="8" w:color="D2F0FF"/>
            </w:tcBorders>
            <w:shd w:val="clear" w:color="auto" w:fill="D2F0FF"/>
          </w:tcPr>
          <w:p>
            <w:pPr>
              <w:spacing w:after="0"/>
              <w:rPr>
                <w:sz w:val="21"/>
                <w:szCs w:val="21"/>
                <w:color w:val="auto"/>
              </w:rPr>
            </w:pPr>
          </w:p>
        </w:tc>
        <w:tc>
          <w:tcPr>
            <w:tcW w:w="16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D2F0FF"/>
            </w:tcBorders>
            <w:shd w:val="clear" w:color="auto" w:fill="D2F0FF"/>
          </w:tcPr>
          <w:p>
            <w:pPr>
              <w:jc w:val="right"/>
              <w:ind w:right="13"/>
              <w:spacing w:after="0"/>
              <w:rPr>
                <w:sz w:val="20"/>
                <w:szCs w:val="20"/>
                <w:color w:val="auto"/>
              </w:rPr>
            </w:pPr>
            <w:r>
              <w:rPr>
                <w:rFonts w:ascii="Arial" w:cs="Arial" w:eastAsia="Arial" w:hAnsi="Arial"/>
                <w:sz w:val="18"/>
                <w:szCs w:val="18"/>
                <w:color w:val="auto"/>
                <w:w w:val="95"/>
              </w:rPr>
              <w:t>184,625</w:t>
            </w:r>
          </w:p>
        </w:tc>
        <w:tc>
          <w:tcPr>
            <w:tcW w:w="120" w:type="dxa"/>
            <w:vAlign w:val="bottom"/>
            <w:tcBorders>
              <w:bottom w:val="single" w:sz="8" w:color="D2F0FF"/>
            </w:tcBorders>
            <w:shd w:val="clear" w:color="auto" w:fill="D2F0FF"/>
          </w:tcPr>
          <w:p>
            <w:pPr>
              <w:spacing w:after="0"/>
              <w:rPr>
                <w:sz w:val="21"/>
                <w:szCs w:val="21"/>
                <w:color w:val="auto"/>
              </w:rPr>
            </w:pPr>
          </w:p>
        </w:tc>
        <w:tc>
          <w:tcPr>
            <w:tcW w:w="240" w:type="dxa"/>
            <w:vAlign w:val="bottom"/>
            <w:tcBorders>
              <w:bottom w:val="single" w:sz="8" w:color="D2F0FF"/>
            </w:tcBorders>
            <w:shd w:val="clear" w:color="auto" w:fill="D2F0FF"/>
          </w:tcPr>
          <w:p>
            <w:pPr>
              <w:jc w:val="right"/>
              <w:ind w:right="3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D2F0FF"/>
            </w:tcBorders>
            <w:shd w:val="clear" w:color="auto" w:fill="D2F0FF"/>
          </w:tcPr>
          <w:p>
            <w:pPr>
              <w:jc w:val="right"/>
              <w:ind w:right="11"/>
              <w:spacing w:after="0"/>
              <w:rPr>
                <w:sz w:val="20"/>
                <w:szCs w:val="20"/>
                <w:color w:val="auto"/>
              </w:rPr>
            </w:pPr>
            <w:r>
              <w:rPr>
                <w:rFonts w:ascii="Arial" w:cs="Arial" w:eastAsia="Arial" w:hAnsi="Arial"/>
                <w:sz w:val="18"/>
                <w:szCs w:val="18"/>
                <w:color w:val="auto"/>
              </w:rPr>
              <w:t>7,250</w:t>
            </w:r>
          </w:p>
        </w:tc>
        <w:tc>
          <w:tcPr>
            <w:tcW w:w="100" w:type="dxa"/>
            <w:vAlign w:val="bottom"/>
            <w:tcBorders>
              <w:bottom w:val="single" w:sz="8" w:color="D2F0FF"/>
            </w:tcBorders>
            <w:shd w:val="clear" w:color="auto" w:fill="D2F0FF"/>
          </w:tcPr>
          <w:p>
            <w:pPr>
              <w:spacing w:after="0"/>
              <w:rPr>
                <w:sz w:val="21"/>
                <w:szCs w:val="21"/>
                <w:color w:val="auto"/>
              </w:rPr>
            </w:pPr>
          </w:p>
        </w:tc>
        <w:tc>
          <w:tcPr>
            <w:tcW w:w="16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D2F0FF"/>
            </w:tcBorders>
            <w:shd w:val="clear" w:color="auto" w:fill="D2F0FF"/>
          </w:tcPr>
          <w:p>
            <w:pPr>
              <w:jc w:val="right"/>
              <w:ind w:right="34"/>
              <w:spacing w:after="0"/>
              <w:rPr>
                <w:sz w:val="20"/>
                <w:szCs w:val="20"/>
                <w:color w:val="auto"/>
              </w:rPr>
            </w:pPr>
            <w:r>
              <w:rPr>
                <w:rFonts w:ascii="Arial" w:cs="Arial" w:eastAsia="Arial" w:hAnsi="Arial"/>
                <w:sz w:val="18"/>
                <w:szCs w:val="18"/>
                <w:color w:val="auto"/>
              </w:rPr>
              <w:t>36,500</w:t>
            </w:r>
          </w:p>
        </w:tc>
        <w:tc>
          <w:tcPr>
            <w:tcW w:w="100" w:type="dxa"/>
            <w:vAlign w:val="bottom"/>
            <w:tcBorders>
              <w:bottom w:val="single" w:sz="8" w:color="D2F0FF"/>
            </w:tcBorders>
            <w:shd w:val="clear" w:color="auto" w:fill="D2F0FF"/>
          </w:tcPr>
          <w:p>
            <w:pPr>
              <w:spacing w:after="0"/>
              <w:rPr>
                <w:sz w:val="21"/>
                <w:szCs w:val="21"/>
                <w:color w:val="auto"/>
              </w:rPr>
            </w:pPr>
          </w:p>
        </w:tc>
        <w:tc>
          <w:tcPr>
            <w:tcW w:w="12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D2F0FF"/>
            </w:tcBorders>
            <w:shd w:val="clear" w:color="auto" w:fill="D2F0FF"/>
          </w:tcPr>
          <w:p>
            <w:pPr>
              <w:jc w:val="right"/>
              <w:ind w:right="12"/>
              <w:spacing w:after="0"/>
              <w:rPr>
                <w:sz w:val="20"/>
                <w:szCs w:val="20"/>
                <w:color w:val="auto"/>
              </w:rPr>
            </w:pPr>
            <w:r>
              <w:rPr>
                <w:rFonts w:ascii="Arial" w:cs="Arial" w:eastAsia="Arial" w:hAnsi="Arial"/>
                <w:sz w:val="18"/>
                <w:szCs w:val="18"/>
                <w:color w:val="auto"/>
              </w:rPr>
              <w:t>14,000</w:t>
            </w:r>
          </w:p>
        </w:tc>
        <w:tc>
          <w:tcPr>
            <w:tcW w:w="120" w:type="dxa"/>
            <w:vAlign w:val="bottom"/>
            <w:tcBorders>
              <w:bottom w:val="single" w:sz="8" w:color="D2F0FF"/>
            </w:tcBorders>
            <w:shd w:val="clear" w:color="auto" w:fill="D2F0FF"/>
          </w:tcPr>
          <w:p>
            <w:pPr>
              <w:spacing w:after="0"/>
              <w:rPr>
                <w:sz w:val="21"/>
                <w:szCs w:val="21"/>
                <w:color w:val="auto"/>
              </w:rPr>
            </w:pPr>
          </w:p>
        </w:tc>
        <w:tc>
          <w:tcPr>
            <w:tcW w:w="220" w:type="dxa"/>
            <w:vAlign w:val="bottom"/>
            <w:tcBorders>
              <w:bottom w:val="single" w:sz="8" w:color="D2F0FF"/>
            </w:tcBorders>
            <w:shd w:val="clear" w:color="auto" w:fill="D2F0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D2F0FF"/>
            </w:tcBorders>
            <w:shd w:val="clear" w:color="auto" w:fill="D2F0FF"/>
          </w:tcPr>
          <w:p>
            <w:pPr>
              <w:jc w:val="right"/>
              <w:ind w:right="11"/>
              <w:spacing w:after="0"/>
              <w:rPr>
                <w:sz w:val="20"/>
                <w:szCs w:val="20"/>
                <w:color w:val="auto"/>
              </w:rPr>
            </w:pPr>
            <w:r>
              <w:rPr>
                <w:rFonts w:ascii="Arial" w:cs="Arial" w:eastAsia="Arial" w:hAnsi="Arial"/>
                <w:sz w:val="18"/>
                <w:szCs w:val="18"/>
                <w:color w:val="auto"/>
              </w:rPr>
              <w:t>291,822</w:t>
            </w:r>
          </w:p>
        </w:tc>
        <w:tc>
          <w:tcPr>
            <w:tcW w:w="0" w:type="dxa"/>
            <w:vAlign w:val="bottom"/>
          </w:tcPr>
          <w:p>
            <w:pPr>
              <w:spacing w:after="0"/>
              <w:rPr>
                <w:sz w:val="1"/>
                <w:szCs w:val="1"/>
                <w:color w:val="auto"/>
              </w:rPr>
            </w:pP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Preferred Equity - Sun NG</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Resorts</w:t>
            </w:r>
          </w:p>
        </w:tc>
        <w:tc>
          <w:tcPr>
            <w:tcW w:w="1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35,277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35,277</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Interests - NG Sun</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LLC</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21,976</w:t>
            </w:r>
          </w:p>
        </w:tc>
        <w:tc>
          <w:tcPr>
            <w:tcW w:w="0" w:type="dxa"/>
            <w:vAlign w:val="bottom"/>
          </w:tcPr>
          <w:p>
            <w:pPr>
              <w:spacing w:after="0"/>
              <w:rPr>
                <w:sz w:val="1"/>
                <w:szCs w:val="1"/>
                <w:color w:val="auto"/>
              </w:rPr>
            </w:pPr>
          </w:p>
        </w:tc>
      </w:tr>
      <w:tr>
        <w:trPr>
          <w:trHeight w:val="257"/>
        </w:trPr>
        <w:tc>
          <w:tcPr>
            <w:tcW w:w="2300" w:type="dxa"/>
            <w:vAlign w:val="bottom"/>
            <w:gridSpan w:val="2"/>
          </w:tcPr>
          <w:p>
            <w:pPr>
              <w:ind w:left="280"/>
              <w:spacing w:after="0"/>
              <w:rPr>
                <w:sz w:val="20"/>
                <w:szCs w:val="20"/>
                <w:color w:val="auto"/>
              </w:rPr>
            </w:pPr>
            <w:r>
              <w:rPr>
                <w:rFonts w:ascii="Arial" w:cs="Arial" w:eastAsia="Arial" w:hAnsi="Arial"/>
                <w:sz w:val="18"/>
                <w:szCs w:val="18"/>
                <w:color w:val="auto"/>
              </w:rPr>
              <w:t>Total consideration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11,647</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14,550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14,250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5"/>
              </w:rPr>
              <w:t>241,878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36,500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14,000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349,075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2018, we acquired the following land for expansion / development: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Expansion /</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2820" w:type="dxa"/>
            <w:vAlign w:val="bottom"/>
          </w:tcPr>
          <w:p>
            <w:pPr>
              <w:ind w:left="420"/>
              <w:spacing w:after="0"/>
              <w:rPr>
                <w:sz w:val="20"/>
                <w:szCs w:val="20"/>
                <w:color w:val="auto"/>
              </w:rPr>
            </w:pPr>
            <w:r>
              <w:rPr>
                <w:rFonts w:ascii="Arial" w:cs="Arial" w:eastAsia="Arial" w:hAnsi="Arial"/>
                <w:sz w:val="16"/>
                <w:szCs w:val="16"/>
                <w:b w:val="1"/>
                <w:bCs w:val="1"/>
                <w:color w:val="auto"/>
              </w:rPr>
              <w:t>Location</w:t>
            </w: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Type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Development Sites</w:t>
            </w:r>
          </w:p>
        </w:tc>
        <w:tc>
          <w:tcPr>
            <w:tcW w:w="160" w:type="dxa"/>
            <w:vAlign w:val="bottom"/>
          </w:tcPr>
          <w:p>
            <w:pPr>
              <w:spacing w:after="0"/>
              <w:rPr>
                <w:sz w:val="18"/>
                <w:szCs w:val="18"/>
                <w:color w:val="auto"/>
              </w:rPr>
            </w:pPr>
          </w:p>
        </w:tc>
        <w:tc>
          <w:tcPr>
            <w:tcW w:w="1200" w:type="dxa"/>
            <w:vAlign w:val="bottom"/>
          </w:tcPr>
          <w:p>
            <w:pPr>
              <w:jc w:val="right"/>
              <w:ind w:right="71"/>
              <w:spacing w:after="0"/>
              <w:rPr>
                <w:sz w:val="20"/>
                <w:szCs w:val="20"/>
                <w:color w:val="auto"/>
              </w:rPr>
            </w:pPr>
            <w:r>
              <w:rPr>
                <w:rFonts w:ascii="Arial" w:cs="Arial" w:eastAsia="Arial" w:hAnsi="Arial"/>
                <w:sz w:val="16"/>
                <w:szCs w:val="16"/>
                <w:b w:val="1"/>
                <w:bCs w:val="1"/>
                <w:color w:val="auto"/>
                <w:w w:val="91"/>
              </w:rPr>
              <w:t>Cost (millions)</w:t>
            </w:r>
          </w:p>
        </w:tc>
        <w:tc>
          <w:tcPr>
            <w:tcW w:w="1360" w:type="dxa"/>
            <w:vAlign w:val="bottom"/>
          </w:tcPr>
          <w:p>
            <w:pPr>
              <w:ind w:left="160"/>
              <w:spacing w:after="0"/>
              <w:rPr>
                <w:sz w:val="20"/>
                <w:szCs w:val="20"/>
                <w:color w:val="auto"/>
              </w:rPr>
            </w:pPr>
            <w:r>
              <w:rPr>
                <w:rFonts w:ascii="Arial" w:cs="Arial" w:eastAsia="Arial" w:hAnsi="Arial"/>
                <w:sz w:val="16"/>
                <w:szCs w:val="16"/>
                <w:b w:val="1"/>
                <w:bCs w:val="1"/>
                <w:color w:val="auto"/>
                <w:w w:val="96"/>
              </w:rPr>
              <w:t>Month Acquired</w:t>
            </w:r>
          </w:p>
        </w:tc>
      </w:tr>
      <w:tr>
        <w:trPr>
          <w:trHeight w:val="33"/>
        </w:trPr>
        <w:tc>
          <w:tcPr>
            <w:tcW w:w="28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Ocean West</w:t>
            </w:r>
          </w:p>
        </w:tc>
        <w:tc>
          <w:tcPr>
            <w:tcW w:w="28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McKinleyville, CA</w:t>
            </w: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MH</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Water Oak Country Club Estates</w:t>
            </w:r>
          </w:p>
        </w:tc>
        <w:tc>
          <w:tcPr>
            <w:tcW w:w="2820" w:type="dxa"/>
            <w:vAlign w:val="bottom"/>
          </w:tcPr>
          <w:p>
            <w:pPr>
              <w:ind w:left="420"/>
              <w:spacing w:after="0"/>
              <w:rPr>
                <w:sz w:val="20"/>
                <w:szCs w:val="20"/>
                <w:color w:val="auto"/>
              </w:rPr>
            </w:pPr>
            <w:r>
              <w:rPr>
                <w:rFonts w:ascii="Arial" w:cs="Arial" w:eastAsia="Arial" w:hAnsi="Arial"/>
                <w:sz w:val="18"/>
                <w:szCs w:val="18"/>
                <w:color w:val="auto"/>
              </w:rPr>
              <w:t>Lady Lake, FL</w:t>
            </w: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MH</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360" w:type="dxa"/>
            <w:vAlign w:val="bottom"/>
          </w:tcPr>
          <w:p>
            <w:pPr>
              <w:ind w:left="140"/>
              <w:spacing w:after="0"/>
              <w:rPr>
                <w:sz w:val="20"/>
                <w:szCs w:val="20"/>
                <w:color w:val="auto"/>
              </w:rPr>
            </w:pPr>
            <w:r>
              <w:rPr>
                <w:rFonts w:ascii="Arial" w:cs="Arial" w:eastAsia="Arial" w:hAnsi="Arial"/>
                <w:sz w:val="18"/>
                <w:szCs w:val="18"/>
                <w:color w:val="auto"/>
              </w:rPr>
              <w:t>November</w:t>
            </w:r>
          </w:p>
        </w:tc>
      </w:tr>
      <w:tr>
        <w:trPr>
          <w:trHeight w:val="27"/>
        </w:trPr>
        <w:tc>
          <w:tcPr>
            <w:tcW w:w="28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Oak Crest</w:t>
            </w:r>
          </w:p>
        </w:tc>
        <w:tc>
          <w:tcPr>
            <w:tcW w:w="28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Austin, TX</w:t>
            </w: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MH</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October</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Pecan Park</w:t>
            </w:r>
          </w:p>
        </w:tc>
        <w:tc>
          <w:tcPr>
            <w:tcW w:w="2820" w:type="dxa"/>
            <w:vAlign w:val="bottom"/>
          </w:tcPr>
          <w:p>
            <w:pPr>
              <w:ind w:left="420"/>
              <w:spacing w:after="0"/>
              <w:rPr>
                <w:sz w:val="20"/>
                <w:szCs w:val="20"/>
                <w:color w:val="auto"/>
              </w:rPr>
            </w:pPr>
            <w:r>
              <w:rPr>
                <w:rFonts w:ascii="Arial" w:cs="Arial" w:eastAsia="Arial" w:hAnsi="Arial"/>
                <w:sz w:val="18"/>
                <w:szCs w:val="18"/>
                <w:color w:val="auto"/>
              </w:rPr>
              <w:t>Jacksonville, FL</w:t>
            </w: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RV</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360" w:type="dxa"/>
            <w:vAlign w:val="bottom"/>
          </w:tcPr>
          <w:p>
            <w:pPr>
              <w:ind w:left="140"/>
              <w:spacing w:after="0"/>
              <w:rPr>
                <w:sz w:val="20"/>
                <w:szCs w:val="20"/>
                <w:color w:val="auto"/>
              </w:rPr>
            </w:pPr>
            <w:r>
              <w:rPr>
                <w:rFonts w:ascii="Arial" w:cs="Arial" w:eastAsia="Arial" w:hAnsi="Arial"/>
                <w:sz w:val="18"/>
                <w:szCs w:val="18"/>
                <w:color w:val="auto"/>
              </w:rPr>
              <w:t>September</w:t>
            </w:r>
          </w:p>
        </w:tc>
      </w:tr>
      <w:tr>
        <w:trPr>
          <w:trHeight w:val="27"/>
        </w:trPr>
        <w:tc>
          <w:tcPr>
            <w:tcW w:w="28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Smith Creek Crossing</w:t>
            </w:r>
          </w:p>
        </w:tc>
        <w:tc>
          <w:tcPr>
            <w:tcW w:w="28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Granby, CO</w:t>
            </w: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MH</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September</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Apple Carr</w:t>
            </w:r>
          </w:p>
        </w:tc>
        <w:tc>
          <w:tcPr>
            <w:tcW w:w="2820" w:type="dxa"/>
            <w:vAlign w:val="bottom"/>
          </w:tcPr>
          <w:p>
            <w:pPr>
              <w:ind w:left="420"/>
              <w:spacing w:after="0"/>
              <w:rPr>
                <w:sz w:val="20"/>
                <w:szCs w:val="20"/>
                <w:color w:val="auto"/>
              </w:rPr>
            </w:pPr>
            <w:r>
              <w:rPr>
                <w:rFonts w:ascii="Arial" w:cs="Arial" w:eastAsia="Arial" w:hAnsi="Arial"/>
                <w:sz w:val="18"/>
                <w:szCs w:val="18"/>
                <w:color w:val="auto"/>
              </w:rPr>
              <w:t>Egelston, MI</w:t>
            </w: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MH</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360" w:type="dxa"/>
            <w:vAlign w:val="bottom"/>
          </w:tcPr>
          <w:p>
            <w:pPr>
              <w:ind w:left="140"/>
              <w:spacing w:after="0"/>
              <w:rPr>
                <w:sz w:val="20"/>
                <w:szCs w:val="20"/>
                <w:color w:val="auto"/>
              </w:rPr>
            </w:pPr>
            <w:r>
              <w:rPr>
                <w:rFonts w:ascii="Arial" w:cs="Arial" w:eastAsia="Arial" w:hAnsi="Arial"/>
                <w:sz w:val="18"/>
                <w:szCs w:val="18"/>
                <w:color w:val="auto"/>
              </w:rPr>
              <w:t>May</w:t>
            </w:r>
          </w:p>
        </w:tc>
      </w:tr>
      <w:tr>
        <w:trPr>
          <w:trHeight w:val="27"/>
        </w:trPr>
        <w:tc>
          <w:tcPr>
            <w:tcW w:w="28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River Run Ranch</w:t>
            </w:r>
          </w:p>
        </w:tc>
        <w:tc>
          <w:tcPr>
            <w:tcW w:w="28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Granby, CO</w:t>
            </w: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MH / RV</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May</w:t>
            </w:r>
          </w:p>
        </w:tc>
      </w:tr>
      <w:tr>
        <w:trPr>
          <w:trHeight w:val="237"/>
        </w:trPr>
        <w:tc>
          <w:tcPr>
            <w:tcW w:w="28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w:t>
            </w:r>
          </w:p>
        </w:tc>
        <w:tc>
          <w:tcPr>
            <w:tcW w:w="13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Collateralized Receivables and Transfers of Financial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previously completed various transactions with an unrelated entity involving our notes receivable under which we received cash proceeds in exchange for relinquishing our right, title, and interest in certain notes receivable. We have no further obligations or rights with respect to the control, management, administration, servicing, or collection of the installment notes receivable. However, we are subject to certain recourse provisions requiring us to purchase the underlying homes collateralizing such notes, in the event of a note default and subsequent repossession of the home by the unrelated entity. The recourse provisions are considered to be a form of continuing involvement, and therefore these transferred loans did not meet the requirements for sale accounting. We continue to recognize these transferred loans on our balance sheet and refer to them as collateralized receivables. The proceeds from the transfer have been recognized as a secured borrowing.</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of a note default and subsequent repossession of a manufactured home by the unrelated entity, the terms of the agreement require us to repurchase the manufactured home. Default is defined as the failure to repay the installment note receivable according to contractual terms. The repurchase price is calculated as a percentage of the outstanding principal balance of the collateralized receivable, plus any outstanding late fees, accrued interest, legal fees, and escrow advances associated with the installment note receivable. The percentage used to determine the repurchase price of the outstanding principal balance on the</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installment note receivable is based on the number of payments made on the note. In general, the repurchase price is determined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 of Payments</w:t>
            </w:r>
          </w:p>
        </w:tc>
        <w:tc>
          <w:tcPr>
            <w:tcW w:w="518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Repurchase Percentage</w:t>
            </w:r>
          </w:p>
        </w:tc>
      </w:tr>
      <w:tr>
        <w:trPr>
          <w:trHeight w:val="250"/>
        </w:trPr>
        <w:tc>
          <w:tcPr>
            <w:tcW w:w="6240" w:type="dxa"/>
            <w:vAlign w:val="bottom"/>
            <w:shd w:val="clear" w:color="auto" w:fill="D2F0FF"/>
          </w:tcPr>
          <w:p>
            <w:pPr>
              <w:ind w:left="40"/>
              <w:spacing w:after="0"/>
              <w:rPr>
                <w:sz w:val="20"/>
                <w:szCs w:val="20"/>
                <w:color w:val="auto"/>
              </w:rPr>
            </w:pPr>
            <w:r>
              <w:rPr>
                <w:rFonts w:ascii="Arial" w:cs="Arial" w:eastAsia="Arial" w:hAnsi="Arial"/>
                <w:sz w:val="18"/>
                <w:szCs w:val="18"/>
                <w:color w:val="auto"/>
              </w:rPr>
              <w:t>Fewer than or equal to 15</w:t>
            </w:r>
          </w:p>
        </w:tc>
        <w:tc>
          <w:tcPr>
            <w:tcW w:w="5180" w:type="dxa"/>
            <w:vAlign w:val="bottom"/>
            <w:shd w:val="clear" w:color="auto" w:fill="D2F0FF"/>
          </w:tcPr>
          <w:p>
            <w:pPr>
              <w:jc w:val="right"/>
              <w:spacing w:after="0"/>
              <w:rPr>
                <w:sz w:val="20"/>
                <w:szCs w:val="20"/>
                <w:color w:val="auto"/>
              </w:rPr>
            </w:pPr>
            <w:r>
              <w:rPr>
                <w:rFonts w:ascii="Arial" w:cs="Arial" w:eastAsia="Arial" w:hAnsi="Arial"/>
                <w:sz w:val="18"/>
                <w:szCs w:val="18"/>
                <w:color w:val="auto"/>
              </w:rPr>
              <w:t>100%</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Greater than 15 but fewer than 64</w:t>
            </w:r>
          </w:p>
        </w:tc>
        <w:tc>
          <w:tcPr>
            <w:tcW w:w="51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7"/>
        </w:trPr>
        <w:tc>
          <w:tcPr>
            <w:tcW w:w="6240" w:type="dxa"/>
            <w:vAlign w:val="bottom"/>
            <w:shd w:val="clear" w:color="auto" w:fill="D2F0FF"/>
          </w:tcPr>
          <w:p>
            <w:pPr>
              <w:ind w:left="40"/>
              <w:spacing w:after="0"/>
              <w:rPr>
                <w:sz w:val="20"/>
                <w:szCs w:val="20"/>
                <w:color w:val="auto"/>
              </w:rPr>
            </w:pPr>
            <w:r>
              <w:rPr>
                <w:rFonts w:ascii="Arial" w:cs="Arial" w:eastAsia="Arial" w:hAnsi="Arial"/>
                <w:sz w:val="18"/>
                <w:szCs w:val="18"/>
                <w:color w:val="auto"/>
              </w:rPr>
              <w:t>Equal to or greater than 64 but fewer than 120</w:t>
            </w:r>
          </w:p>
        </w:tc>
        <w:tc>
          <w:tcPr>
            <w:tcW w:w="5180" w:type="dxa"/>
            <w:vAlign w:val="bottom"/>
            <w:shd w:val="clear" w:color="auto" w:fill="D2F0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120 or more</w:t>
            </w:r>
          </w:p>
        </w:tc>
        <w:tc>
          <w:tcPr>
            <w:tcW w:w="518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transferred assets have been classified as Collateralized receivables, net and the cash proceeds received from these transactions have been classified as Secured borrowings on collateralized receivables within the Consolidated Balance Sheets. The balance of the collateralized receivables was $101.9 million (net of allowance of $0.7 million) and $106.9 million (net of allowance of $0.8 million) as of March 31, 2019 and December 31, 2018, respectively. The receivables have a weighted average interest rate and maturity of 9.9 percent and 13.9 years as of March 31, 2019, and 9.9 percent and 14.1 years as of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outstanding balance on the secured borrowing was $102.7 million and $107.7 million as of March 31, 2019 and December 31, 2018, respectively.</w:t>
      </w:r>
    </w:p>
    <w:p>
      <w:pPr>
        <w:spacing w:after="0" w:line="23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collateralized receivables earn interest income, and the secured borrowings accrue interest expense at the same interest rates. The amount of interest income and expense recognized was $2.4 million and $2.8 million for the three months ended March 31, 2019 and 2018, respectively.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balances of the collateralized receivables and secured borrowings are reduced as the related collateralized receivables are collected from the customers, or as the underlying collateral is repurchased. The change in the aggregate gross principal balance of the collateralized receivables is as follows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Three Months Ended</w:t>
            </w:r>
          </w:p>
        </w:tc>
      </w:tr>
      <w:tr>
        <w:trPr>
          <w:trHeight w:val="192"/>
        </w:trPr>
        <w:tc>
          <w:tcPr>
            <w:tcW w:w="9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107,731</w:t>
            </w:r>
          </w:p>
        </w:tc>
      </w:tr>
      <w:tr>
        <w:trPr>
          <w:trHeight w:val="263"/>
        </w:trPr>
        <w:tc>
          <w:tcPr>
            <w:tcW w:w="9480" w:type="dxa"/>
            <w:vAlign w:val="bottom"/>
          </w:tcPr>
          <w:p>
            <w:pPr>
              <w:ind w:left="360"/>
              <w:spacing w:after="0"/>
              <w:rPr>
                <w:sz w:val="20"/>
                <w:szCs w:val="20"/>
                <w:color w:val="auto"/>
              </w:rPr>
            </w:pPr>
            <w:r>
              <w:rPr>
                <w:rFonts w:ascii="Arial" w:cs="Arial" w:eastAsia="Arial" w:hAnsi="Arial"/>
                <w:sz w:val="18"/>
                <w:szCs w:val="18"/>
                <w:color w:val="auto"/>
              </w:rPr>
              <w:t>Principal payments and payoffs from our customers</w:t>
            </w:r>
          </w:p>
        </w:tc>
        <w:tc>
          <w:tcPr>
            <w:tcW w:w="2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(3,109)</w:t>
            </w:r>
          </w:p>
        </w:tc>
      </w:tr>
      <w:tr>
        <w:trPr>
          <w:trHeight w:val="270"/>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reduction from repurchased homes</w:t>
            </w: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r>
      <w:tr>
        <w:trPr>
          <w:trHeight w:val="264"/>
        </w:trPr>
        <w:tc>
          <w:tcPr>
            <w:tcW w:w="94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activity</w:t>
            </w: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102,676</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allowance for the collateralized receivables as of March 31, 2019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26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7620" w:type="dxa"/>
            <w:vAlign w:val="bottom"/>
          </w:tcPr>
          <w:p>
            <w:pPr>
              <w:ind w:left="260"/>
              <w:spacing w:after="0"/>
              <w:rPr>
                <w:sz w:val="20"/>
                <w:szCs w:val="20"/>
                <w:color w:val="auto"/>
              </w:rPr>
            </w:pPr>
            <w:r>
              <w:rPr>
                <w:rFonts w:ascii="Arial" w:cs="Arial" w:eastAsia="Arial" w:hAnsi="Arial"/>
                <w:sz w:val="18"/>
                <w:szCs w:val="18"/>
                <w:color w:val="auto"/>
              </w:rPr>
              <w:t>Lower of cost or market write-downs</w:t>
            </w: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60" w:type="dxa"/>
            <w:vAlign w:val="bottom"/>
            <w:tcBorders>
              <w:bottom w:val="single" w:sz="8" w:color="CCEEFF"/>
            </w:tcBorders>
            <w:shd w:val="clear" w:color="auto" w:fill="CCEEFF"/>
          </w:tcPr>
          <w:p>
            <w:pPr>
              <w:spacing w:after="0"/>
              <w:rPr>
                <w:sz w:val="24"/>
                <w:szCs w:val="24"/>
                <w:color w:val="auto"/>
              </w:rPr>
            </w:pPr>
          </w:p>
        </w:tc>
        <w:tc>
          <w:tcPr>
            <w:tcW w:w="7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Decrease to reserve balance</w:t>
            </w:r>
          </w:p>
        </w:tc>
        <w:tc>
          <w:tcPr>
            <w:tcW w:w="2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60" w:type="dxa"/>
            <w:vAlign w:val="bottom"/>
            <w:tcBorders>
              <w:bottom w:val="single" w:sz="8" w:color="CCEEFF"/>
            </w:tcBorders>
          </w:tcPr>
          <w:p>
            <w:pPr>
              <w:spacing w:after="0"/>
              <w:rPr>
                <w:sz w:val="22"/>
                <w:szCs w:val="22"/>
                <w:color w:val="auto"/>
              </w:rPr>
            </w:pPr>
          </w:p>
        </w:tc>
        <w:tc>
          <w:tcPr>
            <w:tcW w:w="762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Total activity</w:t>
            </w:r>
          </w:p>
        </w:tc>
        <w:tc>
          <w:tcPr>
            <w:tcW w:w="2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76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Notes and Other Receivables</w:t>
            </w: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60" w:type="dxa"/>
            <w:vAlign w:val="bottom"/>
            <w:vMerge w:val="continue"/>
          </w:tcPr>
          <w:p>
            <w:pPr>
              <w:spacing w:after="0"/>
              <w:rPr>
                <w:sz w:val="24"/>
                <w:szCs w:val="24"/>
                <w:color w:val="auto"/>
              </w:rPr>
            </w:pPr>
          </w:p>
        </w:tc>
        <w:tc>
          <w:tcPr>
            <w:tcW w:w="7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80" w:type="dxa"/>
            <w:vAlign w:val="bottom"/>
            <w:gridSpan w:val="2"/>
          </w:tcPr>
          <w:p>
            <w:pPr>
              <w:spacing w:after="0"/>
              <w:rPr>
                <w:sz w:val="20"/>
                <w:szCs w:val="20"/>
                <w:color w:val="auto"/>
              </w:rPr>
            </w:pPr>
            <w:r>
              <w:rPr>
                <w:rFonts w:ascii="Arial" w:cs="Arial" w:eastAsia="Arial" w:hAnsi="Arial"/>
                <w:sz w:val="18"/>
                <w:szCs w:val="18"/>
                <w:color w:val="auto"/>
                <w:w w:val="96"/>
              </w:rPr>
              <w:t>The following table sets forth certain information regarding notes and other receivables (in thousands):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60" w:type="dxa"/>
            <w:vAlign w:val="bottom"/>
            <w:tcBorders>
              <w:bottom w:val="single" w:sz="8" w:color="CCEEFF"/>
            </w:tcBorders>
          </w:tcPr>
          <w:p>
            <w:pPr>
              <w:spacing w:after="0"/>
              <w:rPr>
                <w:sz w:val="24"/>
                <w:szCs w:val="24"/>
                <w:color w:val="auto"/>
              </w:rPr>
            </w:pPr>
          </w:p>
        </w:tc>
        <w:tc>
          <w:tcPr>
            <w:tcW w:w="76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December 31,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Installment notes receivable on manufactured homes,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109,256</w:t>
            </w:r>
          </w:p>
        </w:tc>
        <w:tc>
          <w:tcPr>
            <w:tcW w:w="40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112,798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receivables, net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70,558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47,279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Borders>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0" w:type="dxa"/>
            <w:vAlign w:val="bottom"/>
            <w:shd w:val="clear" w:color="auto" w:fill="CCEEFF"/>
          </w:tcPr>
          <w:p>
            <w:pPr>
              <w:spacing w:after="0"/>
              <w:rPr>
                <w:sz w:val="22"/>
                <w:szCs w:val="22"/>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notes and other receivables,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179,814</w:t>
            </w:r>
          </w:p>
        </w:tc>
        <w:tc>
          <w:tcPr>
            <w:tcW w:w="4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160,077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investment in installment notes of $109.3 million (net of allowance of $0.7 million) and $112.8 million (net of allowance of $0.7 million) as of March 31, 2019 and December 31, 2018, respectively, are collateralized by manufactured homes. The notes represent financing to purchasers of manufactured homes primarily located in our communities and require monthly principal and interest payments. The notes have a net weighted average interest rate (net of servicing costs) and maturity of 8.0 percent and 16.4 years as of March 31, 2019, and 8.0 percent and 16.6 years as of December 31, 2018,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aggregate gross principal balance of the installment notes receivable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85"/>
        </w:trPr>
        <w:tc>
          <w:tcPr>
            <w:tcW w:w="9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113,495</w:t>
            </w:r>
          </w:p>
        </w:tc>
        <w:tc>
          <w:tcPr>
            <w:tcW w:w="0" w:type="dxa"/>
            <w:vAlign w:val="bottom"/>
          </w:tcPr>
          <w:p>
            <w:pPr>
              <w:spacing w:after="0"/>
              <w:rPr>
                <w:sz w:val="1"/>
                <w:szCs w:val="1"/>
                <w:color w:val="auto"/>
              </w:rPr>
            </w:pPr>
          </w:p>
        </w:tc>
      </w:tr>
      <w:tr>
        <w:trPr>
          <w:trHeight w:val="243"/>
        </w:trPr>
        <w:tc>
          <w:tcPr>
            <w:tcW w:w="9480" w:type="dxa"/>
            <w:vAlign w:val="bottom"/>
          </w:tcPr>
          <w:p>
            <w:pPr>
              <w:ind w:left="520"/>
              <w:spacing w:after="0"/>
              <w:rPr>
                <w:sz w:val="20"/>
                <w:szCs w:val="20"/>
                <w:color w:val="auto"/>
              </w:rPr>
            </w:pPr>
            <w:r>
              <w:rPr>
                <w:rFonts w:ascii="Arial" w:cs="Arial" w:eastAsia="Arial" w:hAnsi="Arial"/>
                <w:sz w:val="18"/>
                <w:szCs w:val="18"/>
                <w:color w:val="auto"/>
              </w:rPr>
              <w:t>Investment in installment notes</w:t>
            </w:r>
          </w:p>
        </w:tc>
        <w:tc>
          <w:tcPr>
            <w:tcW w:w="220" w:type="dxa"/>
            <w:vAlign w:val="bottom"/>
          </w:tcPr>
          <w:p>
            <w:pPr>
              <w:spacing w:after="0"/>
              <w:rPr>
                <w:sz w:val="21"/>
                <w:szCs w:val="21"/>
                <w:color w:val="auto"/>
              </w:rPr>
            </w:pP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Principal payments and payoffs from customers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64"/>
        </w:trPr>
        <w:tc>
          <w:tcPr>
            <w:tcW w:w="94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Principal reduction from repossessed homes</w:t>
            </w: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50"/>
        </w:trPr>
        <w:tc>
          <w:tcPr>
            <w:tcW w:w="94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activity</w:t>
            </w: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64"/>
        </w:trPr>
        <w:tc>
          <w:tcPr>
            <w:tcW w:w="948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109,911</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i w:val="1"/>
                <w:iCs w:val="1"/>
                <w:color w:val="auto"/>
              </w:rPr>
              <w:t>Allowance for Losses for Installment Notes Receivable</w:t>
            </w: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9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80" w:type="dxa"/>
            <w:vAlign w:val="bottom"/>
          </w:tcPr>
          <w:p>
            <w:pPr>
              <w:spacing w:after="0"/>
              <w:rPr>
                <w:sz w:val="20"/>
                <w:szCs w:val="20"/>
                <w:color w:val="auto"/>
              </w:rPr>
            </w:pPr>
            <w:r>
              <w:rPr>
                <w:rFonts w:ascii="Arial" w:cs="Arial" w:eastAsia="Arial" w:hAnsi="Arial"/>
                <w:sz w:val="18"/>
                <w:szCs w:val="18"/>
                <w:color w:val="auto"/>
              </w:rPr>
              <w:t>The following table sets forth the allowance change for the installment notes receivable as follows (in thousands):</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85"/>
        </w:trPr>
        <w:tc>
          <w:tcPr>
            <w:tcW w:w="9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63"/>
        </w:trPr>
        <w:tc>
          <w:tcPr>
            <w:tcW w:w="9480" w:type="dxa"/>
            <w:vAlign w:val="bottom"/>
          </w:tcPr>
          <w:p>
            <w:pPr>
              <w:ind w:left="520"/>
              <w:spacing w:after="0"/>
              <w:rPr>
                <w:sz w:val="20"/>
                <w:szCs w:val="20"/>
                <w:color w:val="auto"/>
              </w:rPr>
            </w:pPr>
            <w:r>
              <w:rPr>
                <w:rFonts w:ascii="Arial" w:cs="Arial" w:eastAsia="Arial" w:hAnsi="Arial"/>
                <w:sz w:val="18"/>
                <w:szCs w:val="18"/>
                <w:color w:val="auto"/>
              </w:rPr>
              <w:t>Lower of cost or market write-downs</w:t>
            </w:r>
          </w:p>
        </w:tc>
        <w:tc>
          <w:tcPr>
            <w:tcW w:w="220" w:type="dxa"/>
            <w:vAlign w:val="bottom"/>
          </w:tcPr>
          <w:p>
            <w:pPr>
              <w:spacing w:after="0"/>
              <w:rPr>
                <w:sz w:val="22"/>
                <w:szCs w:val="22"/>
                <w:color w:val="auto"/>
              </w:rPr>
            </w:pP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9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to reserve balance</w:t>
            </w: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4"/>
        </w:trPr>
        <w:tc>
          <w:tcPr>
            <w:tcW w:w="948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Total activity</w:t>
            </w: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Receivables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2019, other receivables were comprised of amounts due from: residents for rent, utility charges, fees and other pass through charges of $13.0 million; home sale proceeds of $18.0 million; insurance receivables of $18.5 million and other receivables of $21.1 million. As of December 31, 2018, other receivables were comprised of amounts due from: residents for rent, utility charges, fees and other pass through charges of $7.1 million (net of allowance of $1.5 million); home sale proceeds of $16.1 million; and insurance and other receivables of $24.1 million.</w:t>
      </w:r>
    </w:p>
    <w:p>
      <w:pPr>
        <w:spacing w:after="0" w:line="167"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intangible assets include in-place leases, franchise agreements and other intangible assets. These intangible assets are recorded in Other assets, net on the Consolidated Balance Sheets. In accordance with ASC 842, below market leases are now classified as a right of use asset.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right"/>
              <w:ind w:right="736"/>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46"/>
        </w:trPr>
        <w:tc>
          <w:tcPr>
            <w:tcW w:w="4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Intangible Asset</w:t>
            </w:r>
          </w:p>
        </w:tc>
        <w:tc>
          <w:tcPr>
            <w:tcW w:w="1720" w:type="dxa"/>
            <w:vAlign w:val="bottom"/>
            <w:gridSpan w:val="2"/>
            <w:vMerge w:val="restart"/>
          </w:tcPr>
          <w:p>
            <w:pPr>
              <w:jc w:val="center"/>
              <w:ind w:left="34"/>
              <w:spacing w:after="0"/>
              <w:rPr>
                <w:sz w:val="20"/>
                <w:szCs w:val="20"/>
                <w:color w:val="auto"/>
              </w:rPr>
            </w:pPr>
            <w:r>
              <w:rPr>
                <w:rFonts w:ascii="Arial" w:cs="Arial" w:eastAsia="Arial" w:hAnsi="Arial"/>
                <w:sz w:val="14"/>
                <w:szCs w:val="14"/>
                <w:b w:val="1"/>
                <w:bCs w:val="1"/>
                <w:color w:val="auto"/>
                <w:w w:val="94"/>
              </w:rPr>
              <w:t>Useful Life</w:t>
            </w:r>
          </w:p>
        </w:tc>
        <w:tc>
          <w:tcPr>
            <w:tcW w:w="13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2"/>
                <w:szCs w:val="12"/>
                <w:color w:val="auto"/>
              </w:rPr>
            </w:pPr>
          </w:p>
        </w:tc>
        <w:tc>
          <w:tcPr>
            <w:tcW w:w="1280" w:type="dxa"/>
            <w:vAlign w:val="bottom"/>
            <w:gridSpan w:val="4"/>
          </w:tcPr>
          <w:p>
            <w:pPr>
              <w:ind w:left="80"/>
              <w:spacing w:after="0" w:line="14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10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196"/>
              <w:spacing w:after="0" w:line="147"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92"/>
        </w:trPr>
        <w:tc>
          <w:tcPr>
            <w:tcW w:w="4080" w:type="dxa"/>
            <w:vAlign w:val="bottom"/>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80" w:type="dxa"/>
            <w:vAlign w:val="bottom"/>
            <w:gridSpan w:val="4"/>
          </w:tcPr>
          <w:p>
            <w:pPr>
              <w:ind w:left="8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100" w:type="dxa"/>
            <w:vAlign w:val="bottom"/>
            <w:gridSpan w:val="3"/>
          </w:tcPr>
          <w:p>
            <w:pPr>
              <w:ind w:left="2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In-place leases</w:t>
            </w:r>
          </w:p>
        </w:tc>
        <w:tc>
          <w:tcPr>
            <w:tcW w:w="172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88"/>
              </w:rPr>
              <w:t>7 years</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117,544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(62,740)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103,547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(59,068)</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Franchise agreements and other intangible assets</w:t>
            </w:r>
          </w:p>
        </w:tc>
        <w:tc>
          <w:tcPr>
            <w:tcW w:w="1720" w:type="dxa"/>
            <w:vAlign w:val="bottom"/>
            <w:gridSpan w:val="2"/>
          </w:tcPr>
          <w:p>
            <w:pPr>
              <w:jc w:val="center"/>
              <w:ind w:left="34"/>
              <w:spacing w:after="0"/>
              <w:rPr>
                <w:sz w:val="20"/>
                <w:szCs w:val="20"/>
                <w:color w:val="auto"/>
              </w:rPr>
            </w:pPr>
            <w:r>
              <w:rPr>
                <w:rFonts w:ascii="Arial" w:cs="Arial" w:eastAsia="Arial" w:hAnsi="Arial"/>
                <w:sz w:val="18"/>
                <w:szCs w:val="18"/>
                <w:color w:val="auto"/>
                <w:w w:val="89"/>
              </w:rPr>
              <w:t>7-20 years</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16,944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16,641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134,488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(64,886)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120,188</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120" w:type="dxa"/>
            <w:vAlign w:val="bottom"/>
            <w:gridSpan w:val="5"/>
          </w:tcPr>
          <w:p>
            <w:pPr>
              <w:spacing w:after="0"/>
              <w:rPr>
                <w:sz w:val="20"/>
                <w:szCs w:val="20"/>
                <w:color w:val="auto"/>
              </w:rPr>
            </w:pPr>
            <w:r>
              <w:rPr>
                <w:rFonts w:ascii="Arial" w:cs="Arial" w:eastAsia="Arial" w:hAnsi="Arial"/>
                <w:sz w:val="18"/>
                <w:szCs w:val="18"/>
                <w:color w:val="auto"/>
                <w:w w:val="99"/>
              </w:rPr>
              <w:t>Total amortization expenses related to the intangible assets are as follows (in thousands):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Intangible Asset</w:t>
            </w:r>
          </w:p>
        </w:tc>
        <w:tc>
          <w:tcPr>
            <w:tcW w:w="15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In-place leases</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Franchise agreements and other intangible assets</w:t>
            </w: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3,877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We anticipate amortization expense for our intangible assets to be as follows for the next five years (in thousands):</w:t>
      </w:r>
    </w:p>
    <w:p>
      <w:pPr>
        <w:spacing w:after="0" w:line="230"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23495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03" w:lineRule="exact"/>
        <w:rPr>
          <w:sz w:val="20"/>
          <w:szCs w:val="20"/>
          <w:color w:val="auto"/>
        </w:rPr>
      </w:pPr>
    </w:p>
    <w:tbl>
      <w:tblPr>
        <w:tblLayout w:type="fixed"/>
        <w:tblInd w:w="2180" w:type="dxa"/>
        <w:tblCellMar>
          <w:top w:w="0" w:type="dxa"/>
          <w:left w:w="0" w:type="dxa"/>
          <w:bottom w:w="0" w:type="dxa"/>
          <w:right w:w="0" w:type="dxa"/>
        </w:tblCellMar>
      </w:tblPr>
      <w:tr>
        <w:trPr>
          <w:trHeight w:val="186"/>
        </w:trPr>
        <w:tc>
          <w:tcPr>
            <w:tcW w:w="1780" w:type="dxa"/>
            <w:vAlign w:val="bottom"/>
          </w:tcPr>
          <w:p>
            <w:pPr>
              <w:spacing w:after="0"/>
              <w:rPr>
                <w:sz w:val="20"/>
                <w:szCs w:val="20"/>
                <w:color w:val="auto"/>
              </w:rPr>
            </w:pPr>
            <w:r>
              <w:rPr>
                <w:rFonts w:ascii="Arial" w:cs="Arial" w:eastAsia="Arial" w:hAnsi="Arial"/>
                <w:sz w:val="14"/>
                <w:szCs w:val="14"/>
                <w:b w:val="1"/>
                <w:bCs w:val="1"/>
                <w:color w:val="auto"/>
              </w:rPr>
              <w:t>Remainder of 2019</w:t>
            </w:r>
          </w:p>
        </w:tc>
        <w:tc>
          <w:tcPr>
            <w:tcW w:w="1720" w:type="dxa"/>
            <w:vAlign w:val="bottom"/>
          </w:tcPr>
          <w:p>
            <w:pPr>
              <w:jc w:val="right"/>
              <w:ind w:right="748"/>
              <w:spacing w:after="0"/>
              <w:rPr>
                <w:sz w:val="20"/>
                <w:szCs w:val="20"/>
                <w:color w:val="auto"/>
              </w:rPr>
            </w:pPr>
            <w:r>
              <w:rPr>
                <w:rFonts w:ascii="Arial" w:cs="Arial" w:eastAsia="Arial" w:hAnsi="Arial"/>
                <w:sz w:val="14"/>
                <w:szCs w:val="14"/>
                <w:b w:val="1"/>
                <w:bCs w:val="1"/>
                <w:color w:val="auto"/>
              </w:rPr>
              <w:t>2020</w:t>
            </w:r>
          </w:p>
        </w:tc>
        <w:tc>
          <w:tcPr>
            <w:tcW w:w="1940" w:type="dxa"/>
            <w:vAlign w:val="bottom"/>
          </w:tcPr>
          <w:p>
            <w:pPr>
              <w:jc w:val="right"/>
              <w:ind w:right="768"/>
              <w:spacing w:after="0"/>
              <w:rPr>
                <w:sz w:val="20"/>
                <w:szCs w:val="20"/>
                <w:color w:val="auto"/>
              </w:rPr>
            </w:pPr>
            <w:r>
              <w:rPr>
                <w:rFonts w:ascii="Arial" w:cs="Arial" w:eastAsia="Arial" w:hAnsi="Arial"/>
                <w:sz w:val="14"/>
                <w:szCs w:val="14"/>
                <w:b w:val="1"/>
                <w:bCs w:val="1"/>
                <w:color w:val="auto"/>
              </w:rPr>
              <w:t>2021</w:t>
            </w:r>
          </w:p>
        </w:tc>
        <w:tc>
          <w:tcPr>
            <w:tcW w:w="1920" w:type="dxa"/>
            <w:vAlign w:val="bottom"/>
          </w:tcPr>
          <w:p>
            <w:pPr>
              <w:jc w:val="right"/>
              <w:ind w:right="748"/>
              <w:spacing w:after="0"/>
              <w:rPr>
                <w:sz w:val="20"/>
                <w:szCs w:val="20"/>
                <w:color w:val="auto"/>
              </w:rPr>
            </w:pPr>
            <w:r>
              <w:rPr>
                <w:rFonts w:ascii="Arial" w:cs="Arial" w:eastAsia="Arial" w:hAnsi="Arial"/>
                <w:sz w:val="14"/>
                <w:szCs w:val="14"/>
                <w:b w:val="1"/>
                <w:bCs w:val="1"/>
                <w:color w:val="auto"/>
              </w:rPr>
              <w:t>2022</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38" w:lineRule="exact"/>
        <w:rPr>
          <w:sz w:val="20"/>
          <w:szCs w:val="20"/>
          <w:color w:val="auto"/>
        </w:rPr>
      </w:pPr>
    </w:p>
    <w:p>
      <w:pPr>
        <w:ind w:left="40"/>
        <w:spacing w:after="0"/>
        <w:tabs>
          <w:tab w:leader="none" w:pos="1860" w:val="left"/>
          <w:tab w:leader="none" w:pos="3080" w:val="left"/>
          <w:tab w:leader="none" w:pos="3820" w:val="left"/>
          <w:tab w:leader="none" w:pos="5000" w:val="left"/>
          <w:tab w:leader="none" w:pos="5740" w:val="left"/>
          <w:tab w:leader="none" w:pos="6940" w:val="left"/>
          <w:tab w:leader="none" w:pos="7680" w:val="left"/>
          <w:tab w:leader="none" w:pos="8960" w:val="left"/>
          <w:tab w:leader="none" w:pos="9600" w:val="left"/>
          <w:tab w:leader="none" w:pos="10880" w:val="left"/>
        </w:tabs>
        <w:rPr>
          <w:sz w:val="20"/>
          <w:szCs w:val="20"/>
          <w:color w:val="auto"/>
        </w:rPr>
      </w:pPr>
      <w:r>
        <w:rPr>
          <w:rFonts w:ascii="Arial" w:cs="Arial" w:eastAsia="Arial" w:hAnsi="Arial"/>
          <w:sz w:val="18"/>
          <w:szCs w:val="18"/>
          <w:color w:val="auto"/>
        </w:rPr>
        <w:t>Estimated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11,850</w:t>
        <w:tab/>
        <w:t>$</w:t>
      </w:r>
      <w:r>
        <w:rPr>
          <w:sz w:val="20"/>
          <w:szCs w:val="20"/>
          <w:color w:val="auto"/>
        </w:rPr>
        <w:tab/>
      </w:r>
      <w:r>
        <w:rPr>
          <w:rFonts w:ascii="Arial" w:cs="Arial" w:eastAsia="Arial" w:hAnsi="Arial"/>
          <w:sz w:val="18"/>
          <w:szCs w:val="18"/>
          <w:color w:val="auto"/>
        </w:rPr>
        <w:t>14,144</w:t>
        <w:tab/>
        <w:t>$</w:t>
      </w:r>
      <w:r>
        <w:rPr>
          <w:sz w:val="20"/>
          <w:szCs w:val="20"/>
          <w:color w:val="auto"/>
        </w:rPr>
        <w:tab/>
      </w:r>
      <w:r>
        <w:rPr>
          <w:rFonts w:ascii="Arial" w:cs="Arial" w:eastAsia="Arial" w:hAnsi="Arial"/>
          <w:sz w:val="18"/>
          <w:szCs w:val="18"/>
          <w:color w:val="auto"/>
        </w:rPr>
        <w:t>13,752</w:t>
        <w:tab/>
        <w:t>$</w:t>
      </w:r>
      <w:r>
        <w:rPr>
          <w:sz w:val="20"/>
          <w:szCs w:val="20"/>
          <w:color w:val="auto"/>
        </w:rPr>
        <w:tab/>
      </w:r>
      <w:r>
        <w:rPr>
          <w:rFonts w:ascii="Arial" w:cs="Arial" w:eastAsia="Arial" w:hAnsi="Arial"/>
          <w:sz w:val="18"/>
          <w:szCs w:val="18"/>
          <w:color w:val="auto"/>
        </w:rPr>
        <w:t>9,151</w:t>
        <w:tab/>
        <w:t>$</w:t>
      </w:r>
      <w:r>
        <w:rPr>
          <w:sz w:val="20"/>
          <w:szCs w:val="20"/>
          <w:color w:val="auto"/>
        </w:rPr>
        <w:tab/>
      </w:r>
      <w:r>
        <w:rPr>
          <w:rFonts w:ascii="Arial" w:cs="Arial" w:eastAsia="Arial" w:hAnsi="Arial"/>
          <w:sz w:val="16"/>
          <w:szCs w:val="16"/>
          <w:color w:val="auto"/>
        </w:rPr>
        <w:t>5,776</w:t>
      </w:r>
    </w:p>
    <w:p>
      <w:pPr>
        <w:sectPr>
          <w:pgSz w:w="11900" w:h="16838" w:orient="portrait"/>
          <w:cols w:equalWidth="0" w:num="1">
            <w:col w:w="11420"/>
          </w:cols>
          <w:pgMar w:left="240" w:top="121" w:right="239" w:bottom="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652"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Affiliates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Investments in joint ventures that are not consolidated, nor investments recorded at cost, are accounted for using the equity method of accounting as prescribed in FASB ASC Topic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RezPlot Systems LLC (“Rezplot”) </w:t>
      </w:r>
      <w:r>
        <w:rPr>
          <w:rFonts w:ascii="Arial" w:cs="Arial" w:eastAsia="Arial" w:hAnsi="Arial"/>
          <w:sz w:val="18"/>
          <w:szCs w:val="18"/>
          <w:color w:val="auto"/>
        </w:rPr>
        <w:t>- In January 2019, the Company acquired a 50 percent ownership interest in RezPlot, a software technology company.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March 31, 2019 we had a $5.3 million investment in RezPlot which is recorded within Other assets, net on the Consolidated Balance Sheets. During the three months ended March 31, 2019, we recognized $0.2 million loss in the Income / (loss) from nonconsolidated affiliates on the Consolidated Statement of Operations related to our ownership interest.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Sungenia JV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November 2018, the Company and Ingenia Communities Group entered into a joint venture (“JV”) to establish and grow a manufactured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housing community development program in Australia. We hold a 50 percent interest in the JV entity. As of March 31, 2019 and December 31, 2018, we had a $2.2 million and $0.7 million investment in the JV which is recorded within Other assets, net on the Consolidated Balance Sheets. During the three months ended March 31, 2019 we recognized less than $0.1 million loss in the Income / (loss) from nonconsolidated affiliates on the Consolidated Statement of Operations related to our ownership interest.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 xml:space="preserve">GTSC LLC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“GTSC”</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At March 31, 2019, we had a 40 percent ownership interest in GTSC which engages in acquiring, holding and selling loans secured,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directly or indirectly, by manufactured homes located in communities of Sun Communities. Our investment in GTSC as of March 31, 2019 and December 31, 2018 was $37.9 million and $29.8 million, respectively, and is recorded within Other assets, net on the Consolidated Balance Sheets. During the three months ended March 31, 2019 and March 31, 2018, there was $0.5 million net gain and $0.1 million net loss, respectively, in the Income / (loss) from nonconsolidated affiliates on the Consolidated Statement of Operations related to our ownership interest.</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Origen Financial Services, LLC (“OFS LLC”)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March 31, 2019 and 2018, we had a 22.9 percent ownership interest in OFS LLC. As of both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and December 31, 2018 our investment in OFS LLC was $0.1 million respectively and is recorded within Other assets, net on the Consolidated Balance Sheets. During the three months ended March 31, 2019 and March 31, 2018, we recognized less than $0.1 million and no income, respectively, in Income / (loss) from nonconsolidated affiliates on the Consolidated Statement of Operations.</w:t>
      </w:r>
    </w:p>
    <w:p>
      <w:pPr>
        <w:spacing w:after="0" w:line="399"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Variable Interest Entities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2016, we adopted (“ASU 2015-02”) Consolidation (Topic 810): Amendments to the Consolidation Analysis. ASU 2015-02 modified the evaluation of whether limited partnerships and similar legal entities are VIEs or voting interest entities. We evaluated the application of ASU 2015-02 and concluded that no change was required to our accounting for interests in less than wholly-owned Joint ventures. However, the Operating Partnership now meets the criteria as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 Accordingly, we consolidate the Operating Partnership under this new guidance.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June 1, 2018, the Company acquired a majority interest in Sun NG RV Resorts LLC (“Sun NG Resorts”), which is comprised of ten RV resorts and one ground up RV development with 2,700 RV sites and an additional 940 sites available for development. The Company purchased an 80 percent interest in Sun NG Resorts for $61.6 million through Sun NG LLC; the remaining 20 percent interest of $15.4 million is held by NG Sun LLC, an unrelated third-party. Sun paid additional consideration of $123.3 million, consisting of a $1.8 million preferred equity investment and a $121.5 million temporary loan to Sun NG Resorts.</w:t>
      </w:r>
    </w:p>
    <w:p>
      <w:pPr>
        <w:spacing w:after="0" w:line="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consolidate Sun NG Resorts under the guidance set forth in FASB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We concluded that Sun NG Resorts is a variable interest entity where we are the primary beneficiary, as we have power to direct the significant activities, absorb the significant losses and receive the significant benefits from the entity. Refer to Note 3, “Real Estate Acquisitions,” Note 9, “Debt and Lines of Credit,” and Note 10, “Equity and Temporary Equity” for additional information.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consolidate Rudgate Village SPE, LLC; Rudgate Clinton SPE, LLC; and Rudgate Clinton Estates SPE, LLC (collectively, “Rudgate”) as a VIE. We evaluated our arrangement with this property under the guidance set forth in FASB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We concluded that Rudgate qualified as a VIE where we are the primary beneficiary, as we have power to direct the significant activities, absorb the significant losses and receive the significant benefits from the entity.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and liabilities included in our Consolidated Balance Sheets after eliminations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Pr>
          <w:p>
            <w:pPr>
              <w:spacing w:after="0"/>
              <w:rPr>
                <w:sz w:val="16"/>
                <w:szCs w:val="16"/>
                <w:color w:val="auto"/>
              </w:rPr>
            </w:pPr>
          </w:p>
        </w:tc>
        <w:tc>
          <w:tcPr>
            <w:tcW w:w="168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 2018</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property,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314,669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308,171</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3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22,369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19,809</w:t>
            </w:r>
          </w:p>
        </w:tc>
      </w:tr>
      <w:tr>
        <w:trPr>
          <w:trHeight w:val="27"/>
        </w:trPr>
        <w:tc>
          <w:tcPr>
            <w:tcW w:w="7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7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337,038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327,980</w:t>
            </w:r>
          </w:p>
        </w:tc>
      </w:tr>
      <w:tr>
        <w:trPr>
          <w:trHeight w:val="20"/>
        </w:trPr>
        <w:tc>
          <w:tcPr>
            <w:tcW w:w="7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311"/>
        </w:trPr>
        <w:tc>
          <w:tcPr>
            <w:tcW w:w="7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OTHER EQUITY</w:t>
            </w: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43,913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44,172</w:t>
            </w:r>
          </w:p>
        </w:tc>
      </w:tr>
      <w:tr>
        <w:trPr>
          <w:trHeight w:val="27"/>
        </w:trPr>
        <w:tc>
          <w:tcPr>
            <w:tcW w:w="7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Equity - Sun NG Resorts - mandatorily redeemable</w:t>
            </w: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35,277</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21,049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6,914</w:t>
            </w:r>
          </w:p>
        </w:tc>
      </w:tr>
      <w:tr>
        <w:trPr>
          <w:trHeight w:val="27"/>
        </w:trPr>
        <w:tc>
          <w:tcPr>
            <w:tcW w:w="7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100,211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86,363</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Equity Interests - NG Sun LLC</w:t>
            </w:r>
          </w:p>
        </w:tc>
        <w:tc>
          <w:tcPr>
            <w:tcW w:w="3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22,167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21,976</w:t>
            </w:r>
          </w:p>
        </w:tc>
      </w:tr>
      <w:tr>
        <w:trPr>
          <w:trHeight w:val="27"/>
        </w:trPr>
        <w:tc>
          <w:tcPr>
            <w:tcW w:w="7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7,145</w:t>
            </w:r>
          </w:p>
        </w:tc>
      </w:tr>
      <w:tr>
        <w:trPr>
          <w:trHeight w:val="257"/>
        </w:trPr>
        <w:tc>
          <w:tcPr>
            <w:tcW w:w="7300" w:type="dxa"/>
            <w:vAlign w:val="bottom"/>
          </w:tcPr>
          <w:p>
            <w:pPr>
              <w:ind w:left="160"/>
              <w:spacing w:after="0"/>
              <w:rPr>
                <w:sz w:val="20"/>
                <w:szCs w:val="20"/>
                <w:color w:val="auto"/>
              </w:rPr>
            </w:pPr>
            <w:r>
              <w:rPr>
                <w:rFonts w:ascii="Arial" w:cs="Arial" w:eastAsia="Arial" w:hAnsi="Arial"/>
                <w:sz w:val="18"/>
                <w:szCs w:val="18"/>
                <w:b w:val="1"/>
                <w:bCs w:val="1"/>
                <w:color w:val="auto"/>
              </w:rPr>
              <w:t>Total Liabilities and Other Equity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128,576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115,484</w:t>
            </w:r>
          </w:p>
        </w:tc>
      </w:tr>
      <w:tr>
        <w:trPr>
          <w:trHeight w:val="20"/>
        </w:trPr>
        <w:tc>
          <w:tcPr>
            <w:tcW w:w="7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 property, net and other assets, net related to the consolidated VIEs comprised approximately 4.7 percent and 4.9 percent of our consolidated total assets at March 31, 2019 and December 31, 2018, respectively. Debt, Preferred Equity and other liabilities comprised approximately 2.6 percent and 2.6 percent of our consolidated total liabilities at March 31, 2019 and December 31, 2018, respectively. Equity Interests and Noncontrolling interests related to the consolidated VIEs, on an absolute basis, comprised less than 1.0 percent of our consolidated total equity at March 31, 2019 and at December 31, 2018, respectively.</w:t>
      </w:r>
    </w:p>
    <w:p>
      <w:pPr>
        <w:spacing w:after="0" w:line="400"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 and Lines of Credit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debt including premiums, discounts and deferred financing costs (in thousands):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Carrying Amount</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4"/>
          </w:tcPr>
          <w:p>
            <w:pPr>
              <w:ind w:left="840"/>
              <w:spacing w:after="0"/>
              <w:rPr>
                <w:sz w:val="20"/>
                <w:szCs w:val="20"/>
                <w:color w:val="auto"/>
              </w:rPr>
            </w:pPr>
            <w:r>
              <w:rPr>
                <w:rFonts w:ascii="Arial" w:cs="Arial" w:eastAsia="Arial" w:hAnsi="Arial"/>
                <w:sz w:val="14"/>
                <w:szCs w:val="14"/>
                <w:b w:val="1"/>
                <w:bCs w:val="1"/>
                <w:color w:val="auto"/>
              </w:rPr>
              <w:t>Weighted Average</w:t>
            </w:r>
          </w:p>
        </w:tc>
        <w:tc>
          <w:tcPr>
            <w:tcW w:w="2980" w:type="dxa"/>
            <w:vAlign w:val="bottom"/>
            <w:gridSpan w:val="3"/>
          </w:tcPr>
          <w:p>
            <w:pPr>
              <w:jc w:val="right"/>
              <w:ind w:right="832"/>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Borders>
              <w:bottom w:val="single" w:sz="8" w:color="auto"/>
            </w:tcBorders>
            <w:gridSpan w:val="3"/>
          </w:tcPr>
          <w:p>
            <w:pPr>
              <w:jc w:val="right"/>
              <w:ind w:right="772"/>
              <w:spacing w:after="0"/>
              <w:rPr>
                <w:sz w:val="20"/>
                <w:szCs w:val="20"/>
                <w:color w:val="auto"/>
              </w:rPr>
            </w:pPr>
            <w:r>
              <w:rPr>
                <w:rFonts w:ascii="Arial" w:cs="Arial" w:eastAsia="Arial" w:hAnsi="Arial"/>
                <w:sz w:val="14"/>
                <w:szCs w:val="14"/>
                <w:b w:val="1"/>
                <w:bCs w:val="1"/>
                <w:color w:val="auto"/>
              </w:rPr>
              <w:t>Years to Maturity</w:t>
            </w:r>
          </w:p>
        </w:tc>
        <w:tc>
          <w:tcPr>
            <w:tcW w:w="10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952"/>
              <w:spacing w:after="0"/>
              <w:rPr>
                <w:sz w:val="20"/>
                <w:szCs w:val="20"/>
                <w:color w:val="auto"/>
              </w:rPr>
            </w:pPr>
            <w:r>
              <w:rPr>
                <w:rFonts w:ascii="Arial" w:cs="Arial" w:eastAsia="Arial" w:hAnsi="Arial"/>
                <w:sz w:val="14"/>
                <w:szCs w:val="14"/>
                <w:b w:val="1"/>
                <w:bCs w:val="1"/>
                <w:color w:val="auto"/>
              </w:rPr>
              <w:t>Interest Rates</w:t>
            </w: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2019</w:t>
            </w:r>
          </w:p>
        </w:tc>
        <w:tc>
          <w:tcPr>
            <w:tcW w:w="13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8"/>
              </w:rPr>
              <w:t>December 31, 2018</w:t>
            </w:r>
          </w:p>
        </w:tc>
        <w:tc>
          <w:tcPr>
            <w:tcW w:w="100" w:type="dxa"/>
            <w:vAlign w:val="bottom"/>
          </w:tcPr>
          <w:p>
            <w:pPr>
              <w:spacing w:after="0"/>
              <w:rPr>
                <w:sz w:val="22"/>
                <w:szCs w:val="22"/>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2019</w:t>
            </w: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2018</w:t>
            </w:r>
          </w:p>
        </w:tc>
        <w:tc>
          <w:tcPr>
            <w:tcW w:w="154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2019</w:t>
            </w:r>
          </w:p>
        </w:tc>
        <w:tc>
          <w:tcPr>
            <w:tcW w:w="1440" w:type="dxa"/>
            <w:vAlign w:val="bottom"/>
          </w:tcPr>
          <w:p>
            <w:pPr>
              <w:jc w:val="right"/>
              <w:ind w:right="52"/>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15"/>
        </w:trPr>
        <w:tc>
          <w:tcPr>
            <w:tcW w:w="2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Collateralized term loans - Life</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1,330,591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1,259,158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w w:val="95"/>
              </w:rPr>
              <w:t>Collateralized term loans - FNMA</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765,391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770,417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Collateralized term loans - CMBS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403,878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405,702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w w:val="94"/>
              </w:rPr>
              <w:t>Collateralized term loans - FMCC</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379,157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380,680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borrowings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102,676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107,731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Lines of credit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396,512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128,000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Equity - Sun NG</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Resorts - mandatorily redeemable</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35,249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35,277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2580" w:type="dxa"/>
            <w:vAlign w:val="bottom"/>
          </w:tcPr>
          <w:p>
            <w:pPr>
              <w:ind w:left="40"/>
              <w:spacing w:after="0"/>
              <w:rPr>
                <w:sz w:val="20"/>
                <w:szCs w:val="20"/>
                <w:color w:val="auto"/>
              </w:rPr>
            </w:pPr>
            <w:r>
              <w:rPr>
                <w:rFonts w:ascii="Arial" w:cs="Arial" w:eastAsia="Arial" w:hAnsi="Arial"/>
                <w:sz w:val="18"/>
                <w:szCs w:val="18"/>
                <w:color w:val="auto"/>
                <w:w w:val="97"/>
              </w:rPr>
              <w:t>Preferred OP units - mandatorily</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40"/>
              <w:spacing w:after="0"/>
              <w:rPr>
                <w:sz w:val="20"/>
                <w:szCs w:val="20"/>
                <w:color w:val="auto"/>
              </w:rPr>
            </w:pPr>
            <w:r>
              <w:rPr>
                <w:rFonts w:ascii="Arial" w:cs="Arial" w:eastAsia="Arial" w:hAnsi="Arial"/>
                <w:sz w:val="18"/>
                <w:szCs w:val="18"/>
                <w:color w:val="auto"/>
              </w:rPr>
              <w:t>redeemable</w:t>
            </w: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34,663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37,338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3,448,117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3,124,303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40" w:type="dxa"/>
            <w:vAlign w:val="bottom"/>
            <w:gridSpan w:val="2"/>
            <w:vMerge w:val="restart"/>
          </w:tcPr>
          <w:p>
            <w:pPr>
              <w:jc w:val="right"/>
              <w:ind w:right="988"/>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Term Loans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March 31, 2019, we completed a $265.0 million 25-year term loan transaction which carries an interest rate of 4.17 percent. Concurrently, we repaid a $186.8 million term loan with an interest rate of 3.83 percent which was due to mature in January 2030. We recognized a loss on extinguishment of debt of $0.7 million as a result of the repayment transaction in our Consolidated Statement of Operations.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months ended December 31, 2018, we repaid a term loan of $10.2 million with an interest rate of 5.66 percent. The loan was due to mature on February 28, 2019. Concurrently, we entered into a $21.7 million collateralized term loan with a 4.10 percent fixed interest rate and 20-year term.</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September 30, 2018, we entered into a $228.0 million collateralized term loan with a 4.10 percent fixed rate and a 20-year term. During the three months ended September 30, 2018, we repaid one collateralized term loan of $30.5 million with an interest rate of 6.34 percent, releasing one encumbered community, which was due to mature March 1, 2019. We recognized a loss on extinguishment of debt of $0.9 million as a result of the repayment transaction in our Consolidated Statement of Operations.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June 30, 2018 we repaid three collateralized term loans totaling $177.7 million with a weighted average interest rate of 4.53 percent, releasing 11 encumbered communities. One loan was due to mature on August 1, 2018 and two loans were due to mature on May 1, 2023. We recognized a loss on extinguishment of debt of $1.5 million as a result of the repayment transaction.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quarter of 2018, we repaid four collateralized term loans totaling $24.4 million with a weighted average interest rate of 6.36 percent, releasing three encumbered communities. The loans were due to mature on March 1, 2019. We recognized a loss on extinguishment of debt of $0.2 million as a result of the repayment transactions.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collateralized term loans totaling $2.9 billion as of March 31, 2019, are secured by 185 properties comprised of 72,964 sites representing approximately $3.2 billion of net book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Borrowing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4, “Collateralized Receivables and Transfers of Financial Assets,” for information regarding our collateralized receivables and secured borrowing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OP Units - mandatorily redeemable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Preferred OP units at March 31, 2019 and December 31, 2018 include $34.7 million of Aspen preferred OP units issued by the Operating Partnership. As of March 31, 2019, these units are convertible indirectly into 430,260 shares of our common stock. Subject to certain limitations, at any time prior to January 1, 2024, the holder of each Aspen preferred OP unit at its option may convert such Aspen preferred OP unit into: (a) if the market price of our common stock is $68.00 per share or less, 0.397 common OP units; or (b) if the market price of our common stock is greater than $68.00 per share, the number of common OP units is determined by dividing (i) the sum of (A) $27.00 plus (B) 25 percent of the amount by which the market price of our common stock exceeds $68.00 per share, by (ii) the per share market price of our common stock. The current preferred distribution rate is 6.5 percent. On January 2, 2024, we are required to redeem all Aspen preferred OP units that have not been converted to common OP units.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Preferred OP units also include $2.7 million of Series B-3 preferred OP units at December 31, 2018, which are not convertible. In January 2019, we redeemed all remaining 26,750 Series B-3 preferred OP units. The weighted average redemption price per unit, which included accrued and unpaid distributions, of $100.153424. In the aggregate, we paid $2.7 million to redeem these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Equity - Sun NG Resorts - mandatorily redeemable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2018, in connection with the investment in Sun NG Resorts, $35.3 million of mandatorily redeemable Preferred Equity (“Preferred Equity - Sun NG Resorts”) was purchased by unrelated third parties. The Preferred Equity - Sun NG Resorts carries a preferred rate of return of 6.0 percent per annum. The Preferred Equity - Sun NG Resorts has a seven-year term and can be redeemed in the fourth quarter of 2022 at the holders’ option. The Preferred Equity - Sun NG Resorts as of March 31, 2019 was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$35.2 million. Refer to Note 3, “Real Estate Acquisitions,” Note 8, “Consolidated Variable Interest Entities,” and Note 10, “Equity and Temporary Equity”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April 2017, we amended and restated our credit agreement (the “A&amp;R Credit Agreement”) with Citibank, N.A. (“Citibank”) and certain other lenders. Pursuant to the A&amp;R Credit Agreement, we entered into a senior revolving credit facility with Citibank and certain other lenders in the amount of $650.0 million, comprised of a $550.0 million revolving loan and a $100.0 million term loan (the “A&amp;R Facility”). We repaid the term loan in full on September 7, 2018 and are unable to reborrow on the term loan. The A&amp;R Credit Agreement has a four-year term ending April 25, 2021, which can be extended for two additional six-month periods at our option, subject to the satisfaction of certain conditions as defined in the credit agreement. The A&amp;R Credit Agreement also provides for, subject to the satisfaction of certain conditions, additional commitments in an amount not to exceed $350.0 million. If additional borrowings are made pursuant to any such additional commitments, the aggregate borrowing limit under the A&amp;R Facility may be increased up to $900.0 million.</w:t>
      </w:r>
    </w:p>
    <w:p>
      <w:pPr>
        <w:spacing w:after="0" w:line="16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A&amp;R Facility bears interest at a floating rate based on the Eurodollar rate plus a margin that is determined based on our leverage ratio calculated in accordance with the A&amp;R Credit Agreement, which margin can range from 1.35 percent to 2.20 percent for the revolving loan. As of March 31, 2019, the margin based on our leverage ratio was 1.35 percent on the revolving loan. We had $393.0 million borrowings on the revolving loan as of March 31, 2019.</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A&amp;R Facility provides us with the ability to issue letters of credit. Our issuance of letters of credit does not increase our borrowings outstanding under our line of credit, but does reduce the borrowing amount available. At March 31, 2019 and December 31, 2018, approximately $3.9 million of availability was used to back standby letters of credit.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 $12.0 million manufactured home floor plan facility renewable indefinitely until our lender provides us at least a twelve month notice of their intent to terminate the agreement. The interest rate is 100 basis points over the greater of the prime rate as quoted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first business day of each month or 6.0 percent. At March 31, 2019, the effective interest rate was 7.0 percent. The outstanding balance was $3.5 million as of March 31, 2019 and zero as of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terms of the A&amp;R Facility, we are subject to various financial and other covenants. The most restrictive of our debt agreements place limitations on secured borrowings and contain minimum fixed charge coverage, leverage, distribution, and net worth requirements. At March 31, 2019, we were in compliance with all covenants.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certain of our subsidiary borrowers own properties that secure loans. These subsidiaries are consolidated within our accompanying Consolidated Financial Statements, however, each of these subsidiaries’ assets and credit are not available to satisfy the debts and other obligations of the Company, any of its other subsidiaries or any other person or entity.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Temporary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Sales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July 2017, we entered into a new at the market offering sales agreement (the “Sales Agreement”) with certain sales agents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(collectively, the “Sales Agents”), whereby we may offer and sell shares of our common stock, having an aggregate offering price of up to $450.0 million, from time to time through the Sales Agents. The Sales Agents are entitled to compensation in an agreed amount not to exceed 2.0 percent of the gross price per share for any shares sold from time to time under the Sales Agreement. Through March 31, 2019, we have sold shares of our common stock for gross proceeds of $163.8 million under the Sales Agreement. There were no issuances of common stock under the Sales Agreement during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Series D Preferred OP Units - Temporary Equity</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February 2019, we issued 488,958 Series D Preferred OP Units in connection with the acquisition of Country Village Estates. The Series D preferred OP units have a stated issuance price of $100.00 per OP Unit and carry a preferred return of 3.75 percent until the second anniversary of the issuance date. Commencing with the second anniversary of the issuance date, the Series D Preferred OP Units carry a preferred return of 4.0 percent. Commencing with the first anniversary of the issuance date, each Series D Preferred OP Unit can be exchanged for 0.8 shares of SUI stock at the holder’s option. The holders may require redemption in cash after the fifth anniversary of the Series D issuance date or upon the holder’s death. Refer to Note 3, “Real Estate Acquisitions”.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Interests - NG Sun LLC - Temporary Equity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2018, in connection with the investment in Sun NG Resorts, unrelated third parties purchased $6.5 million of Series B preferred equity interests and $15.4 million of common equity interest in Sun NG Resorts (herein jointly referred to as “Equity Interest - NG Sun LLC”). The Series B preferred equity interests carry a preferred return at a rate that, at any time, is equal to the interest rate on Sun NG Resorts’ indebtedness at such time. The current rate of return is 5.0 percent. The Equity Interests - NG Sun LLC do not have a fixed maturity date and can be redeemed in the fourth quarter of 2022 at the holders’ option. Sun NG LLC, our subsidiary, has the right during certain periods each year, with or without cause, or for cause at any time, to elect to buy NG Sun LLC’s interest. During a limited period in 2022, NG Sun LLC has the right to put its interest to Sun NG LLC. If either party exercises their option, the property management agreement will be terminated and the Company is required to purchase the remaining interests of NG Sun LLC and the property management agreement at fair value. Refer to Note 3, “Real Estate Acquisitions,” Note 8, “Consolidated Variable Interest Entities,” and Note 9, “Debt and Lines of Credit” for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certain limitations, holders can convert certain series of stock and OP units to shares of our common stock at any time. Below is the activity of conversions during the three months ended March 31, 2019 and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960" w:type="dxa"/>
            <w:vAlign w:val="bottom"/>
            <w:gridSpan w:val="3"/>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2820" w:type="dxa"/>
            <w:vAlign w:val="bottom"/>
            <w:gridSpan w:val="2"/>
          </w:tcPr>
          <w:p>
            <w:pPr>
              <w:ind w:left="740"/>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960" w:type="dxa"/>
            <w:vAlign w:val="bottom"/>
            <w:gridSpan w:val="3"/>
          </w:tcPr>
          <w:p>
            <w:pPr>
              <w:ind w:left="980"/>
              <w:spacing w:after="0"/>
              <w:rPr>
                <w:sz w:val="20"/>
                <w:szCs w:val="20"/>
                <w:color w:val="auto"/>
              </w:rPr>
            </w:pPr>
            <w:r>
              <w:rPr>
                <w:rFonts w:ascii="Arial" w:cs="Arial" w:eastAsia="Arial" w:hAnsi="Arial"/>
                <w:sz w:val="14"/>
                <w:szCs w:val="14"/>
                <w:b w:val="1"/>
                <w:bCs w:val="1"/>
                <w:color w:val="auto"/>
              </w:rPr>
              <w:t>March 31, 2019</w:t>
            </w:r>
          </w:p>
        </w:tc>
        <w:tc>
          <w:tcPr>
            <w:tcW w:w="2820" w:type="dxa"/>
            <w:vAlign w:val="bottom"/>
            <w:gridSpan w:val="2"/>
          </w:tcPr>
          <w:p>
            <w:pPr>
              <w:ind w:left="960"/>
              <w:spacing w:after="0"/>
              <w:rPr>
                <w:sz w:val="20"/>
                <w:szCs w:val="20"/>
                <w:color w:val="auto"/>
              </w:rPr>
            </w:pPr>
            <w:r>
              <w:rPr>
                <w:rFonts w:ascii="Arial" w:cs="Arial" w:eastAsia="Arial" w:hAnsi="Arial"/>
                <w:sz w:val="14"/>
                <w:szCs w:val="14"/>
                <w:b w:val="1"/>
                <w:bCs w:val="1"/>
                <w:color w:val="auto"/>
              </w:rPr>
              <w:t>March 31, 2018</w:t>
            </w:r>
          </w:p>
        </w:tc>
      </w:tr>
      <w:tr>
        <w:trPr>
          <w:trHeight w:val="215"/>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Borders>
              <w:top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Units/Shares</w:t>
            </w: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ind w:left="300"/>
              <w:spacing w:after="0"/>
              <w:rPr>
                <w:sz w:val="20"/>
                <w:szCs w:val="20"/>
                <w:color w:val="auto"/>
              </w:rPr>
            </w:pPr>
            <w:r>
              <w:rPr>
                <w:rFonts w:ascii="Arial" w:cs="Arial" w:eastAsia="Arial" w:hAnsi="Arial"/>
                <w:sz w:val="16"/>
                <w:szCs w:val="16"/>
                <w:b w:val="1"/>
                <w:bCs w:val="1"/>
                <w:color w:val="auto"/>
              </w:rPr>
              <w:t>Units/Shares</w:t>
            </w:r>
          </w:p>
        </w:tc>
        <w:tc>
          <w:tcPr>
            <w:tcW w:w="1340" w:type="dxa"/>
            <w:vAlign w:val="bottom"/>
            <w:tcBorders>
              <w:top w:val="single" w:sz="8" w:color="auto"/>
            </w:tcBorders>
          </w:tcPr>
          <w:p>
            <w:pPr>
              <w:spacing w:after="0"/>
              <w:rPr>
                <w:sz w:val="18"/>
                <w:szCs w:val="18"/>
                <w:color w:val="auto"/>
              </w:rPr>
            </w:pPr>
          </w:p>
        </w:tc>
      </w:tr>
      <w:tr>
        <w:trPr>
          <w:trHeight w:val="210"/>
        </w:trPr>
        <w:tc>
          <w:tcPr>
            <w:tcW w:w="4020" w:type="dxa"/>
            <w:vAlign w:val="bottom"/>
            <w:gridSpan w:val="2"/>
          </w:tcPr>
          <w:p>
            <w:pPr>
              <w:ind w:left="40"/>
              <w:spacing w:after="0"/>
              <w:rPr>
                <w:sz w:val="20"/>
                <w:szCs w:val="20"/>
                <w:color w:val="auto"/>
              </w:rPr>
            </w:pPr>
            <w:r>
              <w:rPr>
                <w:rFonts w:ascii="Arial" w:cs="Arial" w:eastAsia="Arial" w:hAnsi="Arial"/>
                <w:sz w:val="16"/>
                <w:szCs w:val="16"/>
                <w:b w:val="1"/>
                <w:bCs w:val="1"/>
                <w:color w:val="auto"/>
              </w:rPr>
              <w:t>Series</w:t>
            </w:r>
          </w:p>
        </w:tc>
        <w:tc>
          <w:tcPr>
            <w:tcW w:w="1620" w:type="dxa"/>
            <w:vAlign w:val="bottom"/>
          </w:tcPr>
          <w:p>
            <w:pPr>
              <w:jc w:val="right"/>
              <w:ind w:right="212"/>
              <w:spacing w:after="0"/>
              <w:rPr>
                <w:sz w:val="20"/>
                <w:szCs w:val="20"/>
                <w:color w:val="auto"/>
              </w:rPr>
            </w:pPr>
            <w:r>
              <w:rPr>
                <w:rFonts w:ascii="Arial" w:cs="Arial" w:eastAsia="Arial" w:hAnsi="Arial"/>
                <w:sz w:val="16"/>
                <w:szCs w:val="16"/>
                <w:b w:val="1"/>
                <w:bCs w:val="1"/>
                <w:color w:val="auto"/>
              </w:rPr>
              <w:t>Conversion Rate</w:t>
            </w:r>
          </w:p>
        </w:tc>
        <w:tc>
          <w:tcPr>
            <w:tcW w:w="1500" w:type="dxa"/>
            <w:vAlign w:val="bottom"/>
          </w:tcPr>
          <w:p>
            <w:pPr>
              <w:jc w:val="right"/>
              <w:ind w:right="298"/>
              <w:spacing w:after="0"/>
              <w:rPr>
                <w:sz w:val="20"/>
                <w:szCs w:val="20"/>
                <w:color w:val="auto"/>
              </w:rPr>
            </w:pPr>
            <w:r>
              <w:rPr>
                <w:rFonts w:ascii="Arial" w:cs="Arial" w:eastAsia="Arial" w:hAnsi="Arial"/>
                <w:sz w:val="16"/>
                <w:szCs w:val="16"/>
                <w:b w:val="1"/>
                <w:bCs w:val="1"/>
                <w:color w:val="auto"/>
              </w:rPr>
              <w:t>Converted</w:t>
            </w:r>
          </w:p>
        </w:tc>
        <w:tc>
          <w:tcPr>
            <w:tcW w:w="1460" w:type="dxa"/>
            <w:vAlign w:val="bottom"/>
            <w:gridSpan w:val="2"/>
          </w:tcPr>
          <w:p>
            <w:pPr>
              <w:ind w:left="140"/>
              <w:spacing w:after="0"/>
              <w:rPr>
                <w:sz w:val="20"/>
                <w:szCs w:val="20"/>
                <w:color w:val="auto"/>
              </w:rPr>
            </w:pPr>
            <w:r>
              <w:rPr>
                <w:rFonts w:ascii="Arial" w:cs="Arial" w:eastAsia="Arial" w:hAnsi="Arial"/>
                <w:sz w:val="16"/>
                <w:szCs w:val="16"/>
                <w:b w:val="1"/>
                <w:bCs w:val="1"/>
                <w:color w:val="auto"/>
              </w:rPr>
              <w:t>Common Stock</w:t>
            </w:r>
          </w:p>
        </w:tc>
        <w:tc>
          <w:tcPr>
            <w:tcW w:w="1480" w:type="dxa"/>
            <w:vAlign w:val="bottom"/>
          </w:tcPr>
          <w:p>
            <w:pPr>
              <w:ind w:left="360"/>
              <w:spacing w:after="0"/>
              <w:rPr>
                <w:sz w:val="20"/>
                <w:szCs w:val="20"/>
                <w:color w:val="auto"/>
              </w:rPr>
            </w:pPr>
            <w:r>
              <w:rPr>
                <w:rFonts w:ascii="Arial" w:cs="Arial" w:eastAsia="Arial" w:hAnsi="Arial"/>
                <w:sz w:val="16"/>
                <w:szCs w:val="16"/>
                <w:b w:val="1"/>
                <w:bCs w:val="1"/>
                <w:color w:val="auto"/>
              </w:rPr>
              <w:t>Converted</w:t>
            </w:r>
          </w:p>
        </w:tc>
        <w:tc>
          <w:tcPr>
            <w:tcW w:w="1340" w:type="dxa"/>
            <w:vAlign w:val="bottom"/>
          </w:tcPr>
          <w:p>
            <w:pPr>
              <w:jc w:val="right"/>
              <w:ind w:right="52"/>
              <w:spacing w:after="0"/>
              <w:rPr>
                <w:sz w:val="20"/>
                <w:szCs w:val="20"/>
                <w:color w:val="auto"/>
              </w:rPr>
            </w:pPr>
            <w:r>
              <w:rPr>
                <w:rFonts w:ascii="Arial" w:cs="Arial" w:eastAsia="Arial" w:hAnsi="Arial"/>
                <w:sz w:val="16"/>
                <w:szCs w:val="16"/>
                <w:b w:val="1"/>
                <w:bCs w:val="1"/>
                <w:color w:val="auto"/>
              </w:rPr>
              <w:t>Common Stock</w:t>
            </w:r>
          </w:p>
        </w:tc>
      </w:tr>
      <w:tr>
        <w:trPr>
          <w:trHeight w:val="33"/>
        </w:trPr>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OP unit</w:t>
            </w:r>
          </w:p>
        </w:tc>
        <w:tc>
          <w:tcPr>
            <w:tcW w:w="16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6,533</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6,777</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6,777</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Series A-1 preferred OP unit</w:t>
            </w: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2.439</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3,950</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9,633</w:t>
            </w:r>
          </w:p>
        </w:tc>
        <w:tc>
          <w:tcPr>
            <w:tcW w:w="120" w:type="dxa"/>
            <w:vAlign w:val="bottom"/>
          </w:tcPr>
          <w:p>
            <w:pPr>
              <w:spacing w:after="0"/>
              <w:rPr>
                <w:sz w:val="21"/>
                <w:szCs w:val="21"/>
                <w:color w:val="auto"/>
              </w:rPr>
            </w:pPr>
          </w:p>
        </w:tc>
        <w:tc>
          <w:tcPr>
            <w:tcW w:w="1480" w:type="dxa"/>
            <w:vAlign w:val="bottom"/>
          </w:tcPr>
          <w:p>
            <w:pPr>
              <w:ind w:left="960"/>
              <w:spacing w:after="0"/>
              <w:rPr>
                <w:sz w:val="20"/>
                <w:szCs w:val="20"/>
                <w:color w:val="auto"/>
              </w:rPr>
            </w:pPr>
            <w:r>
              <w:rPr>
                <w:rFonts w:ascii="Arial" w:cs="Arial" w:eastAsia="Arial" w:hAnsi="Arial"/>
                <w:sz w:val="18"/>
                <w:szCs w:val="18"/>
                <w:color w:val="auto"/>
              </w:rPr>
              <w:t>3,700</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9,023</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Series A-4 preferred OP unit</w:t>
            </w:r>
          </w:p>
        </w:tc>
        <w:tc>
          <w:tcPr>
            <w:tcW w:w="1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0.4444</w:t>
            </w:r>
          </w:p>
        </w:tc>
        <w:tc>
          <w:tcPr>
            <w:tcW w:w="15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2,373</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1,054</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Distributions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Distributions for the three months ended March 31, 2019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jc w:val="right"/>
              <w:ind w:right="34"/>
              <w:spacing w:after="0"/>
              <w:rPr>
                <w:sz w:val="20"/>
                <w:szCs w:val="20"/>
                <w:color w:val="auto"/>
              </w:rPr>
            </w:pPr>
            <w:r>
              <w:rPr>
                <w:rFonts w:ascii="Arial" w:cs="Arial" w:eastAsia="Arial" w:hAnsi="Arial"/>
                <w:sz w:val="16"/>
                <w:szCs w:val="16"/>
                <w:b w:val="1"/>
                <w:bCs w:val="1"/>
                <w:color w:val="auto"/>
                <w:w w:val="95"/>
              </w:rPr>
              <w:t>Distribution per</w:t>
            </w:r>
          </w:p>
        </w:tc>
        <w:tc>
          <w:tcPr>
            <w:tcW w:w="160" w:type="dxa"/>
            <w:vAlign w:val="bottom"/>
          </w:tcPr>
          <w:p>
            <w:pPr>
              <w:spacing w:after="0"/>
              <w:rPr>
                <w:sz w:val="17"/>
                <w:szCs w:val="17"/>
                <w:color w:val="auto"/>
              </w:rPr>
            </w:pPr>
          </w:p>
        </w:tc>
        <w:tc>
          <w:tcPr>
            <w:tcW w:w="1360" w:type="dxa"/>
            <w:vAlign w:val="bottom"/>
          </w:tcPr>
          <w:p>
            <w:pPr>
              <w:jc w:val="right"/>
              <w:ind w:right="34"/>
              <w:spacing w:after="0"/>
              <w:rPr>
                <w:sz w:val="20"/>
                <w:szCs w:val="20"/>
                <w:color w:val="auto"/>
              </w:rPr>
            </w:pPr>
            <w:r>
              <w:rPr>
                <w:rFonts w:ascii="Arial" w:cs="Arial" w:eastAsia="Arial" w:hAnsi="Arial"/>
                <w:sz w:val="16"/>
                <w:szCs w:val="16"/>
                <w:b w:val="1"/>
                <w:bCs w:val="1"/>
                <w:color w:val="auto"/>
                <w:w w:val="92"/>
              </w:rPr>
              <w:t>Total Distribution</w:t>
            </w:r>
          </w:p>
        </w:tc>
      </w:tr>
      <w:tr>
        <w:trPr>
          <w:trHeight w:val="210"/>
        </w:trPr>
        <w:tc>
          <w:tcPr>
            <w:tcW w:w="550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Distributions</w:t>
            </w:r>
          </w:p>
        </w:tc>
        <w:tc>
          <w:tcPr>
            <w:tcW w:w="1600" w:type="dxa"/>
            <w:vAlign w:val="bottom"/>
          </w:tcPr>
          <w:p>
            <w:pPr>
              <w:jc w:val="right"/>
              <w:ind w:right="333"/>
              <w:spacing w:after="0"/>
              <w:rPr>
                <w:sz w:val="20"/>
                <w:szCs w:val="20"/>
                <w:color w:val="auto"/>
              </w:rPr>
            </w:pPr>
            <w:r>
              <w:rPr>
                <w:rFonts w:ascii="Arial" w:cs="Arial" w:eastAsia="Arial" w:hAnsi="Arial"/>
                <w:sz w:val="16"/>
                <w:szCs w:val="16"/>
                <w:b w:val="1"/>
                <w:bCs w:val="1"/>
                <w:color w:val="auto"/>
              </w:rPr>
              <w:t>Record Date</w:t>
            </w:r>
          </w:p>
        </w:tc>
        <w:tc>
          <w:tcPr>
            <w:tcW w:w="1520" w:type="dxa"/>
            <w:vAlign w:val="bottom"/>
          </w:tcPr>
          <w:p>
            <w:pPr>
              <w:jc w:val="right"/>
              <w:ind w:right="313"/>
              <w:spacing w:after="0"/>
              <w:rPr>
                <w:sz w:val="20"/>
                <w:szCs w:val="20"/>
                <w:color w:val="auto"/>
              </w:rPr>
            </w:pPr>
            <w:r>
              <w:rPr>
                <w:rFonts w:ascii="Arial" w:cs="Arial" w:eastAsia="Arial" w:hAnsi="Arial"/>
                <w:sz w:val="16"/>
                <w:szCs w:val="16"/>
                <w:b w:val="1"/>
                <w:bCs w:val="1"/>
                <w:color w:val="auto"/>
              </w:rPr>
              <w:t>Payment Date</w:t>
            </w:r>
          </w:p>
        </w:tc>
        <w:tc>
          <w:tcPr>
            <w:tcW w:w="1280" w:type="dxa"/>
            <w:vAlign w:val="bottom"/>
          </w:tcPr>
          <w:p>
            <w:pPr>
              <w:jc w:val="right"/>
              <w:ind w:right="394"/>
              <w:spacing w:after="0"/>
              <w:rPr>
                <w:sz w:val="20"/>
                <w:szCs w:val="20"/>
                <w:color w:val="auto"/>
              </w:rPr>
            </w:pPr>
            <w:r>
              <w:rPr>
                <w:rFonts w:ascii="Arial" w:cs="Arial" w:eastAsia="Arial" w:hAnsi="Arial"/>
                <w:sz w:val="16"/>
                <w:szCs w:val="16"/>
                <w:b w:val="1"/>
                <w:bCs w:val="1"/>
                <w:color w:val="auto"/>
              </w:rPr>
              <w:t>Share</w:t>
            </w:r>
          </w:p>
        </w:tc>
        <w:tc>
          <w:tcPr>
            <w:tcW w:w="160" w:type="dxa"/>
            <w:vAlign w:val="bottom"/>
          </w:tcPr>
          <w:p>
            <w:pPr>
              <w:spacing w:after="0"/>
              <w:rPr>
                <w:sz w:val="18"/>
                <w:szCs w:val="18"/>
                <w:color w:val="auto"/>
              </w:rPr>
            </w:pPr>
          </w:p>
        </w:tc>
        <w:tc>
          <w:tcPr>
            <w:tcW w:w="1360" w:type="dxa"/>
            <w:vAlign w:val="bottom"/>
          </w:tcPr>
          <w:p>
            <w:pPr>
              <w:jc w:val="right"/>
              <w:ind w:right="254"/>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Stock, Common OP units and Restricted Stock</w:t>
            </w: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3/29/2019</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4/15/2019 $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66,886</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Series A-4 Preferred Stock</w:t>
            </w: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3/15/2019</w:t>
            </w:r>
          </w:p>
        </w:tc>
        <w:tc>
          <w:tcPr>
            <w:tcW w:w="1520" w:type="dxa"/>
            <w:vAlign w:val="bottom"/>
          </w:tcPr>
          <w:p>
            <w:pPr>
              <w:jc w:val="right"/>
              <w:spacing w:after="0"/>
              <w:rPr>
                <w:sz w:val="20"/>
                <w:szCs w:val="20"/>
                <w:color w:val="auto"/>
              </w:rPr>
            </w:pPr>
            <w:r>
              <w:rPr>
                <w:rFonts w:ascii="Arial" w:cs="Arial" w:eastAsia="Arial" w:hAnsi="Arial"/>
                <w:sz w:val="18"/>
                <w:szCs w:val="18"/>
                <w:color w:val="auto"/>
              </w:rPr>
              <w:t>4/1/2019 $</w:t>
            </w:r>
          </w:p>
        </w:tc>
        <w:tc>
          <w:tcPr>
            <w:tcW w:w="1280" w:type="dxa"/>
            <w:vAlign w:val="bottom"/>
          </w:tcPr>
          <w:p>
            <w:pPr>
              <w:jc w:val="right"/>
              <w:spacing w:after="0"/>
              <w:rPr>
                <w:sz w:val="20"/>
                <w:szCs w:val="20"/>
                <w:color w:val="auto"/>
              </w:rPr>
            </w:pPr>
            <w:r>
              <w:rPr>
                <w:rFonts w:ascii="Arial" w:cs="Arial" w:eastAsia="Arial" w:hAnsi="Arial"/>
                <w:sz w:val="18"/>
                <w:szCs w:val="18"/>
                <w:color w:val="auto"/>
              </w:rPr>
              <w:t>0.40625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432</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Program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2004, our Board of Directors authorized us to repurchase up to 1,000,000 shares of our common stock. We have 400,000 common shares remaining in the repurchase program as of March 31, 2019. No common shares were repurchased during the three months ended March 31, 2019 or 2018. There is no expiration date specified for the buyback program.</w:t>
      </w:r>
    </w:p>
    <w:p>
      <w:pPr>
        <w:spacing w:after="0" w:line="177"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March 31, 2019, we had two share-based compensation plans; the Sun Communities, Inc. 2015 Equity Incentive Plan (“2015 Equity Incentive Plan”) and the First Amended and Restated 2004 Non-Employee Director Option Plan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details on grants of equity awards during the three months ended March 31,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Grant Date</w:t>
            </w: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8"/>
              </w:rPr>
              <w:t>Grant</w:t>
            </w:r>
          </w:p>
        </w:tc>
        <w:tc>
          <w:tcPr>
            <w:tcW w:w="1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b w:val="1"/>
                <w:bCs w:val="1"/>
                <w:color w:val="auto"/>
              </w:rPr>
              <w:t>Shares</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93"/>
              </w:rPr>
              <w:t>Fair Value Per</w:t>
            </w: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c>
          <w:tcPr>
            <w:tcW w:w="1140" w:type="dxa"/>
            <w:vAlign w:val="bottom"/>
          </w:tcPr>
          <w:p>
            <w:pPr>
              <w:jc w:val="center"/>
              <w:ind w:left="39"/>
              <w:spacing w:after="0"/>
              <w:rPr>
                <w:sz w:val="20"/>
                <w:szCs w:val="20"/>
                <w:color w:val="auto"/>
              </w:rPr>
            </w:pPr>
            <w:r>
              <w:rPr>
                <w:rFonts w:ascii="Arial" w:cs="Arial" w:eastAsia="Arial" w:hAnsi="Arial"/>
                <w:sz w:val="16"/>
                <w:szCs w:val="16"/>
                <w:b w:val="1"/>
                <w:bCs w:val="1"/>
                <w:color w:val="auto"/>
                <w:w w:val="90"/>
              </w:rPr>
              <w:t>Type</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4"/>
              </w:rPr>
              <w:t>Plan</w:t>
            </w: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Granted</w:t>
            </w:r>
          </w:p>
        </w:tc>
        <w:tc>
          <w:tcPr>
            <w:tcW w:w="24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Share</w:t>
            </w:r>
          </w:p>
        </w:tc>
        <w:tc>
          <w:tcPr>
            <w:tcW w:w="3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0"/>
              </w:rPr>
              <w:t>Vesting Type</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1"/>
              </w:rPr>
              <w:t>Vesting Anniversary</w:t>
            </w: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Percentage</w:t>
            </w:r>
          </w:p>
        </w:tc>
      </w:tr>
      <w:tr>
        <w:trPr>
          <w:trHeight w:val="33"/>
        </w:trPr>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2"/>
          </w:tcPr>
          <w:p>
            <w:pPr>
              <w:spacing w:after="0"/>
              <w:rPr>
                <w:sz w:val="2"/>
                <w:szCs w:val="2"/>
                <w:color w:val="auto"/>
              </w:rPr>
            </w:pPr>
          </w:p>
        </w:tc>
      </w:tr>
      <w:tr>
        <w:trPr>
          <w:trHeight w:val="183"/>
        </w:trPr>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0"/>
        </w:trPr>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2019</w:t>
            </w:r>
          </w:p>
        </w:tc>
        <w:tc>
          <w:tcPr>
            <w:tcW w:w="11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2"/>
              </w:rPr>
              <w:t>Executive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2015 Equity Incentive Plan</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44,000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115.39</w:t>
            </w:r>
          </w:p>
        </w:tc>
        <w:tc>
          <w:tcPr>
            <w:tcW w:w="3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(1)</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Time Based</w:t>
            </w:r>
          </w:p>
        </w:tc>
        <w:tc>
          <w:tcPr>
            <w:tcW w:w="2940" w:type="dxa"/>
            <w:vAlign w:val="bottom"/>
            <w:gridSpan w:val="2"/>
            <w:shd w:val="clear" w:color="auto" w:fill="CCEEFF"/>
          </w:tcPr>
          <w:p>
            <w:pPr>
              <w:jc w:val="right"/>
              <w:ind w:right="379"/>
              <w:spacing w:after="0"/>
              <w:rPr>
                <w:sz w:val="20"/>
                <w:szCs w:val="20"/>
                <w:color w:val="auto"/>
              </w:rPr>
            </w:pPr>
            <w:r>
              <w:rPr>
                <w:rFonts w:ascii="Arial" w:cs="Arial" w:eastAsia="Arial" w:hAnsi="Arial"/>
                <w:sz w:val="16"/>
                <w:szCs w:val="16"/>
                <w:color w:val="auto"/>
              </w:rPr>
              <w:t>20.0% annually over 5 years</w:t>
            </w:r>
          </w:p>
        </w:tc>
      </w:tr>
      <w:tr>
        <w:trPr>
          <w:trHeight w:val="219"/>
        </w:trPr>
        <w:tc>
          <w:tcPr>
            <w:tcW w:w="10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4"/>
              </w:rPr>
              <w:t>Officers</w:t>
            </w:r>
          </w:p>
        </w:tc>
        <w:tc>
          <w:tcPr>
            <w:tcW w:w="2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20"/>
        </w:trPr>
        <w:tc>
          <w:tcPr>
            <w:tcW w:w="100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w w:val="92"/>
              </w:rPr>
              <w:t>Executive</w:t>
            </w: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2015 Equity Incentive Plan</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66,000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86.71</w:t>
            </w:r>
          </w:p>
        </w:tc>
        <w:tc>
          <w:tcPr>
            <w:tcW w:w="380" w:type="dxa"/>
            <w:vAlign w:val="bottom"/>
          </w:tcPr>
          <w:p>
            <w:pPr>
              <w:jc w:val="right"/>
              <w:ind w:right="166"/>
              <w:spacing w:after="0"/>
              <w:rPr>
                <w:sz w:val="20"/>
                <w:szCs w:val="20"/>
                <w:color w:val="auto"/>
              </w:rPr>
            </w:pPr>
            <w:r>
              <w:rPr>
                <w:rFonts w:ascii="Arial" w:cs="Arial" w:eastAsia="Arial" w:hAnsi="Arial"/>
                <w:sz w:val="11"/>
                <w:szCs w:val="11"/>
                <w:color w:val="auto"/>
              </w:rPr>
              <w:t>(2)</w:t>
            </w:r>
          </w:p>
        </w:tc>
        <w:tc>
          <w:tcPr>
            <w:tcW w:w="1600" w:type="dxa"/>
            <w:vAlign w:val="bottom"/>
          </w:tcPr>
          <w:p>
            <w:pPr>
              <w:jc w:val="center"/>
              <w:spacing w:after="0"/>
              <w:rPr>
                <w:sz w:val="20"/>
                <w:szCs w:val="20"/>
                <w:color w:val="auto"/>
              </w:rPr>
            </w:pPr>
            <w:r>
              <w:rPr>
                <w:rFonts w:ascii="Arial" w:cs="Arial" w:eastAsia="Arial" w:hAnsi="Arial"/>
                <w:sz w:val="16"/>
                <w:szCs w:val="16"/>
                <w:color w:val="auto"/>
                <w:w w:val="95"/>
              </w:rPr>
              <w:t>Market Condition</w:t>
            </w:r>
          </w:p>
        </w:tc>
        <w:tc>
          <w:tcPr>
            <w:tcW w:w="1780" w:type="dxa"/>
            <w:vAlign w:val="bottom"/>
          </w:tcPr>
          <w:p>
            <w:pPr>
              <w:jc w:val="center"/>
              <w:spacing w:after="0"/>
              <w:rPr>
                <w:sz w:val="20"/>
                <w:szCs w:val="20"/>
                <w:color w:val="auto"/>
              </w:rPr>
            </w:pPr>
            <w:r>
              <w:rPr>
                <w:rFonts w:ascii="Arial" w:cs="Arial" w:eastAsia="Arial" w:hAnsi="Arial"/>
                <w:sz w:val="16"/>
                <w:szCs w:val="16"/>
                <w:color w:val="auto"/>
                <w:w w:val="94"/>
              </w:rPr>
              <w:t>3rd</w:t>
            </w:r>
          </w:p>
        </w:tc>
        <w:tc>
          <w:tcPr>
            <w:tcW w:w="11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06"/>
        </w:trPr>
        <w:tc>
          <w:tcPr>
            <w:tcW w:w="1000" w:type="dxa"/>
            <w:vAlign w:val="bottom"/>
          </w:tcPr>
          <w:p>
            <w:pPr>
              <w:spacing w:after="0"/>
              <w:rPr>
                <w:sz w:val="17"/>
                <w:szCs w:val="17"/>
                <w:color w:val="auto"/>
              </w:rPr>
            </w:pPr>
          </w:p>
        </w:tc>
        <w:tc>
          <w:tcPr>
            <w:tcW w:w="1140" w:type="dxa"/>
            <w:vAlign w:val="bottom"/>
          </w:tcPr>
          <w:p>
            <w:pPr>
              <w:jc w:val="center"/>
              <w:ind w:left="19"/>
              <w:spacing w:after="0"/>
              <w:rPr>
                <w:sz w:val="20"/>
                <w:szCs w:val="20"/>
                <w:color w:val="auto"/>
              </w:rPr>
            </w:pPr>
            <w:r>
              <w:rPr>
                <w:rFonts w:ascii="Arial" w:cs="Arial" w:eastAsia="Arial" w:hAnsi="Arial"/>
                <w:sz w:val="16"/>
                <w:szCs w:val="16"/>
                <w:color w:val="auto"/>
                <w:w w:val="94"/>
              </w:rPr>
              <w:t>Officers</w:t>
            </w:r>
          </w:p>
        </w:tc>
        <w:tc>
          <w:tcPr>
            <w:tcW w:w="2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3"/>
        </w:trPr>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2019</w:t>
            </w:r>
          </w:p>
        </w:tc>
        <w:tc>
          <w:tcPr>
            <w:tcW w:w="11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3"/>
              </w:rPr>
              <w:t>Directors</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2004 Non-Employee</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113.68</w:t>
            </w:r>
          </w:p>
        </w:tc>
        <w:tc>
          <w:tcPr>
            <w:tcW w:w="3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(1)</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Time Based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3rd</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6"/>
        </w:trPr>
        <w:tc>
          <w:tcPr>
            <w:tcW w:w="1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Director Option Plan</w:t>
            </w: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33"/>
        </w:trPr>
        <w:tc>
          <w:tcPr>
            <w:tcW w:w="10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59" w:lineRule="exact"/>
        <w:rPr>
          <w:sz w:val="20"/>
          <w:szCs w:val="20"/>
          <w:color w:val="auto"/>
        </w:rPr>
      </w:pPr>
    </w:p>
    <w:p>
      <w:pPr>
        <w:ind w:left="300" w:hanging="130"/>
        <w:spacing w:after="0"/>
        <w:tabs>
          <w:tab w:leader="none" w:pos="300" w:val="left"/>
        </w:tabs>
        <w:numPr>
          <w:ilvl w:val="0"/>
          <w:numId w:val="15"/>
        </w:numPr>
        <w:rPr>
          <w:rFonts w:ascii="Arial" w:cs="Arial" w:eastAsia="Arial" w:hAnsi="Arial"/>
          <w:sz w:val="9"/>
          <w:szCs w:val="9"/>
          <w:color w:val="auto"/>
        </w:rPr>
      </w:pPr>
      <w:r>
        <w:rPr>
          <w:rFonts w:ascii="Arial" w:cs="Arial" w:eastAsia="Arial" w:hAnsi="Arial"/>
          <w:sz w:val="14"/>
          <w:szCs w:val="14"/>
          <w:color w:val="auto"/>
        </w:rPr>
        <w:t>The fair value of the grants were determined by using the average closing price of our common stock on the dates the shares were issued.</w:t>
      </w:r>
    </w:p>
    <w:p>
      <w:pPr>
        <w:spacing w:after="0" w:line="13" w:lineRule="exact"/>
        <w:rPr>
          <w:rFonts w:ascii="Arial" w:cs="Arial" w:eastAsia="Arial" w:hAnsi="Arial"/>
          <w:sz w:val="9"/>
          <w:szCs w:val="9"/>
          <w:color w:val="auto"/>
        </w:rPr>
      </w:pPr>
    </w:p>
    <w:p>
      <w:pPr>
        <w:ind w:left="180" w:right="460" w:hanging="10"/>
        <w:spacing w:after="0" w:line="248" w:lineRule="auto"/>
        <w:tabs>
          <w:tab w:leader="none" w:pos="307" w:val="left"/>
        </w:tabs>
        <w:numPr>
          <w:ilvl w:val="0"/>
          <w:numId w:val="15"/>
        </w:numPr>
        <w:rPr>
          <w:rFonts w:ascii="Arial" w:cs="Arial" w:eastAsia="Arial" w:hAnsi="Arial"/>
          <w:sz w:val="9"/>
          <w:szCs w:val="9"/>
          <w:color w:val="auto"/>
        </w:rPr>
      </w:pPr>
      <w:r>
        <w:rPr>
          <w:rFonts w:ascii="Arial" w:cs="Arial" w:eastAsia="Arial" w:hAnsi="Arial"/>
          <w:sz w:val="14"/>
          <w:szCs w:val="14"/>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$115.39. Based on the Monte Carlo simulation we expect 75.1% of the 66,000 shares to vest.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three months ended March 31, 2019, 1,500 shares of common stock were issued in connection with the exercise of stock options with net proceeds of less than $0.1 million. There were no stock option exercises during the three months ended March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vesting requirements for 108,435 restricted shares granted to our executives, directors and employees were satisfied during the three months ended March 31, 2019.</w:t>
      </w:r>
    </w:p>
    <w:p>
      <w:pPr>
        <w:spacing w:after="0" w:line="16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group our operating segments into reportable segments that provide similar products and services. Each operating segment has discrete financial information evaluated regularly by our chief operating decision maker in evaluating and assessing performance. We have two reportable segments: (i) Real Property Operations and (ii) Home Sales and Rentals. The Real Property Operations segment owns, operates, has an interest in a portfolio, and develops MH communities and RV communities, and is in the business of acquiring, operating, and expanding MH and RV communities. The Home Sales and Rentals segment offers manufactured home sales and leasing services to tenants and prospective tenants of our communities.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Transactions between our segments are eliminated in consolidation. Transient RV revenue is included in the Real Property Operations segment revenues and is expected to approximate $129.7 million annually. Transient RV revenue was recognized 20.2 percent in the first quarter, and is expected to be 23.0 percent, 41.5 percent, and 15.3 percent in the second, third, and fourth quarters, respectively. Transient revenue was $106.2 million for the year ended December 31, 2018. We recognized 20.7 percent in the first quarter, 20.3 percent in the second quarter, 42.6 percent in the third quarter, and 16.4 percent in the fourth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presentation of segment financial information is summarized as follows (in thousands):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7"/>
          </w:tcPr>
          <w:p>
            <w:pPr>
              <w:jc w:val="right"/>
              <w:ind w:right="591"/>
              <w:spacing w:after="0"/>
              <w:rPr>
                <w:sz w:val="20"/>
                <w:szCs w:val="20"/>
                <w:color w:val="auto"/>
              </w:rPr>
            </w:pPr>
            <w:r>
              <w:rPr>
                <w:rFonts w:ascii="Arial" w:cs="Arial" w:eastAsia="Arial" w:hAnsi="Arial"/>
                <w:sz w:val="14"/>
                <w:szCs w:val="14"/>
                <w:b w:val="1"/>
                <w:bCs w:val="1"/>
                <w:color w:val="auto"/>
              </w:rPr>
              <w:t>Three Months Ended March 31, 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7"/>
          </w:tcPr>
          <w:p>
            <w:pPr>
              <w:jc w:val="center"/>
              <w:ind w:right="31"/>
              <w:spacing w:after="0"/>
              <w:rPr>
                <w:sz w:val="20"/>
                <w:szCs w:val="20"/>
                <w:color w:val="auto"/>
              </w:rPr>
            </w:pPr>
            <w:r>
              <w:rPr>
                <w:rFonts w:ascii="Arial" w:cs="Arial" w:eastAsia="Arial" w:hAnsi="Arial"/>
                <w:sz w:val="14"/>
                <w:szCs w:val="14"/>
                <w:b w:val="1"/>
                <w:bCs w:val="1"/>
                <w:color w:val="auto"/>
                <w:w w:val="95"/>
              </w:rPr>
              <w:t>Three Months Ended March 31, 2018</w:t>
            </w: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Real Property</w:t>
            </w:r>
          </w:p>
        </w:tc>
        <w:tc>
          <w:tcPr>
            <w:tcW w:w="120" w:type="dxa"/>
            <w:vAlign w:val="bottom"/>
          </w:tcPr>
          <w:p>
            <w:pPr>
              <w:spacing w:after="0"/>
              <w:rPr>
                <w:sz w:val="13"/>
                <w:szCs w:val="13"/>
                <w:color w:val="auto"/>
              </w:rPr>
            </w:pPr>
          </w:p>
        </w:tc>
        <w:tc>
          <w:tcPr>
            <w:tcW w:w="10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Home Sales</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Real Property</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Home Sales</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Operations</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and Rentals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Operations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and Rentals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225,261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203,779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251,699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expenses/Cost of sales</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80,340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34,065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114,405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70,849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31,798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102,647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income/Gross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144,921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132,930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149,052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Adjustments to arrive at net income / (loss):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and other revenues, net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Home selling expenses</w:t>
            </w:r>
          </w:p>
        </w:tc>
        <w:tc>
          <w:tcPr>
            <w:tcW w:w="18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(19,757)</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(76,556)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(50,508)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(66,437)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(31,138)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Interest on mandatorily redeemable preferred OP units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equity</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Catastrophic weather related charges, net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2,357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Remeasurement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Income / (loss) from nonconsolidated affiliates</w:t>
            </w:r>
          </w:p>
        </w:tc>
        <w:tc>
          <w:tcPr>
            <w:tcW w:w="18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Current tax expense</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benefit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Net income / (loss)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41,605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37,127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39,554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33,601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 Preferred return to preferred OP units /</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rPr>
              <w:t>Less: Amounts attributable to noncontrolling</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interests</w:t>
            </w:r>
          </w:p>
        </w:tc>
        <w:tc>
          <w:tcPr>
            <w:tcW w:w="18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Net income / (loss) attributable to Sun Communities,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36,080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30,427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Less: Preferred stock distributions</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Net income / (loss) attributable to Sun Communities,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38,591</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34,331</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35,639</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29,986</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 common stockholders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6"/>
              </w:rPr>
              <w:t>Real Property</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Home Sales</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140" w:type="dxa"/>
            <w:vAlign w:val="bottom"/>
          </w:tcPr>
          <w:p>
            <w:pPr>
              <w:spacing w:after="0"/>
              <w:rPr>
                <w:sz w:val="13"/>
                <w:szCs w:val="13"/>
                <w:color w:val="auto"/>
              </w:rPr>
            </w:pPr>
          </w:p>
        </w:tc>
        <w:tc>
          <w:tcPr>
            <w:tcW w:w="1000" w:type="dxa"/>
            <w:vAlign w:val="bottom"/>
          </w:tcPr>
          <w:p>
            <w:pPr>
              <w:jc w:val="right"/>
              <w:ind w:right="54"/>
              <w:spacing w:after="0" w:line="153" w:lineRule="exact"/>
              <w:rPr>
                <w:sz w:val="20"/>
                <w:szCs w:val="20"/>
                <w:color w:val="auto"/>
              </w:rPr>
            </w:pPr>
            <w:r>
              <w:rPr>
                <w:rFonts w:ascii="Arial" w:cs="Arial" w:eastAsia="Arial" w:hAnsi="Arial"/>
                <w:sz w:val="14"/>
                <w:szCs w:val="14"/>
                <w:b w:val="1"/>
                <w:bCs w:val="1"/>
                <w:color w:val="auto"/>
                <w:w w:val="92"/>
              </w:rPr>
              <w:t>Real Property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Home Sales</w:t>
            </w:r>
          </w:p>
        </w:tc>
        <w:tc>
          <w:tcPr>
            <w:tcW w:w="140" w:type="dxa"/>
            <w:vAlign w:val="bottom"/>
          </w:tcPr>
          <w:p>
            <w:pPr>
              <w:spacing w:after="0"/>
              <w:rPr>
                <w:sz w:val="13"/>
                <w:szCs w:val="13"/>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74"/>
              <w:spacing w:after="0"/>
              <w:rPr>
                <w:sz w:val="20"/>
                <w:szCs w:val="20"/>
                <w:color w:val="auto"/>
              </w:rPr>
            </w:pPr>
            <w:r>
              <w:rPr>
                <w:rFonts w:ascii="Arial" w:cs="Arial" w:eastAsia="Arial" w:hAnsi="Arial"/>
                <w:sz w:val="14"/>
                <w:szCs w:val="14"/>
                <w:b w:val="1"/>
                <w:bCs w:val="1"/>
                <w:color w:val="auto"/>
              </w:rPr>
              <w:t>Operations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and Rentals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34"/>
              <w:spacing w:after="0"/>
              <w:rPr>
                <w:sz w:val="20"/>
                <w:szCs w:val="20"/>
                <w:color w:val="auto"/>
              </w:rPr>
            </w:pPr>
            <w:r>
              <w:rPr>
                <w:rFonts w:ascii="Arial" w:cs="Arial" w:eastAsia="Arial" w:hAnsi="Arial"/>
                <w:sz w:val="14"/>
                <w:szCs w:val="14"/>
                <w:b w:val="1"/>
                <w:bCs w:val="1"/>
                <w:color w:val="auto"/>
              </w:rPr>
              <w:t>Operations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and Rentals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40"/>
              <w:spacing w:after="0"/>
              <w:rPr>
                <w:sz w:val="20"/>
                <w:szCs w:val="20"/>
                <w:color w:val="auto"/>
              </w:rPr>
            </w:pPr>
            <w:r>
              <w:rPr>
                <w:rFonts w:ascii="Arial" w:cs="Arial" w:eastAsia="Arial" w:hAnsi="Arial"/>
                <w:sz w:val="18"/>
                <w:szCs w:val="18"/>
                <w:color w:val="auto"/>
              </w:rPr>
              <w:t>Identifiable assets:</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Investment property,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5,929,030</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542,226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6,471,256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5,586,444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531,872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6,118,316</w:t>
            </w: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(7,233)</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29,179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21,946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24,343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25,968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50,311</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50,501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49,037</w:t>
            </w: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Inventory of manufactured homes</w:t>
            </w: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52,993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52,993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49,199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49,199</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and other receivables,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163,362</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145,673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160,077</w:t>
            </w: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Collateralized receivables, net</w:t>
            </w: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101,938</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101,938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106,924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106,924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net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165,743</w:t>
            </w: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54,471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220,214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140,027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36,135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176,162</w:t>
            </w:r>
          </w:p>
        </w:tc>
        <w:tc>
          <w:tcPr>
            <w:tcW w:w="0" w:type="dxa"/>
            <w:vAlign w:val="bottom"/>
          </w:tcPr>
          <w:p>
            <w:pPr>
              <w:spacing w:after="0"/>
              <w:rPr>
                <w:sz w:val="1"/>
                <w:szCs w:val="1"/>
                <w:color w:val="auto"/>
              </w:rPr>
            </w:pPr>
          </w:p>
        </w:tc>
      </w:tr>
      <w:tr>
        <w:trPr>
          <w:trHeight w:val="257"/>
        </w:trPr>
        <w:tc>
          <w:tcPr>
            <w:tcW w:w="39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6,403,341</w:t>
            </w:r>
          </w:p>
        </w:tc>
        <w:tc>
          <w:tcPr>
            <w:tcW w:w="3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695,321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7,098,662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6,052,448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657,578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6,710,026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elected to be taxed as a real estate investment trust (“REIT”) pursuant to Section 856(c) of the Internal Revenue Code of 1986, as amended (“Code”). In order for us to qualify as a REIT, at least 95 percent of our gross income in any year must be derived from qualifying sources. In addition, a REIT must distribute annually at least 90 percent of its REIT taxable income (calculated without any deduction for dividends paid and excluding capital gain) to its stockholders and meet other tests.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for the quarter ended March 31, 2019.</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REIT, we generally will not be subject to United States (“U.S.”) federal income taxes at the corporate level on the ordinary taxable income we distribute to our stockholders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The Company is also subject to local income taxes in Canada as a result of the acquisition of Carefree in 2016. We do not provide for withholding taxes on our undistributed earnings from our Canadian subsidiaries as they are reinvested and will continue to be reinvested indefinitely outside of the U.S.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Deferred tax assets and liabilities reflect the impact of temporary differences between the amounts of assets and liabilities for financial reporting purposes and the bases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depreciation and basis differences between tax and U.S. GAAP on our Canadian investments. Our deferred tax assets that have a full valuation allowance relate to our taxable REIT subsidiaries (“TRS”) business. Net deferred tax liabilities of $20.3 million for Canadian entities have been recorded in relation to corporate entities and included in “Other liabilities” in our Consolidated Balance Sheets as of March 31, 2019. Net deferred tax liabilities of $21.6 million (Canada) and $0.1 million (U.S.) have been recorded in relation to corporate entities and included in “Other liabilities” in our Consolidated Balance Sheets as of March 31, 2018. There are no U.S. federal deferred tax assets or liabilities included in our Consolidated Balance Sheets as of March 31, 2019 and December 31, 2018.</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unrecognized tax benefits as of March 31, 2019 and 2018. We do not expect significant changes in tax positions that would result in unrecognized tax benefits within one year of March 31,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current tax expense for federal, state, and Canadian income taxes of $0.2 million for the three months ended March 31, 2019 and a current tax expense of approximately $0.2 million for the three months ended March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2019 and 2018, we recorded a deferred tax benefit of $0.2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outstanding stock options, unvested restricted common shares, and Series A-4 Preferred Stock, and our Operating Partnership has: outstanding common OP units; Series A-1 preferred OP units; Series A-3 preferred OP units; Series A-4 preferred OP units; Series C preferred OP units; Series D preferred OP units; and Aspen preferred OP Units, which, if converted or exercised, may impact dilution.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Computations of basic and diluted earnings per share were as follows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Numerator</w:t>
            </w:r>
          </w:p>
        </w:tc>
        <w:tc>
          <w:tcPr>
            <w:tcW w:w="120" w:type="dxa"/>
            <w:vAlign w:val="bottom"/>
            <w:tcBorders>
              <w:bottom w:val="single" w:sz="8" w:color="D2F0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2F0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340" w:type="dxa"/>
            <w:vAlign w:val="bottom"/>
            <w:tcBorders>
              <w:bottom w:val="single" w:sz="8" w:color="D2F0FF"/>
            </w:tcBorders>
            <w:shd w:val="clear" w:color="auto" w:fill="D2F0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D2F0FF"/>
            </w:tcBorders>
            <w:shd w:val="clear" w:color="auto" w:fill="D2F0FF"/>
          </w:tcPr>
          <w:p>
            <w:pPr>
              <w:jc w:val="right"/>
              <w:ind w:right="13"/>
              <w:spacing w:after="0"/>
              <w:rPr>
                <w:sz w:val="20"/>
                <w:szCs w:val="20"/>
                <w:color w:val="auto"/>
              </w:rPr>
            </w:pPr>
            <w:r>
              <w:rPr>
                <w:rFonts w:ascii="Arial" w:cs="Arial" w:eastAsia="Arial" w:hAnsi="Arial"/>
                <w:sz w:val="18"/>
                <w:szCs w:val="18"/>
                <w:color w:val="auto"/>
              </w:rPr>
              <w:t>34,331</w:t>
            </w:r>
          </w:p>
        </w:tc>
        <w:tc>
          <w:tcPr>
            <w:tcW w:w="100" w:type="dxa"/>
            <w:vAlign w:val="bottom"/>
            <w:tcBorders>
              <w:bottom w:val="single" w:sz="8" w:color="D2F0FF"/>
            </w:tcBorders>
            <w:shd w:val="clear" w:color="auto" w:fill="D2F0FF"/>
          </w:tcPr>
          <w:p>
            <w:pPr>
              <w:spacing w:after="0"/>
              <w:rPr>
                <w:sz w:val="21"/>
                <w:szCs w:val="21"/>
                <w:color w:val="auto"/>
              </w:rPr>
            </w:pPr>
          </w:p>
        </w:tc>
        <w:tc>
          <w:tcPr>
            <w:tcW w:w="360" w:type="dxa"/>
            <w:vAlign w:val="bottom"/>
            <w:tcBorders>
              <w:bottom w:val="single" w:sz="8" w:color="D2F0FF"/>
            </w:tcBorders>
            <w:shd w:val="clear" w:color="auto" w:fill="D2F0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D2F0FF"/>
            </w:tcBorders>
            <w:shd w:val="clear" w:color="auto" w:fill="D2F0FF"/>
          </w:tcPr>
          <w:p>
            <w:pPr>
              <w:jc w:val="right"/>
              <w:ind w:right="11"/>
              <w:spacing w:after="0"/>
              <w:rPr>
                <w:sz w:val="20"/>
                <w:szCs w:val="20"/>
                <w:color w:val="auto"/>
              </w:rPr>
            </w:pPr>
            <w:r>
              <w:rPr>
                <w:rFonts w:ascii="Arial" w:cs="Arial" w:eastAsia="Arial" w:hAnsi="Arial"/>
                <w:sz w:val="18"/>
                <w:szCs w:val="18"/>
                <w:color w:val="auto"/>
              </w:rPr>
              <w:t>29,986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Allocation to restricted stock awards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D2F0FF"/>
            </w:tcBorders>
          </w:tcPr>
          <w:p>
            <w:pPr>
              <w:spacing w:after="0"/>
              <w:rPr>
                <w:sz w:val="2"/>
                <w:szCs w:val="2"/>
                <w:color w:val="auto"/>
              </w:rPr>
            </w:pPr>
          </w:p>
        </w:tc>
        <w:tc>
          <w:tcPr>
            <w:tcW w:w="120" w:type="dxa"/>
            <w:vAlign w:val="bottom"/>
            <w:tcBorders>
              <w:bottom w:val="single" w:sz="8" w:color="D2F0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Basic earnings: Net income attributable to common stockholders after allocation</w:t>
            </w:r>
          </w:p>
        </w:tc>
        <w:tc>
          <w:tcPr>
            <w:tcW w:w="340" w:type="dxa"/>
            <w:vAlign w:val="bottom"/>
            <w:tcBorders>
              <w:bottom w:val="single" w:sz="8" w:color="D2F0FF"/>
            </w:tcBorders>
            <w:shd w:val="clear" w:color="auto" w:fill="D2F0FF"/>
          </w:tcPr>
          <w:p>
            <w:pPr>
              <w:spacing w:after="0"/>
              <w:rPr>
                <w:sz w:val="21"/>
                <w:szCs w:val="21"/>
                <w:color w:val="auto"/>
              </w:rPr>
            </w:pPr>
          </w:p>
        </w:tc>
        <w:tc>
          <w:tcPr>
            <w:tcW w:w="1140" w:type="dxa"/>
            <w:vAlign w:val="bottom"/>
            <w:tcBorders>
              <w:bottom w:val="single" w:sz="8" w:color="D2F0FF"/>
            </w:tcBorders>
            <w:shd w:val="clear" w:color="auto" w:fill="D2F0FF"/>
          </w:tcPr>
          <w:p>
            <w:pPr>
              <w:jc w:val="right"/>
              <w:ind w:right="13"/>
              <w:spacing w:after="0"/>
              <w:rPr>
                <w:sz w:val="20"/>
                <w:szCs w:val="20"/>
                <w:color w:val="auto"/>
              </w:rPr>
            </w:pPr>
            <w:r>
              <w:rPr>
                <w:rFonts w:ascii="Arial" w:cs="Arial" w:eastAsia="Arial" w:hAnsi="Arial"/>
                <w:sz w:val="18"/>
                <w:szCs w:val="18"/>
                <w:color w:val="auto"/>
              </w:rPr>
              <w:t>33,894</w:t>
            </w:r>
          </w:p>
        </w:tc>
        <w:tc>
          <w:tcPr>
            <w:tcW w:w="100" w:type="dxa"/>
            <w:vAlign w:val="bottom"/>
            <w:tcBorders>
              <w:bottom w:val="single" w:sz="8" w:color="D2F0FF"/>
            </w:tcBorders>
            <w:shd w:val="clear" w:color="auto" w:fill="D2F0FF"/>
          </w:tcPr>
          <w:p>
            <w:pPr>
              <w:spacing w:after="0"/>
              <w:rPr>
                <w:sz w:val="21"/>
                <w:szCs w:val="21"/>
                <w:color w:val="auto"/>
              </w:rPr>
            </w:pPr>
          </w:p>
        </w:tc>
        <w:tc>
          <w:tcPr>
            <w:tcW w:w="360" w:type="dxa"/>
            <w:vAlign w:val="bottom"/>
            <w:tcBorders>
              <w:bottom w:val="single" w:sz="8" w:color="D2F0FF"/>
            </w:tcBorders>
            <w:shd w:val="clear" w:color="auto" w:fill="D2F0FF"/>
          </w:tcPr>
          <w:p>
            <w:pPr>
              <w:spacing w:after="0"/>
              <w:rPr>
                <w:sz w:val="21"/>
                <w:szCs w:val="21"/>
                <w:color w:val="auto"/>
              </w:rPr>
            </w:pPr>
          </w:p>
        </w:tc>
        <w:tc>
          <w:tcPr>
            <w:tcW w:w="1120" w:type="dxa"/>
            <w:vAlign w:val="bottom"/>
            <w:tcBorders>
              <w:bottom w:val="single" w:sz="8" w:color="D2F0FF"/>
            </w:tcBorders>
            <w:shd w:val="clear" w:color="auto" w:fill="D2F0FF"/>
          </w:tcPr>
          <w:p>
            <w:pPr>
              <w:jc w:val="right"/>
              <w:ind w:right="11"/>
              <w:spacing w:after="0"/>
              <w:rPr>
                <w:sz w:val="20"/>
                <w:szCs w:val="20"/>
                <w:color w:val="auto"/>
              </w:rPr>
            </w:pPr>
            <w:r>
              <w:rPr>
                <w:rFonts w:ascii="Arial" w:cs="Arial" w:eastAsia="Arial" w:hAnsi="Arial"/>
                <w:sz w:val="18"/>
                <w:szCs w:val="18"/>
                <w:color w:val="auto"/>
              </w:rPr>
              <w:t>29,683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Allocation to restricted stock awards</w:t>
            </w: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D2F0FF"/>
            </w:tcBorders>
          </w:tcPr>
          <w:p>
            <w:pPr>
              <w:spacing w:after="0"/>
              <w:rPr>
                <w:sz w:val="2"/>
                <w:szCs w:val="2"/>
                <w:color w:val="auto"/>
              </w:rPr>
            </w:pPr>
          </w:p>
        </w:tc>
        <w:tc>
          <w:tcPr>
            <w:tcW w:w="120" w:type="dxa"/>
            <w:vAlign w:val="bottom"/>
            <w:tcBorders>
              <w:bottom w:val="single" w:sz="8" w:color="D2F0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Diluted earnings: Net income attributable to common stockholders after allocation</w:t>
            </w:r>
          </w:p>
        </w:tc>
        <w:tc>
          <w:tcPr>
            <w:tcW w:w="340" w:type="dxa"/>
            <w:vAlign w:val="bottom"/>
            <w:tcBorders>
              <w:bottom w:val="single" w:sz="8" w:color="auto"/>
            </w:tcBorders>
            <w:shd w:val="clear" w:color="auto" w:fill="D2F0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2F0FF"/>
          </w:tcPr>
          <w:p>
            <w:pPr>
              <w:jc w:val="right"/>
              <w:ind w:right="13"/>
              <w:spacing w:after="0"/>
              <w:rPr>
                <w:sz w:val="20"/>
                <w:szCs w:val="20"/>
                <w:color w:val="auto"/>
              </w:rPr>
            </w:pPr>
            <w:r>
              <w:rPr>
                <w:rFonts w:ascii="Arial" w:cs="Arial" w:eastAsia="Arial" w:hAnsi="Arial"/>
                <w:sz w:val="18"/>
                <w:szCs w:val="18"/>
                <w:color w:val="auto"/>
              </w:rPr>
              <w:t>34,331</w:t>
            </w:r>
          </w:p>
        </w:tc>
        <w:tc>
          <w:tcPr>
            <w:tcW w:w="100" w:type="dxa"/>
            <w:vAlign w:val="bottom"/>
            <w:tcBorders>
              <w:bottom w:val="single" w:sz="8" w:color="D2F0FF"/>
            </w:tcBorders>
            <w:shd w:val="clear" w:color="auto" w:fill="D2F0FF"/>
          </w:tcPr>
          <w:p>
            <w:pPr>
              <w:spacing w:after="0"/>
              <w:rPr>
                <w:sz w:val="22"/>
                <w:szCs w:val="22"/>
                <w:color w:val="auto"/>
              </w:rPr>
            </w:pPr>
          </w:p>
        </w:tc>
        <w:tc>
          <w:tcPr>
            <w:tcW w:w="360" w:type="dxa"/>
            <w:vAlign w:val="bottom"/>
            <w:tcBorders>
              <w:bottom w:val="single" w:sz="8" w:color="auto"/>
            </w:tcBorders>
            <w:shd w:val="clear" w:color="auto" w:fill="D2F0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2F0FF"/>
          </w:tcPr>
          <w:p>
            <w:pPr>
              <w:jc w:val="right"/>
              <w:ind w:right="11"/>
              <w:spacing w:after="0"/>
              <w:rPr>
                <w:sz w:val="20"/>
                <w:szCs w:val="20"/>
                <w:color w:val="auto"/>
              </w:rPr>
            </w:pPr>
            <w:r>
              <w:rPr>
                <w:rFonts w:ascii="Arial" w:cs="Arial" w:eastAsia="Arial" w:hAnsi="Arial"/>
                <w:sz w:val="18"/>
                <w:szCs w:val="18"/>
                <w:color w:val="auto"/>
              </w:rPr>
              <w:t>29,986</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Denominator</w:t>
            </w:r>
          </w:p>
        </w:tc>
        <w:tc>
          <w:tcPr>
            <w:tcW w:w="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82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D2F0FF"/>
            </w:tcBorders>
            <w:vMerge w:val="continue"/>
          </w:tcPr>
          <w:p>
            <w:pPr>
              <w:spacing w:after="0"/>
              <w:rPr>
                <w:sz w:val="24"/>
                <w:szCs w:val="24"/>
                <w:color w:val="auto"/>
              </w:rPr>
            </w:pPr>
          </w:p>
        </w:tc>
        <w:tc>
          <w:tcPr>
            <w:tcW w:w="340" w:type="dxa"/>
            <w:vAlign w:val="bottom"/>
            <w:tcBorders>
              <w:bottom w:val="single" w:sz="8" w:color="D2F0FF"/>
            </w:tcBorders>
          </w:tcPr>
          <w:p>
            <w:pPr>
              <w:spacing w:after="0"/>
              <w:rPr>
                <w:sz w:val="24"/>
                <w:szCs w:val="24"/>
                <w:color w:val="auto"/>
              </w:rPr>
            </w:pPr>
          </w:p>
        </w:tc>
        <w:tc>
          <w:tcPr>
            <w:tcW w:w="1140" w:type="dxa"/>
            <w:vAlign w:val="bottom"/>
            <w:tcBorders>
              <w:bottom w:val="single" w:sz="8" w:color="D2F0FF"/>
            </w:tcBorders>
          </w:tcPr>
          <w:p>
            <w:pPr>
              <w:spacing w:after="0"/>
              <w:rPr>
                <w:sz w:val="24"/>
                <w:szCs w:val="24"/>
                <w:color w:val="auto"/>
              </w:rPr>
            </w:pPr>
          </w:p>
        </w:tc>
        <w:tc>
          <w:tcPr>
            <w:tcW w:w="100" w:type="dxa"/>
            <w:vAlign w:val="bottom"/>
            <w:tcBorders>
              <w:bottom w:val="single" w:sz="8" w:color="D2F0FF"/>
            </w:tcBorders>
          </w:tcPr>
          <w:p>
            <w:pPr>
              <w:spacing w:after="0"/>
              <w:rPr>
                <w:sz w:val="24"/>
                <w:szCs w:val="24"/>
                <w:color w:val="auto"/>
              </w:rPr>
            </w:pPr>
          </w:p>
        </w:tc>
        <w:tc>
          <w:tcPr>
            <w:tcW w:w="360" w:type="dxa"/>
            <w:vAlign w:val="bottom"/>
            <w:tcBorders>
              <w:bottom w:val="single" w:sz="8" w:color="D2F0FF"/>
            </w:tcBorders>
          </w:tcPr>
          <w:p>
            <w:pPr>
              <w:spacing w:after="0"/>
              <w:rPr>
                <w:sz w:val="24"/>
                <w:szCs w:val="24"/>
                <w:color w:val="auto"/>
              </w:rPr>
            </w:pPr>
          </w:p>
        </w:tc>
        <w:tc>
          <w:tcPr>
            <w:tcW w:w="1120" w:type="dxa"/>
            <w:vAlign w:val="bottom"/>
            <w:tcBorders>
              <w:bottom w:val="single" w:sz="8" w:color="D2F0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D2F0FF"/>
            </w:tcBorders>
            <w:shd w:val="clear" w:color="auto" w:fill="D2F0FF"/>
          </w:tcPr>
          <w:p>
            <w:pPr>
              <w:spacing w:after="0"/>
              <w:rPr>
                <w:sz w:val="21"/>
                <w:szCs w:val="21"/>
                <w:color w:val="auto"/>
              </w:rPr>
            </w:pPr>
          </w:p>
        </w:tc>
        <w:tc>
          <w:tcPr>
            <w:tcW w:w="1140" w:type="dxa"/>
            <w:vAlign w:val="bottom"/>
            <w:tcBorders>
              <w:bottom w:val="single" w:sz="8" w:color="D2F0FF"/>
            </w:tcBorders>
            <w:shd w:val="clear" w:color="auto" w:fill="D2F0FF"/>
          </w:tcPr>
          <w:p>
            <w:pPr>
              <w:jc w:val="right"/>
              <w:ind w:right="13"/>
              <w:spacing w:after="0"/>
              <w:rPr>
                <w:sz w:val="20"/>
                <w:szCs w:val="20"/>
                <w:color w:val="auto"/>
              </w:rPr>
            </w:pPr>
            <w:r>
              <w:rPr>
                <w:rFonts w:ascii="Arial" w:cs="Arial" w:eastAsia="Arial" w:hAnsi="Arial"/>
                <w:sz w:val="18"/>
                <w:szCs w:val="18"/>
                <w:color w:val="auto"/>
              </w:rPr>
              <w:t>85,520</w:t>
            </w:r>
          </w:p>
        </w:tc>
        <w:tc>
          <w:tcPr>
            <w:tcW w:w="100" w:type="dxa"/>
            <w:vAlign w:val="bottom"/>
            <w:tcBorders>
              <w:bottom w:val="single" w:sz="8" w:color="D2F0FF"/>
            </w:tcBorders>
            <w:shd w:val="clear" w:color="auto" w:fill="D2F0FF"/>
          </w:tcPr>
          <w:p>
            <w:pPr>
              <w:spacing w:after="0"/>
              <w:rPr>
                <w:sz w:val="21"/>
                <w:szCs w:val="21"/>
                <w:color w:val="auto"/>
              </w:rPr>
            </w:pPr>
          </w:p>
        </w:tc>
        <w:tc>
          <w:tcPr>
            <w:tcW w:w="360" w:type="dxa"/>
            <w:vAlign w:val="bottom"/>
            <w:tcBorders>
              <w:bottom w:val="single" w:sz="8" w:color="D2F0FF"/>
            </w:tcBorders>
            <w:shd w:val="clear" w:color="auto" w:fill="D2F0FF"/>
          </w:tcPr>
          <w:p>
            <w:pPr>
              <w:spacing w:after="0"/>
              <w:rPr>
                <w:sz w:val="21"/>
                <w:szCs w:val="21"/>
                <w:color w:val="auto"/>
              </w:rPr>
            </w:pPr>
          </w:p>
        </w:tc>
        <w:tc>
          <w:tcPr>
            <w:tcW w:w="1120" w:type="dxa"/>
            <w:vAlign w:val="bottom"/>
            <w:tcBorders>
              <w:bottom w:val="single" w:sz="8" w:color="D2F0FF"/>
            </w:tcBorders>
            <w:shd w:val="clear" w:color="auto" w:fill="D2F0FF"/>
          </w:tcPr>
          <w:p>
            <w:pPr>
              <w:jc w:val="right"/>
              <w:ind w:right="11"/>
              <w:spacing w:after="0"/>
              <w:rPr>
                <w:sz w:val="20"/>
                <w:szCs w:val="20"/>
                <w:color w:val="auto"/>
              </w:rPr>
            </w:pPr>
            <w:r>
              <w:rPr>
                <w:rFonts w:ascii="Arial" w:cs="Arial" w:eastAsia="Arial" w:hAnsi="Arial"/>
                <w:sz w:val="18"/>
                <w:szCs w:val="18"/>
                <w:color w:val="auto"/>
              </w:rPr>
              <w:t>78,855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Add: dilutive stock options</w:t>
            </w: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D2F0FF"/>
            </w:tcBorders>
            <w:gridSpan w:val="2"/>
            <w:shd w:val="clear" w:color="auto" w:fill="D2F0FF"/>
          </w:tcPr>
          <w:p>
            <w:pPr>
              <w:ind w:left="380"/>
              <w:spacing w:after="0"/>
              <w:rPr>
                <w:sz w:val="20"/>
                <w:szCs w:val="20"/>
                <w:color w:val="auto"/>
              </w:rPr>
            </w:pPr>
            <w:r>
              <w:rPr>
                <w:rFonts w:ascii="Arial" w:cs="Arial" w:eastAsia="Arial" w:hAnsi="Arial"/>
                <w:sz w:val="18"/>
                <w:szCs w:val="18"/>
                <w:color w:val="auto"/>
              </w:rPr>
              <w:t>Add: dilutive restricted stock</w:t>
            </w:r>
          </w:p>
        </w:tc>
        <w:tc>
          <w:tcPr>
            <w:tcW w:w="340" w:type="dxa"/>
            <w:vAlign w:val="bottom"/>
            <w:tcBorders>
              <w:bottom w:val="single" w:sz="8" w:color="D2F0FF"/>
            </w:tcBorders>
            <w:shd w:val="clear" w:color="auto" w:fill="D2F0FF"/>
          </w:tcPr>
          <w:p>
            <w:pPr>
              <w:spacing w:after="0"/>
              <w:rPr>
                <w:sz w:val="23"/>
                <w:szCs w:val="23"/>
                <w:color w:val="auto"/>
              </w:rPr>
            </w:pPr>
          </w:p>
        </w:tc>
        <w:tc>
          <w:tcPr>
            <w:tcW w:w="1140" w:type="dxa"/>
            <w:vAlign w:val="bottom"/>
            <w:tcBorders>
              <w:bottom w:val="single" w:sz="8" w:color="D2F0FF"/>
            </w:tcBorders>
            <w:shd w:val="clear" w:color="auto" w:fill="D2F0FF"/>
          </w:tcPr>
          <w:p>
            <w:pPr>
              <w:jc w:val="right"/>
              <w:ind w:right="13"/>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D2F0FF"/>
            </w:tcBorders>
            <w:shd w:val="clear" w:color="auto" w:fill="D2F0FF"/>
          </w:tcPr>
          <w:p>
            <w:pPr>
              <w:spacing w:after="0"/>
              <w:rPr>
                <w:sz w:val="23"/>
                <w:szCs w:val="23"/>
                <w:color w:val="auto"/>
              </w:rPr>
            </w:pPr>
          </w:p>
        </w:tc>
        <w:tc>
          <w:tcPr>
            <w:tcW w:w="360" w:type="dxa"/>
            <w:vAlign w:val="bottom"/>
            <w:tcBorders>
              <w:bottom w:val="single" w:sz="8" w:color="D2F0FF"/>
            </w:tcBorders>
            <w:shd w:val="clear" w:color="auto" w:fill="D2F0FF"/>
          </w:tcPr>
          <w:p>
            <w:pPr>
              <w:spacing w:after="0"/>
              <w:rPr>
                <w:sz w:val="23"/>
                <w:szCs w:val="23"/>
                <w:color w:val="auto"/>
              </w:rPr>
            </w:pPr>
          </w:p>
        </w:tc>
        <w:tc>
          <w:tcPr>
            <w:tcW w:w="1120" w:type="dxa"/>
            <w:vAlign w:val="bottom"/>
            <w:tcBorders>
              <w:bottom w:val="single" w:sz="8" w:color="D2F0FF"/>
            </w:tcBorders>
            <w:shd w:val="clear" w:color="auto" w:fill="D2F0FF"/>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97"/>
        </w:trPr>
        <w:tc>
          <w:tcPr>
            <w:tcW w:w="8360" w:type="dxa"/>
            <w:vAlign w:val="bottom"/>
            <w:tcBorders>
              <w:bottom w:val="single" w:sz="8" w:color="D2F0FF"/>
            </w:tcBorders>
            <w:gridSpan w:val="2"/>
          </w:tcPr>
          <w:p>
            <w:pPr>
              <w:ind w:left="40"/>
              <w:spacing w:after="0"/>
              <w:rPr>
                <w:sz w:val="20"/>
                <w:szCs w:val="20"/>
                <w:color w:val="auto"/>
              </w:rPr>
            </w:pPr>
            <w:r>
              <w:rPr>
                <w:rFonts w:ascii="Arial" w:cs="Arial" w:eastAsia="Arial" w:hAnsi="Arial"/>
                <w:sz w:val="18"/>
                <w:szCs w:val="18"/>
                <w:color w:val="auto"/>
              </w:rPr>
              <w:t>Diluted weighted average common shares and securities</w:t>
            </w: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86,033</w:t>
            </w:r>
          </w:p>
        </w:tc>
        <w:tc>
          <w:tcPr>
            <w:tcW w:w="100" w:type="dxa"/>
            <w:vAlign w:val="bottom"/>
            <w:tcBorders>
              <w:bottom w:val="single" w:sz="8" w:color="D2F0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79,464</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D2F0FF"/>
            </w:tcBorders>
            <w:gridSpan w:val="2"/>
            <w:shd w:val="clear" w:color="auto" w:fill="D2F0FF"/>
          </w:tcPr>
          <w:p>
            <w:pPr>
              <w:ind w:left="40"/>
              <w:spacing w:after="0" w:line="203" w:lineRule="exact"/>
              <w:rPr>
                <w:sz w:val="20"/>
                <w:szCs w:val="20"/>
                <w:color w:val="auto"/>
              </w:rPr>
            </w:pPr>
            <w:r>
              <w:rPr>
                <w:rFonts w:ascii="Arial" w:cs="Arial" w:eastAsia="Arial" w:hAnsi="Arial"/>
                <w:sz w:val="18"/>
                <w:szCs w:val="18"/>
                <w:color w:val="auto"/>
              </w:rPr>
              <w:t>Earnings per share available to common stockholders after allocation:</w:t>
            </w:r>
          </w:p>
        </w:tc>
        <w:tc>
          <w:tcPr>
            <w:tcW w:w="340" w:type="dxa"/>
            <w:vAlign w:val="bottom"/>
            <w:tcBorders>
              <w:bottom w:val="single" w:sz="8" w:color="D2F0FF"/>
            </w:tcBorders>
            <w:shd w:val="clear" w:color="auto" w:fill="D2F0FF"/>
          </w:tcPr>
          <w:p>
            <w:pPr>
              <w:spacing w:after="0"/>
              <w:rPr>
                <w:sz w:val="18"/>
                <w:szCs w:val="18"/>
                <w:color w:val="auto"/>
              </w:rPr>
            </w:pPr>
          </w:p>
        </w:tc>
        <w:tc>
          <w:tcPr>
            <w:tcW w:w="1140" w:type="dxa"/>
            <w:vAlign w:val="bottom"/>
            <w:tcBorders>
              <w:bottom w:val="single" w:sz="8" w:color="D2F0FF"/>
            </w:tcBorders>
            <w:shd w:val="clear" w:color="auto" w:fill="D2F0FF"/>
          </w:tcPr>
          <w:p>
            <w:pPr>
              <w:spacing w:after="0"/>
              <w:rPr>
                <w:sz w:val="18"/>
                <w:szCs w:val="18"/>
                <w:color w:val="auto"/>
              </w:rPr>
            </w:pPr>
          </w:p>
        </w:tc>
        <w:tc>
          <w:tcPr>
            <w:tcW w:w="100" w:type="dxa"/>
            <w:vAlign w:val="bottom"/>
            <w:tcBorders>
              <w:bottom w:val="single" w:sz="8" w:color="D2F0FF"/>
            </w:tcBorders>
            <w:shd w:val="clear" w:color="auto" w:fill="D2F0FF"/>
          </w:tcPr>
          <w:p>
            <w:pPr>
              <w:spacing w:after="0"/>
              <w:rPr>
                <w:sz w:val="18"/>
                <w:szCs w:val="18"/>
                <w:color w:val="auto"/>
              </w:rPr>
            </w:pPr>
          </w:p>
        </w:tc>
        <w:tc>
          <w:tcPr>
            <w:tcW w:w="360" w:type="dxa"/>
            <w:vAlign w:val="bottom"/>
            <w:tcBorders>
              <w:bottom w:val="single" w:sz="8" w:color="D2F0FF"/>
            </w:tcBorders>
            <w:shd w:val="clear" w:color="auto" w:fill="D2F0FF"/>
          </w:tcPr>
          <w:p>
            <w:pPr>
              <w:spacing w:after="0"/>
              <w:rPr>
                <w:sz w:val="18"/>
                <w:szCs w:val="18"/>
                <w:color w:val="auto"/>
              </w:rPr>
            </w:pPr>
          </w:p>
        </w:tc>
        <w:tc>
          <w:tcPr>
            <w:tcW w:w="1120" w:type="dxa"/>
            <w:vAlign w:val="bottom"/>
            <w:tcBorders>
              <w:bottom w:val="single" w:sz="8" w:color="D2F0FF"/>
            </w:tcBorders>
            <w:shd w:val="clear" w:color="auto" w:fill="D2F0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60" w:type="dxa"/>
            <w:vAlign w:val="bottom"/>
            <w:gridSpan w:val="2"/>
            <w:shd w:val="clear" w:color="auto" w:fill="D2F0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D2F0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2F0FF"/>
          </w:tcPr>
          <w:p>
            <w:pPr>
              <w:jc w:val="right"/>
              <w:ind w:right="13"/>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D2F0FF"/>
          </w:tcPr>
          <w:p>
            <w:pPr>
              <w:spacing w:after="0"/>
              <w:rPr>
                <w:sz w:val="21"/>
                <w:szCs w:val="21"/>
                <w:color w:val="auto"/>
              </w:rPr>
            </w:pPr>
          </w:p>
        </w:tc>
        <w:tc>
          <w:tcPr>
            <w:tcW w:w="360" w:type="dxa"/>
            <w:vAlign w:val="bottom"/>
            <w:shd w:val="clear" w:color="auto" w:fill="D2F0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2F0FF"/>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8240" w:type="dxa"/>
            <w:vAlign w:val="bottom"/>
            <w:shd w:val="clear" w:color="auto" w:fill="D2F0FF"/>
          </w:tcPr>
          <w:p>
            <w:pPr>
              <w:spacing w:after="0"/>
              <w:rPr>
                <w:sz w:val="2"/>
                <w:szCs w:val="2"/>
                <w:color w:val="auto"/>
              </w:rPr>
            </w:pPr>
          </w:p>
        </w:tc>
        <w:tc>
          <w:tcPr>
            <w:tcW w:w="120" w:type="dxa"/>
            <w:vAlign w:val="bottom"/>
            <w:shd w:val="clear" w:color="auto" w:fill="D2F0FF"/>
          </w:tcPr>
          <w:p>
            <w:pPr>
              <w:spacing w:after="0"/>
              <w:rPr>
                <w:sz w:val="2"/>
                <w:szCs w:val="2"/>
                <w:color w:val="auto"/>
              </w:rPr>
            </w:pPr>
          </w:p>
        </w:tc>
        <w:tc>
          <w:tcPr>
            <w:tcW w:w="340" w:type="dxa"/>
            <w:vAlign w:val="bottom"/>
            <w:shd w:val="clear" w:color="auto" w:fill="D2F0FF"/>
          </w:tcPr>
          <w:p>
            <w:pPr>
              <w:spacing w:after="0"/>
              <w:rPr>
                <w:sz w:val="2"/>
                <w:szCs w:val="2"/>
                <w:color w:val="auto"/>
              </w:rPr>
            </w:pPr>
          </w:p>
        </w:tc>
        <w:tc>
          <w:tcPr>
            <w:tcW w:w="1140" w:type="dxa"/>
            <w:vAlign w:val="bottom"/>
            <w:shd w:val="clear" w:color="auto" w:fill="D2F0FF"/>
          </w:tcPr>
          <w:p>
            <w:pPr>
              <w:spacing w:after="0"/>
              <w:rPr>
                <w:sz w:val="2"/>
                <w:szCs w:val="2"/>
                <w:color w:val="auto"/>
              </w:rPr>
            </w:pPr>
          </w:p>
        </w:tc>
        <w:tc>
          <w:tcPr>
            <w:tcW w:w="100" w:type="dxa"/>
            <w:vAlign w:val="bottom"/>
            <w:shd w:val="clear" w:color="auto" w:fill="D2F0FF"/>
          </w:tcPr>
          <w:p>
            <w:pPr>
              <w:spacing w:after="0"/>
              <w:rPr>
                <w:sz w:val="2"/>
                <w:szCs w:val="2"/>
                <w:color w:val="auto"/>
              </w:rPr>
            </w:pPr>
          </w:p>
        </w:tc>
        <w:tc>
          <w:tcPr>
            <w:tcW w:w="360" w:type="dxa"/>
            <w:vAlign w:val="bottom"/>
            <w:shd w:val="clear" w:color="auto" w:fill="D2F0FF"/>
          </w:tcPr>
          <w:p>
            <w:pPr>
              <w:spacing w:after="0"/>
              <w:rPr>
                <w:sz w:val="2"/>
                <w:szCs w:val="2"/>
                <w:color w:val="auto"/>
              </w:rPr>
            </w:pPr>
          </w:p>
        </w:tc>
        <w:tc>
          <w:tcPr>
            <w:tcW w:w="1120" w:type="dxa"/>
            <w:vAlign w:val="bottom"/>
            <w:shd w:val="clear" w:color="auto" w:fill="D2F0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excluded certain convertible securities from the computation of diluted earnings per share because the inclusion of these securities would have been anti-dilutive for the periods presented. The following table presents the outstanding securities that were excluded from the computation of diluted earnings per share as of March 31, 2019 and 2018 (in thousands):</w:t>
      </w:r>
    </w:p>
    <w:p>
      <w:pPr>
        <w:spacing w:after="0" w:line="186"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23495</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OP units</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Series A-4 preferred stock</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Series A-3 preferred OP units</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Series A-1 preferred OP units</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Series D preferred OP units</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Aspen preferred OP units</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Series A-4 preferred OP units</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Series C preferred OP units</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securities</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6,647</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6,228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22</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1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financial instruments consist primarily of cash and cash equivalents, accounts and notes receivable, accounts payable, derivative instruments, and debt.</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the Company’s market assumption. This hierarchy requires the use of observable market data when available. These two types of inputs have created the following fair value hierarchy: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unadjusted prices for identical instruments in active markets;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3—Valuations derived from valuation techniques in which one or more significant inputs or significant value drivers are unobservable.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2018, we purchased marketable securities on the Australian Securities Exchange (“ASX”) for total consideration of $54 million US. The marketable securities held by us accounted for under the ASC 321 “</w:t>
      </w:r>
      <w:r>
        <w:rPr>
          <w:rFonts w:ascii="Arial" w:cs="Arial" w:eastAsia="Arial" w:hAnsi="Arial"/>
          <w:sz w:val="16"/>
          <w:szCs w:val="16"/>
          <w:i w:val="1"/>
          <w:iCs w:val="1"/>
          <w:color w:val="auto"/>
        </w:rPr>
        <w:t>Investment Equity Securities</w:t>
      </w:r>
      <w:r>
        <w:rPr>
          <w:rFonts w:ascii="Arial" w:cs="Arial" w:eastAsia="Arial" w:hAnsi="Arial"/>
          <w:sz w:val="16"/>
          <w:szCs w:val="16"/>
          <w:color w:val="auto"/>
        </w:rPr>
        <w:t>” are measured at fair value. Any change in fair value is recognized in the Consolidated Statement of Operations in Remeasurement of marketable securities in accordance with ASU 2016-01 “</w:t>
      </w:r>
      <w:r>
        <w:rPr>
          <w:rFonts w:ascii="Arial" w:cs="Arial" w:eastAsia="Arial" w:hAnsi="Arial"/>
          <w:sz w:val="16"/>
          <w:szCs w:val="16"/>
          <w:i w:val="1"/>
          <w:iCs w:val="1"/>
          <w:color w:val="auto"/>
        </w:rPr>
        <w:t>Financial Instruments</w:t>
      </w:r>
    </w:p>
    <w:p>
      <w:pPr>
        <w:ind w:right="20" w:firstLine="8"/>
        <w:spacing w:after="0" w:line="261" w:lineRule="auto"/>
        <w:tabs>
          <w:tab w:leader="none" w:pos="111"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Overall (Subtopic 825-10): Recognition and measurement of financial assets and financial liabilities</w:t>
      </w:r>
      <w:r>
        <w:rPr>
          <w:rFonts w:ascii="Arial" w:cs="Arial" w:eastAsia="Arial" w:hAnsi="Arial"/>
          <w:sz w:val="18"/>
          <w:szCs w:val="18"/>
          <w:color w:val="auto"/>
        </w:rPr>
        <w:t>.” The fair value is measured by the quoted unadjusted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 price of which is readily available in active markets (Level 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carrying value of the installment notes receivable on manufactured homes estimates the fair value as the interest rates in the portfolio are comparable to current prevailing market rates (Level 2). Refer to Note 5, “Notes and Other Receivables.”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and Lines of Credit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long-term debt (excluding the secured borrowing) is based on the estimates of management and on rates currently quoted, rates currently prevailing for comparable loans, and instruments of comparable maturities (Level 2). Refer to Note 9, “Debt and Lines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Receivables and Secured Borrowings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these financial instruments offset each other as our collateralized receivables represent a transfer of financial assets and the cash proceeds received from these transactions have been classified as a secured borrowing on the Consolidated Balance Sheets. The net carrying value of the collateralized receivables estimates the fair value as the interest rates in the portfolio are comparable to current prevailing market rates (Level 2). Refer to Note 4, “Collateralized Receivables and Transfers of Financial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the fair value of our contingent consideration liability based on discounting of future cash flows using market interest rates and adjusting for non-performance risk over the remaining term of the liability (Level 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accounts receivable, and accounts payable approximate their fair market values due to the short-term nature of these instruments.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table below sets forth our financial assets and liabilities that required disclosure of fair value on a recurring basis as of March 31, 2019. The table presents the carrying values and fair values of our financial instruments as of March 31, 2019 and December 31, 2018, that were measured using the valuation techniques described above (in thousands). The table excludes other financial instruments such as cash and cash equivalents, accounts receivable, and accounts payable as the carrying values associated with these instruments approximate fair value since their maturities are less than one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Financial assets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7"/>
              </w:rPr>
              <w:t>Carrying Value</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Carrying Value</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50,501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49,037</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Installment notes receivable on manufactured homes, net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109,256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109,256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112,798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112,798</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Collateralized receivables, net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101,938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101,938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106,924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106,924</w:t>
            </w: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b w:val="1"/>
                <w:bCs w:val="1"/>
                <w:color w:val="auto"/>
              </w:rPr>
              <w:t>Financial liabilities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6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(excluding secured borrowings)</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2,948,929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2,906,358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2,888,572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2,757,649</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Secured borrowings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102,676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102,676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107,731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107,731</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Lines of credit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396,512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396,512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128,000</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Other liabilities (contingent consideration)</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4,702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4,640</w:t>
            </w:r>
          </w:p>
        </w:tc>
      </w:tr>
    </w:tbl>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2016, the FASB issued ASC 2016-02 codified in ASC Topic 842, Leases, which amends the guidance in former ASC Topic 840, Leases. On January 1, 2019, we adopted ASC 2016-02. The new standard increases transparency and comparability most significantly by requiring the recognition by lessees of right-of-use (“ROU”) assets and lease liabilities on the balance sheet for those leases classified as operating leases and disclose key information about leasing arrangements. As amended by ASU 2018-11, comparative reporting periods are presented in accordance with Topic 840, while periods subsequent to the effective date are presented in accordance with Topic 842. The Company elected the package of practical expedients, which permits the Company not to reassess expired or existing contracts containing a lease, the lease classification for expired or existing contracts, initial direct costs for any existing leases. The Company elected not to allocate lease obligation between lease and non-lease components of our agreements for both leases where we are a lessor and leases where we are a lessee. The Company did not elect the hindsight practical expedient, which permits the company to use hindsight in determining the lease terms and impairment implications. The Company did not elect to use a portfolio approach in the valuation of ROU assets and corresponding liabilities. Some ROU assets include an extension option, which is included in the ROU assets and liabilities only if we are reasonably certain to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income from real property and rental home revenue streams are derived from rental agreements where we are the lessor. Our recognition of rental revenue remains mainly consistent with previous guidance, apart from the narrower definition of initial direct costs that can be capitalized. Our leases with customers are classified as operating leases and rental revenue is recognized on a straight-line basis over the customer lease term.</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842 limits the definition of initial direct costs to only the incremental costs of signing a lease. Internal sales employees’ compensation, payroll-related fringe benefits, certain legal fees rendered prior to the execution of a lease, negotiation costs, advertising and other origination effort costs no longer meet the definition of initial direct costs under the new standard, and will be accounted for as general and administrative expense in our condensed consolidated statements of operations. ASC 842 permits the capitalization of direct commission costs. The application of ASC 842 resulted in an immaterial impact on the statement of consolidated operations.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income from tenants is recognized on a straight-line basis over the terms of the relevant lease agreement and is included within income from real property, rental home revenue and ancillary revenue on the Consolidated Statements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is not recognized when collection is not reasonably assured. When collectability is not reasonably assured, the resident is placed on non-accrual status and revenue is recognized when cash payments are received.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if an arrangement is a lease at inception. Our operating lease agreements are primarily for executive office spaces, ground leases at certain communities, and certain equipment leases. The ROU asset and ROU liabilities are included within Other assets, net and Other liabilities on the Consolidated Balance Sheets.</w:t>
      </w:r>
    </w:p>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operating leases with a term greater than one year, the company recognizes the ROU assets and liabilities related to the lease payments on the Consolidated Balance Sheets. The lease liabilities are initially and subsequently measured at the present value of the unpaid lease payments at the lease commencement date. The ROU assets represent our right to use the underlying assets for the term of the lease and the lease liabilities represent our obligation to make lease payments arising for the agreements. The ROU asset is initially measured at cost, which comprises the initial amount of the lease liability adjusted for lease payments made at or before the lease commencement date, plus any initial direct costs incurred less any lease incentives received. The ROU asset is subsequently measured throughout the lease term at the carrying amount of the lease liability, plus unamortized initial direct costs, plus (minus) any prepaid (accrued) lease payments, less the unamortized balance of lease incentives received. Lease expense for lease payments is recognized on a straight-line basis over the lease term. The ROU asset is periodically reduced by impairment losses. As of March 31, 2019, we have not encountered any impairment losses. Variable lease payments, except for the ones that depend on index or rate, are excluded from the calculation of the ROU assets and lease liabilities and are recognized as variable lease expense in the consolidated Statement of Operations in the period in which they are incurred. As most of our leases do not provide an implicit rate, we use our incremental borrowing rate based on the information available at commencement date in determining the present value of lease payments. Many of our lessee agreements include options to extend the lease, which we do not include in our minimum lease terms unless they are reasonably certain to be exercised. The Lease liability costs are amortized over the straight-line method over the term of the lease. Operating leases with a term of less than one year are recognized as a lease expense over the term of the lease, with no asset or liability recognized on the Consolidated Balance Sheets.</w:t>
      </w:r>
    </w:p>
    <w:p>
      <w:pPr>
        <w:spacing w:after="0" w:line="1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Finance leases where we are the lessee are included in Other assets, net and Other liabilities on our Consolidated Balance Sheets. The lease liabilities are initially measured in the same manner as operating leases and are subsequently measured at amortized cost using the effective interest method. The ROU asset is initially measured at cost, which comprises the initial amount of the lease liability adjusted for lease payments made at or before the lease commencement date, plus any initial direct costs incurred less any lease incentives received. For finance leases the ROU asset is subsequently amortized using the straight-line method from the lease commencement date to the earlier of the end of its useful life or the end of the lease term unless the lease transfers ownership of the underlying asset to us, or we are reasonably certain to exercise an option to purchase the underlying asset. In those cases, the ROU asset is amortized over the useful life of the underlying asset. Amortization of the ROU asset is recognized and presented separately from interest expense on the lease liability. ROU assets are periodically reduced by impairment losses. As of March 31, 2019, we have not encountered any impairment losses. Refer to Refer to Note 18, “Leases,” for information regarding leasing activities.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1, 2018, we adopted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Refer to Note 2, “Revenue” for information regarding our adoption of this guidance.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On January 1, 2018, we adopted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and now capitalize direct acquisition related costs as part of the purchase price of asset acquisitions. Under previous guidance, substantially all of our property acquisitions were accounted for as business combinations with identifiable assets and liabilities measured at fair value, and acquisition related costs expensed as incurred.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January 1, 2018, we adopted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This update required inclusion of restricted cash and restricted cash equivalents with cash and cash equivalents when reconciling the beginning-of-period and end-of-period total amounts shown on the statement of cash flows.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restricted cash consists of amounts primarily held in deposit for tax, insurance and repair escrows held by lenders in accordance with certain debt agreements. Restricted cash is included as a component of Other assets, net on the Consolidated Balance Sheets. Changes in restricted cash are reported in our Consolidated Statements of Cash Flows as operating, investing or financing activities based on the nature of the underlying activity.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our beginning-of-period and end-of-period balances of cash, cash equivalents and restricted cash for the periods shown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4700" w:type="dxa"/>
            <w:vAlign w:val="bottom"/>
            <w:tcBorders>
              <w:top w:val="single" w:sz="8" w:color="D2F0FF"/>
              <w:bottom w:val="single" w:sz="8" w:color="D2F0FF"/>
            </w:tcBorders>
            <w:shd w:val="clear" w:color="auto" w:fill="D2F0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bottom w:val="single" w:sz="8" w:color="D2F0FF"/>
            </w:tcBorders>
            <w:shd w:val="clear" w:color="auto" w:fill="D2F0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D2F0FF"/>
            </w:tcBorders>
            <w:shd w:val="clear" w:color="auto" w:fill="D2F0FF"/>
          </w:tcPr>
          <w:p>
            <w:pPr>
              <w:jc w:val="right"/>
              <w:ind w:right="34"/>
              <w:spacing w:after="0"/>
              <w:rPr>
                <w:sz w:val="20"/>
                <w:szCs w:val="20"/>
                <w:color w:val="auto"/>
              </w:rPr>
            </w:pPr>
            <w:r>
              <w:rPr>
                <w:rFonts w:ascii="Arial" w:cs="Arial" w:eastAsia="Arial" w:hAnsi="Arial"/>
                <w:sz w:val="18"/>
                <w:szCs w:val="18"/>
                <w:color w:val="auto"/>
              </w:rPr>
              <w:t>21,946</w:t>
            </w:r>
          </w:p>
        </w:tc>
        <w:tc>
          <w:tcPr>
            <w:tcW w:w="100" w:type="dxa"/>
            <w:vAlign w:val="bottom"/>
            <w:tcBorders>
              <w:top w:val="single" w:sz="8" w:color="D2F0FF"/>
              <w:bottom w:val="single" w:sz="8" w:color="D2F0FF"/>
            </w:tcBorders>
            <w:shd w:val="clear" w:color="auto" w:fill="D2F0FF"/>
          </w:tcPr>
          <w:p>
            <w:pPr>
              <w:spacing w:after="0"/>
              <w:rPr>
                <w:sz w:val="21"/>
                <w:szCs w:val="21"/>
                <w:color w:val="auto"/>
              </w:rPr>
            </w:pPr>
          </w:p>
        </w:tc>
        <w:tc>
          <w:tcPr>
            <w:tcW w:w="160" w:type="dxa"/>
            <w:vAlign w:val="bottom"/>
            <w:tcBorders>
              <w:top w:val="single" w:sz="8" w:color="auto"/>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D2F0FF"/>
            </w:tcBorders>
            <w:shd w:val="clear" w:color="auto" w:fill="D2F0FF"/>
          </w:tcPr>
          <w:p>
            <w:pPr>
              <w:jc w:val="right"/>
              <w:ind w:right="34"/>
              <w:spacing w:after="0"/>
              <w:rPr>
                <w:sz w:val="20"/>
                <w:szCs w:val="20"/>
                <w:color w:val="auto"/>
              </w:rPr>
            </w:pPr>
            <w:r>
              <w:rPr>
                <w:rFonts w:ascii="Arial" w:cs="Arial" w:eastAsia="Arial" w:hAnsi="Arial"/>
                <w:sz w:val="18"/>
                <w:szCs w:val="18"/>
                <w:color w:val="auto"/>
              </w:rPr>
              <w:t>50,311</w:t>
            </w:r>
          </w:p>
        </w:tc>
        <w:tc>
          <w:tcPr>
            <w:tcW w:w="100" w:type="dxa"/>
            <w:vAlign w:val="bottom"/>
            <w:tcBorders>
              <w:top w:val="single" w:sz="8" w:color="D2F0FF"/>
              <w:bottom w:val="single" w:sz="8" w:color="D2F0FF"/>
            </w:tcBorders>
            <w:shd w:val="clear" w:color="auto" w:fill="D2F0FF"/>
          </w:tcPr>
          <w:p>
            <w:pPr>
              <w:spacing w:after="0"/>
              <w:rPr>
                <w:sz w:val="21"/>
                <w:szCs w:val="21"/>
                <w:color w:val="auto"/>
              </w:rPr>
            </w:pPr>
          </w:p>
        </w:tc>
        <w:tc>
          <w:tcPr>
            <w:tcW w:w="220" w:type="dxa"/>
            <w:vAlign w:val="bottom"/>
            <w:tcBorders>
              <w:top w:val="single" w:sz="8" w:color="auto"/>
              <w:bottom w:val="single" w:sz="8" w:color="D2F0FF"/>
            </w:tcBorders>
            <w:shd w:val="clear" w:color="auto" w:fill="D2F0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D2F0FF"/>
            </w:tcBorders>
            <w:shd w:val="clear" w:color="auto" w:fill="D2F0FF"/>
          </w:tcPr>
          <w:p>
            <w:pPr>
              <w:jc w:val="right"/>
              <w:ind w:right="14"/>
              <w:spacing w:after="0"/>
              <w:rPr>
                <w:sz w:val="20"/>
                <w:szCs w:val="20"/>
                <w:color w:val="auto"/>
              </w:rPr>
            </w:pPr>
            <w:r>
              <w:rPr>
                <w:rFonts w:ascii="Arial" w:cs="Arial" w:eastAsia="Arial" w:hAnsi="Arial"/>
                <w:sz w:val="18"/>
                <w:szCs w:val="18"/>
                <w:color w:val="auto"/>
              </w:rPr>
              <w:t>15,153</w:t>
            </w:r>
          </w:p>
        </w:tc>
        <w:tc>
          <w:tcPr>
            <w:tcW w:w="100" w:type="dxa"/>
            <w:vAlign w:val="bottom"/>
            <w:tcBorders>
              <w:top w:val="single" w:sz="8" w:color="D2F0FF"/>
              <w:bottom w:val="single" w:sz="8" w:color="D2F0FF"/>
            </w:tcBorders>
            <w:shd w:val="clear" w:color="auto" w:fill="D2F0FF"/>
          </w:tcPr>
          <w:p>
            <w:pPr>
              <w:spacing w:after="0"/>
              <w:rPr>
                <w:sz w:val="21"/>
                <w:szCs w:val="21"/>
                <w:color w:val="auto"/>
              </w:rPr>
            </w:pPr>
          </w:p>
        </w:tc>
        <w:tc>
          <w:tcPr>
            <w:tcW w:w="180" w:type="dxa"/>
            <w:vAlign w:val="bottom"/>
            <w:tcBorders>
              <w:top w:val="single" w:sz="8" w:color="auto"/>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D2F0FF"/>
            </w:tcBorders>
            <w:shd w:val="clear" w:color="auto" w:fill="D2F0FF"/>
          </w:tcPr>
          <w:p>
            <w:pPr>
              <w:jc w:val="right"/>
              <w:ind w:right="14"/>
              <w:spacing w:after="0"/>
              <w:rPr>
                <w:sz w:val="20"/>
                <w:szCs w:val="20"/>
                <w:color w:val="auto"/>
              </w:rPr>
            </w:pPr>
            <w:r>
              <w:rPr>
                <w:rFonts w:ascii="Arial" w:cs="Arial" w:eastAsia="Arial" w:hAnsi="Arial"/>
                <w:sz w:val="18"/>
                <w:szCs w:val="18"/>
                <w:color w:val="auto"/>
              </w:rPr>
              <w:t>10,127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12,229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11,951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12,271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13,382</w:t>
            </w:r>
          </w:p>
        </w:tc>
      </w:tr>
      <w:tr>
        <w:trPr>
          <w:trHeight w:val="27"/>
        </w:trPr>
        <w:tc>
          <w:tcPr>
            <w:tcW w:w="4700" w:type="dxa"/>
            <w:vAlign w:val="bottom"/>
            <w:tcBorders>
              <w:bottom w:val="single" w:sz="8" w:color="D2F0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D2F0FF"/>
            </w:tcBorders>
            <w:shd w:val="clear" w:color="auto" w:fill="D2F0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240" w:type="dxa"/>
            <w:vAlign w:val="bottom"/>
            <w:tcBorders>
              <w:bottom w:val="single" w:sz="8" w:color="D2F0FF"/>
            </w:tcBorders>
            <w:shd w:val="clear" w:color="auto" w:fill="D2F0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D2F0FF"/>
            </w:tcBorders>
            <w:shd w:val="clear" w:color="auto" w:fill="D2F0FF"/>
          </w:tcPr>
          <w:p>
            <w:pPr>
              <w:jc w:val="right"/>
              <w:ind w:right="34"/>
              <w:spacing w:after="0"/>
              <w:rPr>
                <w:sz w:val="20"/>
                <w:szCs w:val="20"/>
                <w:color w:val="auto"/>
              </w:rPr>
            </w:pPr>
            <w:r>
              <w:rPr>
                <w:rFonts w:ascii="Arial" w:cs="Arial" w:eastAsia="Arial" w:hAnsi="Arial"/>
                <w:sz w:val="18"/>
                <w:szCs w:val="18"/>
                <w:color w:val="auto"/>
              </w:rPr>
              <w:t>34,175</w:t>
            </w:r>
          </w:p>
        </w:tc>
        <w:tc>
          <w:tcPr>
            <w:tcW w:w="100" w:type="dxa"/>
            <w:vAlign w:val="bottom"/>
            <w:tcBorders>
              <w:bottom w:val="single" w:sz="8" w:color="D2F0FF"/>
            </w:tcBorders>
            <w:shd w:val="clear" w:color="auto" w:fill="D2F0FF"/>
          </w:tcPr>
          <w:p>
            <w:pPr>
              <w:spacing w:after="0"/>
              <w:rPr>
                <w:sz w:val="22"/>
                <w:szCs w:val="22"/>
                <w:color w:val="auto"/>
              </w:rPr>
            </w:pPr>
          </w:p>
        </w:tc>
        <w:tc>
          <w:tcPr>
            <w:tcW w:w="16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D2F0FF"/>
            </w:tcBorders>
            <w:shd w:val="clear" w:color="auto" w:fill="D2F0FF"/>
          </w:tcPr>
          <w:p>
            <w:pPr>
              <w:jc w:val="right"/>
              <w:ind w:right="34"/>
              <w:spacing w:after="0"/>
              <w:rPr>
                <w:sz w:val="20"/>
                <w:szCs w:val="20"/>
                <w:color w:val="auto"/>
              </w:rPr>
            </w:pPr>
            <w:r>
              <w:rPr>
                <w:rFonts w:ascii="Arial" w:cs="Arial" w:eastAsia="Arial" w:hAnsi="Arial"/>
                <w:sz w:val="18"/>
                <w:szCs w:val="18"/>
                <w:color w:val="auto"/>
              </w:rPr>
              <w:t>62,262</w:t>
            </w:r>
          </w:p>
        </w:tc>
        <w:tc>
          <w:tcPr>
            <w:tcW w:w="100" w:type="dxa"/>
            <w:vAlign w:val="bottom"/>
            <w:tcBorders>
              <w:bottom w:val="single" w:sz="8" w:color="D2F0FF"/>
            </w:tcBorders>
            <w:shd w:val="clear" w:color="auto" w:fill="D2F0FF"/>
          </w:tcPr>
          <w:p>
            <w:pPr>
              <w:spacing w:after="0"/>
              <w:rPr>
                <w:sz w:val="22"/>
                <w:szCs w:val="22"/>
                <w:color w:val="auto"/>
              </w:rPr>
            </w:pPr>
          </w:p>
        </w:tc>
        <w:tc>
          <w:tcPr>
            <w:tcW w:w="220" w:type="dxa"/>
            <w:vAlign w:val="bottom"/>
            <w:tcBorders>
              <w:bottom w:val="single" w:sz="8" w:color="D2F0FF"/>
            </w:tcBorders>
            <w:shd w:val="clear" w:color="auto" w:fill="D2F0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D2F0FF"/>
            </w:tcBorders>
            <w:shd w:val="clear" w:color="auto" w:fill="D2F0FF"/>
          </w:tcPr>
          <w:p>
            <w:pPr>
              <w:jc w:val="right"/>
              <w:ind w:right="14"/>
              <w:spacing w:after="0"/>
              <w:rPr>
                <w:sz w:val="20"/>
                <w:szCs w:val="20"/>
                <w:color w:val="auto"/>
              </w:rPr>
            </w:pPr>
            <w:r>
              <w:rPr>
                <w:rFonts w:ascii="Arial" w:cs="Arial" w:eastAsia="Arial" w:hAnsi="Arial"/>
                <w:sz w:val="18"/>
                <w:szCs w:val="18"/>
                <w:color w:val="auto"/>
              </w:rPr>
              <w:t>27,424</w:t>
            </w:r>
          </w:p>
        </w:tc>
        <w:tc>
          <w:tcPr>
            <w:tcW w:w="100" w:type="dxa"/>
            <w:vAlign w:val="bottom"/>
            <w:tcBorders>
              <w:bottom w:val="single" w:sz="8" w:color="D2F0FF"/>
            </w:tcBorders>
            <w:shd w:val="clear" w:color="auto" w:fill="D2F0FF"/>
          </w:tcPr>
          <w:p>
            <w:pPr>
              <w:spacing w:after="0"/>
              <w:rPr>
                <w:sz w:val="22"/>
                <w:szCs w:val="22"/>
                <w:color w:val="auto"/>
              </w:rPr>
            </w:pPr>
          </w:p>
        </w:tc>
        <w:tc>
          <w:tcPr>
            <w:tcW w:w="18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D2F0FF"/>
            </w:tcBorders>
            <w:shd w:val="clear" w:color="auto" w:fill="D2F0FF"/>
          </w:tcPr>
          <w:p>
            <w:pPr>
              <w:jc w:val="right"/>
              <w:ind w:right="14"/>
              <w:spacing w:after="0"/>
              <w:rPr>
                <w:sz w:val="20"/>
                <w:szCs w:val="20"/>
                <w:color w:val="auto"/>
              </w:rPr>
            </w:pPr>
            <w:r>
              <w:rPr>
                <w:rFonts w:ascii="Arial" w:cs="Arial" w:eastAsia="Arial" w:hAnsi="Arial"/>
                <w:sz w:val="18"/>
                <w:szCs w:val="18"/>
                <w:color w:val="auto"/>
              </w:rPr>
              <w:t>23,509</w:t>
            </w:r>
          </w:p>
        </w:tc>
      </w:tr>
      <w:tr>
        <w:trPr>
          <w:trHeight w:val="20"/>
        </w:trPr>
        <w:tc>
          <w:tcPr>
            <w:tcW w:w="4700" w:type="dxa"/>
            <w:vAlign w:val="bottom"/>
            <w:tcBorders>
              <w:top w:val="single" w:sz="8" w:color="D2F0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F0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F0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F0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This update replaces the incurred loss impairment methodology in current GAAP with a methodology that reflects expected credit losses and requires consideration of a broader range of reasonable and supportable information to inform credit loss estimates. The amendments in this update are effective for fiscal years beginning after December 15, 2019, including interim periods within those fiscal years. We are in the initial phases of evaluating how this guidance will impact our accounting policies regarding assessment of, and allowance for, loan losses.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involved in various legal proceedings arising in the ordinary course of business. All such proceedings, taken together, are not expected to have a material adverse impact on our results of operations or financial condition.</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4"/>
          <w:szCs w:val="14"/>
          <w:b w:val="1"/>
          <w:bCs w:val="1"/>
          <w:color w:val="auto"/>
        </w:rPr>
        <w:t>Leases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leases as of the quarter ended March 31, 2019 where we are the lessee include:</w:t>
      </w:r>
    </w:p>
    <w:p>
      <w:pPr>
        <w:spacing w:after="0" w:line="352"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Leases</w:t>
            </w:r>
          </w:p>
        </w:tc>
        <w:tc>
          <w:tcPr>
            <w:tcW w:w="260" w:type="dxa"/>
            <w:vAlign w:val="bottom"/>
          </w:tcPr>
          <w:p>
            <w:pPr>
              <w:spacing w:after="0"/>
              <w:rPr>
                <w:sz w:val="16"/>
                <w:szCs w:val="16"/>
                <w:color w:val="auto"/>
              </w:rPr>
            </w:pP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color w:val="auto"/>
              </w:rPr>
              <w:t>Finance Leases</w:t>
            </w:r>
          </w:p>
        </w:tc>
      </w:tr>
      <w:tr>
        <w:trPr>
          <w:trHeight w:val="256"/>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 (excluding the three months ended March 31, 2019)</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1,766</w:t>
            </w:r>
          </w:p>
        </w:tc>
        <w:tc>
          <w:tcPr>
            <w:tcW w:w="2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r>
      <w:tr>
        <w:trPr>
          <w:trHeight w:val="264"/>
        </w:trPr>
        <w:tc>
          <w:tcPr>
            <w:tcW w:w="7300" w:type="dxa"/>
            <w:vAlign w:val="bottom"/>
          </w:tcPr>
          <w:p>
            <w:pPr>
              <w:ind w:left="20"/>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2,397</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120</w:t>
            </w:r>
          </w:p>
        </w:tc>
      </w:tr>
      <w:tr>
        <w:trPr>
          <w:trHeight w:val="27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2,446</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r>
      <w:tr>
        <w:trPr>
          <w:trHeight w:val="264"/>
        </w:trPr>
        <w:tc>
          <w:tcPr>
            <w:tcW w:w="7300" w:type="dxa"/>
            <w:vAlign w:val="bottom"/>
          </w:tcPr>
          <w:p>
            <w:pPr>
              <w:ind w:left="20"/>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2,483</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120</w:t>
            </w:r>
          </w:p>
        </w:tc>
      </w:tr>
      <w:tr>
        <w:trPr>
          <w:trHeight w:val="27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r>
      <w:tr>
        <w:trPr>
          <w:trHeight w:val="264"/>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13,725</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4,060</w:t>
            </w:r>
          </w:p>
        </w:tc>
      </w:tr>
      <w:tr>
        <w:trPr>
          <w:trHeight w:val="25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undiscounted lease payments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25,326</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4,652</w:t>
            </w:r>
          </w:p>
        </w:tc>
      </w:tr>
      <w:tr>
        <w:trPr>
          <w:trHeight w:val="264"/>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(6,213)</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r>
      <w:tr>
        <w:trPr>
          <w:trHeight w:val="243"/>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19,113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4,113</w:t>
            </w: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ROU assets and lease liabilities from operating lease as included within other assets, net and other liabilities in the Consolidated Balance Sheet were $47.7 million and $19.1 million, respectively, as of March 31, 2019. ROU assets from below market leases included within other assets, net in the Consolidated Balance Sheet was $29.1 as of December 31, 2018. No lease liabilities for operating leases were recognized as of December 31, 2018.</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ROU assets and lease liabilities from finance lease as included within land and other liabilities in the Consolidated Balance Sheets were $4.1 million respectively as of March 31, 2019. Capital lease assets and liabilities from finance lease as included within land and other liabilities in the Consolidated Balance Sheets were $4.1 million respectively as of December 31,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expense, as included in our consolidated statement of operations for the respective periods and additional information regarding lease terms are as follows (in thousands except*):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March 31, 2019</w:t>
            </w:r>
          </w:p>
        </w:tc>
        <w:tc>
          <w:tcPr>
            <w:tcW w:w="4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March 31, 2018</w:t>
            </w:r>
          </w:p>
        </w:tc>
      </w:tr>
      <w:tr>
        <w:trPr>
          <w:trHeight w:val="243"/>
        </w:trPr>
        <w:tc>
          <w:tcPr>
            <w:tcW w:w="4300" w:type="dxa"/>
            <w:vAlign w:val="bottom"/>
          </w:tcPr>
          <w:p>
            <w:pPr>
              <w:ind w:left="80"/>
              <w:spacing w:after="0"/>
              <w:rPr>
                <w:sz w:val="20"/>
                <w:szCs w:val="20"/>
                <w:color w:val="auto"/>
              </w:rPr>
            </w:pPr>
            <w:r>
              <w:rPr>
                <w:rFonts w:ascii="Arial" w:cs="Arial" w:eastAsia="Arial" w:hAnsi="Arial"/>
                <w:sz w:val="18"/>
                <w:szCs w:val="18"/>
                <w:b w:val="1"/>
                <w:bCs w:val="1"/>
                <w:color w:val="auto"/>
              </w:rPr>
              <w:t>Lease expense</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40" w:type="dxa"/>
            <w:vAlign w:val="bottom"/>
          </w:tcPr>
          <w:p>
            <w:pPr>
              <w:ind w:left="180"/>
              <w:spacing w:after="0"/>
              <w:rPr>
                <w:sz w:val="20"/>
                <w:szCs w:val="20"/>
                <w:color w:val="auto"/>
              </w:rPr>
            </w:pPr>
            <w:r>
              <w:rPr>
                <w:rFonts w:ascii="Arial" w:cs="Arial" w:eastAsia="Arial" w:hAnsi="Arial"/>
                <w:sz w:val="18"/>
                <w:szCs w:val="18"/>
                <w:b w:val="1"/>
                <w:bCs w:val="1"/>
                <w:color w:val="auto"/>
              </w:rPr>
              <w:t>Lease expense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expense:</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Capital lease expense:</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4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4300" w:type="dxa"/>
            <w:vAlign w:val="bottom"/>
          </w:tcPr>
          <w:p>
            <w:pPr>
              <w:ind w:left="380"/>
              <w:spacing w:after="0"/>
              <w:rPr>
                <w:sz w:val="20"/>
                <w:szCs w:val="20"/>
                <w:color w:val="auto"/>
              </w:rPr>
            </w:pPr>
            <w:r>
              <w:rPr>
                <w:rFonts w:ascii="Arial" w:cs="Arial" w:eastAsia="Arial" w:hAnsi="Arial"/>
                <w:sz w:val="18"/>
                <w:szCs w:val="18"/>
                <w:color w:val="auto"/>
              </w:rPr>
              <w:t>Amortization of right - of-use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18</w:t>
            </w:r>
          </w:p>
        </w:tc>
        <w:tc>
          <w:tcPr>
            <w:tcW w:w="4640" w:type="dxa"/>
            <w:vAlign w:val="bottom"/>
          </w:tcPr>
          <w:p>
            <w:pPr>
              <w:ind w:left="480"/>
              <w:spacing w:after="0"/>
              <w:rPr>
                <w:sz w:val="20"/>
                <w:szCs w:val="20"/>
                <w:color w:val="auto"/>
              </w:rPr>
            </w:pPr>
            <w:r>
              <w:rPr>
                <w:rFonts w:ascii="Arial" w:cs="Arial" w:eastAsia="Arial" w:hAnsi="Arial"/>
                <w:sz w:val="18"/>
                <w:szCs w:val="18"/>
                <w:color w:val="auto"/>
              </w:rPr>
              <w:t>Amortization of lease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on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26</w:t>
            </w:r>
          </w:p>
        </w:tc>
        <w:tc>
          <w:tcPr>
            <w:tcW w:w="4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Interest on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Operating lease expense</w:t>
            </w:r>
          </w:p>
        </w:tc>
        <w:tc>
          <w:tcPr>
            <w:tcW w:w="120" w:type="dxa"/>
            <w:vAlign w:val="bottom"/>
          </w:tcPr>
          <w:p>
            <w:pPr>
              <w:spacing w:after="0"/>
              <w:rPr>
                <w:sz w:val="21"/>
                <w:szCs w:val="21"/>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822</w:t>
            </w:r>
          </w:p>
        </w:tc>
        <w:tc>
          <w:tcPr>
            <w:tcW w:w="4640" w:type="dxa"/>
            <w:vAlign w:val="bottom"/>
          </w:tcPr>
          <w:p>
            <w:pPr>
              <w:ind w:left="260"/>
              <w:spacing w:after="0"/>
              <w:rPr>
                <w:sz w:val="20"/>
                <w:szCs w:val="20"/>
                <w:color w:val="auto"/>
              </w:rPr>
            </w:pPr>
            <w:r>
              <w:rPr>
                <w:rFonts w:ascii="Arial" w:cs="Arial" w:eastAsia="Arial" w:hAnsi="Arial"/>
                <w:sz w:val="18"/>
                <w:szCs w:val="18"/>
                <w:color w:val="auto"/>
              </w:rPr>
              <w:t>Operating lease expense</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851</w:t>
            </w: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Variable lease expense</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319</w:t>
            </w:r>
          </w:p>
        </w:tc>
        <w:tc>
          <w:tcPr>
            <w:tcW w:w="4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Below market ground lease amortization expense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r>
      <w:tr>
        <w:trPr>
          <w:trHeight w:val="297"/>
        </w:trPr>
        <w:tc>
          <w:tcPr>
            <w:tcW w:w="4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lease expense</w:t>
            </w:r>
          </w:p>
        </w:tc>
        <w:tc>
          <w:tcPr>
            <w:tcW w:w="12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1,185</w:t>
            </w:r>
          </w:p>
        </w:tc>
        <w:tc>
          <w:tcPr>
            <w:tcW w:w="46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267</w:t>
            </w:r>
          </w:p>
        </w:tc>
      </w:tr>
      <w:tr>
        <w:trPr>
          <w:trHeight w:val="284"/>
        </w:trPr>
        <w:tc>
          <w:tcPr>
            <w:tcW w:w="4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40" w:type="dxa"/>
            <w:vAlign w:val="bottom"/>
          </w:tcPr>
          <w:p>
            <w:pPr>
              <w:ind w:left="140"/>
              <w:spacing w:after="0"/>
              <w:rPr>
                <w:sz w:val="20"/>
                <w:szCs w:val="20"/>
                <w:color w:val="auto"/>
              </w:rPr>
            </w:pPr>
            <w:r>
              <w:rPr>
                <w:rFonts w:ascii="Arial" w:cs="Arial" w:eastAsia="Arial" w:hAnsi="Arial"/>
                <w:sz w:val="18"/>
                <w:szCs w:val="18"/>
                <w:b w:val="1"/>
                <w:bCs w:val="1"/>
                <w:color w:val="auto"/>
              </w:rPr>
              <w:t>Other information</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40" w:lineRule="exact"/>
        <w:rPr>
          <w:sz w:val="20"/>
          <w:szCs w:val="20"/>
          <w:color w:val="auto"/>
        </w:rPr>
      </w:pPr>
    </w:p>
    <w:p>
      <w:pPr>
        <w:ind w:left="180" w:right="960"/>
        <w:spacing w:after="0" w:line="277" w:lineRule="auto"/>
        <w:rPr>
          <w:sz w:val="20"/>
          <w:szCs w:val="20"/>
          <w:color w:val="auto"/>
        </w:rPr>
      </w:pPr>
      <w:r>
        <w:rPr>
          <w:rFonts w:ascii="Arial" w:cs="Arial" w:eastAsia="Arial" w:hAnsi="Arial"/>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1280"/>
        <w:spacing w:after="0" w:line="277" w:lineRule="auto"/>
        <w:rPr>
          <w:sz w:val="20"/>
          <w:szCs w:val="20"/>
          <w:color w:val="auto"/>
        </w:rPr>
      </w:pPr>
      <w:r>
        <w:rPr>
          <w:rFonts w:ascii="Arial" w:cs="Arial" w:eastAsia="Arial" w:hAnsi="Arial"/>
          <w:sz w:val="18"/>
          <w:szCs w:val="18"/>
          <w:color w:val="auto"/>
        </w:rPr>
        <w:t>Cash paid for amounts included in the measurement of lease liabilities</w:t>
      </w:r>
    </w:p>
    <w:p>
      <w:pPr>
        <w:spacing w:after="0" w:line="8" w:lineRule="exact"/>
        <w:rPr>
          <w:sz w:val="20"/>
          <w:szCs w:val="20"/>
          <w:color w:val="auto"/>
        </w:rPr>
      </w:pPr>
    </w:p>
    <w:p>
      <w:pPr>
        <w:sectPr>
          <w:pgSz w:w="11900" w:h="16838" w:orient="portrait"/>
          <w:cols w:equalWidth="0" w:num="2">
            <w:col w:w="5060" w:space="720"/>
            <w:col w:w="56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300" w:type="dxa"/>
            <w:vAlign w:val="bottom"/>
          </w:tcPr>
          <w:p>
            <w:pPr>
              <w:ind w:left="380"/>
              <w:spacing w:after="0"/>
              <w:rPr>
                <w:sz w:val="20"/>
                <w:szCs w:val="20"/>
                <w:color w:val="auto"/>
              </w:rPr>
            </w:pPr>
            <w:r>
              <w:rPr>
                <w:rFonts w:ascii="Arial" w:cs="Arial" w:eastAsia="Arial" w:hAnsi="Arial"/>
                <w:sz w:val="18"/>
                <w:szCs w:val="18"/>
                <w:color w:val="auto"/>
              </w:rPr>
              <w:t>Operating cash flow used for operating leases</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450</w:t>
            </w:r>
          </w:p>
        </w:tc>
        <w:tc>
          <w:tcPr>
            <w:tcW w:w="4640" w:type="dxa"/>
            <w:vAlign w:val="bottom"/>
          </w:tcPr>
          <w:p>
            <w:pPr>
              <w:ind w:left="480"/>
              <w:spacing w:after="0"/>
              <w:rPr>
                <w:sz w:val="20"/>
                <w:szCs w:val="20"/>
                <w:color w:val="auto"/>
              </w:rPr>
            </w:pPr>
            <w:r>
              <w:rPr>
                <w:rFonts w:ascii="Arial" w:cs="Arial" w:eastAsia="Arial" w:hAnsi="Arial"/>
                <w:sz w:val="18"/>
                <w:szCs w:val="18"/>
                <w:color w:val="auto"/>
              </w:rPr>
              <w:t>Operating cash flow used for operating leases</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549</w:t>
            </w:r>
          </w:p>
        </w:tc>
      </w:tr>
      <w:tr>
        <w:trPr>
          <w:trHeight w:val="27"/>
        </w:trPr>
        <w:tc>
          <w:tcPr>
            <w:tcW w:w="4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cash flow used for finance leases</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w:t>
            </w:r>
          </w:p>
        </w:tc>
        <w:tc>
          <w:tcPr>
            <w:tcW w:w="4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Financing cash flow used for finance leases</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r>
      <w:tr>
        <w:trPr>
          <w:trHeight w:val="229"/>
        </w:trPr>
        <w:tc>
          <w:tcPr>
            <w:tcW w:w="4300" w:type="dxa"/>
            <w:vAlign w:val="bottom"/>
          </w:tcPr>
          <w:p>
            <w:pPr>
              <w:ind w:left="180"/>
              <w:spacing w:after="0"/>
              <w:rPr>
                <w:sz w:val="20"/>
                <w:szCs w:val="20"/>
                <w:color w:val="auto"/>
              </w:rPr>
            </w:pPr>
            <w:r>
              <w:rPr>
                <w:rFonts w:ascii="Arial" w:cs="Arial" w:eastAsia="Arial" w:hAnsi="Arial"/>
                <w:sz w:val="18"/>
                <w:szCs w:val="18"/>
                <w:color w:val="auto"/>
                <w:w w:val="94"/>
              </w:rPr>
              <w:t>Right of use asset obtained (land) in exchange for new</w:t>
            </w:r>
          </w:p>
        </w:tc>
        <w:tc>
          <w:tcPr>
            <w:tcW w:w="1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finance lease liabilities</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4,116</w:t>
            </w:r>
          </w:p>
        </w:tc>
        <w:tc>
          <w:tcPr>
            <w:tcW w:w="46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43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r>
      <w:tr>
        <w:trPr>
          <w:trHeight w:val="244"/>
        </w:trPr>
        <w:tc>
          <w:tcPr>
            <w:tcW w:w="43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March 31, 2019</w:t>
            </w:r>
          </w:p>
        </w:tc>
        <w:tc>
          <w:tcPr>
            <w:tcW w:w="464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December 31, 2018</w:t>
            </w:r>
          </w:p>
        </w:tc>
      </w:tr>
      <w:tr>
        <w:trPr>
          <w:trHeight w:val="215"/>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 of use asset obtained in exchange for new</w:t>
            </w:r>
          </w:p>
        </w:tc>
        <w:tc>
          <w:tcPr>
            <w:tcW w:w="12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18,775</w:t>
            </w:r>
          </w:p>
        </w:tc>
        <w:tc>
          <w:tcPr>
            <w:tcW w:w="46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9"/>
        </w:trPr>
        <w:tc>
          <w:tcPr>
            <w:tcW w:w="4300" w:type="dxa"/>
            <w:vAlign w:val="bottom"/>
          </w:tcPr>
          <w:p>
            <w:pPr>
              <w:ind w:left="180"/>
              <w:spacing w:after="0"/>
              <w:rPr>
                <w:sz w:val="20"/>
                <w:szCs w:val="20"/>
                <w:color w:val="auto"/>
              </w:rPr>
            </w:pPr>
            <w:r>
              <w:rPr>
                <w:rFonts w:ascii="Arial" w:cs="Arial" w:eastAsia="Arial" w:hAnsi="Arial"/>
                <w:sz w:val="18"/>
                <w:szCs w:val="18"/>
                <w:color w:val="auto"/>
                <w:w w:val="99"/>
              </w:rPr>
              <w:t>Right of use asset obtained relative to below market</w:t>
            </w:r>
          </w:p>
        </w:tc>
        <w:tc>
          <w:tcPr>
            <w:tcW w:w="1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28,930</w:t>
            </w:r>
          </w:p>
        </w:tc>
        <w:tc>
          <w:tcPr>
            <w:tcW w:w="4640" w:type="dxa"/>
            <w:vAlign w:val="bottom"/>
          </w:tcPr>
          <w:p>
            <w:pPr>
              <w:ind w:left="260"/>
              <w:spacing w:after="0"/>
              <w:rPr>
                <w:sz w:val="20"/>
                <w:szCs w:val="20"/>
                <w:color w:val="auto"/>
              </w:rPr>
            </w:pPr>
            <w:r>
              <w:rPr>
                <w:rFonts w:ascii="Arial" w:cs="Arial" w:eastAsia="Arial" w:hAnsi="Arial"/>
                <w:sz w:val="18"/>
                <w:szCs w:val="18"/>
                <w:color w:val="auto"/>
              </w:rPr>
              <w:t>Below market ground lease intangibles asset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29,118</w:t>
            </w:r>
          </w:p>
        </w:tc>
      </w:tr>
      <w:tr>
        <w:trPr>
          <w:trHeight w:val="27"/>
        </w:trPr>
        <w:tc>
          <w:tcPr>
            <w:tcW w:w="43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right of use asset from operating leases</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47,705</w:t>
            </w:r>
          </w:p>
        </w:tc>
        <w:tc>
          <w:tcPr>
            <w:tcW w:w="4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176"/>
        </w:trPr>
        <w:tc>
          <w:tcPr>
            <w:tcW w:w="4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9"/>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Weighted - average remaining lease term - finance leases</w:t>
            </w:r>
          </w:p>
        </w:tc>
        <w:tc>
          <w:tcPr>
            <w:tcW w:w="122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years)*</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5.25</w:t>
            </w:r>
          </w:p>
        </w:tc>
        <w:tc>
          <w:tcPr>
            <w:tcW w:w="46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9"/>
        </w:trPr>
        <w:tc>
          <w:tcPr>
            <w:tcW w:w="4300" w:type="dxa"/>
            <w:vAlign w:val="bottom"/>
          </w:tcPr>
          <w:p>
            <w:pPr>
              <w:ind w:left="180"/>
              <w:spacing w:after="0"/>
              <w:rPr>
                <w:sz w:val="20"/>
                <w:szCs w:val="20"/>
                <w:color w:val="auto"/>
              </w:rPr>
            </w:pPr>
            <w:r>
              <w:rPr>
                <w:rFonts w:ascii="Arial" w:cs="Arial" w:eastAsia="Arial" w:hAnsi="Arial"/>
                <w:sz w:val="18"/>
                <w:szCs w:val="18"/>
                <w:color w:val="auto"/>
                <w:w w:val="97"/>
              </w:rPr>
              <w:t>Weighted - average remaining lease term - operating</w:t>
            </w:r>
          </w:p>
        </w:tc>
        <w:tc>
          <w:tcPr>
            <w:tcW w:w="1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leases (in years)*</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13.56</w:t>
            </w:r>
          </w:p>
        </w:tc>
        <w:tc>
          <w:tcPr>
            <w:tcW w:w="46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 average discount rate - finance leases</w:t>
            </w:r>
          </w:p>
        </w:tc>
        <w:tc>
          <w:tcPr>
            <w:tcW w:w="122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(annual)*</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6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9"/>
        </w:trPr>
        <w:tc>
          <w:tcPr>
            <w:tcW w:w="4300" w:type="dxa"/>
            <w:vAlign w:val="bottom"/>
          </w:tcPr>
          <w:p>
            <w:pPr>
              <w:ind w:left="180"/>
              <w:spacing w:after="0"/>
              <w:rPr>
                <w:sz w:val="20"/>
                <w:szCs w:val="20"/>
                <w:color w:val="auto"/>
              </w:rPr>
            </w:pPr>
            <w:r>
              <w:rPr>
                <w:rFonts w:ascii="Arial" w:cs="Arial" w:eastAsia="Arial" w:hAnsi="Arial"/>
                <w:sz w:val="18"/>
                <w:szCs w:val="18"/>
                <w:color w:val="auto"/>
                <w:w w:val="99"/>
              </w:rPr>
              <w:t>Weighted - average discount rate - operating leases</w:t>
            </w:r>
          </w:p>
        </w:tc>
        <w:tc>
          <w:tcPr>
            <w:tcW w:w="1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(annual)*</w:t>
            </w:r>
          </w:p>
        </w:tc>
        <w:tc>
          <w:tcPr>
            <w:tcW w:w="1220" w:type="dxa"/>
            <w:vAlign w:val="bottom"/>
          </w:tcPr>
          <w:p>
            <w:pPr>
              <w:jc w:val="right"/>
              <w:spacing w:after="0"/>
              <w:rPr>
                <w:sz w:val="20"/>
                <w:szCs w:val="20"/>
                <w:color w:val="auto"/>
              </w:rPr>
            </w:pPr>
            <w:r>
              <w:rPr>
                <w:rFonts w:ascii="Arial" w:cs="Arial" w:eastAsia="Arial" w:hAnsi="Arial"/>
                <w:sz w:val="18"/>
                <w:szCs w:val="18"/>
                <w:color w:val="auto"/>
              </w:rPr>
              <w:t>4.11%</w:t>
            </w:r>
          </w:p>
        </w:tc>
        <w:tc>
          <w:tcPr>
            <w:tcW w:w="464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quarter ended March 31, 2019, we have an additional executive office space operating lease that has not yet commenced of $2.9 million. The lease will commence in November 2019 with a lease term of seven years.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Related Party Leases: Lease of Executive Offices. </w:t>
      </w:r>
      <w:r>
        <w:rPr>
          <w:rFonts w:ascii="Arial" w:cs="Arial" w:eastAsia="Arial" w:hAnsi="Arial"/>
          <w:sz w:val="16"/>
          <w:szCs w:val="16"/>
          <w:color w:val="auto"/>
        </w:rPr>
        <w:t>Gary A. Shiffman, together with certain of his family members, indirectly owns an equity interest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28.1 percent in American Center LLC, the entity from which we lease office space for our principal executive offices. Each of Brian M. Hermelin, Ronald A. Klein and Arthur A. Weiss indirectly owns a less than one percent interest in American Center LLC. Mr. Shiffman is our Chief Executive Officer and Chairman of the Board. Each of Mr. Hermelin, Mr. Klein and Mr. Weiss is a director of the Company. Under this agreement, we lease approximately 103,100 rentable square feet of permanent space. The initial term of the lease is until October 31, 2026, and the average gross base rent is $18.55 per square foot until October 31, 2019 with graduated rental increases thereafter. Each of Mr. Shiffman, Mr. Hermelin, Mr. Klein and Mr. Weiss may have a conflict of interest with respect to his obligations as our officer and/or director and his ownership interest in American Center LLC.</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not the lessor for any finance leases as of March 31, 2019. Over 99% of our operating leases where we are the lessor are either month to month or for a time period not to exceed one year. As of the reporting date, future minimum lease payments would</w:t>
      </w:r>
    </w:p>
    <w:p>
      <w:pPr>
        <w:sectPr>
          <w:pgSz w:w="11900" w:h="16838" w:orient="portrait"/>
          <w:cols w:equalWidth="0" w:num="1">
            <w:col w:w="11420"/>
          </w:cols>
          <w:pgMar w:left="240" w:top="121"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 exceed twelve months. Similarly, over 95% of our investment property, net on the Consolidated balance sheets, and related depreciation amounts, relate to assets whereby we are the lessor under an operating lease.</w:t>
      </w:r>
    </w:p>
    <w:p>
      <w:pPr>
        <w:spacing w:after="0" w:line="3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quarter ended March 31, 2019, we acquired a RV community located in New Hampshire for $2.7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our Consolidated Financial Statements for subsequent events through the date that this Form 10-Q was issued.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the consolidated financial condition and results of operations should be read in conjunction with the Consolidated Financial Statements and Notes filed herewith, along with our 2018 Annual Report. Capitalized terms are used as defined elsewhere in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fully integrated, self-administered and self-managed REIT. As of March 31, 2019, we owned and operated or held an interest in a portfolio of 379 developed properties located in 31 states throughout the U.S. and one province in Canada, including 235 MH communities, 113 RV communities, and 31 properties containing both MH and RV sites.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in the business of acquiring, operating, developing, and expanding MH and RV communities since 1975. We lease individual sites with utility access for placement of manufactured homes and RVs to our customers. We are also engaged through SHS in the marketing, selling, and leasing of new and pre-owned homes to current and future residents in our communities. The operations of SHS support and enhance our occupancy levels, property performance,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2018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depreciation/amortization of real estate assets. In addition, NOI and FFO are commonly used in various ratios, pricing multiples/yields and returns and valuation calculations used to measure financial position, performance and value.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NOI is derived from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FFO is defined by the National Association of Real Estate Investment Trusts (“NAREIT”) as GAAP net income (loss), excluding gains (or losses) from sales of depreciable operating property, plus real estate-related depreciation and amortization,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impairment and excluding real estate asset depreciation and amortization (which can vary among owners of identical assets in similar condition based on historical cost accounting and useful life estimates), FFO provides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96" w:right="239" w:bottom="1440" w:gutter="0" w:footer="0" w:header="0"/>
        </w:sectPr>
      </w:pPr>
    </w:p>
    <w:bookmarkStart w:id="33" w:name="page34"/>
    <w:bookmarkEnd w:id="33"/>
    <w:p>
      <w:pPr>
        <w:jc w:val="both"/>
        <w:spacing w:after="0" w:line="276" w:lineRule="auto"/>
        <w:rPr>
          <w:sz w:val="20"/>
          <w:szCs w:val="20"/>
          <w:color w:val="auto"/>
        </w:rPr>
      </w:pPr>
      <w:r>
        <w:rPr>
          <w:rFonts w:ascii="Arial" w:cs="Arial" w:eastAsia="Arial" w:hAnsi="Arial"/>
          <w:sz w:val="17"/>
          <w:szCs w:val="17"/>
          <w:color w:val="auto"/>
        </w:rPr>
        <w:t>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 We also use FFO excluding certain gain and loss items that management considers unrelated to the operational and financial performance of our core business (“Core FFO”). We believe that Core FFO provides enhanced comparability for investor evaluations of period-over-period results.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FFO. The principal limitation of FFO is that it does not replace GAAP net income (loss) as a performance measure or GAAP cash flow from operations as a liquidity measure. Because FFO excludes significant economic components of GAAP net income (loss) including depreciation and amortization, FFO should be used as a supplement to GAAP net income (loss) and not as an alternative to it. Further,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report operating results under two segments: Real Property Operations and Home Sales and Rentals. The Real Property Operations segment owns, operates, develops, or has an interest in, a portfolio of MH and RV communities throughout the U.S. and in Canada, and is in the business of acquiring, operating, and expanding MH and RV communities. The Home Sales and Rentals segment offers MH and RV park model sales and leasing services to tenants and prospective tenants of our communities. We evaluate segment operating performance based on NOI and gross profit. Refer to Note 12, “Segment Reporting,” in our accompanying Consolidated Financial Statements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COMPARISON OF THE THREE MONTHS ENDED MARCH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SUMMARY STATEMENTS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consolidated financial results and reconciles net income to NOI for the three months ended March 31, 2019 and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20" w:type="dxa"/>
            <w:vAlign w:val="bottom"/>
          </w:tcPr>
          <w:p>
            <w:pPr>
              <w:spacing w:after="0"/>
              <w:rPr>
                <w:sz w:val="22"/>
                <w:szCs w:val="22"/>
                <w:color w:val="auto"/>
              </w:rPr>
            </w:pPr>
          </w:p>
        </w:tc>
        <w:tc>
          <w:tcPr>
            <w:tcW w:w="8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 attributable to Sun Communities, Inc., common stockholders: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29,986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60"/>
              <w:spacing w:after="0"/>
              <w:rPr>
                <w:sz w:val="20"/>
                <w:szCs w:val="20"/>
                <w:color w:val="auto"/>
              </w:rPr>
            </w:pPr>
            <w:r>
              <w:rPr>
                <w:rFonts w:ascii="Arial" w:cs="Arial" w:eastAsia="Arial" w:hAnsi="Arial"/>
                <w:sz w:val="17"/>
                <w:szCs w:val="17"/>
                <w:color w:val="auto"/>
              </w:rPr>
              <w:t>Other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(6,276)</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Home selling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60"/>
              <w:spacing w:after="0"/>
              <w:rPr>
                <w:sz w:val="20"/>
                <w:szCs w:val="20"/>
                <w:color w:val="auto"/>
              </w:rPr>
            </w:pPr>
            <w:r>
              <w:rPr>
                <w:rFonts w:ascii="Arial" w:cs="Arial" w:eastAsia="Arial" w:hAnsi="Arial"/>
                <w:sz w:val="17"/>
                <w:szCs w:val="17"/>
                <w:color w:val="auto"/>
              </w:rPr>
              <w:t>General and administrative</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21,887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19,757</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76,556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66,437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60"/>
              <w:spacing w:after="0"/>
              <w:rPr>
                <w:sz w:val="20"/>
                <w:szCs w:val="20"/>
                <w:color w:val="auto"/>
              </w:rPr>
            </w:pPr>
            <w:r>
              <w:rPr>
                <w:rFonts w:ascii="Arial" w:cs="Arial" w:eastAsia="Arial" w:hAnsi="Arial"/>
                <w:sz w:val="17"/>
                <w:szCs w:val="17"/>
                <w:color w:val="auto"/>
              </w:rPr>
              <w:t>Catastrophic weather related charges, net</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(2,213)</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6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35,108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31,757</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Remeasurement of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340" w:type="dxa"/>
            <w:vAlign w:val="bottom"/>
            <w:gridSpan w:val="2"/>
          </w:tcPr>
          <w:p>
            <w:pPr>
              <w:ind w:left="260"/>
              <w:spacing w:after="0"/>
              <w:rPr>
                <w:sz w:val="20"/>
                <w:szCs w:val="20"/>
                <w:color w:val="auto"/>
              </w:rPr>
            </w:pPr>
            <w:r>
              <w:rPr>
                <w:rFonts w:ascii="Arial" w:cs="Arial" w:eastAsia="Arial" w:hAnsi="Arial"/>
                <w:sz w:val="18"/>
                <w:szCs w:val="18"/>
                <w:color w:val="auto"/>
              </w:rPr>
              <w:t>Other (income) / expense,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2,617</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(Income) / loss from nonconsolidated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60"/>
              <w:spacing w:after="0"/>
              <w:rPr>
                <w:sz w:val="20"/>
                <w:szCs w:val="20"/>
                <w:color w:val="auto"/>
              </w:rPr>
            </w:pPr>
            <w:r>
              <w:rPr>
                <w:rFonts w:ascii="Arial" w:cs="Arial" w:eastAsia="Arial" w:hAnsi="Arial"/>
                <w:sz w:val="17"/>
                <w:szCs w:val="17"/>
                <w:color w:val="auto"/>
              </w:rPr>
              <w:t>Current tax expense</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7"/>
                <w:szCs w:val="17"/>
                <w:color w:val="auto"/>
              </w:rPr>
              <w:t>174</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Deferred tax benefit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60"/>
              <w:spacing w:after="0"/>
              <w:rPr>
                <w:sz w:val="20"/>
                <w:szCs w:val="20"/>
                <w:color w:val="auto"/>
              </w:rPr>
            </w:pPr>
            <w:r>
              <w:rPr>
                <w:rFonts w:ascii="Arial" w:cs="Arial" w:eastAsia="Arial" w:hAnsi="Arial"/>
                <w:sz w:val="17"/>
                <w:szCs w:val="17"/>
                <w:color w:val="auto"/>
              </w:rPr>
              <w:t>Preferred return to preferred OP units / equity</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Amounts attributable to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60"/>
              <w:spacing w:after="0"/>
              <w:rPr>
                <w:sz w:val="20"/>
                <w:szCs w:val="20"/>
                <w:color w:val="auto"/>
              </w:rPr>
            </w:pPr>
            <w:r>
              <w:rPr>
                <w:rFonts w:ascii="Arial" w:cs="Arial" w:eastAsia="Arial" w:hAnsi="Arial"/>
                <w:sz w:val="17"/>
                <w:szCs w:val="17"/>
                <w:color w:val="auto"/>
              </w:rPr>
              <w:t>Preferred stock distribution</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NOI / Gross profit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164,445</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149,052</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20" w:type="dxa"/>
            <w:vAlign w:val="bottom"/>
            <w:tcBorders>
              <w:bottom w:val="single" w:sz="8" w:color="D2F0FF"/>
            </w:tcBorders>
          </w:tcPr>
          <w:p>
            <w:pPr>
              <w:spacing w:after="0"/>
              <w:rPr>
                <w:sz w:val="22"/>
                <w:szCs w:val="22"/>
                <w:color w:val="auto"/>
              </w:rPr>
            </w:pPr>
          </w:p>
        </w:tc>
        <w:tc>
          <w:tcPr>
            <w:tcW w:w="8320" w:type="dxa"/>
            <w:vAlign w:val="bottom"/>
            <w:tcBorders>
              <w:bottom w:val="single" w:sz="8" w:color="D2F0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D2F0FF"/>
            </w:tcBorders>
          </w:tcPr>
          <w:p>
            <w:pPr>
              <w:spacing w:after="0"/>
              <w:rPr>
                <w:sz w:val="22"/>
                <w:szCs w:val="22"/>
                <w:color w:val="auto"/>
              </w:rPr>
            </w:pPr>
          </w:p>
        </w:tc>
        <w:tc>
          <w:tcPr>
            <w:tcW w:w="100" w:type="dxa"/>
            <w:vAlign w:val="bottom"/>
            <w:tcBorders>
              <w:top w:val="single" w:sz="8" w:color="auto"/>
              <w:bottom w:val="single" w:sz="8" w:color="D2F0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2"/>
                <w:szCs w:val="22"/>
                <w:color w:val="auto"/>
              </w:rPr>
            </w:pPr>
          </w:p>
        </w:tc>
      </w:tr>
      <w:tr>
        <w:trPr>
          <w:trHeight w:val="250"/>
        </w:trPr>
        <w:tc>
          <w:tcPr>
            <w:tcW w:w="20" w:type="dxa"/>
            <w:vAlign w:val="bottom"/>
            <w:tcBorders>
              <w:bottom w:val="single" w:sz="8" w:color="D2F0FF"/>
            </w:tcBorders>
            <w:shd w:val="clear" w:color="auto" w:fill="D2F0FF"/>
          </w:tcPr>
          <w:p>
            <w:pPr>
              <w:spacing w:after="0"/>
              <w:rPr>
                <w:sz w:val="21"/>
                <w:szCs w:val="21"/>
                <w:color w:val="auto"/>
              </w:rPr>
            </w:pPr>
          </w:p>
        </w:tc>
        <w:tc>
          <w:tcPr>
            <w:tcW w:w="8340" w:type="dxa"/>
            <w:vAlign w:val="bottom"/>
            <w:tcBorders>
              <w:bottom w:val="single" w:sz="8" w:color="D2F0FF"/>
            </w:tcBorders>
            <w:gridSpan w:val="2"/>
            <w:shd w:val="clear" w:color="auto" w:fill="D2F0FF"/>
          </w:tcPr>
          <w:p>
            <w:pPr>
              <w:ind w:left="20"/>
              <w:spacing w:after="0"/>
              <w:rPr>
                <w:sz w:val="20"/>
                <w:szCs w:val="20"/>
                <w:color w:val="auto"/>
              </w:rPr>
            </w:pPr>
            <w:r>
              <w:rPr>
                <w:rFonts w:ascii="Arial" w:cs="Arial" w:eastAsia="Arial" w:hAnsi="Arial"/>
                <w:sz w:val="18"/>
                <w:szCs w:val="18"/>
                <w:color w:val="auto"/>
              </w:rPr>
              <w:t>Real Property NOI</w:t>
            </w:r>
          </w:p>
        </w:tc>
        <w:tc>
          <w:tcPr>
            <w:tcW w:w="320" w:type="dxa"/>
            <w:vAlign w:val="bottom"/>
            <w:tcBorders>
              <w:bottom w:val="single" w:sz="8" w:color="D2F0FF"/>
            </w:tcBorders>
            <w:shd w:val="clear" w:color="auto" w:fill="D2F0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D2F0FF"/>
            </w:tcBorders>
            <w:shd w:val="clear" w:color="auto" w:fill="D2F0FF"/>
          </w:tcPr>
          <w:p>
            <w:pPr>
              <w:jc w:val="right"/>
              <w:ind w:right="13"/>
              <w:spacing w:after="0"/>
              <w:rPr>
                <w:sz w:val="20"/>
                <w:szCs w:val="20"/>
                <w:color w:val="auto"/>
              </w:rPr>
            </w:pPr>
            <w:r>
              <w:rPr>
                <w:rFonts w:ascii="Arial" w:cs="Arial" w:eastAsia="Arial" w:hAnsi="Arial"/>
                <w:sz w:val="18"/>
                <w:szCs w:val="18"/>
                <w:color w:val="auto"/>
              </w:rPr>
              <w:t>143,540</w:t>
            </w:r>
          </w:p>
        </w:tc>
        <w:tc>
          <w:tcPr>
            <w:tcW w:w="20" w:type="dxa"/>
            <w:vAlign w:val="bottom"/>
            <w:tcBorders>
              <w:bottom w:val="single" w:sz="8" w:color="D2F0FF"/>
            </w:tcBorders>
            <w:shd w:val="clear" w:color="auto" w:fill="D2F0FF"/>
          </w:tcPr>
          <w:p>
            <w:pPr>
              <w:spacing w:after="0"/>
              <w:rPr>
                <w:sz w:val="21"/>
                <w:szCs w:val="21"/>
                <w:color w:val="auto"/>
              </w:rPr>
            </w:pPr>
          </w:p>
        </w:tc>
        <w:tc>
          <w:tcPr>
            <w:tcW w:w="100" w:type="dxa"/>
            <w:vAlign w:val="bottom"/>
            <w:tcBorders>
              <w:bottom w:val="single" w:sz="8" w:color="D2F0FF"/>
            </w:tcBorders>
            <w:shd w:val="clear" w:color="auto" w:fill="D2F0FF"/>
          </w:tcPr>
          <w:p>
            <w:pPr>
              <w:spacing w:after="0"/>
              <w:rPr>
                <w:sz w:val="21"/>
                <w:szCs w:val="21"/>
                <w:color w:val="auto"/>
              </w:rPr>
            </w:pPr>
          </w:p>
        </w:tc>
        <w:tc>
          <w:tcPr>
            <w:tcW w:w="360" w:type="dxa"/>
            <w:vAlign w:val="bottom"/>
            <w:tcBorders>
              <w:bottom w:val="single" w:sz="8" w:color="D2F0FF"/>
            </w:tcBorders>
            <w:shd w:val="clear" w:color="auto" w:fill="D2F0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D2F0FF"/>
            </w:tcBorders>
            <w:shd w:val="clear" w:color="auto" w:fill="D2F0FF"/>
          </w:tcPr>
          <w:p>
            <w:pPr>
              <w:jc w:val="right"/>
              <w:ind w:right="12"/>
              <w:spacing w:after="0"/>
              <w:rPr>
                <w:sz w:val="20"/>
                <w:szCs w:val="20"/>
                <w:color w:val="auto"/>
              </w:rPr>
            </w:pPr>
            <w:r>
              <w:rPr>
                <w:rFonts w:ascii="Arial" w:cs="Arial" w:eastAsia="Arial" w:hAnsi="Arial"/>
                <w:sz w:val="18"/>
                <w:szCs w:val="18"/>
                <w:color w:val="auto"/>
              </w:rPr>
              <w:t>131,745</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Rental Program NOI</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26,061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24,102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D2F0FF"/>
            </w:tcBorders>
            <w:shd w:val="clear" w:color="auto" w:fill="D2F0FF"/>
          </w:tcPr>
          <w:p>
            <w:pPr>
              <w:spacing w:after="0"/>
              <w:rPr>
                <w:sz w:val="21"/>
                <w:szCs w:val="21"/>
                <w:color w:val="auto"/>
              </w:rPr>
            </w:pPr>
          </w:p>
        </w:tc>
        <w:tc>
          <w:tcPr>
            <w:tcW w:w="8340" w:type="dxa"/>
            <w:vAlign w:val="bottom"/>
            <w:tcBorders>
              <w:bottom w:val="single" w:sz="8" w:color="D2F0FF"/>
            </w:tcBorders>
            <w:gridSpan w:val="2"/>
            <w:shd w:val="clear" w:color="auto" w:fill="D2F0FF"/>
          </w:tcPr>
          <w:p>
            <w:pPr>
              <w:ind w:left="20"/>
              <w:spacing w:after="0"/>
              <w:rPr>
                <w:sz w:val="20"/>
                <w:szCs w:val="20"/>
                <w:color w:val="auto"/>
              </w:rPr>
            </w:pPr>
            <w:r>
              <w:rPr>
                <w:rFonts w:ascii="Arial" w:cs="Arial" w:eastAsia="Arial" w:hAnsi="Arial"/>
                <w:sz w:val="18"/>
                <w:szCs w:val="18"/>
                <w:color w:val="auto"/>
              </w:rPr>
              <w:t>Home Sales NOI / Gross profit</w:t>
            </w:r>
          </w:p>
        </w:tc>
        <w:tc>
          <w:tcPr>
            <w:tcW w:w="320" w:type="dxa"/>
            <w:vAlign w:val="bottom"/>
            <w:tcBorders>
              <w:bottom w:val="single" w:sz="8" w:color="D2F0FF"/>
            </w:tcBorders>
            <w:shd w:val="clear" w:color="auto" w:fill="D2F0FF"/>
          </w:tcPr>
          <w:p>
            <w:pPr>
              <w:spacing w:after="0"/>
              <w:rPr>
                <w:sz w:val="21"/>
                <w:szCs w:val="21"/>
                <w:color w:val="auto"/>
              </w:rPr>
            </w:pPr>
          </w:p>
        </w:tc>
        <w:tc>
          <w:tcPr>
            <w:tcW w:w="1140" w:type="dxa"/>
            <w:vAlign w:val="bottom"/>
            <w:tcBorders>
              <w:bottom w:val="single" w:sz="8" w:color="D2F0FF"/>
            </w:tcBorders>
            <w:shd w:val="clear" w:color="auto" w:fill="D2F0FF"/>
          </w:tcPr>
          <w:p>
            <w:pPr>
              <w:jc w:val="right"/>
              <w:ind w:right="13"/>
              <w:spacing w:after="0"/>
              <w:rPr>
                <w:sz w:val="20"/>
                <w:szCs w:val="20"/>
                <w:color w:val="auto"/>
              </w:rPr>
            </w:pPr>
            <w:r>
              <w:rPr>
                <w:rFonts w:ascii="Arial" w:cs="Arial" w:eastAsia="Arial" w:hAnsi="Arial"/>
                <w:sz w:val="18"/>
                <w:szCs w:val="18"/>
                <w:color w:val="auto"/>
              </w:rPr>
              <w:t>10,341</w:t>
            </w:r>
          </w:p>
        </w:tc>
        <w:tc>
          <w:tcPr>
            <w:tcW w:w="20" w:type="dxa"/>
            <w:vAlign w:val="bottom"/>
            <w:tcBorders>
              <w:bottom w:val="single" w:sz="8" w:color="D2F0FF"/>
            </w:tcBorders>
            <w:shd w:val="clear" w:color="auto" w:fill="D2F0FF"/>
          </w:tcPr>
          <w:p>
            <w:pPr>
              <w:spacing w:after="0"/>
              <w:rPr>
                <w:sz w:val="21"/>
                <w:szCs w:val="21"/>
                <w:color w:val="auto"/>
              </w:rPr>
            </w:pPr>
          </w:p>
        </w:tc>
        <w:tc>
          <w:tcPr>
            <w:tcW w:w="100" w:type="dxa"/>
            <w:vAlign w:val="bottom"/>
            <w:tcBorders>
              <w:bottom w:val="single" w:sz="8" w:color="D2F0FF"/>
            </w:tcBorders>
            <w:shd w:val="clear" w:color="auto" w:fill="D2F0FF"/>
          </w:tcPr>
          <w:p>
            <w:pPr>
              <w:spacing w:after="0"/>
              <w:rPr>
                <w:sz w:val="21"/>
                <w:szCs w:val="21"/>
                <w:color w:val="auto"/>
              </w:rPr>
            </w:pPr>
          </w:p>
        </w:tc>
        <w:tc>
          <w:tcPr>
            <w:tcW w:w="360" w:type="dxa"/>
            <w:vAlign w:val="bottom"/>
            <w:tcBorders>
              <w:bottom w:val="single" w:sz="8" w:color="D2F0FF"/>
            </w:tcBorders>
            <w:shd w:val="clear" w:color="auto" w:fill="D2F0FF"/>
          </w:tcPr>
          <w:p>
            <w:pPr>
              <w:spacing w:after="0"/>
              <w:rPr>
                <w:sz w:val="21"/>
                <w:szCs w:val="21"/>
                <w:color w:val="auto"/>
              </w:rPr>
            </w:pPr>
          </w:p>
        </w:tc>
        <w:tc>
          <w:tcPr>
            <w:tcW w:w="1100" w:type="dxa"/>
            <w:vAlign w:val="bottom"/>
            <w:tcBorders>
              <w:bottom w:val="single" w:sz="8" w:color="D2F0FF"/>
            </w:tcBorders>
            <w:shd w:val="clear" w:color="auto" w:fill="D2F0FF"/>
          </w:tcPr>
          <w:p>
            <w:pPr>
              <w:jc w:val="right"/>
              <w:ind w:right="12"/>
              <w:spacing w:after="0"/>
              <w:rPr>
                <w:sz w:val="20"/>
                <w:szCs w:val="20"/>
                <w:color w:val="auto"/>
              </w:rPr>
            </w:pPr>
            <w:r>
              <w:rPr>
                <w:rFonts w:ascii="Arial" w:cs="Arial" w:eastAsia="Arial" w:hAnsi="Arial"/>
                <w:sz w:val="18"/>
                <w:szCs w:val="18"/>
                <w:color w:val="auto"/>
              </w:rPr>
              <w:t>8,329</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Ancillary NOI / Gross profit</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1,185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shd w:val="clear" w:color="auto" w:fill="D2F0FF"/>
          </w:tcPr>
          <w:p>
            <w:pPr>
              <w:spacing w:after="0"/>
              <w:rPr>
                <w:sz w:val="23"/>
                <w:szCs w:val="23"/>
                <w:color w:val="auto"/>
              </w:rPr>
            </w:pPr>
          </w:p>
        </w:tc>
        <w:tc>
          <w:tcPr>
            <w:tcW w:w="8320" w:type="dxa"/>
            <w:vAlign w:val="bottom"/>
            <w:shd w:val="clear" w:color="auto" w:fill="D2F0FF"/>
          </w:tcPr>
          <w:p>
            <w:pPr>
              <w:ind w:left="20"/>
              <w:spacing w:after="0" w:line="270" w:lineRule="exact"/>
              <w:rPr>
                <w:sz w:val="20"/>
                <w:szCs w:val="20"/>
                <w:color w:val="auto"/>
              </w:rPr>
            </w:pPr>
            <w:r>
              <w:rPr>
                <w:rFonts w:ascii="Arial" w:cs="Arial" w:eastAsia="Arial" w:hAnsi="Arial"/>
                <w:sz w:val="18"/>
                <w:szCs w:val="18"/>
                <w:color w:val="auto"/>
              </w:rPr>
              <w:t xml:space="preserve">Site rent from Rental Program (included in Real Property NOI) </w:t>
            </w:r>
            <w:r>
              <w:rPr>
                <w:rFonts w:ascii="Arial" w:cs="Arial" w:eastAsia="Arial" w:hAnsi="Arial"/>
                <w:sz w:val="25"/>
                <w:szCs w:val="25"/>
                <w:color w:val="auto"/>
                <w:vertAlign w:val="superscript"/>
              </w:rPr>
              <w:t>(1)</w:t>
            </w:r>
          </w:p>
        </w:tc>
        <w:tc>
          <w:tcPr>
            <w:tcW w:w="20" w:type="dxa"/>
            <w:vAlign w:val="bottom"/>
            <w:tcBorders>
              <w:bottom w:val="single" w:sz="8" w:color="auto"/>
            </w:tcBorders>
            <w:shd w:val="clear" w:color="auto" w:fill="D2F0FF"/>
          </w:tcPr>
          <w:p>
            <w:pPr>
              <w:spacing w:after="0"/>
              <w:rPr>
                <w:sz w:val="23"/>
                <w:szCs w:val="23"/>
                <w:color w:val="auto"/>
              </w:rPr>
            </w:pPr>
          </w:p>
        </w:tc>
        <w:tc>
          <w:tcPr>
            <w:tcW w:w="320" w:type="dxa"/>
            <w:vAlign w:val="bottom"/>
            <w:tcBorders>
              <w:bottom w:val="single" w:sz="8" w:color="auto"/>
            </w:tcBorders>
            <w:shd w:val="clear" w:color="auto" w:fill="D2F0FF"/>
          </w:tcPr>
          <w:p>
            <w:pPr>
              <w:spacing w:after="0"/>
              <w:rPr>
                <w:sz w:val="23"/>
                <w:szCs w:val="23"/>
                <w:color w:val="auto"/>
              </w:rPr>
            </w:pPr>
          </w:p>
        </w:tc>
        <w:tc>
          <w:tcPr>
            <w:tcW w:w="1140" w:type="dxa"/>
            <w:vAlign w:val="bottom"/>
            <w:tcBorders>
              <w:bottom w:val="single" w:sz="8" w:color="auto"/>
            </w:tcBorders>
            <w:shd w:val="clear" w:color="auto" w:fill="D2F0FF"/>
          </w:tcPr>
          <w:p>
            <w:pPr>
              <w:jc w:val="right"/>
              <w:spacing w:after="0"/>
              <w:rPr>
                <w:sz w:val="20"/>
                <w:szCs w:val="20"/>
                <w:color w:val="auto"/>
              </w:rPr>
            </w:pPr>
            <w:r>
              <w:rPr>
                <w:rFonts w:ascii="Arial" w:cs="Arial" w:eastAsia="Arial" w:hAnsi="Arial"/>
                <w:sz w:val="18"/>
                <w:szCs w:val="18"/>
                <w:color w:val="auto"/>
              </w:rPr>
              <w:t>(16,878)</w:t>
            </w:r>
          </w:p>
        </w:tc>
        <w:tc>
          <w:tcPr>
            <w:tcW w:w="20" w:type="dxa"/>
            <w:vAlign w:val="bottom"/>
            <w:shd w:val="clear" w:color="auto" w:fill="D2F0FF"/>
          </w:tcPr>
          <w:p>
            <w:pPr>
              <w:spacing w:after="0"/>
              <w:rPr>
                <w:sz w:val="23"/>
                <w:szCs w:val="23"/>
                <w:color w:val="auto"/>
              </w:rPr>
            </w:pPr>
          </w:p>
        </w:tc>
        <w:tc>
          <w:tcPr>
            <w:tcW w:w="100" w:type="dxa"/>
            <w:vAlign w:val="bottom"/>
            <w:shd w:val="clear" w:color="auto" w:fill="D2F0FF"/>
          </w:tcPr>
          <w:p>
            <w:pPr>
              <w:spacing w:after="0"/>
              <w:rPr>
                <w:sz w:val="23"/>
                <w:szCs w:val="23"/>
                <w:color w:val="auto"/>
              </w:rPr>
            </w:pPr>
          </w:p>
        </w:tc>
        <w:tc>
          <w:tcPr>
            <w:tcW w:w="360" w:type="dxa"/>
            <w:vAlign w:val="bottom"/>
            <w:tcBorders>
              <w:bottom w:val="single" w:sz="8" w:color="auto"/>
            </w:tcBorders>
            <w:shd w:val="clear" w:color="auto" w:fill="D2F0FF"/>
          </w:tcPr>
          <w:p>
            <w:pPr>
              <w:spacing w:after="0"/>
              <w:rPr>
                <w:sz w:val="23"/>
                <w:szCs w:val="23"/>
                <w:color w:val="auto"/>
              </w:rPr>
            </w:pPr>
          </w:p>
        </w:tc>
        <w:tc>
          <w:tcPr>
            <w:tcW w:w="1100" w:type="dxa"/>
            <w:vAlign w:val="bottom"/>
            <w:tcBorders>
              <w:bottom w:val="single" w:sz="8" w:color="auto"/>
            </w:tcBorders>
            <w:shd w:val="clear" w:color="auto" w:fill="D2F0FF"/>
          </w:tcPr>
          <w:p>
            <w:pPr>
              <w:jc w:val="right"/>
              <w:spacing w:after="0"/>
              <w:rPr>
                <w:sz w:val="20"/>
                <w:szCs w:val="20"/>
                <w:color w:val="auto"/>
              </w:rPr>
            </w:pPr>
            <w:r>
              <w:rPr>
                <w:rFonts w:ascii="Arial" w:cs="Arial" w:eastAsia="Arial" w:hAnsi="Arial"/>
                <w:sz w:val="18"/>
                <w:szCs w:val="18"/>
                <w:color w:val="auto"/>
              </w:rPr>
              <w:t>(16,309)</w:t>
            </w:r>
          </w:p>
        </w:tc>
        <w:tc>
          <w:tcPr>
            <w:tcW w:w="2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8340" w:type="dxa"/>
            <w:vAlign w:val="bottom"/>
            <w:gridSpan w:val="2"/>
          </w:tcPr>
          <w:p>
            <w:pPr>
              <w:ind w:left="580"/>
              <w:spacing w:after="0"/>
              <w:rPr>
                <w:sz w:val="20"/>
                <w:szCs w:val="20"/>
                <w:color w:val="auto"/>
              </w:rPr>
            </w:pPr>
            <w:r>
              <w:rPr>
                <w:rFonts w:ascii="Arial" w:cs="Arial" w:eastAsia="Arial" w:hAnsi="Arial"/>
                <w:sz w:val="18"/>
                <w:szCs w:val="18"/>
                <w:color w:val="auto"/>
              </w:rPr>
              <w:t>NOI / Gross profit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164,445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149,052</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260" w:hanging="252"/>
        <w:spacing w:after="0" w:line="239" w:lineRule="auto"/>
        <w:tabs>
          <w:tab w:leader="none" w:pos="304" w:val="left"/>
        </w:tabs>
        <w:numPr>
          <w:ilvl w:val="0"/>
          <w:numId w:val="22"/>
        </w:numPr>
        <w:rPr>
          <w:rFonts w:ascii="Arial" w:cs="Arial" w:eastAsia="Arial" w:hAnsi="Arial"/>
          <w:sz w:val="21"/>
          <w:szCs w:val="21"/>
          <w:color w:val="auto"/>
          <w:vertAlign w:val="superscript"/>
        </w:rPr>
      </w:pPr>
      <w:r>
        <w:rPr>
          <w:rFonts w:ascii="Arial" w:cs="Arial" w:eastAsia="Arial" w:hAnsi="Arial"/>
          <w:sz w:val="15"/>
          <w:szCs w:val="15"/>
          <w:color w:val="auto"/>
        </w:rPr>
        <w:t>The renter’s monthly payment includes the site rent and an amount attributable to the leasing of the home. The site rent is reflected in the Real Property Operations segment. For purposes of management analysis, the site rent is included in the Rental Program revenue to evaluate the incremental revenue gains associated with implementation of the Rental Program, and to assess the overall growth and performance of Rental Program and financial impact on our operations.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9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REAL PROPERTY OPERATIONS – TOTAL PORTFOLIO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reflect certain financial and other information for our Total Portfolio as of and for the three months ended March 31, 2019 and 2018:</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4"/>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Information (in thousands)</w:t>
            </w:r>
          </w:p>
        </w:tc>
        <w:tc>
          <w:tcPr>
            <w:tcW w:w="100" w:type="dxa"/>
            <w:vAlign w:val="bottom"/>
            <w:tcBorders>
              <w:bottom w:val="single" w:sz="8" w:color="D2F0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D2F0FF"/>
            </w:tcBorders>
          </w:tcPr>
          <w:p>
            <w:pPr>
              <w:spacing w:after="0"/>
              <w:rPr>
                <w:sz w:val="22"/>
                <w:szCs w:val="22"/>
                <w:color w:val="auto"/>
              </w:rPr>
            </w:pPr>
          </w:p>
        </w:tc>
        <w:tc>
          <w:tcPr>
            <w:tcW w:w="80" w:type="dxa"/>
            <w:vAlign w:val="bottom"/>
            <w:tcBorders>
              <w:bottom w:val="single" w:sz="8" w:color="D2F0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D2F0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D2F0FF"/>
            </w:tcBorders>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6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Income from real property</w:t>
            </w:r>
          </w:p>
        </w:tc>
        <w:tc>
          <w:tcPr>
            <w:tcW w:w="280" w:type="dxa"/>
            <w:vAlign w:val="bottom"/>
            <w:tcBorders>
              <w:bottom w:val="single" w:sz="8" w:color="D2F0FF"/>
            </w:tcBorders>
            <w:shd w:val="clear" w:color="auto" w:fill="D2F0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216,779</w:t>
            </w:r>
          </w:p>
        </w:tc>
        <w:tc>
          <w:tcPr>
            <w:tcW w:w="80" w:type="dxa"/>
            <w:vAlign w:val="bottom"/>
            <w:tcBorders>
              <w:bottom w:val="single" w:sz="8" w:color="D2F0FF"/>
            </w:tcBorders>
            <w:shd w:val="clear" w:color="auto" w:fill="D2F0FF"/>
          </w:tcPr>
          <w:p>
            <w:pPr>
              <w:spacing w:after="0"/>
              <w:rPr>
                <w:sz w:val="21"/>
                <w:szCs w:val="21"/>
                <w:color w:val="auto"/>
              </w:rPr>
            </w:pPr>
          </w:p>
        </w:tc>
        <w:tc>
          <w:tcPr>
            <w:tcW w:w="400" w:type="dxa"/>
            <w:vAlign w:val="bottom"/>
            <w:tcBorders>
              <w:bottom w:val="single" w:sz="8" w:color="D2F0FF"/>
            </w:tcBorders>
            <w:gridSpan w:val="3"/>
            <w:shd w:val="clear" w:color="auto" w:fill="D2F0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D2F0FF"/>
            </w:tcBorders>
            <w:gridSpan w:val="2"/>
            <w:shd w:val="clear" w:color="auto" w:fill="D2F0FF"/>
          </w:tcPr>
          <w:p>
            <w:pPr>
              <w:jc w:val="right"/>
              <w:ind w:right="80"/>
              <w:spacing w:after="0"/>
              <w:rPr>
                <w:sz w:val="20"/>
                <w:szCs w:val="20"/>
                <w:color w:val="auto"/>
              </w:rPr>
            </w:pPr>
            <w:r>
              <w:rPr>
                <w:rFonts w:ascii="Arial" w:cs="Arial" w:eastAsia="Arial" w:hAnsi="Arial"/>
                <w:sz w:val="18"/>
                <w:szCs w:val="18"/>
                <w:color w:val="auto"/>
              </w:rPr>
              <w:t>197,211</w:t>
            </w:r>
          </w:p>
        </w:tc>
        <w:tc>
          <w:tcPr>
            <w:tcW w:w="20" w:type="dxa"/>
            <w:vAlign w:val="bottom"/>
            <w:tcBorders>
              <w:bottom w:val="single" w:sz="8" w:color="D2F0FF"/>
            </w:tcBorders>
            <w:shd w:val="clear" w:color="auto" w:fill="D2F0FF"/>
          </w:tcPr>
          <w:p>
            <w:pPr>
              <w:spacing w:after="0"/>
              <w:rPr>
                <w:sz w:val="21"/>
                <w:szCs w:val="21"/>
                <w:color w:val="auto"/>
              </w:rPr>
            </w:pPr>
          </w:p>
        </w:tc>
        <w:tc>
          <w:tcPr>
            <w:tcW w:w="440" w:type="dxa"/>
            <w:vAlign w:val="bottom"/>
            <w:tcBorders>
              <w:bottom w:val="single" w:sz="8" w:color="D2F0FF"/>
            </w:tcBorders>
            <w:gridSpan w:val="2"/>
            <w:shd w:val="clear" w:color="auto" w:fill="D2F0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D2F0FF"/>
            </w:tcBorders>
            <w:shd w:val="clear" w:color="auto" w:fill="D2F0FF"/>
          </w:tcPr>
          <w:p>
            <w:pPr>
              <w:jc w:val="right"/>
              <w:ind w:right="12"/>
              <w:spacing w:after="0"/>
              <w:rPr>
                <w:sz w:val="20"/>
                <w:szCs w:val="20"/>
                <w:color w:val="auto"/>
              </w:rPr>
            </w:pPr>
            <w:r>
              <w:rPr>
                <w:rFonts w:ascii="Arial" w:cs="Arial" w:eastAsia="Arial" w:hAnsi="Arial"/>
                <w:sz w:val="18"/>
                <w:szCs w:val="18"/>
                <w:color w:val="auto"/>
              </w:rPr>
              <w:t>19,568</w:t>
            </w:r>
          </w:p>
        </w:tc>
        <w:tc>
          <w:tcPr>
            <w:tcW w:w="6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180" w:type="dxa"/>
            <w:vAlign w:val="bottom"/>
            <w:tcBorders>
              <w:bottom w:val="single" w:sz="8" w:color="D2F0FF"/>
            </w:tcBorders>
            <w:shd w:val="clear" w:color="auto" w:fill="D2F0FF"/>
          </w:tcPr>
          <w:p>
            <w:pPr>
              <w:spacing w:after="0"/>
              <w:rPr>
                <w:sz w:val="21"/>
                <w:szCs w:val="21"/>
                <w:color w:val="auto"/>
              </w:rPr>
            </w:pPr>
          </w:p>
        </w:tc>
        <w:tc>
          <w:tcPr>
            <w:tcW w:w="102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9.9 %</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Property operating expenses: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D2F0FF"/>
            </w:tcBorders>
            <w:gridSpan w:val="2"/>
            <w:shd w:val="clear" w:color="auto" w:fill="D2F0FF"/>
          </w:tcPr>
          <w:p>
            <w:pPr>
              <w:ind w:left="720"/>
              <w:spacing w:after="0"/>
              <w:rPr>
                <w:sz w:val="20"/>
                <w:szCs w:val="20"/>
                <w:color w:val="auto"/>
              </w:rPr>
            </w:pPr>
            <w:r>
              <w:rPr>
                <w:rFonts w:ascii="Arial" w:cs="Arial" w:eastAsia="Arial" w:hAnsi="Arial"/>
                <w:sz w:val="18"/>
                <w:szCs w:val="18"/>
                <w:color w:val="auto"/>
              </w:rPr>
              <w:t>Payroll and benefits</w:t>
            </w:r>
          </w:p>
        </w:tc>
        <w:tc>
          <w:tcPr>
            <w:tcW w:w="28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18,871</w:t>
            </w:r>
          </w:p>
        </w:tc>
        <w:tc>
          <w:tcPr>
            <w:tcW w:w="80" w:type="dxa"/>
            <w:vAlign w:val="bottom"/>
            <w:tcBorders>
              <w:bottom w:val="single" w:sz="8" w:color="D2F0FF"/>
            </w:tcBorders>
            <w:shd w:val="clear" w:color="auto" w:fill="D2F0FF"/>
          </w:tcPr>
          <w:p>
            <w:pPr>
              <w:spacing w:after="0"/>
              <w:rPr>
                <w:sz w:val="21"/>
                <w:szCs w:val="21"/>
                <w:color w:val="auto"/>
              </w:rPr>
            </w:pPr>
          </w:p>
        </w:tc>
        <w:tc>
          <w:tcPr>
            <w:tcW w:w="40" w:type="dxa"/>
            <w:vAlign w:val="bottom"/>
            <w:tcBorders>
              <w:bottom w:val="single" w:sz="8" w:color="D2F0FF"/>
            </w:tcBorders>
            <w:shd w:val="clear" w:color="auto" w:fill="D2F0FF"/>
          </w:tcPr>
          <w:p>
            <w:pPr>
              <w:spacing w:after="0"/>
              <w:rPr>
                <w:sz w:val="21"/>
                <w:szCs w:val="21"/>
                <w:color w:val="auto"/>
              </w:rPr>
            </w:pPr>
          </w:p>
        </w:tc>
        <w:tc>
          <w:tcPr>
            <w:tcW w:w="80" w:type="dxa"/>
            <w:vAlign w:val="bottom"/>
            <w:tcBorders>
              <w:bottom w:val="single" w:sz="8" w:color="D2F0FF"/>
            </w:tcBorders>
            <w:shd w:val="clear" w:color="auto" w:fill="D2F0FF"/>
          </w:tcPr>
          <w:p>
            <w:pPr>
              <w:spacing w:after="0"/>
              <w:rPr>
                <w:sz w:val="21"/>
                <w:szCs w:val="21"/>
                <w:color w:val="auto"/>
              </w:rPr>
            </w:pPr>
          </w:p>
        </w:tc>
        <w:tc>
          <w:tcPr>
            <w:tcW w:w="280" w:type="dxa"/>
            <w:vAlign w:val="bottom"/>
            <w:tcBorders>
              <w:bottom w:val="single" w:sz="8" w:color="D2F0FF"/>
            </w:tcBorders>
            <w:shd w:val="clear" w:color="auto" w:fill="D2F0FF"/>
          </w:tcPr>
          <w:p>
            <w:pPr>
              <w:spacing w:after="0"/>
              <w:rPr>
                <w:sz w:val="21"/>
                <w:szCs w:val="21"/>
                <w:color w:val="auto"/>
              </w:rPr>
            </w:pPr>
          </w:p>
        </w:tc>
        <w:tc>
          <w:tcPr>
            <w:tcW w:w="1060" w:type="dxa"/>
            <w:vAlign w:val="bottom"/>
            <w:tcBorders>
              <w:bottom w:val="single" w:sz="8" w:color="D2F0FF"/>
            </w:tcBorders>
            <w:gridSpan w:val="2"/>
            <w:shd w:val="clear" w:color="auto" w:fill="D2F0FF"/>
          </w:tcPr>
          <w:p>
            <w:pPr>
              <w:jc w:val="right"/>
              <w:ind w:right="80"/>
              <w:spacing w:after="0"/>
              <w:rPr>
                <w:sz w:val="20"/>
                <w:szCs w:val="20"/>
                <w:color w:val="auto"/>
              </w:rPr>
            </w:pPr>
            <w:r>
              <w:rPr>
                <w:rFonts w:ascii="Arial" w:cs="Arial" w:eastAsia="Arial" w:hAnsi="Arial"/>
                <w:sz w:val="18"/>
                <w:szCs w:val="18"/>
                <w:color w:val="auto"/>
              </w:rPr>
              <w:t>15,658</w:t>
            </w:r>
          </w:p>
        </w:tc>
        <w:tc>
          <w:tcPr>
            <w:tcW w:w="20" w:type="dxa"/>
            <w:vAlign w:val="bottom"/>
            <w:tcBorders>
              <w:bottom w:val="single" w:sz="8" w:color="D2F0FF"/>
            </w:tcBorders>
            <w:shd w:val="clear" w:color="auto" w:fill="D2F0FF"/>
          </w:tcPr>
          <w:p>
            <w:pPr>
              <w:spacing w:after="0"/>
              <w:rPr>
                <w:sz w:val="21"/>
                <w:szCs w:val="21"/>
                <w:color w:val="auto"/>
              </w:rPr>
            </w:pPr>
          </w:p>
        </w:tc>
        <w:tc>
          <w:tcPr>
            <w:tcW w:w="100" w:type="dxa"/>
            <w:vAlign w:val="bottom"/>
            <w:tcBorders>
              <w:bottom w:val="single" w:sz="8" w:color="D2F0FF"/>
            </w:tcBorders>
            <w:shd w:val="clear" w:color="auto" w:fill="D2F0FF"/>
          </w:tcPr>
          <w:p>
            <w:pPr>
              <w:spacing w:after="0"/>
              <w:rPr>
                <w:sz w:val="21"/>
                <w:szCs w:val="21"/>
                <w:color w:val="auto"/>
              </w:rPr>
            </w:pPr>
          </w:p>
        </w:tc>
        <w:tc>
          <w:tcPr>
            <w:tcW w:w="340" w:type="dxa"/>
            <w:vAlign w:val="bottom"/>
            <w:tcBorders>
              <w:bottom w:val="single" w:sz="8" w:color="D2F0FF"/>
            </w:tcBorders>
            <w:shd w:val="clear" w:color="auto" w:fill="D2F0FF"/>
          </w:tcPr>
          <w:p>
            <w:pPr>
              <w:spacing w:after="0"/>
              <w:rPr>
                <w:sz w:val="21"/>
                <w:szCs w:val="21"/>
                <w:color w:val="auto"/>
              </w:rPr>
            </w:pPr>
          </w:p>
        </w:tc>
        <w:tc>
          <w:tcPr>
            <w:tcW w:w="800" w:type="dxa"/>
            <w:vAlign w:val="bottom"/>
            <w:tcBorders>
              <w:bottom w:val="single" w:sz="8" w:color="D2F0FF"/>
            </w:tcBorders>
            <w:shd w:val="clear" w:color="auto" w:fill="D2F0FF"/>
          </w:tcPr>
          <w:p>
            <w:pPr>
              <w:jc w:val="right"/>
              <w:ind w:right="12"/>
              <w:spacing w:after="0"/>
              <w:rPr>
                <w:sz w:val="20"/>
                <w:szCs w:val="20"/>
                <w:color w:val="auto"/>
              </w:rPr>
            </w:pPr>
            <w:r>
              <w:rPr>
                <w:rFonts w:ascii="Arial" w:cs="Arial" w:eastAsia="Arial" w:hAnsi="Arial"/>
                <w:sz w:val="18"/>
                <w:szCs w:val="18"/>
                <w:color w:val="auto"/>
              </w:rPr>
              <w:t>3,213</w:t>
            </w:r>
          </w:p>
        </w:tc>
        <w:tc>
          <w:tcPr>
            <w:tcW w:w="6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180" w:type="dxa"/>
            <w:vAlign w:val="bottom"/>
            <w:tcBorders>
              <w:bottom w:val="single" w:sz="8" w:color="D2F0FF"/>
            </w:tcBorders>
            <w:shd w:val="clear" w:color="auto" w:fill="D2F0FF"/>
          </w:tcPr>
          <w:p>
            <w:pPr>
              <w:spacing w:after="0"/>
              <w:rPr>
                <w:sz w:val="21"/>
                <w:szCs w:val="21"/>
                <w:color w:val="auto"/>
              </w:rPr>
            </w:pPr>
          </w:p>
        </w:tc>
        <w:tc>
          <w:tcPr>
            <w:tcW w:w="102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20.5 %</w:t>
            </w:r>
          </w:p>
        </w:tc>
      </w:tr>
      <w:tr>
        <w:trPr>
          <w:trHeight w:val="243"/>
        </w:trPr>
        <w:tc>
          <w:tcPr>
            <w:tcW w:w="5960" w:type="dxa"/>
            <w:vAlign w:val="bottom"/>
            <w:gridSpan w:val="2"/>
          </w:tcPr>
          <w:p>
            <w:pPr>
              <w:ind w:left="720"/>
              <w:spacing w:after="0"/>
              <w:rPr>
                <w:sz w:val="20"/>
                <w:szCs w:val="20"/>
                <w:color w:val="auto"/>
              </w:rPr>
            </w:pPr>
            <w:r>
              <w:rPr>
                <w:rFonts w:ascii="Arial" w:cs="Arial" w:eastAsia="Arial" w:hAnsi="Arial"/>
                <w:sz w:val="18"/>
                <w:szCs w:val="18"/>
                <w:color w:val="auto"/>
              </w:rPr>
              <w:t>Legal, taxes, and insurance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D2F0FF"/>
            </w:tcBorders>
            <w:gridSpan w:val="2"/>
            <w:shd w:val="clear" w:color="auto" w:fill="D2F0FF"/>
          </w:tcPr>
          <w:p>
            <w:pPr>
              <w:ind w:left="720"/>
              <w:spacing w:after="0"/>
              <w:rPr>
                <w:sz w:val="20"/>
                <w:szCs w:val="20"/>
                <w:color w:val="auto"/>
              </w:rPr>
            </w:pPr>
            <w:r>
              <w:rPr>
                <w:rFonts w:ascii="Arial" w:cs="Arial" w:eastAsia="Arial" w:hAnsi="Arial"/>
                <w:sz w:val="18"/>
                <w:szCs w:val="18"/>
                <w:color w:val="auto"/>
              </w:rPr>
              <w:t>Utilities</w:t>
            </w:r>
          </w:p>
        </w:tc>
        <w:tc>
          <w:tcPr>
            <w:tcW w:w="28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24,428</w:t>
            </w:r>
          </w:p>
        </w:tc>
        <w:tc>
          <w:tcPr>
            <w:tcW w:w="80" w:type="dxa"/>
            <w:vAlign w:val="bottom"/>
            <w:tcBorders>
              <w:bottom w:val="single" w:sz="8" w:color="D2F0FF"/>
            </w:tcBorders>
            <w:shd w:val="clear" w:color="auto" w:fill="D2F0FF"/>
          </w:tcPr>
          <w:p>
            <w:pPr>
              <w:spacing w:after="0"/>
              <w:rPr>
                <w:sz w:val="21"/>
                <w:szCs w:val="21"/>
                <w:color w:val="auto"/>
              </w:rPr>
            </w:pPr>
          </w:p>
        </w:tc>
        <w:tc>
          <w:tcPr>
            <w:tcW w:w="40" w:type="dxa"/>
            <w:vAlign w:val="bottom"/>
            <w:tcBorders>
              <w:bottom w:val="single" w:sz="8" w:color="D2F0FF"/>
            </w:tcBorders>
            <w:shd w:val="clear" w:color="auto" w:fill="D2F0FF"/>
          </w:tcPr>
          <w:p>
            <w:pPr>
              <w:spacing w:after="0"/>
              <w:rPr>
                <w:sz w:val="21"/>
                <w:szCs w:val="21"/>
                <w:color w:val="auto"/>
              </w:rPr>
            </w:pPr>
          </w:p>
        </w:tc>
        <w:tc>
          <w:tcPr>
            <w:tcW w:w="80" w:type="dxa"/>
            <w:vAlign w:val="bottom"/>
            <w:tcBorders>
              <w:bottom w:val="single" w:sz="8" w:color="D2F0FF"/>
            </w:tcBorders>
            <w:shd w:val="clear" w:color="auto" w:fill="D2F0FF"/>
          </w:tcPr>
          <w:p>
            <w:pPr>
              <w:spacing w:after="0"/>
              <w:rPr>
                <w:sz w:val="21"/>
                <w:szCs w:val="21"/>
                <w:color w:val="auto"/>
              </w:rPr>
            </w:pPr>
          </w:p>
        </w:tc>
        <w:tc>
          <w:tcPr>
            <w:tcW w:w="280" w:type="dxa"/>
            <w:vAlign w:val="bottom"/>
            <w:tcBorders>
              <w:bottom w:val="single" w:sz="8" w:color="D2F0FF"/>
            </w:tcBorders>
            <w:shd w:val="clear" w:color="auto" w:fill="D2F0FF"/>
          </w:tcPr>
          <w:p>
            <w:pPr>
              <w:spacing w:after="0"/>
              <w:rPr>
                <w:sz w:val="21"/>
                <w:szCs w:val="21"/>
                <w:color w:val="auto"/>
              </w:rPr>
            </w:pPr>
          </w:p>
        </w:tc>
        <w:tc>
          <w:tcPr>
            <w:tcW w:w="1060" w:type="dxa"/>
            <w:vAlign w:val="bottom"/>
            <w:tcBorders>
              <w:bottom w:val="single" w:sz="8" w:color="D2F0FF"/>
            </w:tcBorders>
            <w:gridSpan w:val="2"/>
            <w:shd w:val="clear" w:color="auto" w:fill="D2F0FF"/>
          </w:tcPr>
          <w:p>
            <w:pPr>
              <w:jc w:val="right"/>
              <w:ind w:right="80"/>
              <w:spacing w:after="0"/>
              <w:rPr>
                <w:sz w:val="20"/>
                <w:szCs w:val="20"/>
                <w:color w:val="auto"/>
              </w:rPr>
            </w:pPr>
            <w:r>
              <w:rPr>
                <w:rFonts w:ascii="Arial" w:cs="Arial" w:eastAsia="Arial" w:hAnsi="Arial"/>
                <w:sz w:val="18"/>
                <w:szCs w:val="18"/>
                <w:color w:val="auto"/>
              </w:rPr>
              <w:t>22,553</w:t>
            </w:r>
          </w:p>
        </w:tc>
        <w:tc>
          <w:tcPr>
            <w:tcW w:w="20" w:type="dxa"/>
            <w:vAlign w:val="bottom"/>
            <w:tcBorders>
              <w:bottom w:val="single" w:sz="8" w:color="D2F0FF"/>
            </w:tcBorders>
            <w:shd w:val="clear" w:color="auto" w:fill="D2F0FF"/>
          </w:tcPr>
          <w:p>
            <w:pPr>
              <w:spacing w:after="0"/>
              <w:rPr>
                <w:sz w:val="21"/>
                <w:szCs w:val="21"/>
                <w:color w:val="auto"/>
              </w:rPr>
            </w:pPr>
          </w:p>
        </w:tc>
        <w:tc>
          <w:tcPr>
            <w:tcW w:w="100" w:type="dxa"/>
            <w:vAlign w:val="bottom"/>
            <w:tcBorders>
              <w:bottom w:val="single" w:sz="8" w:color="D2F0FF"/>
            </w:tcBorders>
            <w:shd w:val="clear" w:color="auto" w:fill="D2F0FF"/>
          </w:tcPr>
          <w:p>
            <w:pPr>
              <w:spacing w:after="0"/>
              <w:rPr>
                <w:sz w:val="21"/>
                <w:szCs w:val="21"/>
                <w:color w:val="auto"/>
              </w:rPr>
            </w:pPr>
          </w:p>
        </w:tc>
        <w:tc>
          <w:tcPr>
            <w:tcW w:w="340" w:type="dxa"/>
            <w:vAlign w:val="bottom"/>
            <w:tcBorders>
              <w:bottom w:val="single" w:sz="8" w:color="D2F0FF"/>
            </w:tcBorders>
            <w:shd w:val="clear" w:color="auto" w:fill="D2F0FF"/>
          </w:tcPr>
          <w:p>
            <w:pPr>
              <w:spacing w:after="0"/>
              <w:rPr>
                <w:sz w:val="21"/>
                <w:szCs w:val="21"/>
                <w:color w:val="auto"/>
              </w:rPr>
            </w:pPr>
          </w:p>
        </w:tc>
        <w:tc>
          <w:tcPr>
            <w:tcW w:w="800" w:type="dxa"/>
            <w:vAlign w:val="bottom"/>
            <w:tcBorders>
              <w:bottom w:val="single" w:sz="8" w:color="D2F0FF"/>
            </w:tcBorders>
            <w:shd w:val="clear" w:color="auto" w:fill="D2F0FF"/>
          </w:tcPr>
          <w:p>
            <w:pPr>
              <w:jc w:val="right"/>
              <w:ind w:right="12"/>
              <w:spacing w:after="0"/>
              <w:rPr>
                <w:sz w:val="20"/>
                <w:szCs w:val="20"/>
                <w:color w:val="auto"/>
              </w:rPr>
            </w:pPr>
            <w:r>
              <w:rPr>
                <w:rFonts w:ascii="Arial" w:cs="Arial" w:eastAsia="Arial" w:hAnsi="Arial"/>
                <w:sz w:val="18"/>
                <w:szCs w:val="18"/>
                <w:color w:val="auto"/>
              </w:rPr>
              <w:t>1,875</w:t>
            </w:r>
          </w:p>
        </w:tc>
        <w:tc>
          <w:tcPr>
            <w:tcW w:w="6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180" w:type="dxa"/>
            <w:vAlign w:val="bottom"/>
            <w:tcBorders>
              <w:bottom w:val="single" w:sz="8" w:color="D2F0FF"/>
            </w:tcBorders>
            <w:shd w:val="clear" w:color="auto" w:fill="D2F0FF"/>
          </w:tcPr>
          <w:p>
            <w:pPr>
              <w:spacing w:after="0"/>
              <w:rPr>
                <w:sz w:val="21"/>
                <w:szCs w:val="21"/>
                <w:color w:val="auto"/>
              </w:rPr>
            </w:pPr>
          </w:p>
        </w:tc>
        <w:tc>
          <w:tcPr>
            <w:tcW w:w="102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8.3 %</w:t>
            </w:r>
          </w:p>
        </w:tc>
      </w:tr>
      <w:tr>
        <w:trPr>
          <w:trHeight w:val="243"/>
        </w:trPr>
        <w:tc>
          <w:tcPr>
            <w:tcW w:w="5960" w:type="dxa"/>
            <w:vAlign w:val="bottom"/>
            <w:gridSpan w:val="2"/>
          </w:tcPr>
          <w:p>
            <w:pPr>
              <w:ind w:left="720"/>
              <w:spacing w:after="0"/>
              <w:rPr>
                <w:sz w:val="20"/>
                <w:szCs w:val="20"/>
                <w:color w:val="auto"/>
              </w:rPr>
            </w:pPr>
            <w:r>
              <w:rPr>
                <w:rFonts w:ascii="Arial" w:cs="Arial" w:eastAsia="Arial" w:hAnsi="Arial"/>
                <w:sz w:val="18"/>
                <w:szCs w:val="18"/>
                <w:color w:val="auto"/>
              </w:rPr>
              <w:t>Supplies and repair</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5,256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1,098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20.9 %</w:t>
            </w: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D2F0FF"/>
            </w:tcBorders>
            <w:gridSpan w:val="2"/>
            <w:shd w:val="clear" w:color="auto" w:fill="D2F0FF"/>
          </w:tcPr>
          <w:p>
            <w:pPr>
              <w:ind w:left="7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5,872</w:t>
            </w:r>
          </w:p>
        </w:tc>
        <w:tc>
          <w:tcPr>
            <w:tcW w:w="80" w:type="dxa"/>
            <w:vAlign w:val="bottom"/>
            <w:tcBorders>
              <w:bottom w:val="single" w:sz="8" w:color="D2F0FF"/>
            </w:tcBorders>
            <w:shd w:val="clear" w:color="auto" w:fill="D2F0FF"/>
          </w:tcPr>
          <w:p>
            <w:pPr>
              <w:spacing w:after="0"/>
              <w:rPr>
                <w:sz w:val="21"/>
                <w:szCs w:val="21"/>
                <w:color w:val="auto"/>
              </w:rPr>
            </w:pPr>
          </w:p>
        </w:tc>
        <w:tc>
          <w:tcPr>
            <w:tcW w:w="40" w:type="dxa"/>
            <w:vAlign w:val="bottom"/>
            <w:tcBorders>
              <w:bottom w:val="single" w:sz="8" w:color="D2F0FF"/>
            </w:tcBorders>
            <w:shd w:val="clear" w:color="auto" w:fill="D2F0FF"/>
          </w:tcPr>
          <w:p>
            <w:pPr>
              <w:spacing w:after="0"/>
              <w:rPr>
                <w:sz w:val="21"/>
                <w:szCs w:val="21"/>
                <w:color w:val="auto"/>
              </w:rPr>
            </w:pPr>
          </w:p>
        </w:tc>
        <w:tc>
          <w:tcPr>
            <w:tcW w:w="80" w:type="dxa"/>
            <w:vAlign w:val="bottom"/>
            <w:tcBorders>
              <w:bottom w:val="single" w:sz="8" w:color="D2F0FF"/>
            </w:tcBorders>
            <w:shd w:val="clear" w:color="auto" w:fill="D2F0FF"/>
          </w:tcPr>
          <w:p>
            <w:pPr>
              <w:spacing w:after="0"/>
              <w:rPr>
                <w:sz w:val="21"/>
                <w:szCs w:val="21"/>
                <w:color w:val="auto"/>
              </w:rPr>
            </w:pPr>
          </w:p>
        </w:tc>
        <w:tc>
          <w:tcPr>
            <w:tcW w:w="280" w:type="dxa"/>
            <w:vAlign w:val="bottom"/>
            <w:tcBorders>
              <w:bottom w:val="single" w:sz="8" w:color="D2F0FF"/>
            </w:tcBorders>
            <w:shd w:val="clear" w:color="auto" w:fill="D2F0FF"/>
          </w:tcPr>
          <w:p>
            <w:pPr>
              <w:spacing w:after="0"/>
              <w:rPr>
                <w:sz w:val="21"/>
                <w:szCs w:val="21"/>
                <w:color w:val="auto"/>
              </w:rPr>
            </w:pPr>
          </w:p>
        </w:tc>
        <w:tc>
          <w:tcPr>
            <w:tcW w:w="1060" w:type="dxa"/>
            <w:vAlign w:val="bottom"/>
            <w:tcBorders>
              <w:bottom w:val="single" w:sz="8" w:color="D2F0FF"/>
            </w:tcBorders>
            <w:gridSpan w:val="2"/>
            <w:shd w:val="clear" w:color="auto" w:fill="D2F0FF"/>
          </w:tcPr>
          <w:p>
            <w:pPr>
              <w:jc w:val="right"/>
              <w:ind w:right="80"/>
              <w:spacing w:after="0"/>
              <w:rPr>
                <w:sz w:val="20"/>
                <w:szCs w:val="20"/>
                <w:color w:val="auto"/>
              </w:rPr>
            </w:pPr>
            <w:r>
              <w:rPr>
                <w:rFonts w:ascii="Arial" w:cs="Arial" w:eastAsia="Arial" w:hAnsi="Arial"/>
                <w:sz w:val="18"/>
                <w:szCs w:val="18"/>
                <w:color w:val="auto"/>
              </w:rPr>
              <w:t>5,681</w:t>
            </w:r>
          </w:p>
        </w:tc>
        <w:tc>
          <w:tcPr>
            <w:tcW w:w="20" w:type="dxa"/>
            <w:vAlign w:val="bottom"/>
            <w:tcBorders>
              <w:bottom w:val="single" w:sz="8" w:color="D2F0FF"/>
            </w:tcBorders>
            <w:shd w:val="clear" w:color="auto" w:fill="D2F0FF"/>
          </w:tcPr>
          <w:p>
            <w:pPr>
              <w:spacing w:after="0"/>
              <w:rPr>
                <w:sz w:val="21"/>
                <w:szCs w:val="21"/>
                <w:color w:val="auto"/>
              </w:rPr>
            </w:pPr>
          </w:p>
        </w:tc>
        <w:tc>
          <w:tcPr>
            <w:tcW w:w="100" w:type="dxa"/>
            <w:vAlign w:val="bottom"/>
            <w:tcBorders>
              <w:bottom w:val="single" w:sz="8" w:color="D2F0FF"/>
            </w:tcBorders>
            <w:shd w:val="clear" w:color="auto" w:fill="D2F0FF"/>
          </w:tcPr>
          <w:p>
            <w:pPr>
              <w:spacing w:after="0"/>
              <w:rPr>
                <w:sz w:val="21"/>
                <w:szCs w:val="21"/>
                <w:color w:val="auto"/>
              </w:rPr>
            </w:pPr>
          </w:p>
        </w:tc>
        <w:tc>
          <w:tcPr>
            <w:tcW w:w="340" w:type="dxa"/>
            <w:vAlign w:val="bottom"/>
            <w:tcBorders>
              <w:bottom w:val="single" w:sz="8" w:color="D2F0FF"/>
            </w:tcBorders>
            <w:shd w:val="clear" w:color="auto" w:fill="D2F0FF"/>
          </w:tcPr>
          <w:p>
            <w:pPr>
              <w:spacing w:after="0"/>
              <w:rPr>
                <w:sz w:val="21"/>
                <w:szCs w:val="21"/>
                <w:color w:val="auto"/>
              </w:rPr>
            </w:pPr>
          </w:p>
        </w:tc>
        <w:tc>
          <w:tcPr>
            <w:tcW w:w="800" w:type="dxa"/>
            <w:vAlign w:val="bottom"/>
            <w:tcBorders>
              <w:bottom w:val="single" w:sz="8" w:color="D2F0FF"/>
            </w:tcBorders>
            <w:shd w:val="clear" w:color="auto" w:fill="D2F0FF"/>
          </w:tcPr>
          <w:p>
            <w:pPr>
              <w:jc w:val="right"/>
              <w:ind w:right="12"/>
              <w:spacing w:after="0"/>
              <w:rPr>
                <w:sz w:val="20"/>
                <w:szCs w:val="20"/>
                <w:color w:val="auto"/>
              </w:rPr>
            </w:pPr>
            <w:r>
              <w:rPr>
                <w:rFonts w:ascii="Arial" w:cs="Arial" w:eastAsia="Arial" w:hAnsi="Arial"/>
                <w:sz w:val="18"/>
                <w:szCs w:val="18"/>
                <w:color w:val="auto"/>
              </w:rPr>
              <w:t>191</w:t>
            </w:r>
          </w:p>
        </w:tc>
        <w:tc>
          <w:tcPr>
            <w:tcW w:w="6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180" w:type="dxa"/>
            <w:vAlign w:val="bottom"/>
            <w:tcBorders>
              <w:bottom w:val="single" w:sz="8" w:color="D2F0FF"/>
            </w:tcBorders>
            <w:shd w:val="clear" w:color="auto" w:fill="D2F0FF"/>
          </w:tcPr>
          <w:p>
            <w:pPr>
              <w:spacing w:after="0"/>
              <w:rPr>
                <w:sz w:val="21"/>
                <w:szCs w:val="21"/>
                <w:color w:val="auto"/>
              </w:rPr>
            </w:pPr>
          </w:p>
        </w:tc>
        <w:tc>
          <w:tcPr>
            <w:tcW w:w="102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3.4 %</w:t>
            </w:r>
          </w:p>
        </w:tc>
      </w:tr>
      <w:tr>
        <w:trPr>
          <w:trHeight w:val="243"/>
        </w:trPr>
        <w:tc>
          <w:tcPr>
            <w:tcW w:w="5960" w:type="dxa"/>
            <w:vAlign w:val="bottom"/>
            <w:gridSpan w:val="2"/>
          </w:tcPr>
          <w:p>
            <w:pPr>
              <w:ind w:left="720"/>
              <w:spacing w:after="0"/>
              <w:rPr>
                <w:sz w:val="20"/>
                <w:szCs w:val="20"/>
                <w:color w:val="auto"/>
              </w:rPr>
            </w:pPr>
            <w:r>
              <w:rPr>
                <w:rFonts w:ascii="Arial" w:cs="Arial" w:eastAsia="Arial" w:hAnsi="Arial"/>
                <w:sz w:val="18"/>
                <w:szCs w:val="18"/>
                <w:color w:val="auto"/>
              </w:rPr>
              <w:t>Real estate taxes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15,330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13,836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1,494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10.8 %</w:t>
            </w:r>
          </w:p>
        </w:tc>
      </w:tr>
      <w:tr>
        <w:trPr>
          <w:trHeight w:val="27"/>
        </w:trPr>
        <w:tc>
          <w:tcPr>
            <w:tcW w:w="5860" w:type="dxa"/>
            <w:vAlign w:val="bottom"/>
            <w:tcBorders>
              <w:bottom w:val="single" w:sz="8" w:color="D2F0FF"/>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D2F0FF"/>
            </w:tcBorders>
          </w:tcPr>
          <w:p>
            <w:pPr>
              <w:spacing w:after="0"/>
              <w:rPr>
                <w:sz w:val="2"/>
                <w:szCs w:val="2"/>
                <w:color w:val="auto"/>
              </w:rPr>
            </w:pPr>
          </w:p>
        </w:tc>
        <w:tc>
          <w:tcPr>
            <w:tcW w:w="80" w:type="dxa"/>
            <w:vAlign w:val="bottom"/>
            <w:tcBorders>
              <w:bottom w:val="single" w:sz="8" w:color="D2F0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D2F0FF"/>
            </w:tcBorders>
          </w:tcPr>
          <w:p>
            <w:pPr>
              <w:spacing w:after="0"/>
              <w:rPr>
                <w:sz w:val="2"/>
                <w:szCs w:val="2"/>
                <w:color w:val="auto"/>
              </w:rPr>
            </w:pPr>
          </w:p>
        </w:tc>
        <w:tc>
          <w:tcPr>
            <w:tcW w:w="60" w:type="dxa"/>
            <w:vAlign w:val="bottom"/>
            <w:tcBorders>
              <w:bottom w:val="single" w:sz="8" w:color="D2F0FF"/>
            </w:tcBorders>
          </w:tcPr>
          <w:p>
            <w:pPr>
              <w:spacing w:after="0"/>
              <w:rPr>
                <w:sz w:val="2"/>
                <w:szCs w:val="2"/>
                <w:color w:val="auto"/>
              </w:rPr>
            </w:pPr>
          </w:p>
        </w:tc>
        <w:tc>
          <w:tcPr>
            <w:tcW w:w="60" w:type="dxa"/>
            <w:vAlign w:val="bottom"/>
            <w:tcBorders>
              <w:bottom w:val="single" w:sz="8" w:color="D2F0FF"/>
            </w:tcBorders>
          </w:tcPr>
          <w:p>
            <w:pPr>
              <w:spacing w:after="0"/>
              <w:rPr>
                <w:sz w:val="2"/>
                <w:szCs w:val="2"/>
                <w:color w:val="auto"/>
              </w:rPr>
            </w:pPr>
          </w:p>
        </w:tc>
        <w:tc>
          <w:tcPr>
            <w:tcW w:w="180" w:type="dxa"/>
            <w:vAlign w:val="bottom"/>
            <w:tcBorders>
              <w:bottom w:val="single" w:sz="8" w:color="D2F0FF"/>
            </w:tcBorders>
          </w:tcPr>
          <w:p>
            <w:pPr>
              <w:spacing w:after="0"/>
              <w:rPr>
                <w:sz w:val="2"/>
                <w:szCs w:val="2"/>
                <w:color w:val="auto"/>
              </w:rPr>
            </w:pPr>
          </w:p>
        </w:tc>
        <w:tc>
          <w:tcPr>
            <w:tcW w:w="1020" w:type="dxa"/>
            <w:vAlign w:val="bottom"/>
            <w:tcBorders>
              <w:bottom w:val="single" w:sz="8" w:color="D2F0FF"/>
            </w:tcBorders>
          </w:tcPr>
          <w:p>
            <w:pPr>
              <w:spacing w:after="0"/>
              <w:rPr>
                <w:sz w:val="2"/>
                <w:szCs w:val="2"/>
                <w:color w:val="auto"/>
              </w:rPr>
            </w:pPr>
          </w:p>
        </w:tc>
      </w:tr>
      <w:tr>
        <w:trPr>
          <w:trHeight w:val="264"/>
        </w:trPr>
        <w:tc>
          <w:tcPr>
            <w:tcW w:w="5960" w:type="dxa"/>
            <w:vAlign w:val="bottom"/>
            <w:tcBorders>
              <w:bottom w:val="single" w:sz="8" w:color="D2F0FF"/>
            </w:tcBorders>
            <w:gridSpan w:val="2"/>
            <w:shd w:val="clear" w:color="auto" w:fill="D2F0FF"/>
          </w:tcPr>
          <w:p>
            <w:pPr>
              <w:ind w:left="1040"/>
              <w:spacing w:after="0"/>
              <w:rPr>
                <w:sz w:val="20"/>
                <w:szCs w:val="20"/>
                <w:color w:val="auto"/>
              </w:rPr>
            </w:pPr>
            <w:r>
              <w:rPr>
                <w:rFonts w:ascii="Arial" w:cs="Arial" w:eastAsia="Arial" w:hAnsi="Arial"/>
                <w:sz w:val="18"/>
                <w:szCs w:val="18"/>
                <w:color w:val="auto"/>
              </w:rPr>
              <w:t>Property operating expenses</w:t>
            </w:r>
          </w:p>
        </w:tc>
        <w:tc>
          <w:tcPr>
            <w:tcW w:w="280" w:type="dxa"/>
            <w:vAlign w:val="bottom"/>
            <w:tcBorders>
              <w:bottom w:val="single" w:sz="8" w:color="D2F0FF"/>
            </w:tcBorders>
            <w:shd w:val="clear" w:color="auto" w:fill="D2F0FF"/>
          </w:tcPr>
          <w:p>
            <w:pPr>
              <w:spacing w:after="0"/>
              <w:rPr>
                <w:sz w:val="22"/>
                <w:szCs w:val="22"/>
                <w:color w:val="auto"/>
              </w:rPr>
            </w:pPr>
          </w:p>
        </w:tc>
        <w:tc>
          <w:tcPr>
            <w:tcW w:w="100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73,239</w:t>
            </w:r>
          </w:p>
        </w:tc>
        <w:tc>
          <w:tcPr>
            <w:tcW w:w="80" w:type="dxa"/>
            <w:vAlign w:val="bottom"/>
            <w:tcBorders>
              <w:bottom w:val="single" w:sz="8" w:color="D2F0FF"/>
            </w:tcBorders>
            <w:shd w:val="clear" w:color="auto" w:fill="D2F0FF"/>
          </w:tcPr>
          <w:p>
            <w:pPr>
              <w:spacing w:after="0"/>
              <w:rPr>
                <w:sz w:val="22"/>
                <w:szCs w:val="22"/>
                <w:color w:val="auto"/>
              </w:rPr>
            </w:pPr>
          </w:p>
        </w:tc>
        <w:tc>
          <w:tcPr>
            <w:tcW w:w="40" w:type="dxa"/>
            <w:vAlign w:val="bottom"/>
            <w:tcBorders>
              <w:bottom w:val="single" w:sz="8" w:color="D2F0FF"/>
            </w:tcBorders>
            <w:shd w:val="clear" w:color="auto" w:fill="D2F0FF"/>
          </w:tcPr>
          <w:p>
            <w:pPr>
              <w:spacing w:after="0"/>
              <w:rPr>
                <w:sz w:val="22"/>
                <w:szCs w:val="22"/>
                <w:color w:val="auto"/>
              </w:rPr>
            </w:pPr>
          </w:p>
        </w:tc>
        <w:tc>
          <w:tcPr>
            <w:tcW w:w="80" w:type="dxa"/>
            <w:vAlign w:val="bottom"/>
            <w:tcBorders>
              <w:bottom w:val="single" w:sz="8" w:color="D2F0FF"/>
            </w:tcBorders>
            <w:shd w:val="clear" w:color="auto" w:fill="D2F0FF"/>
          </w:tcPr>
          <w:p>
            <w:pPr>
              <w:spacing w:after="0"/>
              <w:rPr>
                <w:sz w:val="22"/>
                <w:szCs w:val="22"/>
                <w:color w:val="auto"/>
              </w:rPr>
            </w:pPr>
          </w:p>
        </w:tc>
        <w:tc>
          <w:tcPr>
            <w:tcW w:w="280" w:type="dxa"/>
            <w:vAlign w:val="bottom"/>
            <w:tcBorders>
              <w:bottom w:val="single" w:sz="8" w:color="D2F0FF"/>
            </w:tcBorders>
            <w:shd w:val="clear" w:color="auto" w:fill="D2F0FF"/>
          </w:tcPr>
          <w:p>
            <w:pPr>
              <w:spacing w:after="0"/>
              <w:rPr>
                <w:sz w:val="22"/>
                <w:szCs w:val="22"/>
                <w:color w:val="auto"/>
              </w:rPr>
            </w:pPr>
          </w:p>
        </w:tc>
        <w:tc>
          <w:tcPr>
            <w:tcW w:w="1060" w:type="dxa"/>
            <w:vAlign w:val="bottom"/>
            <w:tcBorders>
              <w:bottom w:val="single" w:sz="8" w:color="D2F0FF"/>
            </w:tcBorders>
            <w:gridSpan w:val="2"/>
            <w:shd w:val="clear" w:color="auto" w:fill="D2F0FF"/>
          </w:tcPr>
          <w:p>
            <w:pPr>
              <w:jc w:val="right"/>
              <w:ind w:right="80"/>
              <w:spacing w:after="0"/>
              <w:rPr>
                <w:sz w:val="20"/>
                <w:szCs w:val="20"/>
                <w:color w:val="auto"/>
              </w:rPr>
            </w:pPr>
            <w:r>
              <w:rPr>
                <w:rFonts w:ascii="Arial" w:cs="Arial" w:eastAsia="Arial" w:hAnsi="Arial"/>
                <w:sz w:val="18"/>
                <w:szCs w:val="18"/>
                <w:color w:val="auto"/>
              </w:rPr>
              <w:t>65,466</w:t>
            </w:r>
          </w:p>
        </w:tc>
        <w:tc>
          <w:tcPr>
            <w:tcW w:w="20" w:type="dxa"/>
            <w:vAlign w:val="bottom"/>
            <w:tcBorders>
              <w:bottom w:val="single" w:sz="8" w:color="D2F0FF"/>
            </w:tcBorders>
            <w:shd w:val="clear" w:color="auto" w:fill="D2F0FF"/>
          </w:tcPr>
          <w:p>
            <w:pPr>
              <w:spacing w:after="0"/>
              <w:rPr>
                <w:sz w:val="22"/>
                <w:szCs w:val="22"/>
                <w:color w:val="auto"/>
              </w:rPr>
            </w:pPr>
          </w:p>
        </w:tc>
        <w:tc>
          <w:tcPr>
            <w:tcW w:w="100" w:type="dxa"/>
            <w:vAlign w:val="bottom"/>
            <w:tcBorders>
              <w:bottom w:val="single" w:sz="8" w:color="D2F0FF"/>
            </w:tcBorders>
            <w:shd w:val="clear" w:color="auto" w:fill="D2F0FF"/>
          </w:tcPr>
          <w:p>
            <w:pPr>
              <w:spacing w:after="0"/>
              <w:rPr>
                <w:sz w:val="22"/>
                <w:szCs w:val="22"/>
                <w:color w:val="auto"/>
              </w:rPr>
            </w:pPr>
          </w:p>
        </w:tc>
        <w:tc>
          <w:tcPr>
            <w:tcW w:w="340" w:type="dxa"/>
            <w:vAlign w:val="bottom"/>
            <w:tcBorders>
              <w:bottom w:val="single" w:sz="8" w:color="D2F0FF"/>
            </w:tcBorders>
            <w:shd w:val="clear" w:color="auto" w:fill="D2F0FF"/>
          </w:tcPr>
          <w:p>
            <w:pPr>
              <w:spacing w:after="0"/>
              <w:rPr>
                <w:sz w:val="22"/>
                <w:szCs w:val="22"/>
                <w:color w:val="auto"/>
              </w:rPr>
            </w:pPr>
          </w:p>
        </w:tc>
        <w:tc>
          <w:tcPr>
            <w:tcW w:w="800" w:type="dxa"/>
            <w:vAlign w:val="bottom"/>
            <w:tcBorders>
              <w:bottom w:val="single" w:sz="8" w:color="D2F0FF"/>
            </w:tcBorders>
            <w:shd w:val="clear" w:color="auto" w:fill="D2F0FF"/>
          </w:tcPr>
          <w:p>
            <w:pPr>
              <w:jc w:val="right"/>
              <w:ind w:right="12"/>
              <w:spacing w:after="0"/>
              <w:rPr>
                <w:sz w:val="20"/>
                <w:szCs w:val="20"/>
                <w:color w:val="auto"/>
              </w:rPr>
            </w:pPr>
            <w:r>
              <w:rPr>
                <w:rFonts w:ascii="Arial" w:cs="Arial" w:eastAsia="Arial" w:hAnsi="Arial"/>
                <w:sz w:val="18"/>
                <w:szCs w:val="18"/>
                <w:color w:val="auto"/>
              </w:rPr>
              <w:t>7,773</w:t>
            </w:r>
          </w:p>
        </w:tc>
        <w:tc>
          <w:tcPr>
            <w:tcW w:w="60" w:type="dxa"/>
            <w:vAlign w:val="bottom"/>
            <w:tcBorders>
              <w:bottom w:val="single" w:sz="8" w:color="D2F0FF"/>
            </w:tcBorders>
            <w:shd w:val="clear" w:color="auto" w:fill="D2F0FF"/>
          </w:tcPr>
          <w:p>
            <w:pPr>
              <w:spacing w:after="0"/>
              <w:rPr>
                <w:sz w:val="22"/>
                <w:szCs w:val="22"/>
                <w:color w:val="auto"/>
              </w:rPr>
            </w:pPr>
          </w:p>
        </w:tc>
        <w:tc>
          <w:tcPr>
            <w:tcW w:w="60" w:type="dxa"/>
            <w:vAlign w:val="bottom"/>
            <w:tcBorders>
              <w:bottom w:val="single" w:sz="8" w:color="D2F0FF"/>
            </w:tcBorders>
            <w:shd w:val="clear" w:color="auto" w:fill="D2F0FF"/>
          </w:tcPr>
          <w:p>
            <w:pPr>
              <w:spacing w:after="0"/>
              <w:rPr>
                <w:sz w:val="22"/>
                <w:szCs w:val="22"/>
                <w:color w:val="auto"/>
              </w:rPr>
            </w:pPr>
          </w:p>
        </w:tc>
        <w:tc>
          <w:tcPr>
            <w:tcW w:w="60" w:type="dxa"/>
            <w:vAlign w:val="bottom"/>
            <w:tcBorders>
              <w:bottom w:val="single" w:sz="8" w:color="D2F0FF"/>
            </w:tcBorders>
            <w:shd w:val="clear" w:color="auto" w:fill="D2F0FF"/>
          </w:tcPr>
          <w:p>
            <w:pPr>
              <w:spacing w:after="0"/>
              <w:rPr>
                <w:sz w:val="22"/>
                <w:szCs w:val="22"/>
                <w:color w:val="auto"/>
              </w:rPr>
            </w:pPr>
          </w:p>
        </w:tc>
        <w:tc>
          <w:tcPr>
            <w:tcW w:w="180" w:type="dxa"/>
            <w:vAlign w:val="bottom"/>
            <w:tcBorders>
              <w:bottom w:val="single" w:sz="8" w:color="D2F0FF"/>
            </w:tcBorders>
            <w:shd w:val="clear" w:color="auto" w:fill="D2F0FF"/>
          </w:tcPr>
          <w:p>
            <w:pPr>
              <w:spacing w:after="0"/>
              <w:rPr>
                <w:sz w:val="22"/>
                <w:szCs w:val="22"/>
                <w:color w:val="auto"/>
              </w:rPr>
            </w:pPr>
          </w:p>
        </w:tc>
        <w:tc>
          <w:tcPr>
            <w:tcW w:w="102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11.9 %</w:t>
            </w:r>
          </w:p>
        </w:tc>
      </w:tr>
      <w:tr>
        <w:trPr>
          <w:trHeight w:val="257"/>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Real Property NOI</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143,540</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131,745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11,795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9.0 %</w:t>
            </w: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02"/>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March 31,</w:t>
            </w: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5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Other Information</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0" w:type="dxa"/>
            <w:vAlign w:val="bottom"/>
            <w:tcBorders>
              <w:bottom w:val="single" w:sz="8" w:color="D2F0FF"/>
            </w:tcBorders>
          </w:tcPr>
          <w:p>
            <w:pPr>
              <w:spacing w:after="0"/>
              <w:rPr>
                <w:sz w:val="22"/>
                <w:szCs w:val="22"/>
                <w:color w:val="auto"/>
              </w:rPr>
            </w:pPr>
          </w:p>
        </w:tc>
        <w:tc>
          <w:tcPr>
            <w:tcW w:w="40" w:type="dxa"/>
            <w:vAlign w:val="bottom"/>
            <w:tcBorders>
              <w:bottom w:val="single" w:sz="8" w:color="D2F0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2F0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D2F0FF"/>
            </w:tcBorders>
          </w:tcPr>
          <w:p>
            <w:pPr>
              <w:spacing w:after="0"/>
              <w:rPr>
                <w:sz w:val="22"/>
                <w:szCs w:val="22"/>
                <w:color w:val="auto"/>
              </w:rPr>
            </w:pPr>
          </w:p>
        </w:tc>
        <w:tc>
          <w:tcPr>
            <w:tcW w:w="60" w:type="dxa"/>
            <w:vAlign w:val="bottom"/>
            <w:tcBorders>
              <w:bottom w:val="single" w:sz="8" w:color="D2F0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Change</w:t>
            </w:r>
          </w:p>
        </w:tc>
      </w:tr>
      <w:tr>
        <w:trPr>
          <w:trHeight w:val="250"/>
        </w:trPr>
        <w:tc>
          <w:tcPr>
            <w:tcW w:w="596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Number of properties</w:t>
            </w:r>
          </w:p>
        </w:tc>
        <w:tc>
          <w:tcPr>
            <w:tcW w:w="28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spacing w:after="0"/>
              <w:rPr>
                <w:sz w:val="21"/>
                <w:szCs w:val="21"/>
                <w:color w:val="auto"/>
              </w:rPr>
            </w:pPr>
          </w:p>
        </w:tc>
        <w:tc>
          <w:tcPr>
            <w:tcW w:w="80" w:type="dxa"/>
            <w:vAlign w:val="bottom"/>
            <w:tcBorders>
              <w:bottom w:val="single" w:sz="8" w:color="D2F0FF"/>
            </w:tcBorders>
            <w:shd w:val="clear" w:color="auto" w:fill="D2F0FF"/>
          </w:tcPr>
          <w:p>
            <w:pPr>
              <w:spacing w:after="0"/>
              <w:rPr>
                <w:sz w:val="21"/>
                <w:szCs w:val="21"/>
                <w:color w:val="auto"/>
              </w:rPr>
            </w:pPr>
          </w:p>
        </w:tc>
        <w:tc>
          <w:tcPr>
            <w:tcW w:w="40" w:type="dxa"/>
            <w:vAlign w:val="bottom"/>
            <w:tcBorders>
              <w:bottom w:val="single" w:sz="8" w:color="D2F0FF"/>
            </w:tcBorders>
            <w:shd w:val="clear" w:color="auto" w:fill="D2F0FF"/>
          </w:tcPr>
          <w:p>
            <w:pPr>
              <w:spacing w:after="0"/>
              <w:rPr>
                <w:sz w:val="21"/>
                <w:szCs w:val="21"/>
                <w:color w:val="auto"/>
              </w:rPr>
            </w:pPr>
          </w:p>
        </w:tc>
        <w:tc>
          <w:tcPr>
            <w:tcW w:w="80" w:type="dxa"/>
            <w:vAlign w:val="bottom"/>
            <w:tcBorders>
              <w:bottom w:val="single" w:sz="8" w:color="D2F0FF"/>
            </w:tcBorders>
            <w:shd w:val="clear" w:color="auto" w:fill="D2F0FF"/>
          </w:tcPr>
          <w:p>
            <w:pPr>
              <w:spacing w:after="0"/>
              <w:rPr>
                <w:sz w:val="21"/>
                <w:szCs w:val="21"/>
                <w:color w:val="auto"/>
              </w:rPr>
            </w:pPr>
          </w:p>
        </w:tc>
        <w:tc>
          <w:tcPr>
            <w:tcW w:w="280" w:type="dxa"/>
            <w:vAlign w:val="bottom"/>
            <w:tcBorders>
              <w:bottom w:val="single" w:sz="8" w:color="D2F0FF"/>
            </w:tcBorders>
            <w:shd w:val="clear" w:color="auto" w:fill="D2F0FF"/>
          </w:tcPr>
          <w:p>
            <w:pPr>
              <w:spacing w:after="0"/>
              <w:rPr>
                <w:sz w:val="21"/>
                <w:szCs w:val="21"/>
                <w:color w:val="auto"/>
              </w:rPr>
            </w:pPr>
          </w:p>
        </w:tc>
        <w:tc>
          <w:tcPr>
            <w:tcW w:w="960" w:type="dxa"/>
            <w:vAlign w:val="bottom"/>
            <w:tcBorders>
              <w:bottom w:val="single" w:sz="8" w:color="D2F0FF"/>
            </w:tcBorders>
            <w:shd w:val="clear" w:color="auto" w:fill="D2F0FF"/>
          </w:tcPr>
          <w:p>
            <w:pPr>
              <w:jc w:val="right"/>
              <w:ind w:right="113"/>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D2F0FF"/>
            </w:tcBorders>
            <w:shd w:val="clear" w:color="auto" w:fill="D2F0FF"/>
          </w:tcPr>
          <w:p>
            <w:pPr>
              <w:spacing w:after="0"/>
              <w:rPr>
                <w:sz w:val="21"/>
                <w:szCs w:val="21"/>
                <w:color w:val="auto"/>
              </w:rPr>
            </w:pPr>
          </w:p>
        </w:tc>
        <w:tc>
          <w:tcPr>
            <w:tcW w:w="20" w:type="dxa"/>
            <w:vAlign w:val="bottom"/>
            <w:tcBorders>
              <w:bottom w:val="single" w:sz="8" w:color="D2F0FF"/>
            </w:tcBorders>
            <w:shd w:val="clear" w:color="auto" w:fill="D2F0FF"/>
          </w:tcPr>
          <w:p>
            <w:pPr>
              <w:spacing w:after="0"/>
              <w:rPr>
                <w:sz w:val="21"/>
                <w:szCs w:val="21"/>
                <w:color w:val="auto"/>
              </w:rPr>
            </w:pPr>
          </w:p>
        </w:tc>
        <w:tc>
          <w:tcPr>
            <w:tcW w:w="100" w:type="dxa"/>
            <w:vAlign w:val="bottom"/>
            <w:tcBorders>
              <w:bottom w:val="single" w:sz="8" w:color="D2F0FF"/>
            </w:tcBorders>
            <w:shd w:val="clear" w:color="auto" w:fill="D2F0FF"/>
          </w:tcPr>
          <w:p>
            <w:pPr>
              <w:spacing w:after="0"/>
              <w:rPr>
                <w:sz w:val="21"/>
                <w:szCs w:val="21"/>
                <w:color w:val="auto"/>
              </w:rPr>
            </w:pPr>
          </w:p>
        </w:tc>
        <w:tc>
          <w:tcPr>
            <w:tcW w:w="340" w:type="dxa"/>
            <w:vAlign w:val="bottom"/>
            <w:tcBorders>
              <w:bottom w:val="single" w:sz="8" w:color="D2F0FF"/>
            </w:tcBorders>
            <w:shd w:val="clear" w:color="auto" w:fill="D2F0FF"/>
          </w:tcPr>
          <w:p>
            <w:pPr>
              <w:spacing w:after="0"/>
              <w:rPr>
                <w:sz w:val="21"/>
                <w:szCs w:val="21"/>
                <w:color w:val="auto"/>
              </w:rPr>
            </w:pPr>
          </w:p>
        </w:tc>
        <w:tc>
          <w:tcPr>
            <w:tcW w:w="800" w:type="dxa"/>
            <w:vAlign w:val="bottom"/>
            <w:tcBorders>
              <w:bottom w:val="single" w:sz="8" w:color="D2F0FF"/>
            </w:tcBorders>
            <w:shd w:val="clear" w:color="auto" w:fill="D2F0FF"/>
          </w:tcPr>
          <w:p>
            <w:pPr>
              <w:jc w:val="right"/>
              <w:ind w:right="32"/>
              <w:spacing w:after="0"/>
              <w:rPr>
                <w:sz w:val="20"/>
                <w:szCs w:val="20"/>
                <w:color w:val="auto"/>
              </w:rPr>
            </w:pPr>
            <w:r>
              <w:rPr>
                <w:rFonts w:ascii="Arial" w:cs="Arial" w:eastAsia="Arial" w:hAnsi="Arial"/>
                <w:sz w:val="18"/>
                <w:szCs w:val="18"/>
                <w:color w:val="auto"/>
              </w:rPr>
              <w:t>350</w:t>
            </w:r>
          </w:p>
        </w:tc>
        <w:tc>
          <w:tcPr>
            <w:tcW w:w="6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180" w:type="dxa"/>
            <w:vAlign w:val="bottom"/>
            <w:tcBorders>
              <w:bottom w:val="single" w:sz="8" w:color="D2F0FF"/>
            </w:tcBorders>
            <w:shd w:val="clear" w:color="auto" w:fill="D2F0FF"/>
          </w:tcPr>
          <w:p>
            <w:pPr>
              <w:spacing w:after="0"/>
              <w:rPr>
                <w:sz w:val="21"/>
                <w:szCs w:val="21"/>
                <w:color w:val="auto"/>
              </w:rPr>
            </w:pPr>
          </w:p>
        </w:tc>
        <w:tc>
          <w:tcPr>
            <w:tcW w:w="1020" w:type="dxa"/>
            <w:vAlign w:val="bottom"/>
            <w:tcBorders>
              <w:bottom w:val="single" w:sz="8" w:color="D2F0FF"/>
            </w:tcBorders>
            <w:shd w:val="clear" w:color="auto" w:fill="D2F0FF"/>
          </w:tcPr>
          <w:p>
            <w:pPr>
              <w:jc w:val="right"/>
              <w:ind w:right="92"/>
              <w:spacing w:after="0"/>
              <w:rPr>
                <w:sz w:val="20"/>
                <w:szCs w:val="20"/>
                <w:color w:val="auto"/>
              </w:rPr>
            </w:pPr>
            <w:r>
              <w:rPr>
                <w:rFonts w:ascii="Arial" w:cs="Arial" w:eastAsia="Arial" w:hAnsi="Arial"/>
                <w:sz w:val="18"/>
                <w:szCs w:val="18"/>
                <w:color w:val="auto"/>
              </w:rPr>
              <w:t>29</w:t>
            </w:r>
          </w:p>
        </w:tc>
      </w:tr>
      <w:tr>
        <w:trPr>
          <w:trHeight w:val="270"/>
        </w:trPr>
        <w:tc>
          <w:tcPr>
            <w:tcW w:w="596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596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MH occupancy</w:t>
            </w:r>
          </w:p>
        </w:tc>
        <w:tc>
          <w:tcPr>
            <w:tcW w:w="28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spacing w:after="0"/>
              <w:rPr>
                <w:sz w:val="21"/>
                <w:szCs w:val="21"/>
                <w:color w:val="auto"/>
              </w:rPr>
            </w:pPr>
          </w:p>
        </w:tc>
        <w:tc>
          <w:tcPr>
            <w:tcW w:w="80" w:type="dxa"/>
            <w:vAlign w:val="bottom"/>
            <w:tcBorders>
              <w:bottom w:val="single" w:sz="8" w:color="D2F0FF"/>
            </w:tcBorders>
            <w:shd w:val="clear" w:color="auto" w:fill="D2F0FF"/>
          </w:tcPr>
          <w:p>
            <w:pPr>
              <w:spacing w:after="0"/>
              <w:rPr>
                <w:sz w:val="21"/>
                <w:szCs w:val="21"/>
                <w:color w:val="auto"/>
              </w:rPr>
            </w:pPr>
          </w:p>
        </w:tc>
        <w:tc>
          <w:tcPr>
            <w:tcW w:w="40" w:type="dxa"/>
            <w:vAlign w:val="bottom"/>
            <w:tcBorders>
              <w:bottom w:val="single" w:sz="8" w:color="D2F0FF"/>
            </w:tcBorders>
            <w:shd w:val="clear" w:color="auto" w:fill="D2F0FF"/>
          </w:tcPr>
          <w:p>
            <w:pPr>
              <w:spacing w:after="0"/>
              <w:rPr>
                <w:sz w:val="21"/>
                <w:szCs w:val="21"/>
                <w:color w:val="auto"/>
              </w:rPr>
            </w:pPr>
          </w:p>
        </w:tc>
        <w:tc>
          <w:tcPr>
            <w:tcW w:w="80" w:type="dxa"/>
            <w:vAlign w:val="bottom"/>
            <w:tcBorders>
              <w:bottom w:val="single" w:sz="8" w:color="D2F0FF"/>
            </w:tcBorders>
            <w:shd w:val="clear" w:color="auto" w:fill="D2F0FF"/>
          </w:tcPr>
          <w:p>
            <w:pPr>
              <w:spacing w:after="0"/>
              <w:rPr>
                <w:sz w:val="21"/>
                <w:szCs w:val="21"/>
                <w:color w:val="auto"/>
              </w:rPr>
            </w:pPr>
          </w:p>
        </w:tc>
        <w:tc>
          <w:tcPr>
            <w:tcW w:w="280" w:type="dxa"/>
            <w:vAlign w:val="bottom"/>
            <w:tcBorders>
              <w:bottom w:val="single" w:sz="8" w:color="D2F0FF"/>
            </w:tcBorders>
            <w:shd w:val="clear" w:color="auto" w:fill="D2F0FF"/>
          </w:tcPr>
          <w:p>
            <w:pPr>
              <w:spacing w:after="0"/>
              <w:rPr>
                <w:sz w:val="21"/>
                <w:szCs w:val="21"/>
                <w:color w:val="auto"/>
              </w:rPr>
            </w:pPr>
          </w:p>
        </w:tc>
        <w:tc>
          <w:tcPr>
            <w:tcW w:w="96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D2F0FF"/>
            </w:tcBorders>
            <w:shd w:val="clear" w:color="auto" w:fill="D2F0FF"/>
          </w:tcPr>
          <w:p>
            <w:pPr>
              <w:spacing w:after="0"/>
              <w:rPr>
                <w:sz w:val="21"/>
                <w:szCs w:val="21"/>
                <w:color w:val="auto"/>
              </w:rPr>
            </w:pPr>
          </w:p>
        </w:tc>
        <w:tc>
          <w:tcPr>
            <w:tcW w:w="20" w:type="dxa"/>
            <w:vAlign w:val="bottom"/>
            <w:tcBorders>
              <w:bottom w:val="single" w:sz="8" w:color="D2F0FF"/>
            </w:tcBorders>
            <w:shd w:val="clear" w:color="auto" w:fill="D2F0FF"/>
          </w:tcPr>
          <w:p>
            <w:pPr>
              <w:spacing w:after="0"/>
              <w:rPr>
                <w:sz w:val="21"/>
                <w:szCs w:val="21"/>
                <w:color w:val="auto"/>
              </w:rPr>
            </w:pPr>
          </w:p>
        </w:tc>
        <w:tc>
          <w:tcPr>
            <w:tcW w:w="100" w:type="dxa"/>
            <w:vAlign w:val="bottom"/>
            <w:tcBorders>
              <w:bottom w:val="single" w:sz="8" w:color="D2F0FF"/>
            </w:tcBorders>
            <w:shd w:val="clear" w:color="auto" w:fill="D2F0FF"/>
          </w:tcPr>
          <w:p>
            <w:pPr>
              <w:spacing w:after="0"/>
              <w:rPr>
                <w:sz w:val="21"/>
                <w:szCs w:val="21"/>
                <w:color w:val="auto"/>
              </w:rPr>
            </w:pPr>
          </w:p>
        </w:tc>
        <w:tc>
          <w:tcPr>
            <w:tcW w:w="340" w:type="dxa"/>
            <w:vAlign w:val="bottom"/>
            <w:tcBorders>
              <w:bottom w:val="single" w:sz="8" w:color="D2F0FF"/>
            </w:tcBorders>
            <w:shd w:val="clear" w:color="auto" w:fill="D2F0FF"/>
          </w:tcPr>
          <w:p>
            <w:pPr>
              <w:spacing w:after="0"/>
              <w:rPr>
                <w:sz w:val="21"/>
                <w:szCs w:val="21"/>
                <w:color w:val="auto"/>
              </w:rPr>
            </w:pPr>
          </w:p>
        </w:tc>
        <w:tc>
          <w:tcPr>
            <w:tcW w:w="80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180" w:type="dxa"/>
            <w:vAlign w:val="bottom"/>
            <w:tcBorders>
              <w:bottom w:val="single" w:sz="8" w:color="D2F0FF"/>
            </w:tcBorders>
            <w:shd w:val="clear" w:color="auto" w:fill="D2F0FF"/>
          </w:tcPr>
          <w:p>
            <w:pPr>
              <w:spacing w:after="0"/>
              <w:rPr>
                <w:sz w:val="21"/>
                <w:szCs w:val="21"/>
                <w:color w:val="auto"/>
              </w:rPr>
            </w:pPr>
          </w:p>
        </w:tc>
        <w:tc>
          <w:tcPr>
            <w:tcW w:w="1020" w:type="dxa"/>
            <w:vAlign w:val="bottom"/>
            <w:tcBorders>
              <w:bottom w:val="single" w:sz="8" w:color="D2F0FF"/>
            </w:tcBorders>
            <w:shd w:val="clear" w:color="auto" w:fill="D2F0FF"/>
          </w:tcPr>
          <w:p>
            <w:pPr>
              <w:spacing w:after="0"/>
              <w:rPr>
                <w:sz w:val="21"/>
                <w:szCs w:val="21"/>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RV occupancy</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9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960" w:type="dxa"/>
            <w:vAlign w:val="bottom"/>
            <w:gridSpan w:val="2"/>
            <w:shd w:val="clear" w:color="auto" w:fill="D2F0FF"/>
          </w:tcPr>
          <w:p>
            <w:pPr>
              <w:ind w:left="40"/>
              <w:spacing w:after="0" w:line="270" w:lineRule="exact"/>
              <w:rPr>
                <w:sz w:val="20"/>
                <w:szCs w:val="20"/>
                <w:color w:val="auto"/>
              </w:rPr>
            </w:pPr>
            <w:r>
              <w:rPr>
                <w:rFonts w:ascii="Arial" w:cs="Arial" w:eastAsia="Arial" w:hAnsi="Arial"/>
                <w:sz w:val="18"/>
                <w:szCs w:val="18"/>
                <w:color w:val="auto"/>
              </w:rPr>
              <w:t xml:space="preserve">MH &amp; RV blended occupancy </w:t>
            </w:r>
            <w:r>
              <w:rPr>
                <w:rFonts w:ascii="Arial" w:cs="Arial" w:eastAsia="Arial" w:hAnsi="Arial"/>
                <w:sz w:val="25"/>
                <w:szCs w:val="25"/>
                <w:color w:val="auto"/>
                <w:vertAlign w:val="superscript"/>
              </w:rPr>
              <w:t>(1)</w:t>
            </w:r>
          </w:p>
        </w:tc>
        <w:tc>
          <w:tcPr>
            <w:tcW w:w="280" w:type="dxa"/>
            <w:vAlign w:val="bottom"/>
            <w:shd w:val="clear" w:color="auto" w:fill="D2F0FF"/>
          </w:tcPr>
          <w:p>
            <w:pPr>
              <w:spacing w:after="0"/>
              <w:rPr>
                <w:sz w:val="23"/>
                <w:szCs w:val="23"/>
                <w:color w:val="auto"/>
              </w:rPr>
            </w:pPr>
          </w:p>
        </w:tc>
        <w:tc>
          <w:tcPr>
            <w:tcW w:w="1000" w:type="dxa"/>
            <w:vAlign w:val="bottom"/>
            <w:shd w:val="clear" w:color="auto" w:fill="D2F0FF"/>
          </w:tcPr>
          <w:p>
            <w:pPr>
              <w:spacing w:after="0"/>
              <w:rPr>
                <w:sz w:val="23"/>
                <w:szCs w:val="23"/>
                <w:color w:val="auto"/>
              </w:rPr>
            </w:pPr>
          </w:p>
        </w:tc>
        <w:tc>
          <w:tcPr>
            <w:tcW w:w="80" w:type="dxa"/>
            <w:vAlign w:val="bottom"/>
            <w:shd w:val="clear" w:color="auto" w:fill="D2F0FF"/>
          </w:tcPr>
          <w:p>
            <w:pPr>
              <w:spacing w:after="0"/>
              <w:rPr>
                <w:sz w:val="23"/>
                <w:szCs w:val="23"/>
                <w:color w:val="auto"/>
              </w:rPr>
            </w:pPr>
          </w:p>
        </w:tc>
        <w:tc>
          <w:tcPr>
            <w:tcW w:w="40" w:type="dxa"/>
            <w:vAlign w:val="bottom"/>
            <w:shd w:val="clear" w:color="auto" w:fill="D2F0FF"/>
          </w:tcPr>
          <w:p>
            <w:pPr>
              <w:spacing w:after="0"/>
              <w:rPr>
                <w:sz w:val="23"/>
                <w:szCs w:val="23"/>
                <w:color w:val="auto"/>
              </w:rPr>
            </w:pPr>
          </w:p>
        </w:tc>
        <w:tc>
          <w:tcPr>
            <w:tcW w:w="80" w:type="dxa"/>
            <w:vAlign w:val="bottom"/>
            <w:shd w:val="clear" w:color="auto" w:fill="D2F0FF"/>
          </w:tcPr>
          <w:p>
            <w:pPr>
              <w:spacing w:after="0"/>
              <w:rPr>
                <w:sz w:val="23"/>
                <w:szCs w:val="23"/>
                <w:color w:val="auto"/>
              </w:rPr>
            </w:pPr>
          </w:p>
        </w:tc>
        <w:tc>
          <w:tcPr>
            <w:tcW w:w="280" w:type="dxa"/>
            <w:vAlign w:val="bottom"/>
            <w:shd w:val="clear" w:color="auto" w:fill="D2F0FF"/>
          </w:tcPr>
          <w:p>
            <w:pPr>
              <w:spacing w:after="0"/>
              <w:rPr>
                <w:sz w:val="23"/>
                <w:szCs w:val="23"/>
                <w:color w:val="auto"/>
              </w:rPr>
            </w:pPr>
          </w:p>
        </w:tc>
        <w:tc>
          <w:tcPr>
            <w:tcW w:w="960" w:type="dxa"/>
            <w:vAlign w:val="bottom"/>
            <w:shd w:val="clear" w:color="auto" w:fill="D2F0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D2F0FF"/>
          </w:tcPr>
          <w:p>
            <w:pPr>
              <w:spacing w:after="0"/>
              <w:rPr>
                <w:sz w:val="23"/>
                <w:szCs w:val="23"/>
                <w:color w:val="auto"/>
              </w:rPr>
            </w:pPr>
          </w:p>
        </w:tc>
        <w:tc>
          <w:tcPr>
            <w:tcW w:w="20" w:type="dxa"/>
            <w:vAlign w:val="bottom"/>
            <w:shd w:val="clear" w:color="auto" w:fill="D2F0FF"/>
          </w:tcPr>
          <w:p>
            <w:pPr>
              <w:spacing w:after="0"/>
              <w:rPr>
                <w:sz w:val="23"/>
                <w:szCs w:val="23"/>
                <w:color w:val="auto"/>
              </w:rPr>
            </w:pPr>
          </w:p>
        </w:tc>
        <w:tc>
          <w:tcPr>
            <w:tcW w:w="100" w:type="dxa"/>
            <w:vAlign w:val="bottom"/>
            <w:shd w:val="clear" w:color="auto" w:fill="D2F0FF"/>
          </w:tcPr>
          <w:p>
            <w:pPr>
              <w:spacing w:after="0"/>
              <w:rPr>
                <w:sz w:val="23"/>
                <w:szCs w:val="23"/>
                <w:color w:val="auto"/>
              </w:rPr>
            </w:pPr>
          </w:p>
        </w:tc>
        <w:tc>
          <w:tcPr>
            <w:tcW w:w="340" w:type="dxa"/>
            <w:vAlign w:val="bottom"/>
            <w:shd w:val="clear" w:color="auto" w:fill="D2F0FF"/>
          </w:tcPr>
          <w:p>
            <w:pPr>
              <w:spacing w:after="0"/>
              <w:rPr>
                <w:sz w:val="23"/>
                <w:szCs w:val="23"/>
                <w:color w:val="auto"/>
              </w:rPr>
            </w:pPr>
          </w:p>
        </w:tc>
        <w:tc>
          <w:tcPr>
            <w:tcW w:w="860" w:type="dxa"/>
            <w:vAlign w:val="bottom"/>
            <w:gridSpan w:val="2"/>
            <w:shd w:val="clear" w:color="auto" w:fill="D2F0FF"/>
          </w:tcPr>
          <w:p>
            <w:pPr>
              <w:jc w:val="right"/>
              <w:ind w:right="20"/>
              <w:spacing w:after="0"/>
              <w:rPr>
                <w:sz w:val="20"/>
                <w:szCs w:val="20"/>
                <w:color w:val="auto"/>
              </w:rPr>
            </w:pPr>
            <w:r>
              <w:rPr>
                <w:rFonts w:ascii="Arial" w:cs="Arial" w:eastAsia="Arial" w:hAnsi="Arial"/>
                <w:sz w:val="18"/>
                <w:szCs w:val="18"/>
                <w:color w:val="auto"/>
              </w:rPr>
              <w:t>95.8%</w:t>
            </w:r>
          </w:p>
        </w:tc>
        <w:tc>
          <w:tcPr>
            <w:tcW w:w="60" w:type="dxa"/>
            <w:vAlign w:val="bottom"/>
            <w:shd w:val="clear" w:color="auto" w:fill="D2F0FF"/>
          </w:tcPr>
          <w:p>
            <w:pPr>
              <w:spacing w:after="0"/>
              <w:rPr>
                <w:sz w:val="23"/>
                <w:szCs w:val="23"/>
                <w:color w:val="auto"/>
              </w:rPr>
            </w:pPr>
          </w:p>
        </w:tc>
        <w:tc>
          <w:tcPr>
            <w:tcW w:w="60" w:type="dxa"/>
            <w:vAlign w:val="bottom"/>
            <w:shd w:val="clear" w:color="auto" w:fill="D2F0FF"/>
          </w:tcPr>
          <w:p>
            <w:pPr>
              <w:spacing w:after="0"/>
              <w:rPr>
                <w:sz w:val="23"/>
                <w:szCs w:val="23"/>
                <w:color w:val="auto"/>
              </w:rPr>
            </w:pPr>
          </w:p>
        </w:tc>
        <w:tc>
          <w:tcPr>
            <w:tcW w:w="180" w:type="dxa"/>
            <w:vAlign w:val="bottom"/>
            <w:shd w:val="clear" w:color="auto" w:fill="D2F0FF"/>
          </w:tcPr>
          <w:p>
            <w:pPr>
              <w:spacing w:after="0"/>
              <w:rPr>
                <w:sz w:val="23"/>
                <w:szCs w:val="23"/>
                <w:color w:val="auto"/>
              </w:rPr>
            </w:pPr>
          </w:p>
        </w:tc>
        <w:tc>
          <w:tcPr>
            <w:tcW w:w="1020" w:type="dxa"/>
            <w:vAlign w:val="bottom"/>
            <w:shd w:val="clear" w:color="auto" w:fill="D2F0FF"/>
          </w:tcPr>
          <w:p>
            <w:pPr>
              <w:jc w:val="right"/>
              <w:spacing w:after="0"/>
              <w:rPr>
                <w:sz w:val="20"/>
                <w:szCs w:val="20"/>
                <w:color w:val="auto"/>
              </w:rPr>
            </w:pPr>
            <w:r>
              <w:rPr>
                <w:rFonts w:ascii="Arial" w:cs="Arial" w:eastAsia="Arial" w:hAnsi="Arial"/>
                <w:sz w:val="18"/>
                <w:szCs w:val="18"/>
                <w:color w:val="auto"/>
              </w:rPr>
              <w:t>0.6%</w:t>
            </w:r>
          </w:p>
        </w:tc>
      </w:tr>
      <w:tr>
        <w:trPr>
          <w:trHeight w:val="297"/>
        </w:trPr>
        <w:tc>
          <w:tcPr>
            <w:tcW w:w="59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96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Sites available for development</w:t>
            </w:r>
          </w:p>
        </w:tc>
        <w:tc>
          <w:tcPr>
            <w:tcW w:w="28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spacing w:after="0"/>
              <w:rPr>
                <w:sz w:val="21"/>
                <w:szCs w:val="21"/>
                <w:color w:val="auto"/>
              </w:rPr>
            </w:pPr>
          </w:p>
        </w:tc>
        <w:tc>
          <w:tcPr>
            <w:tcW w:w="80" w:type="dxa"/>
            <w:vAlign w:val="bottom"/>
            <w:tcBorders>
              <w:bottom w:val="single" w:sz="8" w:color="D2F0FF"/>
            </w:tcBorders>
            <w:shd w:val="clear" w:color="auto" w:fill="D2F0FF"/>
          </w:tcPr>
          <w:p>
            <w:pPr>
              <w:spacing w:after="0"/>
              <w:rPr>
                <w:sz w:val="21"/>
                <w:szCs w:val="21"/>
                <w:color w:val="auto"/>
              </w:rPr>
            </w:pPr>
          </w:p>
        </w:tc>
        <w:tc>
          <w:tcPr>
            <w:tcW w:w="40" w:type="dxa"/>
            <w:vAlign w:val="bottom"/>
            <w:tcBorders>
              <w:bottom w:val="single" w:sz="8" w:color="D2F0FF"/>
            </w:tcBorders>
            <w:shd w:val="clear" w:color="auto" w:fill="D2F0FF"/>
          </w:tcPr>
          <w:p>
            <w:pPr>
              <w:spacing w:after="0"/>
              <w:rPr>
                <w:sz w:val="21"/>
                <w:szCs w:val="21"/>
                <w:color w:val="auto"/>
              </w:rPr>
            </w:pPr>
          </w:p>
        </w:tc>
        <w:tc>
          <w:tcPr>
            <w:tcW w:w="80" w:type="dxa"/>
            <w:vAlign w:val="bottom"/>
            <w:tcBorders>
              <w:bottom w:val="single" w:sz="8" w:color="D2F0FF"/>
            </w:tcBorders>
            <w:shd w:val="clear" w:color="auto" w:fill="D2F0FF"/>
          </w:tcPr>
          <w:p>
            <w:pPr>
              <w:spacing w:after="0"/>
              <w:rPr>
                <w:sz w:val="21"/>
                <w:szCs w:val="21"/>
                <w:color w:val="auto"/>
              </w:rPr>
            </w:pPr>
          </w:p>
        </w:tc>
        <w:tc>
          <w:tcPr>
            <w:tcW w:w="280" w:type="dxa"/>
            <w:vAlign w:val="bottom"/>
            <w:tcBorders>
              <w:bottom w:val="single" w:sz="8" w:color="D2F0FF"/>
            </w:tcBorders>
            <w:shd w:val="clear" w:color="auto" w:fill="D2F0FF"/>
          </w:tcPr>
          <w:p>
            <w:pPr>
              <w:spacing w:after="0"/>
              <w:rPr>
                <w:sz w:val="21"/>
                <w:szCs w:val="21"/>
                <w:color w:val="auto"/>
              </w:rPr>
            </w:pPr>
          </w:p>
        </w:tc>
        <w:tc>
          <w:tcPr>
            <w:tcW w:w="960" w:type="dxa"/>
            <w:vAlign w:val="bottom"/>
            <w:tcBorders>
              <w:bottom w:val="single" w:sz="8" w:color="D2F0FF"/>
            </w:tcBorders>
            <w:shd w:val="clear" w:color="auto" w:fill="D2F0FF"/>
          </w:tcPr>
          <w:p>
            <w:pPr>
              <w:jc w:val="right"/>
              <w:ind w:right="113"/>
              <w:spacing w:after="0"/>
              <w:rPr>
                <w:sz w:val="20"/>
                <w:szCs w:val="20"/>
                <w:color w:val="auto"/>
              </w:rPr>
            </w:pPr>
            <w:r>
              <w:rPr>
                <w:rFonts w:ascii="Arial" w:cs="Arial" w:eastAsia="Arial" w:hAnsi="Arial"/>
                <w:sz w:val="18"/>
                <w:szCs w:val="18"/>
                <w:color w:val="auto"/>
              </w:rPr>
              <w:t>11,246</w:t>
            </w:r>
          </w:p>
        </w:tc>
        <w:tc>
          <w:tcPr>
            <w:tcW w:w="100" w:type="dxa"/>
            <w:vAlign w:val="bottom"/>
            <w:tcBorders>
              <w:bottom w:val="single" w:sz="8" w:color="D2F0FF"/>
            </w:tcBorders>
            <w:shd w:val="clear" w:color="auto" w:fill="D2F0FF"/>
          </w:tcPr>
          <w:p>
            <w:pPr>
              <w:spacing w:after="0"/>
              <w:rPr>
                <w:sz w:val="21"/>
                <w:szCs w:val="21"/>
                <w:color w:val="auto"/>
              </w:rPr>
            </w:pPr>
          </w:p>
        </w:tc>
        <w:tc>
          <w:tcPr>
            <w:tcW w:w="20" w:type="dxa"/>
            <w:vAlign w:val="bottom"/>
            <w:tcBorders>
              <w:bottom w:val="single" w:sz="8" w:color="D2F0FF"/>
            </w:tcBorders>
            <w:shd w:val="clear" w:color="auto" w:fill="D2F0FF"/>
          </w:tcPr>
          <w:p>
            <w:pPr>
              <w:spacing w:after="0"/>
              <w:rPr>
                <w:sz w:val="21"/>
                <w:szCs w:val="21"/>
                <w:color w:val="auto"/>
              </w:rPr>
            </w:pPr>
          </w:p>
        </w:tc>
        <w:tc>
          <w:tcPr>
            <w:tcW w:w="100" w:type="dxa"/>
            <w:vAlign w:val="bottom"/>
            <w:tcBorders>
              <w:bottom w:val="single" w:sz="8" w:color="D2F0FF"/>
            </w:tcBorders>
            <w:shd w:val="clear" w:color="auto" w:fill="D2F0FF"/>
          </w:tcPr>
          <w:p>
            <w:pPr>
              <w:spacing w:after="0"/>
              <w:rPr>
                <w:sz w:val="21"/>
                <w:szCs w:val="21"/>
                <w:color w:val="auto"/>
              </w:rPr>
            </w:pPr>
          </w:p>
        </w:tc>
        <w:tc>
          <w:tcPr>
            <w:tcW w:w="340" w:type="dxa"/>
            <w:vAlign w:val="bottom"/>
            <w:tcBorders>
              <w:bottom w:val="single" w:sz="8" w:color="D2F0FF"/>
            </w:tcBorders>
            <w:shd w:val="clear" w:color="auto" w:fill="D2F0FF"/>
          </w:tcPr>
          <w:p>
            <w:pPr>
              <w:spacing w:after="0"/>
              <w:rPr>
                <w:sz w:val="21"/>
                <w:szCs w:val="21"/>
                <w:color w:val="auto"/>
              </w:rPr>
            </w:pPr>
          </w:p>
        </w:tc>
        <w:tc>
          <w:tcPr>
            <w:tcW w:w="800" w:type="dxa"/>
            <w:vAlign w:val="bottom"/>
            <w:tcBorders>
              <w:bottom w:val="single" w:sz="8" w:color="D2F0FF"/>
            </w:tcBorders>
            <w:shd w:val="clear" w:color="auto" w:fill="D2F0FF"/>
          </w:tcPr>
          <w:p>
            <w:pPr>
              <w:jc w:val="right"/>
              <w:ind w:right="32"/>
              <w:spacing w:after="0"/>
              <w:rPr>
                <w:sz w:val="20"/>
                <w:szCs w:val="20"/>
                <w:color w:val="auto"/>
              </w:rPr>
            </w:pPr>
            <w:r>
              <w:rPr>
                <w:rFonts w:ascii="Arial" w:cs="Arial" w:eastAsia="Arial" w:hAnsi="Arial"/>
                <w:sz w:val="18"/>
                <w:szCs w:val="18"/>
                <w:color w:val="auto"/>
              </w:rPr>
              <w:t>9,345</w:t>
            </w:r>
          </w:p>
        </w:tc>
        <w:tc>
          <w:tcPr>
            <w:tcW w:w="6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180" w:type="dxa"/>
            <w:vAlign w:val="bottom"/>
            <w:tcBorders>
              <w:bottom w:val="single" w:sz="8" w:color="D2F0FF"/>
            </w:tcBorders>
            <w:shd w:val="clear" w:color="auto" w:fill="D2F0FF"/>
          </w:tcPr>
          <w:p>
            <w:pPr>
              <w:spacing w:after="0"/>
              <w:rPr>
                <w:sz w:val="21"/>
                <w:szCs w:val="21"/>
                <w:color w:val="auto"/>
              </w:rPr>
            </w:pPr>
          </w:p>
        </w:tc>
        <w:tc>
          <w:tcPr>
            <w:tcW w:w="1020" w:type="dxa"/>
            <w:vAlign w:val="bottom"/>
            <w:tcBorders>
              <w:bottom w:val="single" w:sz="8" w:color="D2F0FF"/>
            </w:tcBorders>
            <w:shd w:val="clear" w:color="auto" w:fill="D2F0FF"/>
          </w:tcPr>
          <w:p>
            <w:pPr>
              <w:jc w:val="right"/>
              <w:ind w:right="92"/>
              <w:spacing w:after="0"/>
              <w:rPr>
                <w:sz w:val="20"/>
                <w:szCs w:val="20"/>
                <w:color w:val="auto"/>
              </w:rPr>
            </w:pPr>
            <w:r>
              <w:rPr>
                <w:rFonts w:ascii="Arial" w:cs="Arial" w:eastAsia="Arial" w:hAnsi="Arial"/>
                <w:sz w:val="18"/>
                <w:szCs w:val="18"/>
                <w:color w:val="auto"/>
              </w:rPr>
              <w:t>1,901</w:t>
            </w:r>
          </w:p>
        </w:tc>
      </w:tr>
      <w:tr>
        <w:trPr>
          <w:trHeight w:val="297"/>
        </w:trPr>
        <w:tc>
          <w:tcPr>
            <w:tcW w:w="59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96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Monthly base rent per site - MH</w:t>
            </w:r>
          </w:p>
        </w:tc>
        <w:tc>
          <w:tcPr>
            <w:tcW w:w="28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spacing w:after="0"/>
              <w:rPr>
                <w:sz w:val="21"/>
                <w:szCs w:val="21"/>
                <w:color w:val="auto"/>
              </w:rPr>
            </w:pPr>
          </w:p>
        </w:tc>
        <w:tc>
          <w:tcPr>
            <w:tcW w:w="80" w:type="dxa"/>
            <w:vAlign w:val="bottom"/>
            <w:tcBorders>
              <w:bottom w:val="single" w:sz="8" w:color="D2F0FF"/>
            </w:tcBorders>
            <w:shd w:val="clear" w:color="auto" w:fill="D2F0FF"/>
          </w:tcPr>
          <w:p>
            <w:pPr>
              <w:spacing w:after="0"/>
              <w:rPr>
                <w:sz w:val="21"/>
                <w:szCs w:val="21"/>
                <w:color w:val="auto"/>
              </w:rPr>
            </w:pPr>
          </w:p>
        </w:tc>
        <w:tc>
          <w:tcPr>
            <w:tcW w:w="400" w:type="dxa"/>
            <w:vAlign w:val="bottom"/>
            <w:tcBorders>
              <w:bottom w:val="single" w:sz="8" w:color="D2F0FF"/>
            </w:tcBorders>
            <w:gridSpan w:val="3"/>
            <w:shd w:val="clear" w:color="auto" w:fill="D2F0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2F0FF"/>
            </w:tcBorders>
            <w:shd w:val="clear" w:color="auto" w:fill="D2F0FF"/>
          </w:tcPr>
          <w:p>
            <w:pPr>
              <w:jc w:val="right"/>
              <w:ind w:right="113"/>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D2F0FF"/>
            </w:tcBorders>
            <w:shd w:val="clear" w:color="auto" w:fill="D2F0FF"/>
          </w:tcPr>
          <w:p>
            <w:pPr>
              <w:spacing w:after="0"/>
              <w:rPr>
                <w:sz w:val="21"/>
                <w:szCs w:val="21"/>
                <w:color w:val="auto"/>
              </w:rPr>
            </w:pPr>
          </w:p>
        </w:tc>
        <w:tc>
          <w:tcPr>
            <w:tcW w:w="20" w:type="dxa"/>
            <w:vAlign w:val="bottom"/>
            <w:tcBorders>
              <w:bottom w:val="single" w:sz="8" w:color="D2F0FF"/>
            </w:tcBorders>
            <w:shd w:val="clear" w:color="auto" w:fill="D2F0FF"/>
          </w:tcPr>
          <w:p>
            <w:pPr>
              <w:spacing w:after="0"/>
              <w:rPr>
                <w:sz w:val="21"/>
                <w:szCs w:val="21"/>
                <w:color w:val="auto"/>
              </w:rPr>
            </w:pPr>
          </w:p>
        </w:tc>
        <w:tc>
          <w:tcPr>
            <w:tcW w:w="10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D2F0FF"/>
            </w:tcBorders>
            <w:shd w:val="clear" w:color="auto" w:fill="D2F0FF"/>
          </w:tcPr>
          <w:p>
            <w:pPr>
              <w:spacing w:after="0"/>
              <w:rPr>
                <w:sz w:val="21"/>
                <w:szCs w:val="21"/>
                <w:color w:val="auto"/>
              </w:rPr>
            </w:pPr>
          </w:p>
        </w:tc>
        <w:tc>
          <w:tcPr>
            <w:tcW w:w="800" w:type="dxa"/>
            <w:vAlign w:val="bottom"/>
            <w:tcBorders>
              <w:bottom w:val="single" w:sz="8" w:color="D2F0FF"/>
            </w:tcBorders>
            <w:shd w:val="clear" w:color="auto" w:fill="D2F0FF"/>
          </w:tcPr>
          <w:p>
            <w:pPr>
              <w:jc w:val="right"/>
              <w:ind w:right="32"/>
              <w:spacing w:after="0"/>
              <w:rPr>
                <w:sz w:val="20"/>
                <w:szCs w:val="20"/>
                <w:color w:val="auto"/>
              </w:rPr>
            </w:pPr>
            <w:r>
              <w:rPr>
                <w:rFonts w:ascii="Arial" w:cs="Arial" w:eastAsia="Arial" w:hAnsi="Arial"/>
                <w:sz w:val="18"/>
                <w:szCs w:val="18"/>
                <w:color w:val="auto"/>
              </w:rPr>
              <w:t>543</w:t>
            </w:r>
          </w:p>
        </w:tc>
        <w:tc>
          <w:tcPr>
            <w:tcW w:w="6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240" w:type="dxa"/>
            <w:vAlign w:val="bottom"/>
            <w:tcBorders>
              <w:bottom w:val="single" w:sz="8" w:color="D2F0FF"/>
            </w:tcBorders>
            <w:gridSpan w:val="2"/>
            <w:shd w:val="clear" w:color="auto" w:fill="D2F0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2F0FF"/>
            </w:tcBorders>
            <w:shd w:val="clear" w:color="auto" w:fill="D2F0FF"/>
          </w:tcPr>
          <w:p>
            <w:pPr>
              <w:jc w:val="right"/>
              <w:ind w:right="92"/>
              <w:spacing w:after="0"/>
              <w:rPr>
                <w:sz w:val="20"/>
                <w:szCs w:val="20"/>
                <w:color w:val="auto"/>
              </w:rPr>
            </w:pPr>
            <w:r>
              <w:rPr>
                <w:rFonts w:ascii="Arial" w:cs="Arial" w:eastAsia="Arial" w:hAnsi="Arial"/>
                <w:sz w:val="18"/>
                <w:szCs w:val="18"/>
                <w:color w:val="auto"/>
              </w:rPr>
              <w:t>22</w:t>
            </w:r>
          </w:p>
        </w:tc>
      </w:tr>
      <w:tr>
        <w:trPr>
          <w:trHeight w:val="270"/>
        </w:trPr>
        <w:tc>
          <w:tcPr>
            <w:tcW w:w="59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Monthly base rent per site - RV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436</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21</w:t>
            </w:r>
          </w:p>
        </w:tc>
      </w:tr>
      <w:tr>
        <w:trPr>
          <w:trHeight w:val="243"/>
        </w:trPr>
        <w:tc>
          <w:tcPr>
            <w:tcW w:w="5960" w:type="dxa"/>
            <w:vAlign w:val="bottom"/>
            <w:gridSpan w:val="2"/>
            <w:shd w:val="clear" w:color="auto" w:fill="D2F0FF"/>
          </w:tcPr>
          <w:p>
            <w:pPr>
              <w:ind w:left="40"/>
              <w:spacing w:after="0"/>
              <w:rPr>
                <w:sz w:val="20"/>
                <w:szCs w:val="20"/>
                <w:color w:val="auto"/>
              </w:rPr>
            </w:pPr>
            <w:r>
              <w:rPr>
                <w:rFonts w:ascii="Arial" w:cs="Arial" w:eastAsia="Arial" w:hAnsi="Arial"/>
                <w:sz w:val="18"/>
                <w:szCs w:val="18"/>
                <w:color w:val="auto"/>
              </w:rPr>
              <w:t>Monthly base rent per site - Total</w:t>
            </w:r>
          </w:p>
        </w:tc>
        <w:tc>
          <w:tcPr>
            <w:tcW w:w="280" w:type="dxa"/>
            <w:vAlign w:val="bottom"/>
            <w:shd w:val="clear" w:color="auto" w:fill="D2F0FF"/>
          </w:tcPr>
          <w:p>
            <w:pPr>
              <w:spacing w:after="0"/>
              <w:rPr>
                <w:sz w:val="21"/>
                <w:szCs w:val="21"/>
                <w:color w:val="auto"/>
              </w:rPr>
            </w:pPr>
          </w:p>
        </w:tc>
        <w:tc>
          <w:tcPr>
            <w:tcW w:w="1000" w:type="dxa"/>
            <w:vAlign w:val="bottom"/>
            <w:shd w:val="clear" w:color="auto" w:fill="D2F0FF"/>
          </w:tcPr>
          <w:p>
            <w:pPr>
              <w:spacing w:after="0"/>
              <w:rPr>
                <w:sz w:val="21"/>
                <w:szCs w:val="21"/>
                <w:color w:val="auto"/>
              </w:rPr>
            </w:pPr>
          </w:p>
        </w:tc>
        <w:tc>
          <w:tcPr>
            <w:tcW w:w="80" w:type="dxa"/>
            <w:vAlign w:val="bottom"/>
            <w:shd w:val="clear" w:color="auto" w:fill="D2F0FF"/>
          </w:tcPr>
          <w:p>
            <w:pPr>
              <w:spacing w:after="0"/>
              <w:rPr>
                <w:sz w:val="21"/>
                <w:szCs w:val="21"/>
                <w:color w:val="auto"/>
              </w:rPr>
            </w:pPr>
          </w:p>
        </w:tc>
        <w:tc>
          <w:tcPr>
            <w:tcW w:w="400" w:type="dxa"/>
            <w:vAlign w:val="bottom"/>
            <w:gridSpan w:val="3"/>
            <w:shd w:val="clear" w:color="auto" w:fill="D2F0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D2F0FF"/>
          </w:tcPr>
          <w:p>
            <w:pPr>
              <w:jc w:val="right"/>
              <w:ind w:right="113"/>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D2F0FF"/>
          </w:tcPr>
          <w:p>
            <w:pPr>
              <w:spacing w:after="0"/>
              <w:rPr>
                <w:sz w:val="21"/>
                <w:szCs w:val="21"/>
                <w:color w:val="auto"/>
              </w:rPr>
            </w:pPr>
          </w:p>
        </w:tc>
        <w:tc>
          <w:tcPr>
            <w:tcW w:w="20" w:type="dxa"/>
            <w:vAlign w:val="bottom"/>
            <w:shd w:val="clear" w:color="auto" w:fill="D2F0FF"/>
          </w:tcPr>
          <w:p>
            <w:pPr>
              <w:spacing w:after="0"/>
              <w:rPr>
                <w:sz w:val="21"/>
                <w:szCs w:val="21"/>
                <w:color w:val="auto"/>
              </w:rPr>
            </w:pPr>
          </w:p>
        </w:tc>
        <w:tc>
          <w:tcPr>
            <w:tcW w:w="100" w:type="dxa"/>
            <w:vAlign w:val="bottom"/>
            <w:shd w:val="clear" w:color="auto" w:fill="D2F0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D2F0FF"/>
          </w:tcPr>
          <w:p>
            <w:pPr>
              <w:spacing w:after="0"/>
              <w:rPr>
                <w:sz w:val="21"/>
                <w:szCs w:val="21"/>
                <w:color w:val="auto"/>
              </w:rPr>
            </w:pPr>
          </w:p>
        </w:tc>
        <w:tc>
          <w:tcPr>
            <w:tcW w:w="800" w:type="dxa"/>
            <w:vAlign w:val="bottom"/>
            <w:shd w:val="clear" w:color="auto" w:fill="D2F0FF"/>
          </w:tcPr>
          <w:p>
            <w:pPr>
              <w:jc w:val="right"/>
              <w:ind w:right="32"/>
              <w:spacing w:after="0"/>
              <w:rPr>
                <w:sz w:val="20"/>
                <w:szCs w:val="20"/>
                <w:color w:val="auto"/>
              </w:rPr>
            </w:pPr>
            <w:r>
              <w:rPr>
                <w:rFonts w:ascii="Arial" w:cs="Arial" w:eastAsia="Arial" w:hAnsi="Arial"/>
                <w:sz w:val="18"/>
                <w:szCs w:val="18"/>
                <w:color w:val="auto"/>
              </w:rPr>
              <w:t>505</w:t>
            </w:r>
          </w:p>
        </w:tc>
        <w:tc>
          <w:tcPr>
            <w:tcW w:w="60" w:type="dxa"/>
            <w:vAlign w:val="bottom"/>
            <w:shd w:val="clear" w:color="auto" w:fill="D2F0FF"/>
          </w:tcPr>
          <w:p>
            <w:pPr>
              <w:spacing w:after="0"/>
              <w:rPr>
                <w:sz w:val="21"/>
                <w:szCs w:val="21"/>
                <w:color w:val="auto"/>
              </w:rPr>
            </w:pPr>
          </w:p>
        </w:tc>
        <w:tc>
          <w:tcPr>
            <w:tcW w:w="60" w:type="dxa"/>
            <w:vAlign w:val="bottom"/>
            <w:shd w:val="clear" w:color="auto" w:fill="D2F0FF"/>
          </w:tcPr>
          <w:p>
            <w:pPr>
              <w:spacing w:after="0"/>
              <w:rPr>
                <w:sz w:val="21"/>
                <w:szCs w:val="21"/>
                <w:color w:val="auto"/>
              </w:rPr>
            </w:pPr>
          </w:p>
        </w:tc>
        <w:tc>
          <w:tcPr>
            <w:tcW w:w="240" w:type="dxa"/>
            <w:vAlign w:val="bottom"/>
            <w:gridSpan w:val="2"/>
            <w:shd w:val="clear" w:color="auto" w:fill="D2F0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2F0FF"/>
          </w:tcPr>
          <w:p>
            <w:pPr>
              <w:jc w:val="right"/>
              <w:ind w:right="92"/>
              <w:spacing w:after="0"/>
              <w:rPr>
                <w:sz w:val="20"/>
                <w:szCs w:val="20"/>
                <w:color w:val="auto"/>
              </w:rPr>
            </w:pPr>
            <w:r>
              <w:rPr>
                <w:rFonts w:ascii="Arial" w:cs="Arial" w:eastAsia="Arial" w:hAnsi="Arial"/>
                <w:sz w:val="18"/>
                <w:szCs w:val="18"/>
                <w:color w:val="auto"/>
              </w:rPr>
              <w:t>21</w:t>
            </w:r>
          </w:p>
        </w:tc>
      </w:tr>
      <w:tr>
        <w:trPr>
          <w:trHeight w:val="27"/>
        </w:trPr>
        <w:tc>
          <w:tcPr>
            <w:tcW w:w="5860" w:type="dxa"/>
            <w:vAlign w:val="bottom"/>
            <w:shd w:val="clear" w:color="auto" w:fill="D2F0FF"/>
          </w:tcPr>
          <w:p>
            <w:pPr>
              <w:spacing w:after="0"/>
              <w:rPr>
                <w:sz w:val="2"/>
                <w:szCs w:val="2"/>
                <w:color w:val="auto"/>
              </w:rPr>
            </w:pPr>
          </w:p>
        </w:tc>
        <w:tc>
          <w:tcPr>
            <w:tcW w:w="100" w:type="dxa"/>
            <w:vAlign w:val="bottom"/>
            <w:shd w:val="clear" w:color="auto" w:fill="D2F0FF"/>
          </w:tcPr>
          <w:p>
            <w:pPr>
              <w:spacing w:after="0"/>
              <w:rPr>
                <w:sz w:val="2"/>
                <w:szCs w:val="2"/>
                <w:color w:val="auto"/>
              </w:rPr>
            </w:pPr>
          </w:p>
        </w:tc>
        <w:tc>
          <w:tcPr>
            <w:tcW w:w="280" w:type="dxa"/>
            <w:vAlign w:val="bottom"/>
            <w:shd w:val="clear" w:color="auto" w:fill="D2F0FF"/>
          </w:tcPr>
          <w:p>
            <w:pPr>
              <w:spacing w:after="0"/>
              <w:rPr>
                <w:sz w:val="2"/>
                <w:szCs w:val="2"/>
                <w:color w:val="auto"/>
              </w:rPr>
            </w:pPr>
          </w:p>
        </w:tc>
        <w:tc>
          <w:tcPr>
            <w:tcW w:w="1000" w:type="dxa"/>
            <w:vAlign w:val="bottom"/>
            <w:shd w:val="clear" w:color="auto" w:fill="D2F0FF"/>
          </w:tcPr>
          <w:p>
            <w:pPr>
              <w:spacing w:after="0"/>
              <w:rPr>
                <w:sz w:val="2"/>
                <w:szCs w:val="2"/>
                <w:color w:val="auto"/>
              </w:rPr>
            </w:pPr>
          </w:p>
        </w:tc>
        <w:tc>
          <w:tcPr>
            <w:tcW w:w="80" w:type="dxa"/>
            <w:vAlign w:val="bottom"/>
            <w:shd w:val="clear" w:color="auto" w:fill="D2F0FF"/>
          </w:tcPr>
          <w:p>
            <w:pPr>
              <w:spacing w:after="0"/>
              <w:rPr>
                <w:sz w:val="2"/>
                <w:szCs w:val="2"/>
                <w:color w:val="auto"/>
              </w:rPr>
            </w:pPr>
          </w:p>
        </w:tc>
        <w:tc>
          <w:tcPr>
            <w:tcW w:w="40" w:type="dxa"/>
            <w:vAlign w:val="bottom"/>
            <w:shd w:val="clear" w:color="auto" w:fill="D2F0FF"/>
          </w:tcPr>
          <w:p>
            <w:pPr>
              <w:spacing w:after="0"/>
              <w:rPr>
                <w:sz w:val="2"/>
                <w:szCs w:val="2"/>
                <w:color w:val="auto"/>
              </w:rPr>
            </w:pPr>
          </w:p>
        </w:tc>
        <w:tc>
          <w:tcPr>
            <w:tcW w:w="80" w:type="dxa"/>
            <w:vAlign w:val="bottom"/>
            <w:shd w:val="clear" w:color="auto" w:fill="D2F0FF"/>
          </w:tcPr>
          <w:p>
            <w:pPr>
              <w:spacing w:after="0"/>
              <w:rPr>
                <w:sz w:val="2"/>
                <w:szCs w:val="2"/>
                <w:color w:val="auto"/>
              </w:rPr>
            </w:pPr>
          </w:p>
        </w:tc>
        <w:tc>
          <w:tcPr>
            <w:tcW w:w="280" w:type="dxa"/>
            <w:vAlign w:val="bottom"/>
            <w:shd w:val="clear" w:color="auto" w:fill="D2F0FF"/>
          </w:tcPr>
          <w:p>
            <w:pPr>
              <w:spacing w:after="0"/>
              <w:rPr>
                <w:sz w:val="2"/>
                <w:szCs w:val="2"/>
                <w:color w:val="auto"/>
              </w:rPr>
            </w:pPr>
          </w:p>
        </w:tc>
        <w:tc>
          <w:tcPr>
            <w:tcW w:w="960" w:type="dxa"/>
            <w:vAlign w:val="bottom"/>
            <w:shd w:val="clear" w:color="auto" w:fill="D2F0FF"/>
          </w:tcPr>
          <w:p>
            <w:pPr>
              <w:spacing w:after="0"/>
              <w:rPr>
                <w:sz w:val="2"/>
                <w:szCs w:val="2"/>
                <w:color w:val="auto"/>
              </w:rPr>
            </w:pPr>
          </w:p>
        </w:tc>
        <w:tc>
          <w:tcPr>
            <w:tcW w:w="100" w:type="dxa"/>
            <w:vAlign w:val="bottom"/>
            <w:shd w:val="clear" w:color="auto" w:fill="D2F0FF"/>
          </w:tcPr>
          <w:p>
            <w:pPr>
              <w:spacing w:after="0"/>
              <w:rPr>
                <w:sz w:val="2"/>
                <w:szCs w:val="2"/>
                <w:color w:val="auto"/>
              </w:rPr>
            </w:pPr>
          </w:p>
        </w:tc>
        <w:tc>
          <w:tcPr>
            <w:tcW w:w="20" w:type="dxa"/>
            <w:vAlign w:val="bottom"/>
            <w:shd w:val="clear" w:color="auto" w:fill="D2F0FF"/>
          </w:tcPr>
          <w:p>
            <w:pPr>
              <w:spacing w:after="0"/>
              <w:rPr>
                <w:sz w:val="2"/>
                <w:szCs w:val="2"/>
                <w:color w:val="auto"/>
              </w:rPr>
            </w:pPr>
          </w:p>
        </w:tc>
        <w:tc>
          <w:tcPr>
            <w:tcW w:w="100" w:type="dxa"/>
            <w:vAlign w:val="bottom"/>
            <w:shd w:val="clear" w:color="auto" w:fill="D2F0FF"/>
          </w:tcPr>
          <w:p>
            <w:pPr>
              <w:spacing w:after="0"/>
              <w:rPr>
                <w:sz w:val="2"/>
                <w:szCs w:val="2"/>
                <w:color w:val="auto"/>
              </w:rPr>
            </w:pPr>
          </w:p>
        </w:tc>
        <w:tc>
          <w:tcPr>
            <w:tcW w:w="340" w:type="dxa"/>
            <w:vAlign w:val="bottom"/>
            <w:shd w:val="clear" w:color="auto" w:fill="D2F0FF"/>
          </w:tcPr>
          <w:p>
            <w:pPr>
              <w:spacing w:after="0"/>
              <w:rPr>
                <w:sz w:val="2"/>
                <w:szCs w:val="2"/>
                <w:color w:val="auto"/>
              </w:rPr>
            </w:pPr>
          </w:p>
        </w:tc>
        <w:tc>
          <w:tcPr>
            <w:tcW w:w="800" w:type="dxa"/>
            <w:vAlign w:val="bottom"/>
            <w:shd w:val="clear" w:color="auto" w:fill="D2F0FF"/>
          </w:tcPr>
          <w:p>
            <w:pPr>
              <w:spacing w:after="0"/>
              <w:rPr>
                <w:sz w:val="2"/>
                <w:szCs w:val="2"/>
                <w:color w:val="auto"/>
              </w:rPr>
            </w:pPr>
          </w:p>
        </w:tc>
        <w:tc>
          <w:tcPr>
            <w:tcW w:w="60" w:type="dxa"/>
            <w:vAlign w:val="bottom"/>
            <w:shd w:val="clear" w:color="auto" w:fill="D2F0FF"/>
          </w:tcPr>
          <w:p>
            <w:pPr>
              <w:spacing w:after="0"/>
              <w:rPr>
                <w:sz w:val="2"/>
                <w:szCs w:val="2"/>
                <w:color w:val="auto"/>
              </w:rPr>
            </w:pPr>
          </w:p>
        </w:tc>
        <w:tc>
          <w:tcPr>
            <w:tcW w:w="60" w:type="dxa"/>
            <w:vAlign w:val="bottom"/>
            <w:shd w:val="clear" w:color="auto" w:fill="D2F0FF"/>
          </w:tcPr>
          <w:p>
            <w:pPr>
              <w:spacing w:after="0"/>
              <w:rPr>
                <w:sz w:val="2"/>
                <w:szCs w:val="2"/>
                <w:color w:val="auto"/>
              </w:rPr>
            </w:pPr>
          </w:p>
        </w:tc>
        <w:tc>
          <w:tcPr>
            <w:tcW w:w="60" w:type="dxa"/>
            <w:vAlign w:val="bottom"/>
            <w:shd w:val="clear" w:color="auto" w:fill="D2F0FF"/>
          </w:tcPr>
          <w:p>
            <w:pPr>
              <w:spacing w:after="0"/>
              <w:rPr>
                <w:sz w:val="2"/>
                <w:szCs w:val="2"/>
                <w:color w:val="auto"/>
              </w:rPr>
            </w:pPr>
          </w:p>
        </w:tc>
        <w:tc>
          <w:tcPr>
            <w:tcW w:w="180" w:type="dxa"/>
            <w:vAlign w:val="bottom"/>
            <w:shd w:val="clear" w:color="auto" w:fill="D2F0FF"/>
          </w:tcPr>
          <w:p>
            <w:pPr>
              <w:spacing w:after="0"/>
              <w:rPr>
                <w:sz w:val="2"/>
                <w:szCs w:val="2"/>
                <w:color w:val="auto"/>
              </w:rPr>
            </w:pPr>
          </w:p>
        </w:tc>
        <w:tc>
          <w:tcPr>
            <w:tcW w:w="1020" w:type="dxa"/>
            <w:vAlign w:val="bottom"/>
            <w:shd w:val="clear" w:color="auto" w:fill="D2F0FF"/>
          </w:tcPr>
          <w:p>
            <w:pPr>
              <w:spacing w:after="0"/>
              <w:rPr>
                <w:sz w:val="2"/>
                <w:szCs w:val="2"/>
                <w:color w:val="auto"/>
              </w:rPr>
            </w:pPr>
          </w:p>
        </w:tc>
      </w:tr>
    </w:tbl>
    <w:p>
      <w:pPr>
        <w:spacing w:after="0" w:line="12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Overall occupancy percentage includes MH and annual RV sites, and excludes transient RV sites.</w:t>
      </w:r>
    </w:p>
    <w:p>
      <w:pPr>
        <w:ind w:left="340" w:hanging="332"/>
        <w:spacing w:after="0" w:line="182" w:lineRule="auto"/>
        <w:tabs>
          <w:tab w:leader="none" w:pos="34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Monthly base rent pertains to annual RV sites and excludes transient RV sites.</w:t>
      </w:r>
    </w:p>
    <w:p>
      <w:pPr>
        <w:spacing w:after="0" w:line="1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$11.8 million increase in Real Property NOI consists of $9.5 million from Same Communities as detailed below and $2.3 million from acquired properties.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REAL PROPERTY OPERATIONS – SAME COMMUNITIES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key management tool used when evaluating performance and growth of our properties is a comparison of our Same Communities. Same Communities consist of properties owned and operated since January 1, 2018. The Same Community data may change from time-to-time depending on acquisitions, dispositions, management discretion, significant transactions, or unique situations. The Same Community data in this Form 10-Q includes all properties which we have owned and operated continuously since January 1, 2018.</w:t>
      </w:r>
    </w:p>
    <w:p>
      <w:pPr>
        <w:spacing w:after="0" w:line="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order to evaluate the growth of the Same Communities, management has classified certain items differently than our GAAP statements. The reclassification difference between our GAAP statements and our Same Community portfolio is the reclassification of water and sewer revenues from income from real property to utilities. A significant portion of our utility charges are re-billed to our residents. We have reclassified $8.4 million and $8.1 million for the three months ended March 31, 2019 and 2018, respectively, to reflect the utility expenses associated with our Same Community portfolio net of recovery.</w:t>
      </w:r>
    </w:p>
    <w:p>
      <w:pPr>
        <w:spacing w:after="0" w:line="6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tables reflect certain financial and other information for our Same Communities as of and for the three months ended March 31, 2019 and 2018. The amounts in the table below reflect constant currency for comparative purposes. Canadian currency figures included within the three months ended March 31, 2018 have been translated at 2019 exchange rates: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4"/>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Information (in thousands)</w:t>
            </w:r>
          </w:p>
        </w:tc>
        <w:tc>
          <w:tcPr>
            <w:tcW w:w="120" w:type="dxa"/>
            <w:vAlign w:val="bottom"/>
            <w:tcBorders>
              <w:bottom w:val="single" w:sz="8" w:color="D2F0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D2F0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D2F0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D2F0FF"/>
            </w:tcBorders>
          </w:tcPr>
          <w:p>
            <w:pPr>
              <w:spacing w:after="0"/>
              <w:rPr>
                <w:sz w:val="22"/>
                <w:szCs w:val="22"/>
                <w:color w:val="auto"/>
              </w:rPr>
            </w:pPr>
          </w:p>
        </w:tc>
        <w:tc>
          <w:tcPr>
            <w:tcW w:w="180" w:type="dxa"/>
            <w:vAlign w:val="bottom"/>
            <w:tcBorders>
              <w:bottom w:val="single" w:sz="8" w:color="auto"/>
            </w:tcBorders>
            <w:gridSpan w:val="2"/>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7"/>
              </w:rPr>
              <w:t>% Change</w:t>
            </w:r>
          </w:p>
        </w:tc>
      </w:tr>
      <w:tr>
        <w:trPr>
          <w:trHeight w:val="270"/>
        </w:trPr>
        <w:tc>
          <w:tcPr>
            <w:tcW w:w="5960" w:type="dxa"/>
            <w:vAlign w:val="bottom"/>
            <w:gridSpan w:val="2"/>
            <w:shd w:val="clear" w:color="auto" w:fill="D2F0FF"/>
          </w:tcPr>
          <w:p>
            <w:pPr>
              <w:ind w:left="40"/>
              <w:spacing w:after="0" w:line="270" w:lineRule="exact"/>
              <w:rPr>
                <w:sz w:val="20"/>
                <w:szCs w:val="20"/>
                <w:color w:val="auto"/>
              </w:rPr>
            </w:pPr>
            <w:r>
              <w:rPr>
                <w:rFonts w:ascii="Arial" w:cs="Arial" w:eastAsia="Arial" w:hAnsi="Arial"/>
                <w:sz w:val="18"/>
                <w:szCs w:val="18"/>
                <w:color w:val="auto"/>
              </w:rPr>
              <w:t>Income from real property</w:t>
            </w:r>
            <w:r>
              <w:rPr>
                <w:rFonts w:ascii="Arial" w:cs="Arial" w:eastAsia="Arial" w:hAnsi="Arial"/>
                <w:sz w:val="25"/>
                <w:szCs w:val="25"/>
                <w:color w:val="auto"/>
                <w:vertAlign w:val="superscript"/>
              </w:rPr>
              <w:t>(1)</w:t>
            </w:r>
          </w:p>
        </w:tc>
        <w:tc>
          <w:tcPr>
            <w:tcW w:w="220" w:type="dxa"/>
            <w:vAlign w:val="bottom"/>
            <w:shd w:val="clear" w:color="auto" w:fill="D2F0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D2F0FF"/>
          </w:tcPr>
          <w:p>
            <w:pPr>
              <w:jc w:val="right"/>
              <w:ind w:right="40"/>
              <w:spacing w:after="0"/>
              <w:rPr>
                <w:sz w:val="20"/>
                <w:szCs w:val="20"/>
                <w:color w:val="auto"/>
              </w:rPr>
            </w:pPr>
            <w:r>
              <w:rPr>
                <w:rFonts w:ascii="Arial" w:cs="Arial" w:eastAsia="Arial" w:hAnsi="Arial"/>
                <w:sz w:val="18"/>
                <w:szCs w:val="18"/>
                <w:color w:val="auto"/>
              </w:rPr>
              <w:t>199,084</w:t>
            </w:r>
          </w:p>
        </w:tc>
        <w:tc>
          <w:tcPr>
            <w:tcW w:w="440" w:type="dxa"/>
            <w:vAlign w:val="bottom"/>
            <w:gridSpan w:val="3"/>
            <w:shd w:val="clear" w:color="auto" w:fill="D2F0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2F0FF"/>
          </w:tcPr>
          <w:p>
            <w:pPr>
              <w:jc w:val="right"/>
              <w:ind w:right="33"/>
              <w:spacing w:after="0"/>
              <w:rPr>
                <w:sz w:val="20"/>
                <w:szCs w:val="20"/>
                <w:color w:val="auto"/>
              </w:rPr>
            </w:pPr>
            <w:r>
              <w:rPr>
                <w:rFonts w:ascii="Arial" w:cs="Arial" w:eastAsia="Arial" w:hAnsi="Arial"/>
                <w:sz w:val="18"/>
                <w:szCs w:val="18"/>
                <w:color w:val="auto"/>
              </w:rPr>
              <w:t>187,826</w:t>
            </w:r>
          </w:p>
        </w:tc>
        <w:tc>
          <w:tcPr>
            <w:tcW w:w="100" w:type="dxa"/>
            <w:vAlign w:val="bottom"/>
            <w:shd w:val="clear" w:color="auto" w:fill="D2F0FF"/>
          </w:tcPr>
          <w:p>
            <w:pPr>
              <w:spacing w:after="0"/>
              <w:rPr>
                <w:sz w:val="23"/>
                <w:szCs w:val="23"/>
                <w:color w:val="auto"/>
              </w:rPr>
            </w:pPr>
          </w:p>
        </w:tc>
        <w:tc>
          <w:tcPr>
            <w:tcW w:w="260" w:type="dxa"/>
            <w:vAlign w:val="bottom"/>
            <w:shd w:val="clear" w:color="auto" w:fill="D2F0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2F0FF"/>
          </w:tcPr>
          <w:p>
            <w:pPr>
              <w:jc w:val="right"/>
              <w:ind w:right="32"/>
              <w:spacing w:after="0"/>
              <w:rPr>
                <w:sz w:val="20"/>
                <w:szCs w:val="20"/>
                <w:color w:val="auto"/>
              </w:rPr>
            </w:pPr>
            <w:r>
              <w:rPr>
                <w:rFonts w:ascii="Arial" w:cs="Arial" w:eastAsia="Arial" w:hAnsi="Arial"/>
                <w:sz w:val="18"/>
                <w:szCs w:val="18"/>
                <w:color w:val="auto"/>
              </w:rPr>
              <w:t>11,258</w:t>
            </w:r>
          </w:p>
        </w:tc>
        <w:tc>
          <w:tcPr>
            <w:tcW w:w="100" w:type="dxa"/>
            <w:vAlign w:val="bottom"/>
            <w:shd w:val="clear" w:color="auto" w:fill="D2F0FF"/>
          </w:tcPr>
          <w:p>
            <w:pPr>
              <w:spacing w:after="0"/>
              <w:rPr>
                <w:sz w:val="23"/>
                <w:szCs w:val="23"/>
                <w:color w:val="auto"/>
              </w:rPr>
            </w:pPr>
          </w:p>
        </w:tc>
        <w:tc>
          <w:tcPr>
            <w:tcW w:w="60" w:type="dxa"/>
            <w:vAlign w:val="bottom"/>
            <w:shd w:val="clear" w:color="auto" w:fill="D2F0FF"/>
          </w:tcPr>
          <w:p>
            <w:pPr>
              <w:spacing w:after="0"/>
              <w:rPr>
                <w:sz w:val="23"/>
                <w:szCs w:val="23"/>
                <w:color w:val="auto"/>
              </w:rPr>
            </w:pPr>
          </w:p>
        </w:tc>
        <w:tc>
          <w:tcPr>
            <w:tcW w:w="120" w:type="dxa"/>
            <w:vAlign w:val="bottom"/>
            <w:shd w:val="clear" w:color="auto" w:fill="D2F0FF"/>
          </w:tcPr>
          <w:p>
            <w:pPr>
              <w:spacing w:after="0"/>
              <w:rPr>
                <w:sz w:val="23"/>
                <w:szCs w:val="23"/>
                <w:color w:val="auto"/>
              </w:rPr>
            </w:pPr>
          </w:p>
        </w:tc>
        <w:tc>
          <w:tcPr>
            <w:tcW w:w="160" w:type="dxa"/>
            <w:vAlign w:val="bottom"/>
            <w:shd w:val="clear" w:color="auto" w:fill="D2F0FF"/>
          </w:tcPr>
          <w:p>
            <w:pPr>
              <w:spacing w:after="0"/>
              <w:rPr>
                <w:sz w:val="23"/>
                <w:szCs w:val="23"/>
                <w:color w:val="auto"/>
              </w:rPr>
            </w:pPr>
          </w:p>
        </w:tc>
        <w:tc>
          <w:tcPr>
            <w:tcW w:w="1040" w:type="dxa"/>
            <w:vAlign w:val="bottom"/>
            <w:shd w:val="clear" w:color="auto" w:fill="D2F0FF"/>
          </w:tcPr>
          <w:p>
            <w:pPr>
              <w:jc w:val="right"/>
              <w:spacing w:after="0"/>
              <w:rPr>
                <w:sz w:val="20"/>
                <w:szCs w:val="20"/>
                <w:color w:val="auto"/>
              </w:rPr>
            </w:pPr>
            <w:r>
              <w:rPr>
                <w:rFonts w:ascii="Arial" w:cs="Arial" w:eastAsia="Arial" w:hAnsi="Arial"/>
                <w:sz w:val="18"/>
                <w:szCs w:val="18"/>
                <w:color w:val="auto"/>
              </w:rPr>
              <w:t>6.0 %</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Property operating expenses: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60" w:type="dxa"/>
            <w:vAlign w:val="bottom"/>
            <w:tcBorders>
              <w:bottom w:val="single" w:sz="8" w:color="D2F0FF"/>
            </w:tcBorders>
            <w:gridSpan w:val="2"/>
            <w:shd w:val="clear" w:color="auto" w:fill="D2F0FF"/>
          </w:tcPr>
          <w:p>
            <w:pPr>
              <w:ind w:left="720"/>
              <w:spacing w:after="0"/>
              <w:rPr>
                <w:sz w:val="20"/>
                <w:szCs w:val="20"/>
                <w:color w:val="auto"/>
              </w:rPr>
            </w:pPr>
            <w:r>
              <w:rPr>
                <w:rFonts w:ascii="Arial" w:cs="Arial" w:eastAsia="Arial" w:hAnsi="Arial"/>
                <w:sz w:val="18"/>
                <w:szCs w:val="18"/>
                <w:color w:val="auto"/>
              </w:rPr>
              <w:t>Payroll and benefits</w:t>
            </w:r>
          </w:p>
        </w:tc>
        <w:tc>
          <w:tcPr>
            <w:tcW w:w="220" w:type="dxa"/>
            <w:vAlign w:val="bottom"/>
            <w:tcBorders>
              <w:bottom w:val="single" w:sz="8" w:color="D2F0FF"/>
            </w:tcBorders>
            <w:shd w:val="clear" w:color="auto" w:fill="D2F0FF"/>
          </w:tcPr>
          <w:p>
            <w:pPr>
              <w:spacing w:after="0"/>
              <w:rPr>
                <w:sz w:val="21"/>
                <w:szCs w:val="21"/>
                <w:color w:val="auto"/>
              </w:rPr>
            </w:pPr>
          </w:p>
        </w:tc>
        <w:tc>
          <w:tcPr>
            <w:tcW w:w="960" w:type="dxa"/>
            <w:vAlign w:val="bottom"/>
            <w:tcBorders>
              <w:bottom w:val="single" w:sz="8" w:color="D2F0FF"/>
            </w:tcBorders>
            <w:gridSpan w:val="2"/>
            <w:shd w:val="clear" w:color="auto" w:fill="D2F0FF"/>
          </w:tcPr>
          <w:p>
            <w:pPr>
              <w:jc w:val="right"/>
              <w:ind w:right="40"/>
              <w:spacing w:after="0"/>
              <w:rPr>
                <w:sz w:val="20"/>
                <w:szCs w:val="20"/>
                <w:color w:val="auto"/>
              </w:rPr>
            </w:pPr>
            <w:r>
              <w:rPr>
                <w:rFonts w:ascii="Arial" w:cs="Arial" w:eastAsia="Arial" w:hAnsi="Arial"/>
                <w:sz w:val="18"/>
                <w:szCs w:val="18"/>
                <w:color w:val="auto"/>
              </w:rPr>
              <w:t>16,421</w:t>
            </w:r>
          </w:p>
        </w:tc>
        <w:tc>
          <w:tcPr>
            <w:tcW w:w="60" w:type="dxa"/>
            <w:vAlign w:val="bottom"/>
            <w:tcBorders>
              <w:bottom w:val="single" w:sz="8" w:color="D2F0FF"/>
            </w:tcBorders>
            <w:shd w:val="clear" w:color="auto" w:fill="D2F0FF"/>
          </w:tcPr>
          <w:p>
            <w:pPr>
              <w:spacing w:after="0"/>
              <w:rPr>
                <w:sz w:val="21"/>
                <w:szCs w:val="21"/>
                <w:color w:val="auto"/>
              </w:rPr>
            </w:pPr>
          </w:p>
        </w:tc>
        <w:tc>
          <w:tcPr>
            <w:tcW w:w="120" w:type="dxa"/>
            <w:vAlign w:val="bottom"/>
            <w:tcBorders>
              <w:bottom w:val="single" w:sz="8" w:color="D2F0FF"/>
            </w:tcBorders>
            <w:shd w:val="clear" w:color="auto" w:fill="D2F0FF"/>
          </w:tcPr>
          <w:p>
            <w:pPr>
              <w:spacing w:after="0"/>
              <w:rPr>
                <w:sz w:val="21"/>
                <w:szCs w:val="21"/>
                <w:color w:val="auto"/>
              </w:rPr>
            </w:pPr>
          </w:p>
        </w:tc>
        <w:tc>
          <w:tcPr>
            <w:tcW w:w="26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jc w:val="right"/>
              <w:ind w:right="33"/>
              <w:spacing w:after="0"/>
              <w:rPr>
                <w:sz w:val="20"/>
                <w:szCs w:val="20"/>
                <w:color w:val="auto"/>
              </w:rPr>
            </w:pPr>
            <w:r>
              <w:rPr>
                <w:rFonts w:ascii="Arial" w:cs="Arial" w:eastAsia="Arial" w:hAnsi="Arial"/>
                <w:sz w:val="18"/>
                <w:szCs w:val="18"/>
                <w:color w:val="auto"/>
              </w:rPr>
              <w:t>15,534</w:t>
            </w:r>
          </w:p>
        </w:tc>
        <w:tc>
          <w:tcPr>
            <w:tcW w:w="100" w:type="dxa"/>
            <w:vAlign w:val="bottom"/>
            <w:tcBorders>
              <w:bottom w:val="single" w:sz="8" w:color="D2F0FF"/>
            </w:tcBorders>
            <w:shd w:val="clear" w:color="auto" w:fill="D2F0FF"/>
          </w:tcPr>
          <w:p>
            <w:pPr>
              <w:spacing w:after="0"/>
              <w:rPr>
                <w:sz w:val="21"/>
                <w:szCs w:val="21"/>
                <w:color w:val="auto"/>
              </w:rPr>
            </w:pPr>
          </w:p>
        </w:tc>
        <w:tc>
          <w:tcPr>
            <w:tcW w:w="26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jc w:val="right"/>
              <w:ind w:right="32"/>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120" w:type="dxa"/>
            <w:vAlign w:val="bottom"/>
            <w:tcBorders>
              <w:bottom w:val="single" w:sz="8" w:color="D2F0FF"/>
            </w:tcBorders>
            <w:shd w:val="clear" w:color="auto" w:fill="D2F0FF"/>
          </w:tcPr>
          <w:p>
            <w:pPr>
              <w:spacing w:after="0"/>
              <w:rPr>
                <w:sz w:val="21"/>
                <w:szCs w:val="21"/>
                <w:color w:val="auto"/>
              </w:rPr>
            </w:pPr>
          </w:p>
        </w:tc>
        <w:tc>
          <w:tcPr>
            <w:tcW w:w="160" w:type="dxa"/>
            <w:vAlign w:val="bottom"/>
            <w:tcBorders>
              <w:bottom w:val="single" w:sz="8" w:color="D2F0FF"/>
            </w:tcBorders>
            <w:shd w:val="clear" w:color="auto" w:fill="D2F0FF"/>
          </w:tcPr>
          <w:p>
            <w:pPr>
              <w:spacing w:after="0"/>
              <w:rPr>
                <w:sz w:val="21"/>
                <w:szCs w:val="21"/>
                <w:color w:val="auto"/>
              </w:rPr>
            </w:pPr>
          </w:p>
        </w:tc>
        <w:tc>
          <w:tcPr>
            <w:tcW w:w="104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5.7 %</w:t>
            </w:r>
          </w:p>
        </w:tc>
      </w:tr>
      <w:tr>
        <w:trPr>
          <w:trHeight w:val="243"/>
        </w:trPr>
        <w:tc>
          <w:tcPr>
            <w:tcW w:w="5960" w:type="dxa"/>
            <w:vAlign w:val="bottom"/>
            <w:gridSpan w:val="2"/>
          </w:tcPr>
          <w:p>
            <w:pPr>
              <w:ind w:left="720"/>
              <w:spacing w:after="0"/>
              <w:rPr>
                <w:sz w:val="20"/>
                <w:szCs w:val="20"/>
                <w:color w:val="auto"/>
              </w:rPr>
            </w:pPr>
            <w:r>
              <w:rPr>
                <w:rFonts w:ascii="Arial" w:cs="Arial" w:eastAsia="Arial" w:hAnsi="Arial"/>
                <w:sz w:val="18"/>
                <w:szCs w:val="18"/>
                <w:color w:val="auto"/>
              </w:rPr>
              <w:t>Legal, taxes, and insurance</w:t>
            </w:r>
          </w:p>
        </w:tc>
        <w:tc>
          <w:tcPr>
            <w:tcW w:w="2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2,191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60" w:type="dxa"/>
            <w:vAlign w:val="bottom"/>
            <w:tcBorders>
              <w:bottom w:val="single" w:sz="8" w:color="D2F0FF"/>
            </w:tcBorders>
            <w:gridSpan w:val="2"/>
            <w:shd w:val="clear" w:color="auto" w:fill="D2F0FF"/>
          </w:tcPr>
          <w:p>
            <w:pPr>
              <w:ind w:left="720"/>
              <w:spacing w:after="0"/>
              <w:rPr>
                <w:sz w:val="20"/>
                <w:szCs w:val="20"/>
                <w:color w:val="auto"/>
              </w:rPr>
            </w:pPr>
            <w:r>
              <w:rPr>
                <w:rFonts w:ascii="Arial" w:cs="Arial" w:eastAsia="Arial" w:hAnsi="Arial"/>
                <w:sz w:val="18"/>
                <w:szCs w:val="18"/>
                <w:color w:val="auto"/>
              </w:rPr>
              <w:t>Utilities</w:t>
            </w:r>
          </w:p>
        </w:tc>
        <w:tc>
          <w:tcPr>
            <w:tcW w:w="220" w:type="dxa"/>
            <w:vAlign w:val="bottom"/>
            <w:tcBorders>
              <w:bottom w:val="single" w:sz="8" w:color="D2F0FF"/>
            </w:tcBorders>
            <w:shd w:val="clear" w:color="auto" w:fill="D2F0FF"/>
          </w:tcPr>
          <w:p>
            <w:pPr>
              <w:spacing w:after="0"/>
              <w:rPr>
                <w:sz w:val="21"/>
                <w:szCs w:val="21"/>
                <w:color w:val="auto"/>
              </w:rPr>
            </w:pPr>
          </w:p>
        </w:tc>
        <w:tc>
          <w:tcPr>
            <w:tcW w:w="960" w:type="dxa"/>
            <w:vAlign w:val="bottom"/>
            <w:tcBorders>
              <w:bottom w:val="single" w:sz="8" w:color="D2F0FF"/>
            </w:tcBorders>
            <w:gridSpan w:val="2"/>
            <w:shd w:val="clear" w:color="auto" w:fill="D2F0FF"/>
          </w:tcPr>
          <w:p>
            <w:pPr>
              <w:jc w:val="right"/>
              <w:ind w:right="40"/>
              <w:spacing w:after="0"/>
              <w:rPr>
                <w:sz w:val="20"/>
                <w:szCs w:val="20"/>
                <w:color w:val="auto"/>
              </w:rPr>
            </w:pPr>
            <w:r>
              <w:rPr>
                <w:rFonts w:ascii="Arial" w:cs="Arial" w:eastAsia="Arial" w:hAnsi="Arial"/>
                <w:sz w:val="18"/>
                <w:szCs w:val="18"/>
                <w:color w:val="auto"/>
              </w:rPr>
              <w:t>14,434</w:t>
            </w:r>
          </w:p>
        </w:tc>
        <w:tc>
          <w:tcPr>
            <w:tcW w:w="60" w:type="dxa"/>
            <w:vAlign w:val="bottom"/>
            <w:tcBorders>
              <w:bottom w:val="single" w:sz="8" w:color="D2F0FF"/>
            </w:tcBorders>
            <w:shd w:val="clear" w:color="auto" w:fill="D2F0FF"/>
          </w:tcPr>
          <w:p>
            <w:pPr>
              <w:spacing w:after="0"/>
              <w:rPr>
                <w:sz w:val="21"/>
                <w:szCs w:val="21"/>
                <w:color w:val="auto"/>
              </w:rPr>
            </w:pPr>
          </w:p>
        </w:tc>
        <w:tc>
          <w:tcPr>
            <w:tcW w:w="120" w:type="dxa"/>
            <w:vAlign w:val="bottom"/>
            <w:tcBorders>
              <w:bottom w:val="single" w:sz="8" w:color="D2F0FF"/>
            </w:tcBorders>
            <w:shd w:val="clear" w:color="auto" w:fill="D2F0FF"/>
          </w:tcPr>
          <w:p>
            <w:pPr>
              <w:spacing w:after="0"/>
              <w:rPr>
                <w:sz w:val="21"/>
                <w:szCs w:val="21"/>
                <w:color w:val="auto"/>
              </w:rPr>
            </w:pPr>
          </w:p>
        </w:tc>
        <w:tc>
          <w:tcPr>
            <w:tcW w:w="26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jc w:val="right"/>
              <w:ind w:right="33"/>
              <w:spacing w:after="0"/>
              <w:rPr>
                <w:sz w:val="20"/>
                <w:szCs w:val="20"/>
                <w:color w:val="auto"/>
              </w:rPr>
            </w:pPr>
            <w:r>
              <w:rPr>
                <w:rFonts w:ascii="Arial" w:cs="Arial" w:eastAsia="Arial" w:hAnsi="Arial"/>
                <w:sz w:val="18"/>
                <w:szCs w:val="18"/>
                <w:color w:val="auto"/>
              </w:rPr>
              <w:t>14,463</w:t>
            </w:r>
          </w:p>
        </w:tc>
        <w:tc>
          <w:tcPr>
            <w:tcW w:w="100" w:type="dxa"/>
            <w:vAlign w:val="bottom"/>
            <w:tcBorders>
              <w:bottom w:val="single" w:sz="8" w:color="D2F0FF"/>
            </w:tcBorders>
            <w:shd w:val="clear" w:color="auto" w:fill="D2F0FF"/>
          </w:tcPr>
          <w:p>
            <w:pPr>
              <w:spacing w:after="0"/>
              <w:rPr>
                <w:sz w:val="21"/>
                <w:szCs w:val="21"/>
                <w:color w:val="auto"/>
              </w:rPr>
            </w:pPr>
          </w:p>
        </w:tc>
        <w:tc>
          <w:tcPr>
            <w:tcW w:w="26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120" w:type="dxa"/>
            <w:vAlign w:val="bottom"/>
            <w:tcBorders>
              <w:bottom w:val="single" w:sz="8" w:color="D2F0FF"/>
            </w:tcBorders>
            <w:shd w:val="clear" w:color="auto" w:fill="D2F0FF"/>
          </w:tcPr>
          <w:p>
            <w:pPr>
              <w:spacing w:after="0"/>
              <w:rPr>
                <w:sz w:val="21"/>
                <w:szCs w:val="21"/>
                <w:color w:val="auto"/>
              </w:rPr>
            </w:pPr>
          </w:p>
        </w:tc>
        <w:tc>
          <w:tcPr>
            <w:tcW w:w="160" w:type="dxa"/>
            <w:vAlign w:val="bottom"/>
            <w:tcBorders>
              <w:bottom w:val="single" w:sz="8" w:color="D2F0FF"/>
            </w:tcBorders>
            <w:shd w:val="clear" w:color="auto" w:fill="D2F0FF"/>
          </w:tcPr>
          <w:p>
            <w:pPr>
              <w:spacing w:after="0"/>
              <w:rPr>
                <w:sz w:val="21"/>
                <w:szCs w:val="21"/>
                <w:color w:val="auto"/>
              </w:rPr>
            </w:pPr>
          </w:p>
        </w:tc>
        <w:tc>
          <w:tcPr>
            <w:tcW w:w="104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5960" w:type="dxa"/>
            <w:vAlign w:val="bottom"/>
            <w:gridSpan w:val="2"/>
          </w:tcPr>
          <w:p>
            <w:pPr>
              <w:ind w:left="720"/>
              <w:spacing w:after="0"/>
              <w:rPr>
                <w:sz w:val="20"/>
                <w:szCs w:val="20"/>
                <w:color w:val="auto"/>
              </w:rPr>
            </w:pPr>
            <w:r>
              <w:rPr>
                <w:rFonts w:ascii="Arial" w:cs="Arial" w:eastAsia="Arial" w:hAnsi="Arial"/>
                <w:sz w:val="18"/>
                <w:szCs w:val="18"/>
                <w:color w:val="auto"/>
              </w:rPr>
              <w:t>Supplies and repair</w:t>
            </w:r>
          </w:p>
        </w:tc>
        <w:tc>
          <w:tcPr>
            <w:tcW w:w="2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5,719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10.9 %</w:t>
            </w: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60" w:type="dxa"/>
            <w:vAlign w:val="bottom"/>
            <w:tcBorders>
              <w:bottom w:val="single" w:sz="8" w:color="D2F0FF"/>
            </w:tcBorders>
            <w:gridSpan w:val="2"/>
            <w:shd w:val="clear" w:color="auto" w:fill="D2F0FF"/>
          </w:tcPr>
          <w:p>
            <w:pPr>
              <w:ind w:left="7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D2F0FF"/>
            </w:tcBorders>
            <w:shd w:val="clear" w:color="auto" w:fill="D2F0FF"/>
          </w:tcPr>
          <w:p>
            <w:pPr>
              <w:spacing w:after="0"/>
              <w:rPr>
                <w:sz w:val="21"/>
                <w:szCs w:val="21"/>
                <w:color w:val="auto"/>
              </w:rPr>
            </w:pPr>
          </w:p>
        </w:tc>
        <w:tc>
          <w:tcPr>
            <w:tcW w:w="960" w:type="dxa"/>
            <w:vAlign w:val="bottom"/>
            <w:tcBorders>
              <w:bottom w:val="single" w:sz="8" w:color="D2F0FF"/>
            </w:tcBorders>
            <w:gridSpan w:val="2"/>
            <w:shd w:val="clear" w:color="auto" w:fill="D2F0FF"/>
          </w:tcPr>
          <w:p>
            <w:pPr>
              <w:jc w:val="right"/>
              <w:ind w:right="40"/>
              <w:spacing w:after="0"/>
              <w:rPr>
                <w:sz w:val="20"/>
                <w:szCs w:val="20"/>
                <w:color w:val="auto"/>
              </w:rPr>
            </w:pPr>
            <w:r>
              <w:rPr>
                <w:rFonts w:ascii="Arial" w:cs="Arial" w:eastAsia="Arial" w:hAnsi="Arial"/>
                <w:sz w:val="18"/>
                <w:szCs w:val="18"/>
                <w:color w:val="auto"/>
              </w:rPr>
              <w:t>4,455</w:t>
            </w:r>
          </w:p>
        </w:tc>
        <w:tc>
          <w:tcPr>
            <w:tcW w:w="60" w:type="dxa"/>
            <w:vAlign w:val="bottom"/>
            <w:tcBorders>
              <w:bottom w:val="single" w:sz="8" w:color="D2F0FF"/>
            </w:tcBorders>
            <w:shd w:val="clear" w:color="auto" w:fill="D2F0FF"/>
          </w:tcPr>
          <w:p>
            <w:pPr>
              <w:spacing w:after="0"/>
              <w:rPr>
                <w:sz w:val="21"/>
                <w:szCs w:val="21"/>
                <w:color w:val="auto"/>
              </w:rPr>
            </w:pPr>
          </w:p>
        </w:tc>
        <w:tc>
          <w:tcPr>
            <w:tcW w:w="120" w:type="dxa"/>
            <w:vAlign w:val="bottom"/>
            <w:tcBorders>
              <w:bottom w:val="single" w:sz="8" w:color="D2F0FF"/>
            </w:tcBorders>
            <w:shd w:val="clear" w:color="auto" w:fill="D2F0FF"/>
          </w:tcPr>
          <w:p>
            <w:pPr>
              <w:spacing w:after="0"/>
              <w:rPr>
                <w:sz w:val="21"/>
                <w:szCs w:val="21"/>
                <w:color w:val="auto"/>
              </w:rPr>
            </w:pPr>
          </w:p>
        </w:tc>
        <w:tc>
          <w:tcPr>
            <w:tcW w:w="26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jc w:val="right"/>
              <w:ind w:right="33"/>
              <w:spacing w:after="0"/>
              <w:rPr>
                <w:sz w:val="20"/>
                <w:szCs w:val="20"/>
                <w:color w:val="auto"/>
              </w:rPr>
            </w:pPr>
            <w:r>
              <w:rPr>
                <w:rFonts w:ascii="Arial" w:cs="Arial" w:eastAsia="Arial" w:hAnsi="Arial"/>
                <w:sz w:val="18"/>
                <w:szCs w:val="18"/>
                <w:color w:val="auto"/>
              </w:rPr>
              <w:t>4,688</w:t>
            </w:r>
          </w:p>
        </w:tc>
        <w:tc>
          <w:tcPr>
            <w:tcW w:w="100" w:type="dxa"/>
            <w:vAlign w:val="bottom"/>
            <w:tcBorders>
              <w:bottom w:val="single" w:sz="8" w:color="D2F0FF"/>
            </w:tcBorders>
            <w:shd w:val="clear" w:color="auto" w:fill="D2F0FF"/>
          </w:tcPr>
          <w:p>
            <w:pPr>
              <w:spacing w:after="0"/>
              <w:rPr>
                <w:sz w:val="21"/>
                <w:szCs w:val="21"/>
                <w:color w:val="auto"/>
              </w:rPr>
            </w:pPr>
          </w:p>
        </w:tc>
        <w:tc>
          <w:tcPr>
            <w:tcW w:w="26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120" w:type="dxa"/>
            <w:vAlign w:val="bottom"/>
            <w:tcBorders>
              <w:bottom w:val="single" w:sz="8" w:color="D2F0FF"/>
            </w:tcBorders>
            <w:shd w:val="clear" w:color="auto" w:fill="D2F0FF"/>
          </w:tcPr>
          <w:p>
            <w:pPr>
              <w:spacing w:after="0"/>
              <w:rPr>
                <w:sz w:val="21"/>
                <w:szCs w:val="21"/>
                <w:color w:val="auto"/>
              </w:rPr>
            </w:pPr>
          </w:p>
        </w:tc>
        <w:tc>
          <w:tcPr>
            <w:tcW w:w="160" w:type="dxa"/>
            <w:vAlign w:val="bottom"/>
            <w:tcBorders>
              <w:bottom w:val="single" w:sz="8" w:color="D2F0FF"/>
            </w:tcBorders>
            <w:shd w:val="clear" w:color="auto" w:fill="D2F0FF"/>
          </w:tcPr>
          <w:p>
            <w:pPr>
              <w:spacing w:after="0"/>
              <w:rPr>
                <w:sz w:val="21"/>
                <w:szCs w:val="21"/>
                <w:color w:val="auto"/>
              </w:rPr>
            </w:pPr>
          </w:p>
        </w:tc>
        <w:tc>
          <w:tcPr>
            <w:tcW w:w="104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960" w:type="dxa"/>
            <w:vAlign w:val="bottom"/>
            <w:gridSpan w:val="2"/>
          </w:tcPr>
          <w:p>
            <w:pPr>
              <w:ind w:left="72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14,590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13,766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5840" w:type="dxa"/>
            <w:vAlign w:val="bottom"/>
            <w:tcBorders>
              <w:bottom w:val="single" w:sz="8" w:color="D2F0FF"/>
            </w:tcBorders>
          </w:tcPr>
          <w:p>
            <w:pPr>
              <w:spacing w:after="0"/>
              <w:rPr>
                <w:sz w:val="2"/>
                <w:szCs w:val="2"/>
                <w:color w:val="auto"/>
              </w:rPr>
            </w:pPr>
          </w:p>
        </w:tc>
        <w:tc>
          <w:tcPr>
            <w:tcW w:w="120" w:type="dxa"/>
            <w:vAlign w:val="bottom"/>
            <w:tcBorders>
              <w:bottom w:val="single" w:sz="8" w:color="D2F0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D2F0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60" w:type="dxa"/>
            <w:vAlign w:val="bottom"/>
            <w:tcBorders>
              <w:bottom w:val="single" w:sz="8" w:color="D2F0FF"/>
            </w:tcBorders>
          </w:tcPr>
          <w:p>
            <w:pPr>
              <w:spacing w:after="0"/>
              <w:rPr>
                <w:sz w:val="2"/>
                <w:szCs w:val="2"/>
                <w:color w:val="auto"/>
              </w:rPr>
            </w:pPr>
          </w:p>
        </w:tc>
        <w:tc>
          <w:tcPr>
            <w:tcW w:w="120" w:type="dxa"/>
            <w:vAlign w:val="bottom"/>
            <w:tcBorders>
              <w:bottom w:val="single" w:sz="8" w:color="D2F0FF"/>
            </w:tcBorders>
          </w:tcPr>
          <w:p>
            <w:pPr>
              <w:spacing w:after="0"/>
              <w:rPr>
                <w:sz w:val="2"/>
                <w:szCs w:val="2"/>
                <w:color w:val="auto"/>
              </w:rPr>
            </w:pPr>
          </w:p>
        </w:tc>
        <w:tc>
          <w:tcPr>
            <w:tcW w:w="160" w:type="dxa"/>
            <w:vAlign w:val="bottom"/>
            <w:tcBorders>
              <w:bottom w:val="single" w:sz="8" w:color="D2F0FF"/>
            </w:tcBorders>
          </w:tcPr>
          <w:p>
            <w:pPr>
              <w:spacing w:after="0"/>
              <w:rPr>
                <w:sz w:val="2"/>
                <w:szCs w:val="2"/>
                <w:color w:val="auto"/>
              </w:rPr>
            </w:pPr>
          </w:p>
        </w:tc>
        <w:tc>
          <w:tcPr>
            <w:tcW w:w="1040" w:type="dxa"/>
            <w:vAlign w:val="bottom"/>
            <w:tcBorders>
              <w:bottom w:val="single" w:sz="8" w:color="D2F0FF"/>
            </w:tcBorders>
          </w:tcPr>
          <w:p>
            <w:pPr>
              <w:spacing w:after="0"/>
              <w:rPr>
                <w:sz w:val="2"/>
                <w:szCs w:val="2"/>
                <w:color w:val="auto"/>
              </w:rPr>
            </w:pPr>
          </w:p>
        </w:tc>
      </w:tr>
      <w:tr>
        <w:trPr>
          <w:trHeight w:val="264"/>
        </w:trPr>
        <w:tc>
          <w:tcPr>
            <w:tcW w:w="5960" w:type="dxa"/>
            <w:vAlign w:val="bottom"/>
            <w:tcBorders>
              <w:bottom w:val="single" w:sz="8" w:color="D2F0FF"/>
            </w:tcBorders>
            <w:gridSpan w:val="2"/>
            <w:shd w:val="clear" w:color="auto" w:fill="D2F0FF"/>
          </w:tcPr>
          <w:p>
            <w:pPr>
              <w:ind w:left="1040"/>
              <w:spacing w:after="0"/>
              <w:rPr>
                <w:sz w:val="20"/>
                <w:szCs w:val="20"/>
                <w:color w:val="auto"/>
              </w:rPr>
            </w:pPr>
            <w:r>
              <w:rPr>
                <w:rFonts w:ascii="Arial" w:cs="Arial" w:eastAsia="Arial" w:hAnsi="Arial"/>
                <w:sz w:val="18"/>
                <w:szCs w:val="18"/>
                <w:color w:val="auto"/>
              </w:rPr>
              <w:t>Property operating expenses</w:t>
            </w:r>
          </w:p>
        </w:tc>
        <w:tc>
          <w:tcPr>
            <w:tcW w:w="220" w:type="dxa"/>
            <w:vAlign w:val="bottom"/>
            <w:tcBorders>
              <w:bottom w:val="single" w:sz="8" w:color="D2F0FF"/>
            </w:tcBorders>
            <w:shd w:val="clear" w:color="auto" w:fill="D2F0FF"/>
          </w:tcPr>
          <w:p>
            <w:pPr>
              <w:spacing w:after="0"/>
              <w:rPr>
                <w:sz w:val="22"/>
                <w:szCs w:val="22"/>
                <w:color w:val="auto"/>
              </w:rPr>
            </w:pPr>
          </w:p>
        </w:tc>
        <w:tc>
          <w:tcPr>
            <w:tcW w:w="960" w:type="dxa"/>
            <w:vAlign w:val="bottom"/>
            <w:tcBorders>
              <w:bottom w:val="single" w:sz="8" w:color="D2F0FF"/>
            </w:tcBorders>
            <w:gridSpan w:val="2"/>
            <w:shd w:val="clear" w:color="auto" w:fill="D2F0FF"/>
          </w:tcPr>
          <w:p>
            <w:pPr>
              <w:jc w:val="right"/>
              <w:ind w:right="40"/>
              <w:spacing w:after="0"/>
              <w:rPr>
                <w:sz w:val="20"/>
                <w:szCs w:val="20"/>
                <w:color w:val="auto"/>
              </w:rPr>
            </w:pPr>
            <w:r>
              <w:rPr>
                <w:rFonts w:ascii="Arial" w:cs="Arial" w:eastAsia="Arial" w:hAnsi="Arial"/>
                <w:sz w:val="18"/>
                <w:szCs w:val="18"/>
                <w:color w:val="auto"/>
              </w:rPr>
              <w:t>57,810</w:t>
            </w:r>
          </w:p>
        </w:tc>
        <w:tc>
          <w:tcPr>
            <w:tcW w:w="60" w:type="dxa"/>
            <w:vAlign w:val="bottom"/>
            <w:tcBorders>
              <w:bottom w:val="single" w:sz="8" w:color="D2F0FF"/>
            </w:tcBorders>
            <w:shd w:val="clear" w:color="auto" w:fill="D2F0FF"/>
          </w:tcPr>
          <w:p>
            <w:pPr>
              <w:spacing w:after="0"/>
              <w:rPr>
                <w:sz w:val="22"/>
                <w:szCs w:val="22"/>
                <w:color w:val="auto"/>
              </w:rPr>
            </w:pPr>
          </w:p>
        </w:tc>
        <w:tc>
          <w:tcPr>
            <w:tcW w:w="120" w:type="dxa"/>
            <w:vAlign w:val="bottom"/>
            <w:tcBorders>
              <w:bottom w:val="single" w:sz="8" w:color="D2F0FF"/>
            </w:tcBorders>
            <w:shd w:val="clear" w:color="auto" w:fill="D2F0FF"/>
          </w:tcPr>
          <w:p>
            <w:pPr>
              <w:spacing w:after="0"/>
              <w:rPr>
                <w:sz w:val="22"/>
                <w:szCs w:val="22"/>
                <w:color w:val="auto"/>
              </w:rPr>
            </w:pPr>
          </w:p>
        </w:tc>
        <w:tc>
          <w:tcPr>
            <w:tcW w:w="260" w:type="dxa"/>
            <w:vAlign w:val="bottom"/>
            <w:tcBorders>
              <w:bottom w:val="single" w:sz="8" w:color="D2F0FF"/>
            </w:tcBorders>
            <w:shd w:val="clear" w:color="auto" w:fill="D2F0FF"/>
          </w:tcPr>
          <w:p>
            <w:pPr>
              <w:spacing w:after="0"/>
              <w:rPr>
                <w:sz w:val="22"/>
                <w:szCs w:val="22"/>
                <w:color w:val="auto"/>
              </w:rPr>
            </w:pPr>
          </w:p>
        </w:tc>
        <w:tc>
          <w:tcPr>
            <w:tcW w:w="1000" w:type="dxa"/>
            <w:vAlign w:val="bottom"/>
            <w:tcBorders>
              <w:bottom w:val="single" w:sz="8" w:color="D2F0FF"/>
            </w:tcBorders>
            <w:shd w:val="clear" w:color="auto" w:fill="D2F0FF"/>
          </w:tcPr>
          <w:p>
            <w:pPr>
              <w:jc w:val="right"/>
              <w:ind w:right="33"/>
              <w:spacing w:after="0"/>
              <w:rPr>
                <w:sz w:val="20"/>
                <w:szCs w:val="20"/>
                <w:color w:val="auto"/>
              </w:rPr>
            </w:pPr>
            <w:r>
              <w:rPr>
                <w:rFonts w:ascii="Arial" w:cs="Arial" w:eastAsia="Arial" w:hAnsi="Arial"/>
                <w:sz w:val="18"/>
                <w:szCs w:val="18"/>
                <w:color w:val="auto"/>
              </w:rPr>
              <w:t>56,081</w:t>
            </w:r>
          </w:p>
        </w:tc>
        <w:tc>
          <w:tcPr>
            <w:tcW w:w="100" w:type="dxa"/>
            <w:vAlign w:val="bottom"/>
            <w:tcBorders>
              <w:bottom w:val="single" w:sz="8" w:color="D2F0FF"/>
            </w:tcBorders>
            <w:shd w:val="clear" w:color="auto" w:fill="D2F0FF"/>
          </w:tcPr>
          <w:p>
            <w:pPr>
              <w:spacing w:after="0"/>
              <w:rPr>
                <w:sz w:val="22"/>
                <w:szCs w:val="22"/>
                <w:color w:val="auto"/>
              </w:rPr>
            </w:pPr>
          </w:p>
        </w:tc>
        <w:tc>
          <w:tcPr>
            <w:tcW w:w="260" w:type="dxa"/>
            <w:vAlign w:val="bottom"/>
            <w:tcBorders>
              <w:bottom w:val="single" w:sz="8" w:color="D2F0FF"/>
            </w:tcBorders>
            <w:shd w:val="clear" w:color="auto" w:fill="D2F0FF"/>
          </w:tcPr>
          <w:p>
            <w:pPr>
              <w:spacing w:after="0"/>
              <w:rPr>
                <w:sz w:val="22"/>
                <w:szCs w:val="22"/>
                <w:color w:val="auto"/>
              </w:rPr>
            </w:pPr>
          </w:p>
        </w:tc>
        <w:tc>
          <w:tcPr>
            <w:tcW w:w="1000" w:type="dxa"/>
            <w:vAlign w:val="bottom"/>
            <w:tcBorders>
              <w:bottom w:val="single" w:sz="8" w:color="D2F0FF"/>
            </w:tcBorders>
            <w:shd w:val="clear" w:color="auto" w:fill="D2F0FF"/>
          </w:tcPr>
          <w:p>
            <w:pPr>
              <w:jc w:val="right"/>
              <w:ind w:right="32"/>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D2F0FF"/>
            </w:tcBorders>
            <w:shd w:val="clear" w:color="auto" w:fill="D2F0FF"/>
          </w:tcPr>
          <w:p>
            <w:pPr>
              <w:spacing w:after="0"/>
              <w:rPr>
                <w:sz w:val="22"/>
                <w:szCs w:val="22"/>
                <w:color w:val="auto"/>
              </w:rPr>
            </w:pPr>
          </w:p>
        </w:tc>
        <w:tc>
          <w:tcPr>
            <w:tcW w:w="60" w:type="dxa"/>
            <w:vAlign w:val="bottom"/>
            <w:tcBorders>
              <w:bottom w:val="single" w:sz="8" w:color="D2F0FF"/>
            </w:tcBorders>
            <w:shd w:val="clear" w:color="auto" w:fill="D2F0FF"/>
          </w:tcPr>
          <w:p>
            <w:pPr>
              <w:spacing w:after="0"/>
              <w:rPr>
                <w:sz w:val="22"/>
                <w:szCs w:val="22"/>
                <w:color w:val="auto"/>
              </w:rPr>
            </w:pPr>
          </w:p>
        </w:tc>
        <w:tc>
          <w:tcPr>
            <w:tcW w:w="120" w:type="dxa"/>
            <w:vAlign w:val="bottom"/>
            <w:tcBorders>
              <w:bottom w:val="single" w:sz="8" w:color="D2F0FF"/>
            </w:tcBorders>
            <w:shd w:val="clear" w:color="auto" w:fill="D2F0FF"/>
          </w:tcPr>
          <w:p>
            <w:pPr>
              <w:spacing w:after="0"/>
              <w:rPr>
                <w:sz w:val="22"/>
                <w:szCs w:val="22"/>
                <w:color w:val="auto"/>
              </w:rPr>
            </w:pPr>
          </w:p>
        </w:tc>
        <w:tc>
          <w:tcPr>
            <w:tcW w:w="160" w:type="dxa"/>
            <w:vAlign w:val="bottom"/>
            <w:tcBorders>
              <w:bottom w:val="single" w:sz="8" w:color="D2F0FF"/>
            </w:tcBorders>
            <w:shd w:val="clear" w:color="auto" w:fill="D2F0FF"/>
          </w:tcPr>
          <w:p>
            <w:pPr>
              <w:spacing w:after="0"/>
              <w:rPr>
                <w:sz w:val="22"/>
                <w:szCs w:val="22"/>
                <w:color w:val="auto"/>
              </w:rPr>
            </w:pPr>
          </w:p>
        </w:tc>
        <w:tc>
          <w:tcPr>
            <w:tcW w:w="104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3.1 %</w:t>
            </w:r>
          </w:p>
        </w:tc>
      </w:tr>
      <w:tr>
        <w:trPr>
          <w:trHeight w:val="257"/>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Real Property NOI</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141,274</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131,745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9,529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7.2 %</w:t>
            </w:r>
          </w:p>
        </w:tc>
      </w:tr>
      <w:tr>
        <w:trPr>
          <w:trHeight w:val="20"/>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602"/>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7"/>
          </w:tcPr>
          <w:p>
            <w:pPr>
              <w:ind w:left="560"/>
              <w:spacing w:after="0"/>
              <w:rPr>
                <w:sz w:val="20"/>
                <w:szCs w:val="20"/>
                <w:color w:val="auto"/>
              </w:rPr>
            </w:pPr>
            <w:r>
              <w:rPr>
                <w:rFonts w:ascii="Arial" w:cs="Arial" w:eastAsia="Arial" w:hAnsi="Arial"/>
                <w:sz w:val="14"/>
                <w:szCs w:val="14"/>
                <w:b w:val="1"/>
                <w:bCs w:val="1"/>
                <w:color w:val="auto"/>
              </w:rPr>
              <w:t>As of March 31,</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4"/>
        </w:trPr>
        <w:tc>
          <w:tcPr>
            <w:tcW w:w="5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Other Information</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D2F0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D2F0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D2F0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Change</w:t>
            </w:r>
          </w:p>
        </w:tc>
      </w:tr>
      <w:tr>
        <w:trPr>
          <w:trHeight w:val="250"/>
        </w:trPr>
        <w:tc>
          <w:tcPr>
            <w:tcW w:w="596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Number of properties</w:t>
            </w:r>
          </w:p>
        </w:tc>
        <w:tc>
          <w:tcPr>
            <w:tcW w:w="220" w:type="dxa"/>
            <w:vAlign w:val="bottom"/>
            <w:tcBorders>
              <w:bottom w:val="single" w:sz="8" w:color="D2F0FF"/>
            </w:tcBorders>
            <w:shd w:val="clear" w:color="auto" w:fill="D2F0FF"/>
          </w:tcPr>
          <w:p>
            <w:pPr>
              <w:spacing w:after="0"/>
              <w:rPr>
                <w:sz w:val="21"/>
                <w:szCs w:val="21"/>
                <w:color w:val="auto"/>
              </w:rPr>
            </w:pPr>
          </w:p>
        </w:tc>
        <w:tc>
          <w:tcPr>
            <w:tcW w:w="860" w:type="dxa"/>
            <w:vAlign w:val="bottom"/>
            <w:tcBorders>
              <w:bottom w:val="single" w:sz="8" w:color="D2F0FF"/>
            </w:tcBorders>
            <w:shd w:val="clear" w:color="auto" w:fill="D2F0FF"/>
          </w:tcPr>
          <w:p>
            <w:pPr>
              <w:spacing w:after="0"/>
              <w:rPr>
                <w:sz w:val="21"/>
                <w:szCs w:val="21"/>
                <w:color w:val="auto"/>
              </w:rPr>
            </w:pPr>
          </w:p>
        </w:tc>
        <w:tc>
          <w:tcPr>
            <w:tcW w:w="10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120" w:type="dxa"/>
            <w:vAlign w:val="bottom"/>
            <w:tcBorders>
              <w:bottom w:val="single" w:sz="8" w:color="D2F0FF"/>
            </w:tcBorders>
            <w:shd w:val="clear" w:color="auto" w:fill="D2F0FF"/>
          </w:tcPr>
          <w:p>
            <w:pPr>
              <w:spacing w:after="0"/>
              <w:rPr>
                <w:sz w:val="21"/>
                <w:szCs w:val="21"/>
                <w:color w:val="auto"/>
              </w:rPr>
            </w:pPr>
          </w:p>
        </w:tc>
        <w:tc>
          <w:tcPr>
            <w:tcW w:w="26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jc w:val="right"/>
              <w:ind w:right="113"/>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D2F0FF"/>
            </w:tcBorders>
            <w:shd w:val="clear" w:color="auto" w:fill="D2F0FF"/>
          </w:tcPr>
          <w:p>
            <w:pPr>
              <w:spacing w:after="0"/>
              <w:rPr>
                <w:sz w:val="21"/>
                <w:szCs w:val="21"/>
                <w:color w:val="auto"/>
              </w:rPr>
            </w:pPr>
          </w:p>
        </w:tc>
        <w:tc>
          <w:tcPr>
            <w:tcW w:w="26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120" w:type="dxa"/>
            <w:vAlign w:val="bottom"/>
            <w:tcBorders>
              <w:bottom w:val="single" w:sz="8" w:color="D2F0FF"/>
            </w:tcBorders>
            <w:shd w:val="clear" w:color="auto" w:fill="D2F0FF"/>
          </w:tcPr>
          <w:p>
            <w:pPr>
              <w:spacing w:after="0"/>
              <w:rPr>
                <w:sz w:val="21"/>
                <w:szCs w:val="21"/>
                <w:color w:val="auto"/>
              </w:rPr>
            </w:pPr>
          </w:p>
        </w:tc>
        <w:tc>
          <w:tcPr>
            <w:tcW w:w="160" w:type="dxa"/>
            <w:vAlign w:val="bottom"/>
            <w:tcBorders>
              <w:bottom w:val="single" w:sz="8" w:color="D2F0FF"/>
            </w:tcBorders>
            <w:shd w:val="clear" w:color="auto" w:fill="D2F0FF"/>
          </w:tcPr>
          <w:p>
            <w:pPr>
              <w:spacing w:after="0"/>
              <w:rPr>
                <w:sz w:val="21"/>
                <w:szCs w:val="21"/>
                <w:color w:val="auto"/>
              </w:rPr>
            </w:pPr>
          </w:p>
        </w:tc>
        <w:tc>
          <w:tcPr>
            <w:tcW w:w="1040" w:type="dxa"/>
            <w:vAlign w:val="bottom"/>
            <w:tcBorders>
              <w:bottom w:val="single" w:sz="8" w:color="D2F0FF"/>
            </w:tcBorders>
            <w:shd w:val="clear" w:color="auto" w:fill="D2F0FF"/>
          </w:tcPr>
          <w:p>
            <w:pPr>
              <w:jc w:val="right"/>
              <w:ind w:right="92"/>
              <w:spacing w:after="0"/>
              <w:rPr>
                <w:sz w:val="20"/>
                <w:szCs w:val="20"/>
                <w:color w:val="auto"/>
              </w:rPr>
            </w:pPr>
            <w:r>
              <w:rPr>
                <w:rFonts w:ascii="Arial" w:cs="Arial" w:eastAsia="Arial" w:hAnsi="Arial"/>
                <w:sz w:val="18"/>
                <w:szCs w:val="18"/>
                <w:color w:val="auto"/>
              </w:rPr>
              <w:t>—</w:t>
            </w:r>
          </w:p>
        </w:tc>
      </w:tr>
      <w:tr>
        <w:trPr>
          <w:trHeight w:val="270"/>
        </w:trPr>
        <w:tc>
          <w:tcPr>
            <w:tcW w:w="596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5960" w:type="dxa"/>
            <w:vAlign w:val="bottom"/>
            <w:gridSpan w:val="2"/>
            <w:shd w:val="clear" w:color="auto" w:fill="D2F0FF"/>
          </w:tcPr>
          <w:p>
            <w:pPr>
              <w:ind w:left="40"/>
              <w:spacing w:after="0" w:line="270" w:lineRule="exact"/>
              <w:rPr>
                <w:sz w:val="20"/>
                <w:szCs w:val="20"/>
                <w:color w:val="auto"/>
              </w:rPr>
            </w:pPr>
            <w:r>
              <w:rPr>
                <w:rFonts w:ascii="Arial" w:cs="Arial" w:eastAsia="Arial" w:hAnsi="Arial"/>
                <w:sz w:val="18"/>
                <w:szCs w:val="18"/>
                <w:color w:val="auto"/>
              </w:rPr>
              <w:t xml:space="preserve">MH occupancy </w:t>
            </w:r>
            <w:r>
              <w:rPr>
                <w:rFonts w:ascii="Arial" w:cs="Arial" w:eastAsia="Arial" w:hAnsi="Arial"/>
                <w:sz w:val="25"/>
                <w:szCs w:val="25"/>
                <w:color w:val="auto"/>
                <w:vertAlign w:val="superscript"/>
              </w:rPr>
              <w:t>(2)</w:t>
            </w:r>
          </w:p>
        </w:tc>
        <w:tc>
          <w:tcPr>
            <w:tcW w:w="220" w:type="dxa"/>
            <w:vAlign w:val="bottom"/>
            <w:shd w:val="clear" w:color="auto" w:fill="D2F0FF"/>
          </w:tcPr>
          <w:p>
            <w:pPr>
              <w:spacing w:after="0"/>
              <w:rPr>
                <w:sz w:val="23"/>
                <w:szCs w:val="23"/>
                <w:color w:val="auto"/>
              </w:rPr>
            </w:pPr>
          </w:p>
        </w:tc>
        <w:tc>
          <w:tcPr>
            <w:tcW w:w="860" w:type="dxa"/>
            <w:vAlign w:val="bottom"/>
            <w:shd w:val="clear" w:color="auto" w:fill="D2F0FF"/>
          </w:tcPr>
          <w:p>
            <w:pPr>
              <w:spacing w:after="0"/>
              <w:rPr>
                <w:sz w:val="23"/>
                <w:szCs w:val="23"/>
                <w:color w:val="auto"/>
              </w:rPr>
            </w:pPr>
          </w:p>
        </w:tc>
        <w:tc>
          <w:tcPr>
            <w:tcW w:w="100" w:type="dxa"/>
            <w:vAlign w:val="bottom"/>
            <w:shd w:val="clear" w:color="auto" w:fill="D2F0FF"/>
          </w:tcPr>
          <w:p>
            <w:pPr>
              <w:spacing w:after="0"/>
              <w:rPr>
                <w:sz w:val="23"/>
                <w:szCs w:val="23"/>
                <w:color w:val="auto"/>
              </w:rPr>
            </w:pPr>
          </w:p>
        </w:tc>
        <w:tc>
          <w:tcPr>
            <w:tcW w:w="60" w:type="dxa"/>
            <w:vAlign w:val="bottom"/>
            <w:shd w:val="clear" w:color="auto" w:fill="D2F0FF"/>
          </w:tcPr>
          <w:p>
            <w:pPr>
              <w:spacing w:after="0"/>
              <w:rPr>
                <w:sz w:val="23"/>
                <w:szCs w:val="23"/>
                <w:color w:val="auto"/>
              </w:rPr>
            </w:pPr>
          </w:p>
        </w:tc>
        <w:tc>
          <w:tcPr>
            <w:tcW w:w="120" w:type="dxa"/>
            <w:vAlign w:val="bottom"/>
            <w:shd w:val="clear" w:color="auto" w:fill="D2F0FF"/>
          </w:tcPr>
          <w:p>
            <w:pPr>
              <w:spacing w:after="0"/>
              <w:rPr>
                <w:sz w:val="23"/>
                <w:szCs w:val="23"/>
                <w:color w:val="auto"/>
              </w:rPr>
            </w:pPr>
          </w:p>
        </w:tc>
        <w:tc>
          <w:tcPr>
            <w:tcW w:w="260" w:type="dxa"/>
            <w:vAlign w:val="bottom"/>
            <w:shd w:val="clear" w:color="auto" w:fill="D2F0FF"/>
          </w:tcPr>
          <w:p>
            <w:pPr>
              <w:spacing w:after="0"/>
              <w:rPr>
                <w:sz w:val="23"/>
                <w:szCs w:val="23"/>
                <w:color w:val="auto"/>
              </w:rPr>
            </w:pPr>
          </w:p>
        </w:tc>
        <w:tc>
          <w:tcPr>
            <w:tcW w:w="1000" w:type="dxa"/>
            <w:vAlign w:val="bottom"/>
            <w:shd w:val="clear" w:color="auto" w:fill="D2F0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D2F0FF"/>
          </w:tcPr>
          <w:p>
            <w:pPr>
              <w:spacing w:after="0"/>
              <w:rPr>
                <w:sz w:val="23"/>
                <w:szCs w:val="23"/>
                <w:color w:val="auto"/>
              </w:rPr>
            </w:pPr>
          </w:p>
        </w:tc>
        <w:tc>
          <w:tcPr>
            <w:tcW w:w="260" w:type="dxa"/>
            <w:vAlign w:val="bottom"/>
            <w:shd w:val="clear" w:color="auto" w:fill="D2F0FF"/>
          </w:tcPr>
          <w:p>
            <w:pPr>
              <w:spacing w:after="0"/>
              <w:rPr>
                <w:sz w:val="23"/>
                <w:szCs w:val="23"/>
                <w:color w:val="auto"/>
              </w:rPr>
            </w:pPr>
          </w:p>
        </w:tc>
        <w:tc>
          <w:tcPr>
            <w:tcW w:w="1000" w:type="dxa"/>
            <w:vAlign w:val="bottom"/>
            <w:shd w:val="clear" w:color="auto" w:fill="D2F0FF"/>
          </w:tcPr>
          <w:p>
            <w:pPr>
              <w:spacing w:after="0"/>
              <w:rPr>
                <w:sz w:val="23"/>
                <w:szCs w:val="23"/>
                <w:color w:val="auto"/>
              </w:rPr>
            </w:pPr>
          </w:p>
        </w:tc>
        <w:tc>
          <w:tcPr>
            <w:tcW w:w="100" w:type="dxa"/>
            <w:vAlign w:val="bottom"/>
            <w:shd w:val="clear" w:color="auto" w:fill="D2F0FF"/>
          </w:tcPr>
          <w:p>
            <w:pPr>
              <w:spacing w:after="0"/>
              <w:rPr>
                <w:sz w:val="23"/>
                <w:szCs w:val="23"/>
                <w:color w:val="auto"/>
              </w:rPr>
            </w:pPr>
          </w:p>
        </w:tc>
        <w:tc>
          <w:tcPr>
            <w:tcW w:w="60" w:type="dxa"/>
            <w:vAlign w:val="bottom"/>
            <w:shd w:val="clear" w:color="auto" w:fill="D2F0FF"/>
          </w:tcPr>
          <w:p>
            <w:pPr>
              <w:spacing w:after="0"/>
              <w:rPr>
                <w:sz w:val="23"/>
                <w:szCs w:val="23"/>
                <w:color w:val="auto"/>
              </w:rPr>
            </w:pPr>
          </w:p>
        </w:tc>
        <w:tc>
          <w:tcPr>
            <w:tcW w:w="120" w:type="dxa"/>
            <w:vAlign w:val="bottom"/>
            <w:shd w:val="clear" w:color="auto" w:fill="D2F0FF"/>
          </w:tcPr>
          <w:p>
            <w:pPr>
              <w:spacing w:after="0"/>
              <w:rPr>
                <w:sz w:val="23"/>
                <w:szCs w:val="23"/>
                <w:color w:val="auto"/>
              </w:rPr>
            </w:pPr>
          </w:p>
        </w:tc>
        <w:tc>
          <w:tcPr>
            <w:tcW w:w="160" w:type="dxa"/>
            <w:vAlign w:val="bottom"/>
            <w:shd w:val="clear" w:color="auto" w:fill="D2F0FF"/>
          </w:tcPr>
          <w:p>
            <w:pPr>
              <w:spacing w:after="0"/>
              <w:rPr>
                <w:sz w:val="23"/>
                <w:szCs w:val="23"/>
                <w:color w:val="auto"/>
              </w:rPr>
            </w:pPr>
          </w:p>
        </w:tc>
        <w:tc>
          <w:tcPr>
            <w:tcW w:w="1040" w:type="dxa"/>
            <w:vAlign w:val="bottom"/>
            <w:shd w:val="clear" w:color="auto" w:fill="D2F0FF"/>
          </w:tcPr>
          <w:p>
            <w:pPr>
              <w:spacing w:after="0"/>
              <w:rPr>
                <w:sz w:val="23"/>
                <w:szCs w:val="23"/>
                <w:color w:val="auto"/>
              </w:rPr>
            </w:pPr>
          </w:p>
        </w:tc>
      </w:tr>
      <w:tr>
        <w:trPr>
          <w:trHeight w:val="270"/>
        </w:trPr>
        <w:tc>
          <w:tcPr>
            <w:tcW w:w="59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RV occupancy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5960" w:type="dxa"/>
            <w:vAlign w:val="bottom"/>
            <w:gridSpan w:val="2"/>
            <w:shd w:val="clear" w:color="auto" w:fill="D2F0FF"/>
          </w:tcPr>
          <w:p>
            <w:pPr>
              <w:ind w:left="40"/>
              <w:spacing w:after="0" w:line="270" w:lineRule="exact"/>
              <w:rPr>
                <w:sz w:val="20"/>
                <w:szCs w:val="20"/>
                <w:color w:val="auto"/>
              </w:rPr>
            </w:pPr>
            <w:r>
              <w:rPr>
                <w:rFonts w:ascii="Arial" w:cs="Arial" w:eastAsia="Arial" w:hAnsi="Arial"/>
                <w:sz w:val="18"/>
                <w:szCs w:val="18"/>
                <w:color w:val="auto"/>
              </w:rPr>
              <w:t xml:space="preserve">MH &amp; RV blended occupancy </w:t>
            </w:r>
            <w:r>
              <w:rPr>
                <w:rFonts w:ascii="Arial" w:cs="Arial" w:eastAsia="Arial" w:hAnsi="Arial"/>
                <w:sz w:val="25"/>
                <w:szCs w:val="25"/>
                <w:color w:val="auto"/>
                <w:vertAlign w:val="superscript"/>
              </w:rPr>
              <w:t>(2) (3)</w:t>
            </w:r>
          </w:p>
        </w:tc>
        <w:tc>
          <w:tcPr>
            <w:tcW w:w="220" w:type="dxa"/>
            <w:vAlign w:val="bottom"/>
            <w:shd w:val="clear" w:color="auto" w:fill="D2F0FF"/>
          </w:tcPr>
          <w:p>
            <w:pPr>
              <w:spacing w:after="0"/>
              <w:rPr>
                <w:sz w:val="23"/>
                <w:szCs w:val="23"/>
                <w:color w:val="auto"/>
              </w:rPr>
            </w:pPr>
          </w:p>
        </w:tc>
        <w:tc>
          <w:tcPr>
            <w:tcW w:w="860" w:type="dxa"/>
            <w:vAlign w:val="bottom"/>
            <w:shd w:val="clear" w:color="auto" w:fill="D2F0FF"/>
          </w:tcPr>
          <w:p>
            <w:pPr>
              <w:spacing w:after="0"/>
              <w:rPr>
                <w:sz w:val="23"/>
                <w:szCs w:val="23"/>
                <w:color w:val="auto"/>
              </w:rPr>
            </w:pPr>
          </w:p>
        </w:tc>
        <w:tc>
          <w:tcPr>
            <w:tcW w:w="100" w:type="dxa"/>
            <w:vAlign w:val="bottom"/>
            <w:shd w:val="clear" w:color="auto" w:fill="D2F0FF"/>
          </w:tcPr>
          <w:p>
            <w:pPr>
              <w:spacing w:after="0"/>
              <w:rPr>
                <w:sz w:val="23"/>
                <w:szCs w:val="23"/>
                <w:color w:val="auto"/>
              </w:rPr>
            </w:pPr>
          </w:p>
        </w:tc>
        <w:tc>
          <w:tcPr>
            <w:tcW w:w="60" w:type="dxa"/>
            <w:vAlign w:val="bottom"/>
            <w:shd w:val="clear" w:color="auto" w:fill="D2F0FF"/>
          </w:tcPr>
          <w:p>
            <w:pPr>
              <w:spacing w:after="0"/>
              <w:rPr>
                <w:sz w:val="23"/>
                <w:szCs w:val="23"/>
                <w:color w:val="auto"/>
              </w:rPr>
            </w:pPr>
          </w:p>
        </w:tc>
        <w:tc>
          <w:tcPr>
            <w:tcW w:w="120" w:type="dxa"/>
            <w:vAlign w:val="bottom"/>
            <w:shd w:val="clear" w:color="auto" w:fill="D2F0FF"/>
          </w:tcPr>
          <w:p>
            <w:pPr>
              <w:spacing w:after="0"/>
              <w:rPr>
                <w:sz w:val="23"/>
                <w:szCs w:val="23"/>
                <w:color w:val="auto"/>
              </w:rPr>
            </w:pPr>
          </w:p>
        </w:tc>
        <w:tc>
          <w:tcPr>
            <w:tcW w:w="260" w:type="dxa"/>
            <w:vAlign w:val="bottom"/>
            <w:shd w:val="clear" w:color="auto" w:fill="D2F0FF"/>
          </w:tcPr>
          <w:p>
            <w:pPr>
              <w:spacing w:after="0"/>
              <w:rPr>
                <w:sz w:val="23"/>
                <w:szCs w:val="23"/>
                <w:color w:val="auto"/>
              </w:rPr>
            </w:pPr>
          </w:p>
        </w:tc>
        <w:tc>
          <w:tcPr>
            <w:tcW w:w="1000" w:type="dxa"/>
            <w:vAlign w:val="bottom"/>
            <w:shd w:val="clear" w:color="auto" w:fill="D2F0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D2F0FF"/>
          </w:tcPr>
          <w:p>
            <w:pPr>
              <w:spacing w:after="0"/>
              <w:rPr>
                <w:sz w:val="23"/>
                <w:szCs w:val="23"/>
                <w:color w:val="auto"/>
              </w:rPr>
            </w:pPr>
          </w:p>
        </w:tc>
        <w:tc>
          <w:tcPr>
            <w:tcW w:w="260" w:type="dxa"/>
            <w:vAlign w:val="bottom"/>
            <w:shd w:val="clear" w:color="auto" w:fill="D2F0FF"/>
          </w:tcPr>
          <w:p>
            <w:pPr>
              <w:spacing w:after="0"/>
              <w:rPr>
                <w:sz w:val="23"/>
                <w:szCs w:val="23"/>
                <w:color w:val="auto"/>
              </w:rPr>
            </w:pPr>
          </w:p>
        </w:tc>
        <w:tc>
          <w:tcPr>
            <w:tcW w:w="1160" w:type="dxa"/>
            <w:vAlign w:val="bottom"/>
            <w:gridSpan w:val="3"/>
            <w:shd w:val="clear" w:color="auto" w:fill="D2F0FF"/>
          </w:tcPr>
          <w:p>
            <w:pPr>
              <w:jc w:val="right"/>
              <w:ind w:right="20"/>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D2F0FF"/>
          </w:tcPr>
          <w:p>
            <w:pPr>
              <w:spacing w:after="0"/>
              <w:rPr>
                <w:sz w:val="23"/>
                <w:szCs w:val="23"/>
                <w:color w:val="auto"/>
              </w:rPr>
            </w:pPr>
          </w:p>
        </w:tc>
        <w:tc>
          <w:tcPr>
            <w:tcW w:w="160" w:type="dxa"/>
            <w:vAlign w:val="bottom"/>
            <w:shd w:val="clear" w:color="auto" w:fill="D2F0FF"/>
          </w:tcPr>
          <w:p>
            <w:pPr>
              <w:spacing w:after="0"/>
              <w:rPr>
                <w:sz w:val="23"/>
                <w:szCs w:val="23"/>
                <w:color w:val="auto"/>
              </w:rPr>
            </w:pPr>
          </w:p>
        </w:tc>
        <w:tc>
          <w:tcPr>
            <w:tcW w:w="1040" w:type="dxa"/>
            <w:vAlign w:val="bottom"/>
            <w:shd w:val="clear" w:color="auto" w:fill="D2F0FF"/>
          </w:tcPr>
          <w:p>
            <w:pPr>
              <w:jc w:val="right"/>
              <w:spacing w:after="0"/>
              <w:rPr>
                <w:sz w:val="20"/>
                <w:szCs w:val="20"/>
                <w:color w:val="auto"/>
              </w:rPr>
            </w:pPr>
            <w:r>
              <w:rPr>
                <w:rFonts w:ascii="Arial" w:cs="Arial" w:eastAsia="Arial" w:hAnsi="Arial"/>
                <w:sz w:val="18"/>
                <w:szCs w:val="18"/>
                <w:color w:val="auto"/>
              </w:rPr>
              <w:t>2.1%</w:t>
            </w:r>
          </w:p>
        </w:tc>
      </w:tr>
      <w:tr>
        <w:trPr>
          <w:trHeight w:val="189"/>
        </w:trPr>
        <w:tc>
          <w:tcPr>
            <w:tcW w:w="59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0"/>
        </w:trPr>
        <w:tc>
          <w:tcPr>
            <w:tcW w:w="596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Sites available for development</w:t>
            </w:r>
          </w:p>
        </w:tc>
        <w:tc>
          <w:tcPr>
            <w:tcW w:w="220" w:type="dxa"/>
            <w:vAlign w:val="bottom"/>
            <w:tcBorders>
              <w:bottom w:val="single" w:sz="8" w:color="D2F0FF"/>
            </w:tcBorders>
            <w:shd w:val="clear" w:color="auto" w:fill="D2F0FF"/>
          </w:tcPr>
          <w:p>
            <w:pPr>
              <w:spacing w:after="0"/>
              <w:rPr>
                <w:sz w:val="21"/>
                <w:szCs w:val="21"/>
                <w:color w:val="auto"/>
              </w:rPr>
            </w:pPr>
          </w:p>
        </w:tc>
        <w:tc>
          <w:tcPr>
            <w:tcW w:w="860" w:type="dxa"/>
            <w:vAlign w:val="bottom"/>
            <w:tcBorders>
              <w:bottom w:val="single" w:sz="8" w:color="D2F0FF"/>
            </w:tcBorders>
            <w:shd w:val="clear" w:color="auto" w:fill="D2F0FF"/>
          </w:tcPr>
          <w:p>
            <w:pPr>
              <w:spacing w:after="0"/>
              <w:rPr>
                <w:sz w:val="21"/>
                <w:szCs w:val="21"/>
                <w:color w:val="auto"/>
              </w:rPr>
            </w:pPr>
          </w:p>
        </w:tc>
        <w:tc>
          <w:tcPr>
            <w:tcW w:w="10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120" w:type="dxa"/>
            <w:vAlign w:val="bottom"/>
            <w:tcBorders>
              <w:bottom w:val="single" w:sz="8" w:color="D2F0FF"/>
            </w:tcBorders>
            <w:shd w:val="clear" w:color="auto" w:fill="D2F0FF"/>
          </w:tcPr>
          <w:p>
            <w:pPr>
              <w:spacing w:after="0"/>
              <w:rPr>
                <w:sz w:val="21"/>
                <w:szCs w:val="21"/>
                <w:color w:val="auto"/>
              </w:rPr>
            </w:pPr>
          </w:p>
        </w:tc>
        <w:tc>
          <w:tcPr>
            <w:tcW w:w="26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jc w:val="right"/>
              <w:ind w:right="113"/>
              <w:spacing w:after="0"/>
              <w:rPr>
                <w:sz w:val="20"/>
                <w:szCs w:val="20"/>
                <w:color w:val="auto"/>
              </w:rPr>
            </w:pPr>
            <w:r>
              <w:rPr>
                <w:rFonts w:ascii="Arial" w:cs="Arial" w:eastAsia="Arial" w:hAnsi="Arial"/>
                <w:sz w:val="18"/>
                <w:szCs w:val="18"/>
                <w:color w:val="auto"/>
              </w:rPr>
              <w:t>7,296</w:t>
            </w:r>
          </w:p>
        </w:tc>
        <w:tc>
          <w:tcPr>
            <w:tcW w:w="100" w:type="dxa"/>
            <w:vAlign w:val="bottom"/>
            <w:tcBorders>
              <w:bottom w:val="single" w:sz="8" w:color="D2F0FF"/>
            </w:tcBorders>
            <w:shd w:val="clear" w:color="auto" w:fill="D2F0FF"/>
          </w:tcPr>
          <w:p>
            <w:pPr>
              <w:spacing w:after="0"/>
              <w:rPr>
                <w:sz w:val="21"/>
                <w:szCs w:val="21"/>
                <w:color w:val="auto"/>
              </w:rPr>
            </w:pPr>
          </w:p>
        </w:tc>
        <w:tc>
          <w:tcPr>
            <w:tcW w:w="26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7,602</w:t>
            </w:r>
          </w:p>
        </w:tc>
        <w:tc>
          <w:tcPr>
            <w:tcW w:w="10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120" w:type="dxa"/>
            <w:vAlign w:val="bottom"/>
            <w:tcBorders>
              <w:bottom w:val="single" w:sz="8" w:color="D2F0FF"/>
            </w:tcBorders>
            <w:shd w:val="clear" w:color="auto" w:fill="D2F0FF"/>
          </w:tcPr>
          <w:p>
            <w:pPr>
              <w:spacing w:after="0"/>
              <w:rPr>
                <w:sz w:val="21"/>
                <w:szCs w:val="21"/>
                <w:color w:val="auto"/>
              </w:rPr>
            </w:pPr>
          </w:p>
        </w:tc>
        <w:tc>
          <w:tcPr>
            <w:tcW w:w="160" w:type="dxa"/>
            <w:vAlign w:val="bottom"/>
            <w:tcBorders>
              <w:bottom w:val="single" w:sz="8" w:color="D2F0FF"/>
            </w:tcBorders>
            <w:shd w:val="clear" w:color="auto" w:fill="D2F0FF"/>
          </w:tcPr>
          <w:p>
            <w:pPr>
              <w:spacing w:after="0"/>
              <w:rPr>
                <w:sz w:val="21"/>
                <w:szCs w:val="21"/>
                <w:color w:val="auto"/>
              </w:rPr>
            </w:pPr>
          </w:p>
        </w:tc>
        <w:tc>
          <w:tcPr>
            <w:tcW w:w="1040" w:type="dxa"/>
            <w:vAlign w:val="bottom"/>
            <w:tcBorders>
              <w:bottom w:val="single" w:sz="8" w:color="D2F0FF"/>
            </w:tcBorders>
            <w:shd w:val="clear" w:color="auto" w:fill="D2F0FF"/>
          </w:tcPr>
          <w:p>
            <w:pPr>
              <w:jc w:val="right"/>
              <w:ind w:right="32"/>
              <w:spacing w:after="0"/>
              <w:rPr>
                <w:sz w:val="20"/>
                <w:szCs w:val="20"/>
                <w:color w:val="auto"/>
              </w:rPr>
            </w:pPr>
            <w:r>
              <w:rPr>
                <w:rFonts w:ascii="Arial" w:cs="Arial" w:eastAsia="Arial" w:hAnsi="Arial"/>
                <w:sz w:val="18"/>
                <w:szCs w:val="18"/>
                <w:color w:val="auto"/>
              </w:rPr>
              <w:t>(306)</w:t>
            </w:r>
          </w:p>
        </w:tc>
      </w:tr>
      <w:tr>
        <w:trPr>
          <w:trHeight w:val="216"/>
        </w:trPr>
        <w:tc>
          <w:tcPr>
            <w:tcW w:w="59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596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Monthly base rent per site - MH</w:t>
            </w:r>
          </w:p>
        </w:tc>
        <w:tc>
          <w:tcPr>
            <w:tcW w:w="220" w:type="dxa"/>
            <w:vAlign w:val="bottom"/>
            <w:tcBorders>
              <w:bottom w:val="single" w:sz="8" w:color="D2F0FF"/>
            </w:tcBorders>
            <w:shd w:val="clear" w:color="auto" w:fill="D2F0FF"/>
          </w:tcPr>
          <w:p>
            <w:pPr>
              <w:spacing w:after="0"/>
              <w:rPr>
                <w:sz w:val="21"/>
                <w:szCs w:val="21"/>
                <w:color w:val="auto"/>
              </w:rPr>
            </w:pPr>
          </w:p>
        </w:tc>
        <w:tc>
          <w:tcPr>
            <w:tcW w:w="860" w:type="dxa"/>
            <w:vAlign w:val="bottom"/>
            <w:tcBorders>
              <w:bottom w:val="single" w:sz="8" w:color="D2F0FF"/>
            </w:tcBorders>
            <w:shd w:val="clear" w:color="auto" w:fill="D2F0FF"/>
          </w:tcPr>
          <w:p>
            <w:pPr>
              <w:spacing w:after="0"/>
              <w:rPr>
                <w:sz w:val="21"/>
                <w:szCs w:val="21"/>
                <w:color w:val="auto"/>
              </w:rPr>
            </w:pPr>
          </w:p>
        </w:tc>
        <w:tc>
          <w:tcPr>
            <w:tcW w:w="100" w:type="dxa"/>
            <w:vAlign w:val="bottom"/>
            <w:tcBorders>
              <w:bottom w:val="single" w:sz="8" w:color="D2F0FF"/>
            </w:tcBorders>
            <w:shd w:val="clear" w:color="auto" w:fill="D2F0FF"/>
          </w:tcPr>
          <w:p>
            <w:pPr>
              <w:spacing w:after="0"/>
              <w:rPr>
                <w:sz w:val="21"/>
                <w:szCs w:val="21"/>
                <w:color w:val="auto"/>
              </w:rPr>
            </w:pPr>
          </w:p>
        </w:tc>
        <w:tc>
          <w:tcPr>
            <w:tcW w:w="180" w:type="dxa"/>
            <w:vAlign w:val="bottom"/>
            <w:tcBorders>
              <w:bottom w:val="single" w:sz="8" w:color="D2F0FF"/>
            </w:tcBorders>
            <w:gridSpan w:val="2"/>
            <w:shd w:val="clear" w:color="auto" w:fill="D2F0FF"/>
          </w:tcPr>
          <w:p>
            <w:pPr>
              <w:jc w:val="right"/>
              <w:ind w:right="6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jc w:val="right"/>
              <w:ind w:right="113"/>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D2F0FF"/>
            </w:tcBorders>
            <w:shd w:val="clear" w:color="auto" w:fill="D2F0FF"/>
          </w:tcPr>
          <w:p>
            <w:pPr>
              <w:spacing w:after="0"/>
              <w:rPr>
                <w:sz w:val="21"/>
                <w:szCs w:val="21"/>
                <w:color w:val="auto"/>
              </w:rPr>
            </w:pPr>
          </w:p>
        </w:tc>
        <w:tc>
          <w:tcPr>
            <w:tcW w:w="260" w:type="dxa"/>
            <w:vAlign w:val="bottom"/>
            <w:tcBorders>
              <w:bottom w:val="single" w:sz="8" w:color="D2F0FF"/>
            </w:tcBorders>
            <w:shd w:val="clear" w:color="auto" w:fill="D2F0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D2F0FF"/>
            </w:tcBorders>
            <w:shd w:val="clear" w:color="auto" w:fill="D2F0FF"/>
          </w:tcPr>
          <w:p>
            <w:pPr>
              <w:spacing w:after="0"/>
              <w:rPr>
                <w:sz w:val="21"/>
                <w:szCs w:val="21"/>
                <w:color w:val="auto"/>
              </w:rPr>
            </w:pPr>
          </w:p>
        </w:tc>
        <w:tc>
          <w:tcPr>
            <w:tcW w:w="60" w:type="dxa"/>
            <w:vAlign w:val="bottom"/>
            <w:tcBorders>
              <w:bottom w:val="single" w:sz="8" w:color="D2F0FF"/>
            </w:tcBorders>
            <w:shd w:val="clear" w:color="auto" w:fill="D2F0FF"/>
          </w:tcPr>
          <w:p>
            <w:pPr>
              <w:spacing w:after="0"/>
              <w:rPr>
                <w:sz w:val="21"/>
                <w:szCs w:val="21"/>
                <w:color w:val="auto"/>
              </w:rPr>
            </w:pPr>
          </w:p>
        </w:tc>
        <w:tc>
          <w:tcPr>
            <w:tcW w:w="120" w:type="dxa"/>
            <w:vAlign w:val="bottom"/>
            <w:tcBorders>
              <w:bottom w:val="single" w:sz="8" w:color="D2F0FF"/>
            </w:tcBorders>
            <w:shd w:val="clear" w:color="auto" w:fill="D2F0FF"/>
          </w:tcPr>
          <w:p>
            <w:pPr>
              <w:spacing w:after="0"/>
              <w:rPr>
                <w:sz w:val="21"/>
                <w:szCs w:val="21"/>
                <w:color w:val="auto"/>
              </w:rPr>
            </w:pPr>
          </w:p>
        </w:tc>
        <w:tc>
          <w:tcPr>
            <w:tcW w:w="16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D2F0FF"/>
            </w:tcBorders>
            <w:shd w:val="clear" w:color="auto" w:fill="D2F0FF"/>
          </w:tcPr>
          <w:p>
            <w:pPr>
              <w:jc w:val="right"/>
              <w:ind w:right="92"/>
              <w:spacing w:after="0"/>
              <w:rPr>
                <w:sz w:val="20"/>
                <w:szCs w:val="20"/>
                <w:color w:val="auto"/>
              </w:rPr>
            </w:pPr>
            <w:r>
              <w:rPr>
                <w:rFonts w:ascii="Arial" w:cs="Arial" w:eastAsia="Arial" w:hAnsi="Arial"/>
                <w:sz w:val="18"/>
                <w:szCs w:val="18"/>
                <w:color w:val="auto"/>
              </w:rPr>
              <w:t>22</w:t>
            </w:r>
          </w:p>
        </w:tc>
      </w:tr>
      <w:tr>
        <w:trPr>
          <w:trHeight w:val="270"/>
        </w:trPr>
        <w:tc>
          <w:tcPr>
            <w:tcW w:w="59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Monthly base rent per site - RV </w:t>
            </w:r>
            <w:r>
              <w:rPr>
                <w:rFonts w:ascii="Arial" w:cs="Arial" w:eastAsia="Arial" w:hAnsi="Arial"/>
                <w:sz w:val="25"/>
                <w:szCs w:val="25"/>
                <w:color w:val="auto"/>
                <w:vertAlign w:val="superscript"/>
              </w:rPr>
              <w:t>(4)</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3"/>
                <w:szCs w:val="23"/>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23</w:t>
            </w:r>
          </w:p>
        </w:tc>
      </w:tr>
      <w:tr>
        <w:trPr>
          <w:trHeight w:val="243"/>
        </w:trPr>
        <w:tc>
          <w:tcPr>
            <w:tcW w:w="5960" w:type="dxa"/>
            <w:vAlign w:val="bottom"/>
            <w:gridSpan w:val="2"/>
            <w:shd w:val="clear" w:color="auto" w:fill="D2F0FF"/>
          </w:tcPr>
          <w:p>
            <w:pPr>
              <w:ind w:left="40"/>
              <w:spacing w:after="0"/>
              <w:rPr>
                <w:sz w:val="20"/>
                <w:szCs w:val="20"/>
                <w:color w:val="auto"/>
              </w:rPr>
            </w:pPr>
            <w:r>
              <w:rPr>
                <w:rFonts w:ascii="Arial" w:cs="Arial" w:eastAsia="Arial" w:hAnsi="Arial"/>
                <w:sz w:val="18"/>
                <w:szCs w:val="18"/>
                <w:color w:val="auto"/>
              </w:rPr>
              <w:t>Monthly base rent per site - Total</w:t>
            </w:r>
          </w:p>
        </w:tc>
        <w:tc>
          <w:tcPr>
            <w:tcW w:w="220" w:type="dxa"/>
            <w:vAlign w:val="bottom"/>
            <w:shd w:val="clear" w:color="auto" w:fill="D2F0FF"/>
          </w:tcPr>
          <w:p>
            <w:pPr>
              <w:spacing w:after="0"/>
              <w:rPr>
                <w:sz w:val="21"/>
                <w:szCs w:val="21"/>
                <w:color w:val="auto"/>
              </w:rPr>
            </w:pPr>
          </w:p>
        </w:tc>
        <w:tc>
          <w:tcPr>
            <w:tcW w:w="860" w:type="dxa"/>
            <w:vAlign w:val="bottom"/>
            <w:shd w:val="clear" w:color="auto" w:fill="D2F0FF"/>
          </w:tcPr>
          <w:p>
            <w:pPr>
              <w:spacing w:after="0"/>
              <w:rPr>
                <w:sz w:val="21"/>
                <w:szCs w:val="21"/>
                <w:color w:val="auto"/>
              </w:rPr>
            </w:pPr>
          </w:p>
        </w:tc>
        <w:tc>
          <w:tcPr>
            <w:tcW w:w="100" w:type="dxa"/>
            <w:vAlign w:val="bottom"/>
            <w:shd w:val="clear" w:color="auto" w:fill="D2F0FF"/>
          </w:tcPr>
          <w:p>
            <w:pPr>
              <w:spacing w:after="0"/>
              <w:rPr>
                <w:sz w:val="21"/>
                <w:szCs w:val="21"/>
                <w:color w:val="auto"/>
              </w:rPr>
            </w:pPr>
          </w:p>
        </w:tc>
        <w:tc>
          <w:tcPr>
            <w:tcW w:w="180" w:type="dxa"/>
            <w:vAlign w:val="bottom"/>
            <w:gridSpan w:val="2"/>
            <w:shd w:val="clear" w:color="auto" w:fill="D2F0FF"/>
          </w:tcPr>
          <w:p>
            <w:pPr>
              <w:jc w:val="right"/>
              <w:ind w:right="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D2F0FF"/>
          </w:tcPr>
          <w:p>
            <w:pPr>
              <w:spacing w:after="0"/>
              <w:rPr>
                <w:sz w:val="21"/>
                <w:szCs w:val="21"/>
                <w:color w:val="auto"/>
              </w:rPr>
            </w:pPr>
          </w:p>
        </w:tc>
        <w:tc>
          <w:tcPr>
            <w:tcW w:w="1000" w:type="dxa"/>
            <w:vAlign w:val="bottom"/>
            <w:shd w:val="clear" w:color="auto" w:fill="D2F0FF"/>
          </w:tcPr>
          <w:p>
            <w:pPr>
              <w:jc w:val="right"/>
              <w:ind w:right="113"/>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D2F0FF"/>
          </w:tcPr>
          <w:p>
            <w:pPr>
              <w:spacing w:after="0"/>
              <w:rPr>
                <w:sz w:val="21"/>
                <w:szCs w:val="21"/>
                <w:color w:val="auto"/>
              </w:rPr>
            </w:pPr>
          </w:p>
        </w:tc>
        <w:tc>
          <w:tcPr>
            <w:tcW w:w="260" w:type="dxa"/>
            <w:vAlign w:val="bottom"/>
            <w:shd w:val="clear" w:color="auto" w:fill="D2F0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2F0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D2F0FF"/>
          </w:tcPr>
          <w:p>
            <w:pPr>
              <w:spacing w:after="0"/>
              <w:rPr>
                <w:sz w:val="21"/>
                <w:szCs w:val="21"/>
                <w:color w:val="auto"/>
              </w:rPr>
            </w:pPr>
          </w:p>
        </w:tc>
        <w:tc>
          <w:tcPr>
            <w:tcW w:w="60" w:type="dxa"/>
            <w:vAlign w:val="bottom"/>
            <w:shd w:val="clear" w:color="auto" w:fill="D2F0FF"/>
          </w:tcPr>
          <w:p>
            <w:pPr>
              <w:spacing w:after="0"/>
              <w:rPr>
                <w:sz w:val="21"/>
                <w:szCs w:val="21"/>
                <w:color w:val="auto"/>
              </w:rPr>
            </w:pPr>
          </w:p>
        </w:tc>
        <w:tc>
          <w:tcPr>
            <w:tcW w:w="120" w:type="dxa"/>
            <w:vAlign w:val="bottom"/>
            <w:shd w:val="clear" w:color="auto" w:fill="D2F0FF"/>
          </w:tcPr>
          <w:p>
            <w:pPr>
              <w:spacing w:after="0"/>
              <w:rPr>
                <w:sz w:val="21"/>
                <w:szCs w:val="21"/>
                <w:color w:val="auto"/>
              </w:rPr>
            </w:pPr>
          </w:p>
        </w:tc>
        <w:tc>
          <w:tcPr>
            <w:tcW w:w="160" w:type="dxa"/>
            <w:vAlign w:val="bottom"/>
            <w:shd w:val="clear" w:color="auto" w:fill="D2F0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2F0FF"/>
          </w:tcPr>
          <w:p>
            <w:pPr>
              <w:jc w:val="right"/>
              <w:ind w:right="92"/>
              <w:spacing w:after="0"/>
              <w:rPr>
                <w:sz w:val="20"/>
                <w:szCs w:val="20"/>
                <w:color w:val="auto"/>
              </w:rPr>
            </w:pPr>
            <w:r>
              <w:rPr>
                <w:rFonts w:ascii="Arial" w:cs="Arial" w:eastAsia="Arial" w:hAnsi="Arial"/>
                <w:sz w:val="18"/>
                <w:szCs w:val="18"/>
                <w:color w:val="auto"/>
              </w:rPr>
              <w:t>22</w:t>
            </w:r>
          </w:p>
        </w:tc>
      </w:tr>
      <w:tr>
        <w:trPr>
          <w:trHeight w:val="27"/>
        </w:trPr>
        <w:tc>
          <w:tcPr>
            <w:tcW w:w="5840" w:type="dxa"/>
            <w:vAlign w:val="bottom"/>
            <w:shd w:val="clear" w:color="auto" w:fill="D2F0FF"/>
          </w:tcPr>
          <w:p>
            <w:pPr>
              <w:spacing w:after="0"/>
              <w:rPr>
                <w:sz w:val="2"/>
                <w:szCs w:val="2"/>
                <w:color w:val="auto"/>
              </w:rPr>
            </w:pPr>
          </w:p>
        </w:tc>
        <w:tc>
          <w:tcPr>
            <w:tcW w:w="120" w:type="dxa"/>
            <w:vAlign w:val="bottom"/>
            <w:shd w:val="clear" w:color="auto" w:fill="D2F0FF"/>
          </w:tcPr>
          <w:p>
            <w:pPr>
              <w:spacing w:after="0"/>
              <w:rPr>
                <w:sz w:val="2"/>
                <w:szCs w:val="2"/>
                <w:color w:val="auto"/>
              </w:rPr>
            </w:pPr>
          </w:p>
        </w:tc>
        <w:tc>
          <w:tcPr>
            <w:tcW w:w="220" w:type="dxa"/>
            <w:vAlign w:val="bottom"/>
            <w:shd w:val="clear" w:color="auto" w:fill="D2F0FF"/>
          </w:tcPr>
          <w:p>
            <w:pPr>
              <w:spacing w:after="0"/>
              <w:rPr>
                <w:sz w:val="2"/>
                <w:szCs w:val="2"/>
                <w:color w:val="auto"/>
              </w:rPr>
            </w:pPr>
          </w:p>
        </w:tc>
        <w:tc>
          <w:tcPr>
            <w:tcW w:w="860" w:type="dxa"/>
            <w:vAlign w:val="bottom"/>
            <w:shd w:val="clear" w:color="auto" w:fill="D2F0FF"/>
          </w:tcPr>
          <w:p>
            <w:pPr>
              <w:spacing w:after="0"/>
              <w:rPr>
                <w:sz w:val="2"/>
                <w:szCs w:val="2"/>
                <w:color w:val="auto"/>
              </w:rPr>
            </w:pPr>
          </w:p>
        </w:tc>
        <w:tc>
          <w:tcPr>
            <w:tcW w:w="100" w:type="dxa"/>
            <w:vAlign w:val="bottom"/>
            <w:shd w:val="clear" w:color="auto" w:fill="D2F0FF"/>
          </w:tcPr>
          <w:p>
            <w:pPr>
              <w:spacing w:after="0"/>
              <w:rPr>
                <w:sz w:val="2"/>
                <w:szCs w:val="2"/>
                <w:color w:val="auto"/>
              </w:rPr>
            </w:pPr>
          </w:p>
        </w:tc>
        <w:tc>
          <w:tcPr>
            <w:tcW w:w="60" w:type="dxa"/>
            <w:vAlign w:val="bottom"/>
            <w:shd w:val="clear" w:color="auto" w:fill="D2F0FF"/>
          </w:tcPr>
          <w:p>
            <w:pPr>
              <w:spacing w:after="0"/>
              <w:rPr>
                <w:sz w:val="2"/>
                <w:szCs w:val="2"/>
                <w:color w:val="auto"/>
              </w:rPr>
            </w:pPr>
          </w:p>
        </w:tc>
        <w:tc>
          <w:tcPr>
            <w:tcW w:w="120" w:type="dxa"/>
            <w:vAlign w:val="bottom"/>
            <w:shd w:val="clear" w:color="auto" w:fill="D2F0FF"/>
          </w:tcPr>
          <w:p>
            <w:pPr>
              <w:spacing w:after="0"/>
              <w:rPr>
                <w:sz w:val="2"/>
                <w:szCs w:val="2"/>
                <w:color w:val="auto"/>
              </w:rPr>
            </w:pPr>
          </w:p>
        </w:tc>
        <w:tc>
          <w:tcPr>
            <w:tcW w:w="260" w:type="dxa"/>
            <w:vAlign w:val="bottom"/>
            <w:shd w:val="clear" w:color="auto" w:fill="D2F0FF"/>
          </w:tcPr>
          <w:p>
            <w:pPr>
              <w:spacing w:after="0"/>
              <w:rPr>
                <w:sz w:val="2"/>
                <w:szCs w:val="2"/>
                <w:color w:val="auto"/>
              </w:rPr>
            </w:pPr>
          </w:p>
        </w:tc>
        <w:tc>
          <w:tcPr>
            <w:tcW w:w="1000" w:type="dxa"/>
            <w:vAlign w:val="bottom"/>
            <w:shd w:val="clear" w:color="auto" w:fill="D2F0FF"/>
          </w:tcPr>
          <w:p>
            <w:pPr>
              <w:spacing w:after="0"/>
              <w:rPr>
                <w:sz w:val="2"/>
                <w:szCs w:val="2"/>
                <w:color w:val="auto"/>
              </w:rPr>
            </w:pPr>
          </w:p>
        </w:tc>
        <w:tc>
          <w:tcPr>
            <w:tcW w:w="100" w:type="dxa"/>
            <w:vAlign w:val="bottom"/>
            <w:shd w:val="clear" w:color="auto" w:fill="D2F0FF"/>
          </w:tcPr>
          <w:p>
            <w:pPr>
              <w:spacing w:after="0"/>
              <w:rPr>
                <w:sz w:val="2"/>
                <w:szCs w:val="2"/>
                <w:color w:val="auto"/>
              </w:rPr>
            </w:pPr>
          </w:p>
        </w:tc>
        <w:tc>
          <w:tcPr>
            <w:tcW w:w="260" w:type="dxa"/>
            <w:vAlign w:val="bottom"/>
            <w:shd w:val="clear" w:color="auto" w:fill="D2F0FF"/>
          </w:tcPr>
          <w:p>
            <w:pPr>
              <w:spacing w:after="0"/>
              <w:rPr>
                <w:sz w:val="2"/>
                <w:szCs w:val="2"/>
                <w:color w:val="auto"/>
              </w:rPr>
            </w:pPr>
          </w:p>
        </w:tc>
        <w:tc>
          <w:tcPr>
            <w:tcW w:w="1000" w:type="dxa"/>
            <w:vAlign w:val="bottom"/>
            <w:shd w:val="clear" w:color="auto" w:fill="D2F0FF"/>
          </w:tcPr>
          <w:p>
            <w:pPr>
              <w:spacing w:after="0"/>
              <w:rPr>
                <w:sz w:val="2"/>
                <w:szCs w:val="2"/>
                <w:color w:val="auto"/>
              </w:rPr>
            </w:pPr>
          </w:p>
        </w:tc>
        <w:tc>
          <w:tcPr>
            <w:tcW w:w="100" w:type="dxa"/>
            <w:vAlign w:val="bottom"/>
            <w:shd w:val="clear" w:color="auto" w:fill="D2F0FF"/>
          </w:tcPr>
          <w:p>
            <w:pPr>
              <w:spacing w:after="0"/>
              <w:rPr>
                <w:sz w:val="2"/>
                <w:szCs w:val="2"/>
                <w:color w:val="auto"/>
              </w:rPr>
            </w:pPr>
          </w:p>
        </w:tc>
        <w:tc>
          <w:tcPr>
            <w:tcW w:w="60" w:type="dxa"/>
            <w:vAlign w:val="bottom"/>
            <w:shd w:val="clear" w:color="auto" w:fill="D2F0FF"/>
          </w:tcPr>
          <w:p>
            <w:pPr>
              <w:spacing w:after="0"/>
              <w:rPr>
                <w:sz w:val="2"/>
                <w:szCs w:val="2"/>
                <w:color w:val="auto"/>
              </w:rPr>
            </w:pPr>
          </w:p>
        </w:tc>
        <w:tc>
          <w:tcPr>
            <w:tcW w:w="120" w:type="dxa"/>
            <w:vAlign w:val="bottom"/>
            <w:shd w:val="clear" w:color="auto" w:fill="D2F0FF"/>
          </w:tcPr>
          <w:p>
            <w:pPr>
              <w:spacing w:after="0"/>
              <w:rPr>
                <w:sz w:val="2"/>
                <w:szCs w:val="2"/>
                <w:color w:val="auto"/>
              </w:rPr>
            </w:pPr>
          </w:p>
        </w:tc>
        <w:tc>
          <w:tcPr>
            <w:tcW w:w="160" w:type="dxa"/>
            <w:vAlign w:val="bottom"/>
            <w:shd w:val="clear" w:color="auto" w:fill="D2F0FF"/>
          </w:tcPr>
          <w:p>
            <w:pPr>
              <w:spacing w:after="0"/>
              <w:rPr>
                <w:sz w:val="2"/>
                <w:szCs w:val="2"/>
                <w:color w:val="auto"/>
              </w:rPr>
            </w:pPr>
          </w:p>
        </w:tc>
        <w:tc>
          <w:tcPr>
            <w:tcW w:w="1040" w:type="dxa"/>
            <w:vAlign w:val="bottom"/>
            <w:shd w:val="clear" w:color="auto" w:fill="D2F0FF"/>
          </w:tcPr>
          <w:p>
            <w:pPr>
              <w:spacing w:after="0"/>
              <w:rPr>
                <w:sz w:val="2"/>
                <w:szCs w:val="2"/>
                <w:color w:val="auto"/>
              </w:rPr>
            </w:pPr>
          </w:p>
        </w:tc>
      </w:tr>
    </w:tbl>
    <w:p>
      <w:pPr>
        <w:spacing w:after="0" w:line="179" w:lineRule="exact"/>
        <w:rPr>
          <w:sz w:val="20"/>
          <w:szCs w:val="20"/>
          <w:color w:val="auto"/>
        </w:rPr>
      </w:pPr>
    </w:p>
    <w:p>
      <w:pPr>
        <w:jc w:val="both"/>
        <w:ind w:left="340" w:hanging="332"/>
        <w:spacing w:after="0" w:line="224"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The Company adopted ASC 842, the new leasing standard, as of January 1, 2019 which required the reclassification of bad debt expense from Property operating expense to Income from real property. To assist with comparability within Same Community results, bad debt expense has been reclassified to be shown as a reduction of Income from real property for all periods presented.</w:t>
      </w:r>
    </w:p>
    <w:p>
      <w:pPr>
        <w:spacing w:after="0" w:line="1" w:lineRule="exact"/>
        <w:rPr>
          <w:rFonts w:ascii="Arial" w:cs="Arial" w:eastAsia="Arial" w:hAnsi="Arial"/>
          <w:sz w:val="22"/>
          <w:szCs w:val="22"/>
          <w:color w:val="auto"/>
          <w:vertAlign w:val="superscript"/>
        </w:rPr>
      </w:pPr>
    </w:p>
    <w:p>
      <w:pPr>
        <w:ind w:left="340" w:hanging="332"/>
        <w:spacing w:after="0" w:line="187" w:lineRule="auto"/>
        <w:tabs>
          <w:tab w:leader="none" w:pos="340"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The occupancy percentage includes MH and annual RV sites, and excludes recently completed but vacant expansion sites and transient RV sites.</w:t>
      </w:r>
    </w:p>
    <w:p>
      <w:pPr>
        <w:ind w:left="340" w:right="20" w:hanging="332"/>
        <w:spacing w:after="0" w:line="207"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The occupancy percentage for 2018 has been adjusted to reflect incremental growth period-over-period from filled MH expansion sites and the conversion of transient RV sites to annual RV sites.</w:t>
      </w:r>
    </w:p>
    <w:p>
      <w:pPr>
        <w:spacing w:after="0" w:line="1" w:lineRule="exact"/>
        <w:rPr>
          <w:rFonts w:ascii="Arial" w:cs="Arial" w:eastAsia="Arial" w:hAnsi="Arial"/>
          <w:sz w:val="22"/>
          <w:szCs w:val="22"/>
          <w:color w:val="auto"/>
          <w:vertAlign w:val="superscript"/>
        </w:rPr>
      </w:pPr>
    </w:p>
    <w:p>
      <w:pPr>
        <w:ind w:left="340" w:hanging="332"/>
        <w:spacing w:after="0" w:line="182"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Monthly base rent pertains to annual RV sites and excludes transient RV sites.</w:t>
      </w:r>
    </w:p>
    <w:p>
      <w:pPr>
        <w:spacing w:after="0" w:line="1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7.2 percent growth in NOI is primarily due to increased Income from real property of $11.3 million, or 6.0 percent. The 6.0 percent increase is primarily attributable to a 2.1 percent increase in occupancy and a 4.2 percent increase in total monthly base</w:t>
      </w:r>
    </w:p>
    <w:p>
      <w:pPr>
        <w:sectPr>
          <w:pgSz w:w="11900" w:h="16838" w:orient="portrait"/>
          <w:cols w:equalWidth="0" w:num="1">
            <w:col w:w="11420"/>
          </w:cols>
          <w:pgMar w:left="240" w:top="80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800" w:right="239" w:bottom="1440" w:gutter="0" w:footer="0" w:header="0"/>
          <w:type w:val="continuous"/>
        </w:sectPr>
      </w:pPr>
    </w:p>
    <w:bookmarkStart w:id="37" w:name="page38"/>
    <w:bookmarkEnd w:id="37"/>
    <w:p>
      <w:pPr>
        <w:spacing w:after="0" w:line="308" w:lineRule="auto"/>
        <w:rPr>
          <w:sz w:val="20"/>
          <w:szCs w:val="20"/>
          <w:color w:val="auto"/>
        </w:rPr>
      </w:pPr>
      <w:r>
        <w:rPr>
          <w:rFonts w:ascii="Arial" w:cs="Arial" w:eastAsia="Arial" w:hAnsi="Arial"/>
          <w:sz w:val="17"/>
          <w:szCs w:val="17"/>
          <w:color w:val="auto"/>
        </w:rPr>
        <w:t>rent per site when compared to the same period in 2018. The increase in Income from real property was partially offset by a $1.7 million, or 3.1 percent, increase in Property operating expenses, primarily attributable to increases in Payroll and benefits, Real estate taxes, and Supplies and repair.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HOME SALES AND RENTALS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purchase new homes and acquire pre-owned and repossessed manufactured homes, generally located within our communities, from lenders, dealers, and former residents to sell or lease to current and prospective residents.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certain financial and statistical information for our Home Sales Program for the three months ended March 31, 2019 and 2018 (in thousands, except for average selling prices and statistical information):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Information</w:t>
            </w:r>
          </w:p>
        </w:tc>
        <w:tc>
          <w:tcPr>
            <w:tcW w:w="100" w:type="dxa"/>
            <w:vAlign w:val="bottom"/>
            <w:tcBorders>
              <w:bottom w:val="single" w:sz="8" w:color="D2F0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D2F0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D2F0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D2F0FF"/>
            </w:tcBorders>
          </w:tcPr>
          <w:p>
            <w:pPr>
              <w:spacing w:after="0"/>
              <w:rPr>
                <w:sz w:val="22"/>
                <w:szCs w:val="22"/>
                <w:color w:val="auto"/>
              </w:rPr>
            </w:pP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00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New home sales</w:t>
            </w:r>
          </w:p>
        </w:tc>
        <w:tc>
          <w:tcPr>
            <w:tcW w:w="260" w:type="dxa"/>
            <w:vAlign w:val="bottom"/>
            <w:tcBorders>
              <w:bottom w:val="single" w:sz="8" w:color="D2F0FF"/>
            </w:tcBorders>
            <w:shd w:val="clear" w:color="auto" w:fill="D2F0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D2F0FF"/>
            </w:tcBorders>
            <w:shd w:val="clear" w:color="auto" w:fill="D2F0FF"/>
          </w:tcPr>
          <w:p>
            <w:pPr>
              <w:jc w:val="right"/>
              <w:ind w:right="92"/>
              <w:spacing w:after="0"/>
              <w:rPr>
                <w:sz w:val="20"/>
                <w:szCs w:val="20"/>
                <w:color w:val="auto"/>
              </w:rPr>
            </w:pPr>
            <w:r>
              <w:rPr>
                <w:rFonts w:ascii="Arial" w:cs="Arial" w:eastAsia="Arial" w:hAnsi="Arial"/>
                <w:sz w:val="18"/>
                <w:szCs w:val="18"/>
                <w:color w:val="auto"/>
              </w:rPr>
              <w:t>15,381</w:t>
            </w:r>
          </w:p>
        </w:tc>
        <w:tc>
          <w:tcPr>
            <w:tcW w:w="120" w:type="dxa"/>
            <w:vAlign w:val="bottom"/>
            <w:tcBorders>
              <w:bottom w:val="single" w:sz="8" w:color="D2F0FF"/>
            </w:tcBorders>
            <w:shd w:val="clear" w:color="auto" w:fill="D2F0FF"/>
          </w:tcPr>
          <w:p>
            <w:pPr>
              <w:spacing w:after="0"/>
              <w:rPr>
                <w:sz w:val="21"/>
                <w:szCs w:val="21"/>
                <w:color w:val="auto"/>
              </w:rPr>
            </w:pPr>
          </w:p>
        </w:tc>
        <w:tc>
          <w:tcPr>
            <w:tcW w:w="320" w:type="dxa"/>
            <w:vAlign w:val="bottom"/>
            <w:tcBorders>
              <w:bottom w:val="single" w:sz="8" w:color="D2F0FF"/>
            </w:tcBorders>
            <w:shd w:val="clear" w:color="auto" w:fill="D2F0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D2F0FF"/>
            </w:tcBorders>
            <w:shd w:val="clear" w:color="auto" w:fill="D2F0FF"/>
          </w:tcPr>
          <w:p>
            <w:pPr>
              <w:jc w:val="right"/>
              <w:ind w:right="91"/>
              <w:spacing w:after="0"/>
              <w:rPr>
                <w:sz w:val="20"/>
                <w:szCs w:val="20"/>
                <w:color w:val="auto"/>
              </w:rPr>
            </w:pPr>
            <w:r>
              <w:rPr>
                <w:rFonts w:ascii="Arial" w:cs="Arial" w:eastAsia="Arial" w:hAnsi="Arial"/>
                <w:sz w:val="18"/>
                <w:szCs w:val="18"/>
                <w:color w:val="auto"/>
              </w:rPr>
              <w:t>11,893</w:t>
            </w:r>
          </w:p>
        </w:tc>
        <w:tc>
          <w:tcPr>
            <w:tcW w:w="100" w:type="dxa"/>
            <w:vAlign w:val="bottom"/>
            <w:tcBorders>
              <w:bottom w:val="single" w:sz="8" w:color="D2F0FF"/>
            </w:tcBorders>
            <w:shd w:val="clear" w:color="auto" w:fill="D2F0FF"/>
          </w:tcPr>
          <w:p>
            <w:pPr>
              <w:spacing w:after="0"/>
              <w:rPr>
                <w:sz w:val="21"/>
                <w:szCs w:val="21"/>
                <w:color w:val="auto"/>
              </w:rPr>
            </w:pPr>
          </w:p>
        </w:tc>
        <w:tc>
          <w:tcPr>
            <w:tcW w:w="240" w:type="dxa"/>
            <w:vAlign w:val="bottom"/>
            <w:tcBorders>
              <w:bottom w:val="single" w:sz="8" w:color="D2F0FF"/>
            </w:tcBorders>
            <w:shd w:val="clear" w:color="auto" w:fill="D2F0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D2F0FF"/>
            </w:tcBorders>
            <w:shd w:val="clear" w:color="auto" w:fill="D2F0FF"/>
          </w:tcPr>
          <w:p>
            <w:pPr>
              <w:jc w:val="right"/>
              <w:ind w:right="91"/>
              <w:spacing w:after="0"/>
              <w:rPr>
                <w:sz w:val="20"/>
                <w:szCs w:val="20"/>
                <w:color w:val="auto"/>
              </w:rPr>
            </w:pPr>
            <w:r>
              <w:rPr>
                <w:rFonts w:ascii="Arial" w:cs="Arial" w:eastAsia="Arial" w:hAnsi="Arial"/>
                <w:sz w:val="18"/>
                <w:szCs w:val="18"/>
                <w:color w:val="auto"/>
              </w:rPr>
              <w:t>3,488</w:t>
            </w:r>
          </w:p>
        </w:tc>
        <w:tc>
          <w:tcPr>
            <w:tcW w:w="1360" w:type="dxa"/>
            <w:vAlign w:val="bottom"/>
            <w:tcBorders>
              <w:bottom w:val="single" w:sz="8" w:color="D2F0FF"/>
            </w:tcBorders>
            <w:gridSpan w:val="2"/>
            <w:shd w:val="clear" w:color="auto" w:fill="D2F0FF"/>
          </w:tcPr>
          <w:p>
            <w:pPr>
              <w:jc w:val="right"/>
              <w:spacing w:after="0"/>
              <w:rPr>
                <w:sz w:val="20"/>
                <w:szCs w:val="20"/>
                <w:color w:val="auto"/>
              </w:rPr>
            </w:pPr>
            <w:r>
              <w:rPr>
                <w:rFonts w:ascii="Arial" w:cs="Arial" w:eastAsia="Arial" w:hAnsi="Arial"/>
                <w:sz w:val="18"/>
                <w:szCs w:val="18"/>
                <w:color w:val="auto"/>
              </w:rPr>
              <w:t>29.3 %</w:t>
            </w: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Pre-owned home sales</w:t>
            </w:r>
          </w:p>
        </w:tc>
        <w:tc>
          <w:tcPr>
            <w:tcW w:w="26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24,237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23,007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1,230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5.3 %</w:t>
            </w:r>
          </w:p>
        </w:tc>
      </w:tr>
      <w:tr>
        <w:trPr>
          <w:trHeight w:val="27"/>
        </w:trPr>
        <w:tc>
          <w:tcPr>
            <w:tcW w:w="5900" w:type="dxa"/>
            <w:vAlign w:val="bottom"/>
            <w:tcBorders>
              <w:bottom w:val="single" w:sz="8" w:color="D2F0FF"/>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D2F0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D2F0FF"/>
            </w:tcBorders>
          </w:tcPr>
          <w:p>
            <w:pPr>
              <w:spacing w:after="0"/>
              <w:rPr>
                <w:sz w:val="2"/>
                <w:szCs w:val="2"/>
                <w:color w:val="auto"/>
              </w:rPr>
            </w:pPr>
          </w:p>
        </w:tc>
        <w:tc>
          <w:tcPr>
            <w:tcW w:w="1240" w:type="dxa"/>
            <w:vAlign w:val="bottom"/>
            <w:tcBorders>
              <w:bottom w:val="single" w:sz="8" w:color="D2F0FF"/>
            </w:tcBorders>
          </w:tcPr>
          <w:p>
            <w:pPr>
              <w:spacing w:after="0"/>
              <w:rPr>
                <w:sz w:val="2"/>
                <w:szCs w:val="2"/>
                <w:color w:val="auto"/>
              </w:rPr>
            </w:pPr>
          </w:p>
        </w:tc>
      </w:tr>
      <w:tr>
        <w:trPr>
          <w:trHeight w:val="244"/>
        </w:trPr>
        <w:tc>
          <w:tcPr>
            <w:tcW w:w="6000" w:type="dxa"/>
            <w:vAlign w:val="bottom"/>
            <w:tcBorders>
              <w:bottom w:val="single" w:sz="8" w:color="D2F0FF"/>
            </w:tcBorders>
            <w:gridSpan w:val="2"/>
            <w:shd w:val="clear" w:color="auto" w:fill="D2F0FF"/>
          </w:tcPr>
          <w:p>
            <w:pPr>
              <w:ind w:left="600"/>
              <w:spacing w:after="0"/>
              <w:rPr>
                <w:sz w:val="20"/>
                <w:szCs w:val="20"/>
                <w:color w:val="auto"/>
              </w:rPr>
            </w:pPr>
            <w:r>
              <w:rPr>
                <w:rFonts w:ascii="Arial" w:cs="Arial" w:eastAsia="Arial" w:hAnsi="Arial"/>
                <w:sz w:val="18"/>
                <w:szCs w:val="18"/>
                <w:color w:val="auto"/>
              </w:rPr>
              <w:t>Revenue from home sales</w:t>
            </w:r>
          </w:p>
        </w:tc>
        <w:tc>
          <w:tcPr>
            <w:tcW w:w="260" w:type="dxa"/>
            <w:vAlign w:val="bottom"/>
            <w:tcBorders>
              <w:bottom w:val="single" w:sz="8" w:color="D2F0FF"/>
            </w:tcBorders>
            <w:shd w:val="clear" w:color="auto" w:fill="D2F0FF"/>
          </w:tcPr>
          <w:p>
            <w:pPr>
              <w:spacing w:after="0"/>
              <w:rPr>
                <w:sz w:val="21"/>
                <w:szCs w:val="21"/>
                <w:color w:val="auto"/>
              </w:rPr>
            </w:pPr>
          </w:p>
        </w:tc>
        <w:tc>
          <w:tcPr>
            <w:tcW w:w="1060" w:type="dxa"/>
            <w:vAlign w:val="bottom"/>
            <w:tcBorders>
              <w:bottom w:val="single" w:sz="8" w:color="D2F0FF"/>
            </w:tcBorders>
            <w:shd w:val="clear" w:color="auto" w:fill="D2F0FF"/>
          </w:tcPr>
          <w:p>
            <w:pPr>
              <w:jc w:val="right"/>
              <w:ind w:right="92"/>
              <w:spacing w:after="0"/>
              <w:rPr>
                <w:sz w:val="20"/>
                <w:szCs w:val="20"/>
                <w:color w:val="auto"/>
              </w:rPr>
            </w:pPr>
            <w:r>
              <w:rPr>
                <w:rFonts w:ascii="Arial" w:cs="Arial" w:eastAsia="Arial" w:hAnsi="Arial"/>
                <w:sz w:val="18"/>
                <w:szCs w:val="18"/>
                <w:color w:val="auto"/>
              </w:rPr>
              <w:t>39,618</w:t>
            </w:r>
          </w:p>
        </w:tc>
        <w:tc>
          <w:tcPr>
            <w:tcW w:w="120" w:type="dxa"/>
            <w:vAlign w:val="bottom"/>
            <w:tcBorders>
              <w:bottom w:val="single" w:sz="8" w:color="D2F0FF"/>
            </w:tcBorders>
            <w:shd w:val="clear" w:color="auto" w:fill="D2F0FF"/>
          </w:tcPr>
          <w:p>
            <w:pPr>
              <w:spacing w:after="0"/>
              <w:rPr>
                <w:sz w:val="21"/>
                <w:szCs w:val="21"/>
                <w:color w:val="auto"/>
              </w:rPr>
            </w:pPr>
          </w:p>
        </w:tc>
        <w:tc>
          <w:tcPr>
            <w:tcW w:w="32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jc w:val="right"/>
              <w:ind w:right="91"/>
              <w:spacing w:after="0"/>
              <w:rPr>
                <w:sz w:val="20"/>
                <w:szCs w:val="20"/>
                <w:color w:val="auto"/>
              </w:rPr>
            </w:pPr>
            <w:r>
              <w:rPr>
                <w:rFonts w:ascii="Arial" w:cs="Arial" w:eastAsia="Arial" w:hAnsi="Arial"/>
                <w:sz w:val="18"/>
                <w:szCs w:val="18"/>
                <w:color w:val="auto"/>
              </w:rPr>
              <w:t>34,900</w:t>
            </w:r>
          </w:p>
        </w:tc>
        <w:tc>
          <w:tcPr>
            <w:tcW w:w="100" w:type="dxa"/>
            <w:vAlign w:val="bottom"/>
            <w:tcBorders>
              <w:bottom w:val="single" w:sz="8" w:color="D2F0FF"/>
            </w:tcBorders>
            <w:shd w:val="clear" w:color="auto" w:fill="D2F0FF"/>
          </w:tcPr>
          <w:p>
            <w:pPr>
              <w:spacing w:after="0"/>
              <w:rPr>
                <w:sz w:val="21"/>
                <w:szCs w:val="21"/>
                <w:color w:val="auto"/>
              </w:rPr>
            </w:pPr>
          </w:p>
        </w:tc>
        <w:tc>
          <w:tcPr>
            <w:tcW w:w="240" w:type="dxa"/>
            <w:vAlign w:val="bottom"/>
            <w:tcBorders>
              <w:bottom w:val="single" w:sz="8" w:color="D2F0FF"/>
            </w:tcBorders>
            <w:shd w:val="clear" w:color="auto" w:fill="D2F0FF"/>
          </w:tcPr>
          <w:p>
            <w:pPr>
              <w:spacing w:after="0"/>
              <w:rPr>
                <w:sz w:val="21"/>
                <w:szCs w:val="21"/>
                <w:color w:val="auto"/>
              </w:rPr>
            </w:pPr>
          </w:p>
        </w:tc>
        <w:tc>
          <w:tcPr>
            <w:tcW w:w="960" w:type="dxa"/>
            <w:vAlign w:val="bottom"/>
            <w:tcBorders>
              <w:bottom w:val="single" w:sz="8" w:color="D2F0FF"/>
            </w:tcBorders>
            <w:shd w:val="clear" w:color="auto" w:fill="D2F0FF"/>
          </w:tcPr>
          <w:p>
            <w:pPr>
              <w:jc w:val="right"/>
              <w:ind w:right="91"/>
              <w:spacing w:after="0"/>
              <w:rPr>
                <w:sz w:val="20"/>
                <w:szCs w:val="20"/>
                <w:color w:val="auto"/>
              </w:rPr>
            </w:pPr>
            <w:r>
              <w:rPr>
                <w:rFonts w:ascii="Arial" w:cs="Arial" w:eastAsia="Arial" w:hAnsi="Arial"/>
                <w:sz w:val="18"/>
                <w:szCs w:val="18"/>
                <w:color w:val="auto"/>
              </w:rPr>
              <w:t>4,718</w:t>
            </w:r>
          </w:p>
        </w:tc>
        <w:tc>
          <w:tcPr>
            <w:tcW w:w="1360" w:type="dxa"/>
            <w:vAlign w:val="bottom"/>
            <w:tcBorders>
              <w:bottom w:val="single" w:sz="8" w:color="D2F0FF"/>
            </w:tcBorders>
            <w:gridSpan w:val="2"/>
            <w:shd w:val="clear" w:color="auto" w:fill="D2F0FF"/>
          </w:tcPr>
          <w:p>
            <w:pPr>
              <w:jc w:val="right"/>
              <w:spacing w:after="0"/>
              <w:rPr>
                <w:sz w:val="20"/>
                <w:szCs w:val="20"/>
                <w:color w:val="auto"/>
              </w:rPr>
            </w:pPr>
            <w:r>
              <w:rPr>
                <w:rFonts w:ascii="Arial" w:cs="Arial" w:eastAsia="Arial" w:hAnsi="Arial"/>
                <w:sz w:val="18"/>
                <w:szCs w:val="18"/>
                <w:color w:val="auto"/>
              </w:rPr>
              <w:t>13.5 %</w:t>
            </w:r>
          </w:p>
        </w:tc>
      </w:tr>
      <w:tr>
        <w:trPr>
          <w:trHeight w:val="324"/>
        </w:trPr>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00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New home cost of sales</w:t>
            </w:r>
          </w:p>
        </w:tc>
        <w:tc>
          <w:tcPr>
            <w:tcW w:w="260" w:type="dxa"/>
            <w:vAlign w:val="bottom"/>
            <w:tcBorders>
              <w:bottom w:val="single" w:sz="8" w:color="D2F0FF"/>
            </w:tcBorders>
            <w:shd w:val="clear" w:color="auto" w:fill="D2F0FF"/>
          </w:tcPr>
          <w:p>
            <w:pPr>
              <w:spacing w:after="0"/>
              <w:rPr>
                <w:sz w:val="21"/>
                <w:szCs w:val="21"/>
                <w:color w:val="auto"/>
              </w:rPr>
            </w:pPr>
          </w:p>
        </w:tc>
        <w:tc>
          <w:tcPr>
            <w:tcW w:w="1060" w:type="dxa"/>
            <w:vAlign w:val="bottom"/>
            <w:tcBorders>
              <w:bottom w:val="single" w:sz="8" w:color="D2F0FF"/>
            </w:tcBorders>
            <w:shd w:val="clear" w:color="auto" w:fill="D2F0FF"/>
          </w:tcPr>
          <w:p>
            <w:pPr>
              <w:jc w:val="right"/>
              <w:ind w:right="92"/>
              <w:spacing w:after="0"/>
              <w:rPr>
                <w:sz w:val="20"/>
                <w:szCs w:val="20"/>
                <w:color w:val="auto"/>
              </w:rPr>
            </w:pPr>
            <w:r>
              <w:rPr>
                <w:rFonts w:ascii="Arial" w:cs="Arial" w:eastAsia="Arial" w:hAnsi="Arial"/>
                <w:sz w:val="18"/>
                <w:szCs w:val="18"/>
                <w:color w:val="auto"/>
              </w:rPr>
              <w:t>13,146</w:t>
            </w:r>
          </w:p>
        </w:tc>
        <w:tc>
          <w:tcPr>
            <w:tcW w:w="120" w:type="dxa"/>
            <w:vAlign w:val="bottom"/>
            <w:tcBorders>
              <w:bottom w:val="single" w:sz="8" w:color="D2F0FF"/>
            </w:tcBorders>
            <w:shd w:val="clear" w:color="auto" w:fill="D2F0FF"/>
          </w:tcPr>
          <w:p>
            <w:pPr>
              <w:spacing w:after="0"/>
              <w:rPr>
                <w:sz w:val="21"/>
                <w:szCs w:val="21"/>
                <w:color w:val="auto"/>
              </w:rPr>
            </w:pPr>
          </w:p>
        </w:tc>
        <w:tc>
          <w:tcPr>
            <w:tcW w:w="32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jc w:val="right"/>
              <w:ind w:right="91"/>
              <w:spacing w:after="0"/>
              <w:rPr>
                <w:sz w:val="20"/>
                <w:szCs w:val="20"/>
                <w:color w:val="auto"/>
              </w:rPr>
            </w:pPr>
            <w:r>
              <w:rPr>
                <w:rFonts w:ascii="Arial" w:cs="Arial" w:eastAsia="Arial" w:hAnsi="Arial"/>
                <w:sz w:val="18"/>
                <w:szCs w:val="18"/>
                <w:color w:val="auto"/>
              </w:rPr>
              <w:t>10,197</w:t>
            </w:r>
          </w:p>
        </w:tc>
        <w:tc>
          <w:tcPr>
            <w:tcW w:w="100" w:type="dxa"/>
            <w:vAlign w:val="bottom"/>
            <w:tcBorders>
              <w:bottom w:val="single" w:sz="8" w:color="D2F0FF"/>
            </w:tcBorders>
            <w:shd w:val="clear" w:color="auto" w:fill="D2F0FF"/>
          </w:tcPr>
          <w:p>
            <w:pPr>
              <w:spacing w:after="0"/>
              <w:rPr>
                <w:sz w:val="21"/>
                <w:szCs w:val="21"/>
                <w:color w:val="auto"/>
              </w:rPr>
            </w:pPr>
          </w:p>
        </w:tc>
        <w:tc>
          <w:tcPr>
            <w:tcW w:w="240" w:type="dxa"/>
            <w:vAlign w:val="bottom"/>
            <w:tcBorders>
              <w:bottom w:val="single" w:sz="8" w:color="D2F0FF"/>
            </w:tcBorders>
            <w:shd w:val="clear" w:color="auto" w:fill="D2F0FF"/>
          </w:tcPr>
          <w:p>
            <w:pPr>
              <w:spacing w:after="0"/>
              <w:rPr>
                <w:sz w:val="21"/>
                <w:szCs w:val="21"/>
                <w:color w:val="auto"/>
              </w:rPr>
            </w:pPr>
          </w:p>
        </w:tc>
        <w:tc>
          <w:tcPr>
            <w:tcW w:w="960" w:type="dxa"/>
            <w:vAlign w:val="bottom"/>
            <w:tcBorders>
              <w:bottom w:val="single" w:sz="8" w:color="D2F0FF"/>
            </w:tcBorders>
            <w:shd w:val="clear" w:color="auto" w:fill="D2F0FF"/>
          </w:tcPr>
          <w:p>
            <w:pPr>
              <w:jc w:val="right"/>
              <w:ind w:right="91"/>
              <w:spacing w:after="0"/>
              <w:rPr>
                <w:sz w:val="20"/>
                <w:szCs w:val="20"/>
                <w:color w:val="auto"/>
              </w:rPr>
            </w:pPr>
            <w:r>
              <w:rPr>
                <w:rFonts w:ascii="Arial" w:cs="Arial" w:eastAsia="Arial" w:hAnsi="Arial"/>
                <w:sz w:val="18"/>
                <w:szCs w:val="18"/>
                <w:color w:val="auto"/>
              </w:rPr>
              <w:t>2,949</w:t>
            </w:r>
          </w:p>
        </w:tc>
        <w:tc>
          <w:tcPr>
            <w:tcW w:w="1360" w:type="dxa"/>
            <w:vAlign w:val="bottom"/>
            <w:tcBorders>
              <w:bottom w:val="single" w:sz="8" w:color="D2F0FF"/>
            </w:tcBorders>
            <w:gridSpan w:val="2"/>
            <w:shd w:val="clear" w:color="auto" w:fill="D2F0FF"/>
          </w:tcPr>
          <w:p>
            <w:pPr>
              <w:jc w:val="right"/>
              <w:spacing w:after="0"/>
              <w:rPr>
                <w:sz w:val="20"/>
                <w:szCs w:val="20"/>
                <w:color w:val="auto"/>
              </w:rPr>
            </w:pPr>
            <w:r>
              <w:rPr>
                <w:rFonts w:ascii="Arial" w:cs="Arial" w:eastAsia="Arial" w:hAnsi="Arial"/>
                <w:sz w:val="18"/>
                <w:szCs w:val="18"/>
                <w:color w:val="auto"/>
              </w:rPr>
              <w:t>28.9 %</w:t>
            </w: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Pre-owned home cost of sales</w:t>
            </w:r>
          </w:p>
        </w:tc>
        <w:tc>
          <w:tcPr>
            <w:tcW w:w="26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16,131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16,374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900" w:type="dxa"/>
            <w:vAlign w:val="bottom"/>
            <w:tcBorders>
              <w:bottom w:val="single" w:sz="8" w:color="D2F0FF"/>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D2F0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F0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D2F0FF"/>
            </w:tcBorders>
          </w:tcPr>
          <w:p>
            <w:pPr>
              <w:spacing w:after="0"/>
              <w:rPr>
                <w:sz w:val="2"/>
                <w:szCs w:val="2"/>
                <w:color w:val="auto"/>
              </w:rPr>
            </w:pPr>
          </w:p>
        </w:tc>
        <w:tc>
          <w:tcPr>
            <w:tcW w:w="1240" w:type="dxa"/>
            <w:vAlign w:val="bottom"/>
            <w:tcBorders>
              <w:bottom w:val="single" w:sz="8" w:color="D2F0FF"/>
            </w:tcBorders>
          </w:tcPr>
          <w:p>
            <w:pPr>
              <w:spacing w:after="0"/>
              <w:rPr>
                <w:sz w:val="2"/>
                <w:szCs w:val="2"/>
                <w:color w:val="auto"/>
              </w:rPr>
            </w:pPr>
          </w:p>
        </w:tc>
      </w:tr>
      <w:tr>
        <w:trPr>
          <w:trHeight w:val="264"/>
        </w:trPr>
        <w:tc>
          <w:tcPr>
            <w:tcW w:w="6000" w:type="dxa"/>
            <w:vAlign w:val="bottom"/>
            <w:tcBorders>
              <w:bottom w:val="single" w:sz="8" w:color="D2F0FF"/>
            </w:tcBorders>
            <w:gridSpan w:val="2"/>
            <w:shd w:val="clear" w:color="auto" w:fill="D2F0FF"/>
          </w:tcPr>
          <w:p>
            <w:pPr>
              <w:ind w:left="600"/>
              <w:spacing w:after="0"/>
              <w:rPr>
                <w:sz w:val="20"/>
                <w:szCs w:val="20"/>
                <w:color w:val="auto"/>
              </w:rPr>
            </w:pPr>
            <w:r>
              <w:rPr>
                <w:rFonts w:ascii="Arial" w:cs="Arial" w:eastAsia="Arial" w:hAnsi="Arial"/>
                <w:sz w:val="18"/>
                <w:szCs w:val="18"/>
                <w:color w:val="auto"/>
              </w:rPr>
              <w:t>Cost of home sales</w:t>
            </w:r>
          </w:p>
        </w:tc>
        <w:tc>
          <w:tcPr>
            <w:tcW w:w="260" w:type="dxa"/>
            <w:vAlign w:val="bottom"/>
            <w:tcBorders>
              <w:bottom w:val="single" w:sz="8" w:color="D2F0FF"/>
            </w:tcBorders>
            <w:shd w:val="clear" w:color="auto" w:fill="D2F0FF"/>
          </w:tcPr>
          <w:p>
            <w:pPr>
              <w:spacing w:after="0"/>
              <w:rPr>
                <w:sz w:val="22"/>
                <w:szCs w:val="22"/>
                <w:color w:val="auto"/>
              </w:rPr>
            </w:pPr>
          </w:p>
        </w:tc>
        <w:tc>
          <w:tcPr>
            <w:tcW w:w="1060" w:type="dxa"/>
            <w:vAlign w:val="bottom"/>
            <w:tcBorders>
              <w:bottom w:val="single" w:sz="8" w:color="D2F0FF"/>
            </w:tcBorders>
            <w:shd w:val="clear" w:color="auto" w:fill="D2F0FF"/>
          </w:tcPr>
          <w:p>
            <w:pPr>
              <w:jc w:val="right"/>
              <w:ind w:right="92"/>
              <w:spacing w:after="0"/>
              <w:rPr>
                <w:sz w:val="20"/>
                <w:szCs w:val="20"/>
                <w:color w:val="auto"/>
              </w:rPr>
            </w:pPr>
            <w:r>
              <w:rPr>
                <w:rFonts w:ascii="Arial" w:cs="Arial" w:eastAsia="Arial" w:hAnsi="Arial"/>
                <w:sz w:val="18"/>
                <w:szCs w:val="18"/>
                <w:color w:val="auto"/>
              </w:rPr>
              <w:t>29,277</w:t>
            </w:r>
          </w:p>
        </w:tc>
        <w:tc>
          <w:tcPr>
            <w:tcW w:w="120" w:type="dxa"/>
            <w:vAlign w:val="bottom"/>
            <w:tcBorders>
              <w:bottom w:val="single" w:sz="8" w:color="D2F0FF"/>
            </w:tcBorders>
            <w:shd w:val="clear" w:color="auto" w:fill="D2F0FF"/>
          </w:tcPr>
          <w:p>
            <w:pPr>
              <w:spacing w:after="0"/>
              <w:rPr>
                <w:sz w:val="22"/>
                <w:szCs w:val="22"/>
                <w:color w:val="auto"/>
              </w:rPr>
            </w:pPr>
          </w:p>
        </w:tc>
        <w:tc>
          <w:tcPr>
            <w:tcW w:w="320" w:type="dxa"/>
            <w:vAlign w:val="bottom"/>
            <w:tcBorders>
              <w:bottom w:val="single" w:sz="8" w:color="D2F0FF"/>
            </w:tcBorders>
            <w:shd w:val="clear" w:color="auto" w:fill="D2F0FF"/>
          </w:tcPr>
          <w:p>
            <w:pPr>
              <w:spacing w:after="0"/>
              <w:rPr>
                <w:sz w:val="22"/>
                <w:szCs w:val="22"/>
                <w:color w:val="auto"/>
              </w:rPr>
            </w:pPr>
          </w:p>
        </w:tc>
        <w:tc>
          <w:tcPr>
            <w:tcW w:w="1000" w:type="dxa"/>
            <w:vAlign w:val="bottom"/>
            <w:tcBorders>
              <w:bottom w:val="single" w:sz="8" w:color="D2F0FF"/>
            </w:tcBorders>
            <w:shd w:val="clear" w:color="auto" w:fill="D2F0FF"/>
          </w:tcPr>
          <w:p>
            <w:pPr>
              <w:jc w:val="right"/>
              <w:ind w:right="91"/>
              <w:spacing w:after="0"/>
              <w:rPr>
                <w:sz w:val="20"/>
                <w:szCs w:val="20"/>
                <w:color w:val="auto"/>
              </w:rPr>
            </w:pPr>
            <w:r>
              <w:rPr>
                <w:rFonts w:ascii="Arial" w:cs="Arial" w:eastAsia="Arial" w:hAnsi="Arial"/>
                <w:sz w:val="18"/>
                <w:szCs w:val="18"/>
                <w:color w:val="auto"/>
              </w:rPr>
              <w:t>26,571</w:t>
            </w:r>
          </w:p>
        </w:tc>
        <w:tc>
          <w:tcPr>
            <w:tcW w:w="100" w:type="dxa"/>
            <w:vAlign w:val="bottom"/>
            <w:tcBorders>
              <w:bottom w:val="single" w:sz="8" w:color="D2F0FF"/>
            </w:tcBorders>
            <w:shd w:val="clear" w:color="auto" w:fill="D2F0FF"/>
          </w:tcPr>
          <w:p>
            <w:pPr>
              <w:spacing w:after="0"/>
              <w:rPr>
                <w:sz w:val="22"/>
                <w:szCs w:val="22"/>
                <w:color w:val="auto"/>
              </w:rPr>
            </w:pPr>
          </w:p>
        </w:tc>
        <w:tc>
          <w:tcPr>
            <w:tcW w:w="240" w:type="dxa"/>
            <w:vAlign w:val="bottom"/>
            <w:tcBorders>
              <w:bottom w:val="single" w:sz="8" w:color="D2F0FF"/>
            </w:tcBorders>
            <w:shd w:val="clear" w:color="auto" w:fill="D2F0FF"/>
          </w:tcPr>
          <w:p>
            <w:pPr>
              <w:spacing w:after="0"/>
              <w:rPr>
                <w:sz w:val="22"/>
                <w:szCs w:val="22"/>
                <w:color w:val="auto"/>
              </w:rPr>
            </w:pPr>
          </w:p>
        </w:tc>
        <w:tc>
          <w:tcPr>
            <w:tcW w:w="960" w:type="dxa"/>
            <w:vAlign w:val="bottom"/>
            <w:tcBorders>
              <w:bottom w:val="single" w:sz="8" w:color="D2F0FF"/>
            </w:tcBorders>
            <w:shd w:val="clear" w:color="auto" w:fill="D2F0FF"/>
          </w:tcPr>
          <w:p>
            <w:pPr>
              <w:jc w:val="right"/>
              <w:ind w:right="91"/>
              <w:spacing w:after="0"/>
              <w:rPr>
                <w:sz w:val="20"/>
                <w:szCs w:val="20"/>
                <w:color w:val="auto"/>
              </w:rPr>
            </w:pPr>
            <w:r>
              <w:rPr>
                <w:rFonts w:ascii="Arial" w:cs="Arial" w:eastAsia="Arial" w:hAnsi="Arial"/>
                <w:sz w:val="18"/>
                <w:szCs w:val="18"/>
                <w:color w:val="auto"/>
              </w:rPr>
              <w:t>2,706</w:t>
            </w:r>
          </w:p>
        </w:tc>
        <w:tc>
          <w:tcPr>
            <w:tcW w:w="1360" w:type="dxa"/>
            <w:vAlign w:val="bottom"/>
            <w:tcBorders>
              <w:bottom w:val="single" w:sz="8" w:color="D2F0FF"/>
            </w:tcBorders>
            <w:gridSpan w:val="2"/>
            <w:shd w:val="clear" w:color="auto" w:fill="D2F0FF"/>
          </w:tcPr>
          <w:p>
            <w:pPr>
              <w:jc w:val="right"/>
              <w:spacing w:after="0"/>
              <w:rPr>
                <w:sz w:val="20"/>
                <w:szCs w:val="20"/>
                <w:color w:val="auto"/>
              </w:rPr>
            </w:pPr>
            <w:r>
              <w:rPr>
                <w:rFonts w:ascii="Arial" w:cs="Arial" w:eastAsia="Arial" w:hAnsi="Arial"/>
                <w:sz w:val="18"/>
                <w:szCs w:val="18"/>
                <w:color w:val="auto"/>
              </w:rPr>
              <w:t>10.2 %</w:t>
            </w:r>
          </w:p>
        </w:tc>
      </w:tr>
      <w:tr>
        <w:trPr>
          <w:trHeight w:val="297"/>
        </w:trPr>
        <w:tc>
          <w:tcPr>
            <w:tcW w:w="6000" w:type="dxa"/>
            <w:vAlign w:val="bottom"/>
            <w:tcBorders>
              <w:bottom w:val="single" w:sz="8" w:color="D2F0FF"/>
            </w:tcBorders>
            <w:gridSpan w:val="2"/>
          </w:tcPr>
          <w:p>
            <w:pPr>
              <w:ind w:left="600"/>
              <w:spacing w:after="0"/>
              <w:rPr>
                <w:sz w:val="20"/>
                <w:szCs w:val="20"/>
                <w:color w:val="auto"/>
              </w:rPr>
            </w:pPr>
            <w:r>
              <w:rPr>
                <w:rFonts w:ascii="Arial" w:cs="Arial" w:eastAsia="Arial" w:hAnsi="Arial"/>
                <w:sz w:val="18"/>
                <w:szCs w:val="18"/>
                <w:color w:val="auto"/>
              </w:rPr>
              <w:t>NOI / Gross profit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10,341</w:t>
            </w:r>
          </w:p>
        </w:tc>
        <w:tc>
          <w:tcPr>
            <w:tcW w:w="120" w:type="dxa"/>
            <w:vAlign w:val="bottom"/>
            <w:tcBorders>
              <w:bottom w:val="single" w:sz="8" w:color="D2F0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8,329</w:t>
            </w:r>
          </w:p>
        </w:tc>
        <w:tc>
          <w:tcPr>
            <w:tcW w:w="100" w:type="dxa"/>
            <w:vAlign w:val="bottom"/>
            <w:tcBorders>
              <w:bottom w:val="single" w:sz="8" w:color="D2F0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2,012</w:t>
            </w:r>
          </w:p>
        </w:tc>
        <w:tc>
          <w:tcPr>
            <w:tcW w:w="1360" w:type="dxa"/>
            <w:vAlign w:val="bottom"/>
            <w:tcBorders>
              <w:bottom w:val="single" w:sz="8" w:color="D2F0FF"/>
            </w:tcBorders>
            <w:gridSpan w:val="2"/>
          </w:tcPr>
          <w:p>
            <w:pPr>
              <w:jc w:val="right"/>
              <w:spacing w:after="0"/>
              <w:rPr>
                <w:sz w:val="20"/>
                <w:szCs w:val="20"/>
                <w:color w:val="auto"/>
              </w:rPr>
            </w:pPr>
            <w:r>
              <w:rPr>
                <w:rFonts w:ascii="Arial" w:cs="Arial" w:eastAsia="Arial" w:hAnsi="Arial"/>
                <w:sz w:val="18"/>
                <w:szCs w:val="18"/>
                <w:color w:val="auto"/>
              </w:rPr>
              <w:t>24.2 %</w:t>
            </w:r>
          </w:p>
        </w:tc>
      </w:tr>
      <w:tr>
        <w:trPr>
          <w:trHeight w:val="311"/>
        </w:trPr>
        <w:tc>
          <w:tcPr>
            <w:tcW w:w="5900" w:type="dxa"/>
            <w:vAlign w:val="bottom"/>
            <w:shd w:val="clear" w:color="auto" w:fill="D2F0FF"/>
          </w:tcPr>
          <w:p>
            <w:pPr>
              <w:spacing w:after="0"/>
              <w:rPr>
                <w:sz w:val="24"/>
                <w:szCs w:val="24"/>
                <w:color w:val="auto"/>
              </w:rPr>
            </w:pPr>
          </w:p>
        </w:tc>
        <w:tc>
          <w:tcPr>
            <w:tcW w:w="100" w:type="dxa"/>
            <w:vAlign w:val="bottom"/>
            <w:shd w:val="clear" w:color="auto" w:fill="D2F0FF"/>
          </w:tcPr>
          <w:p>
            <w:pPr>
              <w:spacing w:after="0"/>
              <w:rPr>
                <w:sz w:val="24"/>
                <w:szCs w:val="24"/>
                <w:color w:val="auto"/>
              </w:rPr>
            </w:pPr>
          </w:p>
        </w:tc>
        <w:tc>
          <w:tcPr>
            <w:tcW w:w="260" w:type="dxa"/>
            <w:vAlign w:val="bottom"/>
            <w:shd w:val="clear" w:color="auto" w:fill="D2F0FF"/>
          </w:tcPr>
          <w:p>
            <w:pPr>
              <w:spacing w:after="0"/>
              <w:rPr>
                <w:sz w:val="24"/>
                <w:szCs w:val="24"/>
                <w:color w:val="auto"/>
              </w:rPr>
            </w:pPr>
          </w:p>
        </w:tc>
        <w:tc>
          <w:tcPr>
            <w:tcW w:w="1060" w:type="dxa"/>
            <w:vAlign w:val="bottom"/>
            <w:shd w:val="clear" w:color="auto" w:fill="D2F0FF"/>
          </w:tcPr>
          <w:p>
            <w:pPr>
              <w:spacing w:after="0"/>
              <w:rPr>
                <w:sz w:val="24"/>
                <w:szCs w:val="24"/>
                <w:color w:val="auto"/>
              </w:rPr>
            </w:pPr>
          </w:p>
        </w:tc>
        <w:tc>
          <w:tcPr>
            <w:tcW w:w="120" w:type="dxa"/>
            <w:vAlign w:val="bottom"/>
            <w:shd w:val="clear" w:color="auto" w:fill="D2F0FF"/>
          </w:tcPr>
          <w:p>
            <w:pPr>
              <w:spacing w:after="0"/>
              <w:rPr>
                <w:sz w:val="24"/>
                <w:szCs w:val="24"/>
                <w:color w:val="auto"/>
              </w:rPr>
            </w:pPr>
          </w:p>
        </w:tc>
        <w:tc>
          <w:tcPr>
            <w:tcW w:w="320" w:type="dxa"/>
            <w:vAlign w:val="bottom"/>
            <w:shd w:val="clear" w:color="auto" w:fill="D2F0FF"/>
          </w:tcPr>
          <w:p>
            <w:pPr>
              <w:spacing w:after="0"/>
              <w:rPr>
                <w:sz w:val="24"/>
                <w:szCs w:val="24"/>
                <w:color w:val="auto"/>
              </w:rPr>
            </w:pPr>
          </w:p>
        </w:tc>
        <w:tc>
          <w:tcPr>
            <w:tcW w:w="1000" w:type="dxa"/>
            <w:vAlign w:val="bottom"/>
            <w:shd w:val="clear" w:color="auto" w:fill="D2F0FF"/>
          </w:tcPr>
          <w:p>
            <w:pPr>
              <w:spacing w:after="0"/>
              <w:rPr>
                <w:sz w:val="24"/>
                <w:szCs w:val="24"/>
                <w:color w:val="auto"/>
              </w:rPr>
            </w:pPr>
          </w:p>
        </w:tc>
        <w:tc>
          <w:tcPr>
            <w:tcW w:w="100" w:type="dxa"/>
            <w:vAlign w:val="bottom"/>
            <w:shd w:val="clear" w:color="auto" w:fill="D2F0FF"/>
          </w:tcPr>
          <w:p>
            <w:pPr>
              <w:spacing w:after="0"/>
              <w:rPr>
                <w:sz w:val="24"/>
                <w:szCs w:val="24"/>
                <w:color w:val="auto"/>
              </w:rPr>
            </w:pPr>
          </w:p>
        </w:tc>
        <w:tc>
          <w:tcPr>
            <w:tcW w:w="240" w:type="dxa"/>
            <w:vAlign w:val="bottom"/>
            <w:shd w:val="clear" w:color="auto" w:fill="D2F0FF"/>
          </w:tcPr>
          <w:p>
            <w:pPr>
              <w:spacing w:after="0"/>
              <w:rPr>
                <w:sz w:val="24"/>
                <w:szCs w:val="24"/>
                <w:color w:val="auto"/>
              </w:rPr>
            </w:pPr>
          </w:p>
        </w:tc>
        <w:tc>
          <w:tcPr>
            <w:tcW w:w="960" w:type="dxa"/>
            <w:vAlign w:val="bottom"/>
            <w:shd w:val="clear" w:color="auto" w:fill="D2F0FF"/>
          </w:tcPr>
          <w:p>
            <w:pPr>
              <w:spacing w:after="0"/>
              <w:rPr>
                <w:sz w:val="24"/>
                <w:szCs w:val="24"/>
                <w:color w:val="auto"/>
              </w:rPr>
            </w:pPr>
          </w:p>
        </w:tc>
        <w:tc>
          <w:tcPr>
            <w:tcW w:w="120" w:type="dxa"/>
            <w:vAlign w:val="bottom"/>
            <w:shd w:val="clear" w:color="auto" w:fill="D2F0FF"/>
          </w:tcPr>
          <w:p>
            <w:pPr>
              <w:spacing w:after="0"/>
              <w:rPr>
                <w:sz w:val="24"/>
                <w:szCs w:val="24"/>
                <w:color w:val="auto"/>
              </w:rPr>
            </w:pPr>
          </w:p>
        </w:tc>
        <w:tc>
          <w:tcPr>
            <w:tcW w:w="1240" w:type="dxa"/>
            <w:vAlign w:val="bottom"/>
            <w:shd w:val="clear" w:color="auto" w:fill="D2F0FF"/>
          </w:tcPr>
          <w:p>
            <w:pPr>
              <w:spacing w:after="0"/>
              <w:rPr>
                <w:sz w:val="24"/>
                <w:szCs w:val="24"/>
                <w:color w:val="auto"/>
              </w:rPr>
            </w:pP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Gross profit – new homes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2,235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539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31.8 %</w:t>
            </w:r>
          </w:p>
        </w:tc>
      </w:tr>
      <w:tr>
        <w:trPr>
          <w:trHeight w:val="27"/>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0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Gross margin % – new homes</w:t>
            </w:r>
          </w:p>
        </w:tc>
        <w:tc>
          <w:tcPr>
            <w:tcW w:w="260" w:type="dxa"/>
            <w:vAlign w:val="bottom"/>
            <w:tcBorders>
              <w:bottom w:val="single" w:sz="8" w:color="D2F0FF"/>
            </w:tcBorders>
            <w:shd w:val="clear" w:color="auto" w:fill="D2F0FF"/>
          </w:tcPr>
          <w:p>
            <w:pPr>
              <w:spacing w:after="0"/>
              <w:rPr>
                <w:sz w:val="21"/>
                <w:szCs w:val="21"/>
                <w:color w:val="auto"/>
              </w:rPr>
            </w:pPr>
          </w:p>
        </w:tc>
        <w:tc>
          <w:tcPr>
            <w:tcW w:w="106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D2F0FF"/>
            </w:tcBorders>
            <w:shd w:val="clear" w:color="auto" w:fill="D2F0FF"/>
          </w:tcPr>
          <w:p>
            <w:pPr>
              <w:spacing w:after="0"/>
              <w:rPr>
                <w:sz w:val="21"/>
                <w:szCs w:val="21"/>
                <w:color w:val="auto"/>
              </w:rPr>
            </w:pPr>
          </w:p>
        </w:tc>
        <w:tc>
          <w:tcPr>
            <w:tcW w:w="32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D2F0FF"/>
            </w:tcBorders>
            <w:shd w:val="clear" w:color="auto" w:fill="D2F0FF"/>
          </w:tcPr>
          <w:p>
            <w:pPr>
              <w:spacing w:after="0"/>
              <w:rPr>
                <w:sz w:val="21"/>
                <w:szCs w:val="21"/>
                <w:color w:val="auto"/>
              </w:rPr>
            </w:pPr>
          </w:p>
        </w:tc>
        <w:tc>
          <w:tcPr>
            <w:tcW w:w="240" w:type="dxa"/>
            <w:vAlign w:val="bottom"/>
            <w:tcBorders>
              <w:bottom w:val="single" w:sz="8" w:color="D2F0FF"/>
            </w:tcBorders>
            <w:shd w:val="clear" w:color="auto" w:fill="D2F0FF"/>
          </w:tcPr>
          <w:p>
            <w:pPr>
              <w:spacing w:after="0"/>
              <w:rPr>
                <w:sz w:val="21"/>
                <w:szCs w:val="21"/>
                <w:color w:val="auto"/>
              </w:rPr>
            </w:pPr>
          </w:p>
        </w:tc>
        <w:tc>
          <w:tcPr>
            <w:tcW w:w="96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D2F0FF"/>
            </w:tcBorders>
            <w:shd w:val="clear" w:color="auto" w:fill="D2F0FF"/>
          </w:tcPr>
          <w:p>
            <w:pPr>
              <w:spacing w:after="0"/>
              <w:rPr>
                <w:sz w:val="21"/>
                <w:szCs w:val="21"/>
                <w:color w:val="auto"/>
              </w:rPr>
            </w:pPr>
          </w:p>
        </w:tc>
        <w:tc>
          <w:tcPr>
            <w:tcW w:w="1240" w:type="dxa"/>
            <w:vAlign w:val="bottom"/>
            <w:tcBorders>
              <w:bottom w:val="single" w:sz="8" w:color="D2F0FF"/>
            </w:tcBorders>
            <w:shd w:val="clear" w:color="auto" w:fill="D2F0FF"/>
          </w:tcPr>
          <w:p>
            <w:pPr>
              <w:spacing w:after="0"/>
              <w:rPr>
                <w:sz w:val="21"/>
                <w:szCs w:val="21"/>
                <w:color w:val="auto"/>
              </w:rPr>
            </w:pP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Average selling price – new homes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123,048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112,198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10,850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9.7 %</w:t>
            </w:r>
          </w:p>
        </w:tc>
      </w:tr>
      <w:tr>
        <w:trPr>
          <w:trHeight w:val="27"/>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900" w:type="dxa"/>
            <w:vAlign w:val="bottom"/>
            <w:shd w:val="clear" w:color="auto" w:fill="D2F0FF"/>
          </w:tcPr>
          <w:p>
            <w:pPr>
              <w:spacing w:after="0"/>
              <w:rPr>
                <w:sz w:val="23"/>
                <w:szCs w:val="23"/>
                <w:color w:val="auto"/>
              </w:rPr>
            </w:pPr>
          </w:p>
        </w:tc>
        <w:tc>
          <w:tcPr>
            <w:tcW w:w="100" w:type="dxa"/>
            <w:vAlign w:val="bottom"/>
            <w:shd w:val="clear" w:color="auto" w:fill="D2F0FF"/>
          </w:tcPr>
          <w:p>
            <w:pPr>
              <w:spacing w:after="0"/>
              <w:rPr>
                <w:sz w:val="23"/>
                <w:szCs w:val="23"/>
                <w:color w:val="auto"/>
              </w:rPr>
            </w:pPr>
          </w:p>
        </w:tc>
        <w:tc>
          <w:tcPr>
            <w:tcW w:w="260" w:type="dxa"/>
            <w:vAlign w:val="bottom"/>
            <w:shd w:val="clear" w:color="auto" w:fill="D2F0FF"/>
          </w:tcPr>
          <w:p>
            <w:pPr>
              <w:spacing w:after="0"/>
              <w:rPr>
                <w:sz w:val="23"/>
                <w:szCs w:val="23"/>
                <w:color w:val="auto"/>
              </w:rPr>
            </w:pPr>
          </w:p>
        </w:tc>
        <w:tc>
          <w:tcPr>
            <w:tcW w:w="1060" w:type="dxa"/>
            <w:vAlign w:val="bottom"/>
            <w:shd w:val="clear" w:color="auto" w:fill="D2F0FF"/>
          </w:tcPr>
          <w:p>
            <w:pPr>
              <w:spacing w:after="0"/>
              <w:rPr>
                <w:sz w:val="23"/>
                <w:szCs w:val="23"/>
                <w:color w:val="auto"/>
              </w:rPr>
            </w:pPr>
          </w:p>
        </w:tc>
        <w:tc>
          <w:tcPr>
            <w:tcW w:w="120" w:type="dxa"/>
            <w:vAlign w:val="bottom"/>
            <w:shd w:val="clear" w:color="auto" w:fill="D2F0FF"/>
          </w:tcPr>
          <w:p>
            <w:pPr>
              <w:spacing w:after="0"/>
              <w:rPr>
                <w:sz w:val="23"/>
                <w:szCs w:val="23"/>
                <w:color w:val="auto"/>
              </w:rPr>
            </w:pPr>
          </w:p>
        </w:tc>
        <w:tc>
          <w:tcPr>
            <w:tcW w:w="320" w:type="dxa"/>
            <w:vAlign w:val="bottom"/>
            <w:shd w:val="clear" w:color="auto" w:fill="D2F0FF"/>
          </w:tcPr>
          <w:p>
            <w:pPr>
              <w:spacing w:after="0"/>
              <w:rPr>
                <w:sz w:val="23"/>
                <w:szCs w:val="23"/>
                <w:color w:val="auto"/>
              </w:rPr>
            </w:pPr>
          </w:p>
        </w:tc>
        <w:tc>
          <w:tcPr>
            <w:tcW w:w="1000" w:type="dxa"/>
            <w:vAlign w:val="bottom"/>
            <w:shd w:val="clear" w:color="auto" w:fill="D2F0FF"/>
          </w:tcPr>
          <w:p>
            <w:pPr>
              <w:spacing w:after="0"/>
              <w:rPr>
                <w:sz w:val="23"/>
                <w:szCs w:val="23"/>
                <w:color w:val="auto"/>
              </w:rPr>
            </w:pPr>
          </w:p>
        </w:tc>
        <w:tc>
          <w:tcPr>
            <w:tcW w:w="100" w:type="dxa"/>
            <w:vAlign w:val="bottom"/>
            <w:shd w:val="clear" w:color="auto" w:fill="D2F0FF"/>
          </w:tcPr>
          <w:p>
            <w:pPr>
              <w:spacing w:after="0"/>
              <w:rPr>
                <w:sz w:val="23"/>
                <w:szCs w:val="23"/>
                <w:color w:val="auto"/>
              </w:rPr>
            </w:pPr>
          </w:p>
        </w:tc>
        <w:tc>
          <w:tcPr>
            <w:tcW w:w="240" w:type="dxa"/>
            <w:vAlign w:val="bottom"/>
            <w:shd w:val="clear" w:color="auto" w:fill="D2F0FF"/>
          </w:tcPr>
          <w:p>
            <w:pPr>
              <w:spacing w:after="0"/>
              <w:rPr>
                <w:sz w:val="23"/>
                <w:szCs w:val="23"/>
                <w:color w:val="auto"/>
              </w:rPr>
            </w:pPr>
          </w:p>
        </w:tc>
        <w:tc>
          <w:tcPr>
            <w:tcW w:w="960" w:type="dxa"/>
            <w:vAlign w:val="bottom"/>
            <w:shd w:val="clear" w:color="auto" w:fill="D2F0FF"/>
          </w:tcPr>
          <w:p>
            <w:pPr>
              <w:spacing w:after="0"/>
              <w:rPr>
                <w:sz w:val="23"/>
                <w:szCs w:val="23"/>
                <w:color w:val="auto"/>
              </w:rPr>
            </w:pPr>
          </w:p>
        </w:tc>
        <w:tc>
          <w:tcPr>
            <w:tcW w:w="120" w:type="dxa"/>
            <w:vAlign w:val="bottom"/>
            <w:shd w:val="clear" w:color="auto" w:fill="D2F0FF"/>
          </w:tcPr>
          <w:p>
            <w:pPr>
              <w:spacing w:after="0"/>
              <w:rPr>
                <w:sz w:val="23"/>
                <w:szCs w:val="23"/>
                <w:color w:val="auto"/>
              </w:rPr>
            </w:pPr>
          </w:p>
        </w:tc>
        <w:tc>
          <w:tcPr>
            <w:tcW w:w="1240" w:type="dxa"/>
            <w:vAlign w:val="bottom"/>
            <w:shd w:val="clear" w:color="auto" w:fill="D2F0FF"/>
          </w:tcPr>
          <w:p>
            <w:pPr>
              <w:spacing w:after="0"/>
              <w:rPr>
                <w:sz w:val="23"/>
                <w:szCs w:val="23"/>
                <w:color w:val="auto"/>
              </w:rPr>
            </w:pP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Gross profit – pre-owned homes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8,106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6,633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1,473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22.2 %</w:t>
            </w:r>
          </w:p>
        </w:tc>
      </w:tr>
      <w:tr>
        <w:trPr>
          <w:trHeight w:val="27"/>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0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Gross margin % – pre-owned homes</w:t>
            </w:r>
          </w:p>
        </w:tc>
        <w:tc>
          <w:tcPr>
            <w:tcW w:w="260" w:type="dxa"/>
            <w:vAlign w:val="bottom"/>
            <w:tcBorders>
              <w:bottom w:val="single" w:sz="8" w:color="D2F0FF"/>
            </w:tcBorders>
            <w:shd w:val="clear" w:color="auto" w:fill="D2F0FF"/>
          </w:tcPr>
          <w:p>
            <w:pPr>
              <w:spacing w:after="0"/>
              <w:rPr>
                <w:sz w:val="21"/>
                <w:szCs w:val="21"/>
                <w:color w:val="auto"/>
              </w:rPr>
            </w:pPr>
          </w:p>
        </w:tc>
        <w:tc>
          <w:tcPr>
            <w:tcW w:w="106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D2F0FF"/>
            </w:tcBorders>
            <w:shd w:val="clear" w:color="auto" w:fill="D2F0FF"/>
          </w:tcPr>
          <w:p>
            <w:pPr>
              <w:spacing w:after="0"/>
              <w:rPr>
                <w:sz w:val="21"/>
                <w:szCs w:val="21"/>
                <w:color w:val="auto"/>
              </w:rPr>
            </w:pPr>
          </w:p>
        </w:tc>
        <w:tc>
          <w:tcPr>
            <w:tcW w:w="32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D2F0FF"/>
            </w:tcBorders>
            <w:shd w:val="clear" w:color="auto" w:fill="D2F0FF"/>
          </w:tcPr>
          <w:p>
            <w:pPr>
              <w:spacing w:after="0"/>
              <w:rPr>
                <w:sz w:val="21"/>
                <w:szCs w:val="21"/>
                <w:color w:val="auto"/>
              </w:rPr>
            </w:pPr>
          </w:p>
        </w:tc>
        <w:tc>
          <w:tcPr>
            <w:tcW w:w="240" w:type="dxa"/>
            <w:vAlign w:val="bottom"/>
            <w:tcBorders>
              <w:bottom w:val="single" w:sz="8" w:color="D2F0FF"/>
            </w:tcBorders>
            <w:shd w:val="clear" w:color="auto" w:fill="D2F0FF"/>
          </w:tcPr>
          <w:p>
            <w:pPr>
              <w:spacing w:after="0"/>
              <w:rPr>
                <w:sz w:val="21"/>
                <w:szCs w:val="21"/>
                <w:color w:val="auto"/>
              </w:rPr>
            </w:pPr>
          </w:p>
        </w:tc>
        <w:tc>
          <w:tcPr>
            <w:tcW w:w="96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D2F0FF"/>
            </w:tcBorders>
            <w:shd w:val="clear" w:color="auto" w:fill="D2F0FF"/>
          </w:tcPr>
          <w:p>
            <w:pPr>
              <w:spacing w:after="0"/>
              <w:rPr>
                <w:sz w:val="21"/>
                <w:szCs w:val="21"/>
                <w:color w:val="auto"/>
              </w:rPr>
            </w:pPr>
          </w:p>
        </w:tc>
        <w:tc>
          <w:tcPr>
            <w:tcW w:w="1240" w:type="dxa"/>
            <w:vAlign w:val="bottom"/>
            <w:tcBorders>
              <w:bottom w:val="single" w:sz="8" w:color="D2F0FF"/>
            </w:tcBorders>
            <w:shd w:val="clear" w:color="auto" w:fill="D2F0FF"/>
          </w:tcPr>
          <w:p>
            <w:pPr>
              <w:spacing w:after="0"/>
              <w:rPr>
                <w:sz w:val="21"/>
                <w:szCs w:val="21"/>
                <w:color w:val="auto"/>
              </w:rPr>
            </w:pP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Average selling price – pre-owned homes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36,013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31,473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4,540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14.4 %</w:t>
            </w:r>
          </w:p>
        </w:tc>
      </w:tr>
      <w:tr>
        <w:trPr>
          <w:trHeight w:val="575"/>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Statistical Information</w:t>
            </w:r>
          </w:p>
        </w:tc>
        <w:tc>
          <w:tcPr>
            <w:tcW w:w="100" w:type="dxa"/>
            <w:vAlign w:val="bottom"/>
            <w:tcBorders>
              <w:bottom w:val="single" w:sz="8" w:color="D2F0FF"/>
            </w:tcBorders>
          </w:tcPr>
          <w:p>
            <w:pPr>
              <w:spacing w:after="0"/>
              <w:rPr>
                <w:sz w:val="24"/>
                <w:szCs w:val="24"/>
                <w:color w:val="auto"/>
              </w:rPr>
            </w:pPr>
          </w:p>
        </w:tc>
        <w:tc>
          <w:tcPr>
            <w:tcW w:w="260" w:type="dxa"/>
            <w:vAlign w:val="bottom"/>
            <w:tcBorders>
              <w:bottom w:val="single" w:sz="8" w:color="D2F0FF"/>
            </w:tcBorders>
          </w:tcPr>
          <w:p>
            <w:pPr>
              <w:spacing w:after="0"/>
              <w:rPr>
                <w:sz w:val="24"/>
                <w:szCs w:val="24"/>
                <w:color w:val="auto"/>
              </w:rPr>
            </w:pPr>
          </w:p>
        </w:tc>
        <w:tc>
          <w:tcPr>
            <w:tcW w:w="1060" w:type="dxa"/>
            <w:vAlign w:val="bottom"/>
            <w:tcBorders>
              <w:bottom w:val="single" w:sz="8" w:color="D2F0FF"/>
            </w:tcBorders>
          </w:tcPr>
          <w:p>
            <w:pPr>
              <w:spacing w:after="0"/>
              <w:rPr>
                <w:sz w:val="24"/>
                <w:szCs w:val="24"/>
                <w:color w:val="auto"/>
              </w:rPr>
            </w:pPr>
          </w:p>
        </w:tc>
        <w:tc>
          <w:tcPr>
            <w:tcW w:w="120" w:type="dxa"/>
            <w:vAlign w:val="bottom"/>
            <w:tcBorders>
              <w:bottom w:val="single" w:sz="8" w:color="D2F0FF"/>
            </w:tcBorders>
          </w:tcPr>
          <w:p>
            <w:pPr>
              <w:spacing w:after="0"/>
              <w:rPr>
                <w:sz w:val="24"/>
                <w:szCs w:val="24"/>
                <w:color w:val="auto"/>
              </w:rPr>
            </w:pPr>
          </w:p>
        </w:tc>
        <w:tc>
          <w:tcPr>
            <w:tcW w:w="320" w:type="dxa"/>
            <w:vAlign w:val="bottom"/>
            <w:tcBorders>
              <w:bottom w:val="single" w:sz="8" w:color="D2F0FF"/>
            </w:tcBorders>
          </w:tcPr>
          <w:p>
            <w:pPr>
              <w:spacing w:after="0"/>
              <w:rPr>
                <w:sz w:val="24"/>
                <w:szCs w:val="24"/>
                <w:color w:val="auto"/>
              </w:rPr>
            </w:pPr>
          </w:p>
        </w:tc>
        <w:tc>
          <w:tcPr>
            <w:tcW w:w="1000" w:type="dxa"/>
            <w:vAlign w:val="bottom"/>
            <w:tcBorders>
              <w:bottom w:val="single" w:sz="8" w:color="D2F0FF"/>
            </w:tcBorders>
          </w:tcPr>
          <w:p>
            <w:pPr>
              <w:spacing w:after="0"/>
              <w:rPr>
                <w:sz w:val="24"/>
                <w:szCs w:val="24"/>
                <w:color w:val="auto"/>
              </w:rPr>
            </w:pPr>
          </w:p>
        </w:tc>
        <w:tc>
          <w:tcPr>
            <w:tcW w:w="100" w:type="dxa"/>
            <w:vAlign w:val="bottom"/>
            <w:tcBorders>
              <w:bottom w:val="single" w:sz="8" w:color="D2F0FF"/>
            </w:tcBorders>
          </w:tcPr>
          <w:p>
            <w:pPr>
              <w:spacing w:after="0"/>
              <w:rPr>
                <w:sz w:val="24"/>
                <w:szCs w:val="24"/>
                <w:color w:val="auto"/>
              </w:rPr>
            </w:pPr>
          </w:p>
        </w:tc>
        <w:tc>
          <w:tcPr>
            <w:tcW w:w="240" w:type="dxa"/>
            <w:vAlign w:val="bottom"/>
            <w:tcBorders>
              <w:bottom w:val="single" w:sz="8" w:color="D2F0FF"/>
            </w:tcBorders>
          </w:tcPr>
          <w:p>
            <w:pPr>
              <w:spacing w:after="0"/>
              <w:rPr>
                <w:sz w:val="24"/>
                <w:szCs w:val="24"/>
                <w:color w:val="auto"/>
              </w:rPr>
            </w:pPr>
          </w:p>
        </w:tc>
        <w:tc>
          <w:tcPr>
            <w:tcW w:w="960" w:type="dxa"/>
            <w:vAlign w:val="bottom"/>
            <w:tcBorders>
              <w:bottom w:val="single" w:sz="8" w:color="D2F0FF"/>
            </w:tcBorders>
          </w:tcPr>
          <w:p>
            <w:pPr>
              <w:spacing w:after="0"/>
              <w:rPr>
                <w:sz w:val="24"/>
                <w:szCs w:val="24"/>
                <w:color w:val="auto"/>
              </w:rPr>
            </w:pPr>
          </w:p>
        </w:tc>
        <w:tc>
          <w:tcPr>
            <w:tcW w:w="120" w:type="dxa"/>
            <w:vAlign w:val="bottom"/>
            <w:tcBorders>
              <w:bottom w:val="single" w:sz="8" w:color="D2F0FF"/>
            </w:tcBorders>
          </w:tcPr>
          <w:p>
            <w:pPr>
              <w:spacing w:after="0"/>
              <w:rPr>
                <w:sz w:val="24"/>
                <w:szCs w:val="24"/>
                <w:color w:val="auto"/>
              </w:rPr>
            </w:pPr>
          </w:p>
        </w:tc>
        <w:tc>
          <w:tcPr>
            <w:tcW w:w="1240" w:type="dxa"/>
            <w:vAlign w:val="bottom"/>
            <w:tcBorders>
              <w:bottom w:val="single" w:sz="8" w:color="D2F0FF"/>
            </w:tcBorders>
          </w:tcPr>
          <w:p>
            <w:pPr>
              <w:spacing w:after="0"/>
              <w:rPr>
                <w:sz w:val="24"/>
                <w:szCs w:val="24"/>
                <w:color w:val="auto"/>
              </w:rPr>
            </w:pPr>
          </w:p>
        </w:tc>
      </w:tr>
      <w:tr>
        <w:trPr>
          <w:trHeight w:val="250"/>
        </w:trPr>
        <w:tc>
          <w:tcPr>
            <w:tcW w:w="6000" w:type="dxa"/>
            <w:vAlign w:val="bottom"/>
            <w:tcBorders>
              <w:bottom w:val="single" w:sz="8" w:color="D2F0FF"/>
            </w:tcBorders>
            <w:gridSpan w:val="2"/>
            <w:shd w:val="clear" w:color="auto" w:fill="D2F0FF"/>
          </w:tcPr>
          <w:p>
            <w:pPr>
              <w:ind w:left="40"/>
              <w:spacing w:after="0"/>
              <w:rPr>
                <w:sz w:val="20"/>
                <w:szCs w:val="20"/>
                <w:color w:val="auto"/>
              </w:rPr>
            </w:pPr>
            <w:r>
              <w:rPr>
                <w:rFonts w:ascii="Arial" w:cs="Arial" w:eastAsia="Arial" w:hAnsi="Arial"/>
                <w:sz w:val="18"/>
                <w:szCs w:val="18"/>
                <w:color w:val="auto"/>
              </w:rPr>
              <w:t>Home sales volume:</w:t>
            </w:r>
          </w:p>
        </w:tc>
        <w:tc>
          <w:tcPr>
            <w:tcW w:w="260" w:type="dxa"/>
            <w:vAlign w:val="bottom"/>
            <w:tcBorders>
              <w:bottom w:val="single" w:sz="8" w:color="D2F0FF"/>
            </w:tcBorders>
            <w:shd w:val="clear" w:color="auto" w:fill="D2F0FF"/>
          </w:tcPr>
          <w:p>
            <w:pPr>
              <w:spacing w:after="0"/>
              <w:rPr>
                <w:sz w:val="21"/>
                <w:szCs w:val="21"/>
                <w:color w:val="auto"/>
              </w:rPr>
            </w:pPr>
          </w:p>
        </w:tc>
        <w:tc>
          <w:tcPr>
            <w:tcW w:w="1060" w:type="dxa"/>
            <w:vAlign w:val="bottom"/>
            <w:tcBorders>
              <w:bottom w:val="single" w:sz="8" w:color="D2F0FF"/>
            </w:tcBorders>
            <w:shd w:val="clear" w:color="auto" w:fill="D2F0FF"/>
          </w:tcPr>
          <w:p>
            <w:pPr>
              <w:spacing w:after="0"/>
              <w:rPr>
                <w:sz w:val="21"/>
                <w:szCs w:val="21"/>
                <w:color w:val="auto"/>
              </w:rPr>
            </w:pPr>
          </w:p>
        </w:tc>
        <w:tc>
          <w:tcPr>
            <w:tcW w:w="120" w:type="dxa"/>
            <w:vAlign w:val="bottom"/>
            <w:tcBorders>
              <w:bottom w:val="single" w:sz="8" w:color="D2F0FF"/>
            </w:tcBorders>
            <w:shd w:val="clear" w:color="auto" w:fill="D2F0FF"/>
          </w:tcPr>
          <w:p>
            <w:pPr>
              <w:spacing w:after="0"/>
              <w:rPr>
                <w:sz w:val="21"/>
                <w:szCs w:val="21"/>
                <w:color w:val="auto"/>
              </w:rPr>
            </w:pPr>
          </w:p>
        </w:tc>
        <w:tc>
          <w:tcPr>
            <w:tcW w:w="320" w:type="dxa"/>
            <w:vAlign w:val="bottom"/>
            <w:tcBorders>
              <w:bottom w:val="single" w:sz="8" w:color="D2F0FF"/>
            </w:tcBorders>
            <w:shd w:val="clear" w:color="auto" w:fill="D2F0FF"/>
          </w:tcPr>
          <w:p>
            <w:pPr>
              <w:spacing w:after="0"/>
              <w:rPr>
                <w:sz w:val="21"/>
                <w:szCs w:val="21"/>
                <w:color w:val="auto"/>
              </w:rPr>
            </w:pPr>
          </w:p>
        </w:tc>
        <w:tc>
          <w:tcPr>
            <w:tcW w:w="1000" w:type="dxa"/>
            <w:vAlign w:val="bottom"/>
            <w:tcBorders>
              <w:bottom w:val="single" w:sz="8" w:color="D2F0FF"/>
            </w:tcBorders>
            <w:shd w:val="clear" w:color="auto" w:fill="D2F0FF"/>
          </w:tcPr>
          <w:p>
            <w:pPr>
              <w:spacing w:after="0"/>
              <w:rPr>
                <w:sz w:val="21"/>
                <w:szCs w:val="21"/>
                <w:color w:val="auto"/>
              </w:rPr>
            </w:pPr>
          </w:p>
        </w:tc>
        <w:tc>
          <w:tcPr>
            <w:tcW w:w="100" w:type="dxa"/>
            <w:vAlign w:val="bottom"/>
            <w:tcBorders>
              <w:bottom w:val="single" w:sz="8" w:color="D2F0FF"/>
            </w:tcBorders>
            <w:shd w:val="clear" w:color="auto" w:fill="D2F0FF"/>
          </w:tcPr>
          <w:p>
            <w:pPr>
              <w:spacing w:after="0"/>
              <w:rPr>
                <w:sz w:val="21"/>
                <w:szCs w:val="21"/>
                <w:color w:val="auto"/>
              </w:rPr>
            </w:pPr>
          </w:p>
        </w:tc>
        <w:tc>
          <w:tcPr>
            <w:tcW w:w="240" w:type="dxa"/>
            <w:vAlign w:val="bottom"/>
            <w:tcBorders>
              <w:bottom w:val="single" w:sz="8" w:color="D2F0FF"/>
            </w:tcBorders>
            <w:shd w:val="clear" w:color="auto" w:fill="D2F0FF"/>
          </w:tcPr>
          <w:p>
            <w:pPr>
              <w:spacing w:after="0"/>
              <w:rPr>
                <w:sz w:val="21"/>
                <w:szCs w:val="21"/>
                <w:color w:val="auto"/>
              </w:rPr>
            </w:pPr>
          </w:p>
        </w:tc>
        <w:tc>
          <w:tcPr>
            <w:tcW w:w="960" w:type="dxa"/>
            <w:vAlign w:val="bottom"/>
            <w:tcBorders>
              <w:bottom w:val="single" w:sz="8" w:color="D2F0FF"/>
            </w:tcBorders>
            <w:shd w:val="clear" w:color="auto" w:fill="D2F0FF"/>
          </w:tcPr>
          <w:p>
            <w:pPr>
              <w:spacing w:after="0"/>
              <w:rPr>
                <w:sz w:val="21"/>
                <w:szCs w:val="21"/>
                <w:color w:val="auto"/>
              </w:rPr>
            </w:pPr>
          </w:p>
        </w:tc>
        <w:tc>
          <w:tcPr>
            <w:tcW w:w="120" w:type="dxa"/>
            <w:vAlign w:val="bottom"/>
            <w:tcBorders>
              <w:bottom w:val="single" w:sz="8" w:color="D2F0FF"/>
            </w:tcBorders>
            <w:shd w:val="clear" w:color="auto" w:fill="D2F0FF"/>
          </w:tcPr>
          <w:p>
            <w:pPr>
              <w:spacing w:after="0"/>
              <w:rPr>
                <w:sz w:val="21"/>
                <w:szCs w:val="21"/>
                <w:color w:val="auto"/>
              </w:rPr>
            </w:pPr>
          </w:p>
        </w:tc>
        <w:tc>
          <w:tcPr>
            <w:tcW w:w="1240" w:type="dxa"/>
            <w:vAlign w:val="bottom"/>
            <w:tcBorders>
              <w:bottom w:val="single" w:sz="8" w:color="D2F0FF"/>
            </w:tcBorders>
            <w:shd w:val="clear" w:color="auto" w:fill="D2F0FF"/>
          </w:tcPr>
          <w:p>
            <w:pPr>
              <w:spacing w:after="0"/>
              <w:rPr>
                <w:sz w:val="21"/>
                <w:szCs w:val="21"/>
                <w:color w:val="auto"/>
              </w:rPr>
            </w:pPr>
          </w:p>
        </w:tc>
      </w:tr>
      <w:tr>
        <w:trPr>
          <w:trHeight w:val="243"/>
        </w:trPr>
        <w:tc>
          <w:tcPr>
            <w:tcW w:w="6000" w:type="dxa"/>
            <w:vAlign w:val="bottom"/>
            <w:gridSpan w:val="2"/>
          </w:tcPr>
          <w:p>
            <w:pPr>
              <w:ind w:left="600"/>
              <w:spacing w:after="0"/>
              <w:rPr>
                <w:sz w:val="20"/>
                <w:szCs w:val="20"/>
                <w:color w:val="auto"/>
              </w:rPr>
            </w:pPr>
            <w:r>
              <w:rPr>
                <w:rFonts w:ascii="Arial" w:cs="Arial" w:eastAsia="Arial" w:hAnsi="Arial"/>
                <w:sz w:val="18"/>
                <w:szCs w:val="18"/>
                <w:color w:val="auto"/>
              </w:rPr>
              <w:t>New home sales</w:t>
            </w:r>
          </w:p>
        </w:tc>
        <w:tc>
          <w:tcPr>
            <w:tcW w:w="26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17.9 %</w:t>
            </w:r>
          </w:p>
        </w:tc>
      </w:tr>
      <w:tr>
        <w:trPr>
          <w:trHeight w:val="27"/>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00" w:type="dxa"/>
            <w:vAlign w:val="bottom"/>
            <w:tcBorders>
              <w:bottom w:val="single" w:sz="8" w:color="D2F0FF"/>
            </w:tcBorders>
            <w:gridSpan w:val="2"/>
            <w:shd w:val="clear" w:color="auto" w:fill="D2F0FF"/>
          </w:tcPr>
          <w:p>
            <w:pPr>
              <w:ind w:left="600"/>
              <w:spacing w:after="0"/>
              <w:rPr>
                <w:sz w:val="20"/>
                <w:szCs w:val="20"/>
                <w:color w:val="auto"/>
              </w:rPr>
            </w:pPr>
            <w:r>
              <w:rPr>
                <w:rFonts w:ascii="Arial" w:cs="Arial" w:eastAsia="Arial" w:hAnsi="Arial"/>
                <w:sz w:val="18"/>
                <w:szCs w:val="18"/>
                <w:color w:val="auto"/>
              </w:rPr>
              <w:t>Pre-owned home sales</w:t>
            </w:r>
          </w:p>
        </w:tc>
        <w:tc>
          <w:tcPr>
            <w:tcW w:w="260" w:type="dxa"/>
            <w:vAlign w:val="bottom"/>
            <w:tcBorders>
              <w:bottom w:val="single" w:sz="8" w:color="D2F0FF"/>
            </w:tcBorders>
            <w:shd w:val="clear" w:color="auto" w:fill="D2F0FF"/>
          </w:tcPr>
          <w:p>
            <w:pPr>
              <w:spacing w:after="0"/>
              <w:rPr>
                <w:sz w:val="23"/>
                <w:szCs w:val="23"/>
                <w:color w:val="auto"/>
              </w:rPr>
            </w:pPr>
          </w:p>
        </w:tc>
        <w:tc>
          <w:tcPr>
            <w:tcW w:w="1060" w:type="dxa"/>
            <w:vAlign w:val="bottom"/>
            <w:tcBorders>
              <w:bottom w:val="single" w:sz="8" w:color="D2F0FF"/>
            </w:tcBorders>
            <w:shd w:val="clear" w:color="auto" w:fill="D2F0FF"/>
          </w:tcPr>
          <w:p>
            <w:pPr>
              <w:jc w:val="right"/>
              <w:ind w:right="92"/>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D2F0FF"/>
            </w:tcBorders>
            <w:shd w:val="clear" w:color="auto" w:fill="D2F0FF"/>
          </w:tcPr>
          <w:p>
            <w:pPr>
              <w:spacing w:after="0"/>
              <w:rPr>
                <w:sz w:val="23"/>
                <w:szCs w:val="23"/>
                <w:color w:val="auto"/>
              </w:rPr>
            </w:pPr>
          </w:p>
        </w:tc>
        <w:tc>
          <w:tcPr>
            <w:tcW w:w="320" w:type="dxa"/>
            <w:vAlign w:val="bottom"/>
            <w:tcBorders>
              <w:bottom w:val="single" w:sz="8" w:color="D2F0FF"/>
            </w:tcBorders>
            <w:shd w:val="clear" w:color="auto" w:fill="D2F0FF"/>
          </w:tcPr>
          <w:p>
            <w:pPr>
              <w:spacing w:after="0"/>
              <w:rPr>
                <w:sz w:val="23"/>
                <w:szCs w:val="23"/>
                <w:color w:val="auto"/>
              </w:rPr>
            </w:pPr>
          </w:p>
        </w:tc>
        <w:tc>
          <w:tcPr>
            <w:tcW w:w="1000" w:type="dxa"/>
            <w:vAlign w:val="bottom"/>
            <w:tcBorders>
              <w:bottom w:val="single" w:sz="8" w:color="D2F0FF"/>
            </w:tcBorders>
            <w:shd w:val="clear" w:color="auto" w:fill="D2F0FF"/>
          </w:tcPr>
          <w:p>
            <w:pPr>
              <w:jc w:val="right"/>
              <w:ind w:right="91"/>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D2F0FF"/>
            </w:tcBorders>
            <w:shd w:val="clear" w:color="auto" w:fill="D2F0FF"/>
          </w:tcPr>
          <w:p>
            <w:pPr>
              <w:spacing w:after="0"/>
              <w:rPr>
                <w:sz w:val="23"/>
                <w:szCs w:val="23"/>
                <w:color w:val="auto"/>
              </w:rPr>
            </w:pPr>
          </w:p>
        </w:tc>
        <w:tc>
          <w:tcPr>
            <w:tcW w:w="240" w:type="dxa"/>
            <w:vAlign w:val="bottom"/>
            <w:tcBorders>
              <w:bottom w:val="single" w:sz="8" w:color="D2F0FF"/>
            </w:tcBorders>
            <w:shd w:val="clear" w:color="auto" w:fill="D2F0FF"/>
          </w:tcPr>
          <w:p>
            <w:pPr>
              <w:spacing w:after="0"/>
              <w:rPr>
                <w:sz w:val="23"/>
                <w:szCs w:val="23"/>
                <w:color w:val="auto"/>
              </w:rPr>
            </w:pPr>
          </w:p>
        </w:tc>
        <w:tc>
          <w:tcPr>
            <w:tcW w:w="960" w:type="dxa"/>
            <w:vAlign w:val="bottom"/>
            <w:tcBorders>
              <w:bottom w:val="single" w:sz="8" w:color="D2F0FF"/>
            </w:tcBorders>
            <w:shd w:val="clear" w:color="auto" w:fill="D2F0FF"/>
          </w:tcPr>
          <w:p>
            <w:pPr>
              <w:jc w:val="right"/>
              <w:ind w:right="31"/>
              <w:spacing w:after="0"/>
              <w:rPr>
                <w:sz w:val="20"/>
                <w:szCs w:val="20"/>
                <w:color w:val="auto"/>
              </w:rPr>
            </w:pPr>
            <w:r>
              <w:rPr>
                <w:rFonts w:ascii="Arial" w:cs="Arial" w:eastAsia="Arial" w:hAnsi="Arial"/>
                <w:sz w:val="18"/>
                <w:szCs w:val="18"/>
                <w:color w:val="auto"/>
              </w:rPr>
              <w:t>(58)</w:t>
            </w:r>
          </w:p>
        </w:tc>
        <w:tc>
          <w:tcPr>
            <w:tcW w:w="1360" w:type="dxa"/>
            <w:vAlign w:val="bottom"/>
            <w:tcBorders>
              <w:bottom w:val="single" w:sz="8" w:color="D2F0FF"/>
            </w:tcBorders>
            <w:gridSpan w:val="2"/>
            <w:shd w:val="clear" w:color="auto" w:fill="D2F0FF"/>
          </w:tcPr>
          <w:p>
            <w:pPr>
              <w:jc w:val="right"/>
              <w:spacing w:after="0"/>
              <w:rPr>
                <w:sz w:val="20"/>
                <w:szCs w:val="20"/>
                <w:color w:val="auto"/>
              </w:rPr>
            </w:pPr>
            <w:r>
              <w:rPr>
                <w:rFonts w:ascii="Arial" w:cs="Arial" w:eastAsia="Arial" w:hAnsi="Arial"/>
                <w:sz w:val="18"/>
                <w:szCs w:val="18"/>
                <w:color w:val="auto"/>
              </w:rPr>
              <w:t>(7.9)%</w:t>
            </w:r>
          </w:p>
        </w:tc>
      </w:tr>
      <w:tr>
        <w:trPr>
          <w:trHeight w:val="257"/>
        </w:trPr>
        <w:tc>
          <w:tcPr>
            <w:tcW w:w="6000" w:type="dxa"/>
            <w:vAlign w:val="bottom"/>
            <w:gridSpan w:val="2"/>
          </w:tcPr>
          <w:p>
            <w:pPr>
              <w:ind w:left="1040"/>
              <w:spacing w:after="0"/>
              <w:rPr>
                <w:sz w:val="20"/>
                <w:szCs w:val="20"/>
                <w:color w:val="auto"/>
              </w:rPr>
            </w:pPr>
            <w:r>
              <w:rPr>
                <w:rFonts w:ascii="Arial" w:cs="Arial" w:eastAsia="Arial" w:hAnsi="Arial"/>
                <w:sz w:val="18"/>
                <w:szCs w:val="18"/>
                <w:color w:val="auto"/>
              </w:rPr>
              <w:t>Total homes sold</w:t>
            </w:r>
          </w:p>
        </w:tc>
        <w:tc>
          <w:tcPr>
            <w:tcW w:w="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Gross profit for new and pre-owned home sales increased $0.5 million and $1.5 million, respectively, in the three months ended March 31, 2019 as compared to the same period in 2018. The increase for new home sales is primarily the result of higher new home sales volumes coupled with a 9.7 percent increase in average selling price in the three months ended March 31, 2019 as compared to the same period in 2018. The gross profit increase for pre-owned home sales is primarily the result of a 14.4 percent increase in average selling price in the three months ended March 31, 2019 as compared to the same period in 2018.</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color w:val="auto"/>
        </w:rPr>
        <w:t>The following table reflects certain financial and other information for our Rental Program as of and for the three months ended March 31, 2019 and 2018 (in thousands, except for statistical information):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Information</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Rental home revenue</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13,971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13,020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951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7.3 %</w:t>
            </w: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Site rent from Rental Program </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16,878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16,309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37"/>
        </w:trPr>
        <w:tc>
          <w:tcPr>
            <w:tcW w:w="6080" w:type="dxa"/>
            <w:vAlign w:val="bottom"/>
          </w:tcPr>
          <w:p>
            <w:pPr>
              <w:ind w:left="720"/>
              <w:spacing w:after="0"/>
              <w:rPr>
                <w:sz w:val="20"/>
                <w:szCs w:val="20"/>
                <w:color w:val="auto"/>
              </w:rPr>
            </w:pPr>
            <w:r>
              <w:rPr>
                <w:rFonts w:ascii="Arial" w:cs="Arial" w:eastAsia="Arial" w:hAnsi="Arial"/>
                <w:sz w:val="18"/>
                <w:szCs w:val="18"/>
                <w:color w:val="auto"/>
              </w:rPr>
              <w:t>Rental Program revenue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30,849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29,329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1,520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5.2 %</w:t>
            </w: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Repairs and refurbishment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Taxes and insurance</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20.6 %</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(54.6)%</w:t>
            </w:r>
          </w:p>
        </w:tc>
      </w:tr>
      <w:tr>
        <w:trPr>
          <w:trHeight w:val="27"/>
        </w:trPr>
        <w:tc>
          <w:tcPr>
            <w:tcW w:w="6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Rental Program operating and maintenance</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97"/>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Rental Program NOI</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26,061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24,102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1,959</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8.1 %</w:t>
            </w:r>
          </w:p>
        </w:tc>
      </w:tr>
      <w:tr>
        <w:trPr>
          <w:trHeight w:val="271"/>
        </w:trPr>
        <w:tc>
          <w:tcPr>
            <w:tcW w:w="6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4"/>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Other Information</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occupied rentals, end of period</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Investment in occupied rental homes, end of period</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547,844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504,402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43,442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8.6 %</w:t>
            </w: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sold rental homes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Weighted average monthly rental rate, end of period</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5.5 %</w:t>
            </w:r>
          </w:p>
        </w:tc>
      </w:tr>
    </w:tbl>
    <w:p>
      <w:pPr>
        <w:spacing w:after="0" w:line="247" w:lineRule="exact"/>
        <w:rPr>
          <w:sz w:val="20"/>
          <w:szCs w:val="20"/>
          <w:color w:val="auto"/>
        </w:rPr>
      </w:pPr>
    </w:p>
    <w:p>
      <w:pPr>
        <w:ind w:left="360" w:hanging="352"/>
        <w:spacing w:after="0" w:line="270" w:lineRule="auto"/>
        <w:tabs>
          <w:tab w:leader="none" w:pos="234" w:val="left"/>
        </w:tabs>
        <w:numPr>
          <w:ilvl w:val="0"/>
          <w:numId w:val="25"/>
        </w:numPr>
        <w:rPr>
          <w:rFonts w:ascii="Arial" w:cs="Arial" w:eastAsia="Arial" w:hAnsi="Arial"/>
          <w:sz w:val="21"/>
          <w:szCs w:val="21"/>
          <w:color w:val="auto"/>
          <w:vertAlign w:val="superscript"/>
        </w:rPr>
      </w:pPr>
      <w:r>
        <w:rPr>
          <w:rFonts w:ascii="Arial" w:cs="Arial" w:eastAsia="Arial" w:hAnsi="Arial"/>
          <w:sz w:val="15"/>
          <w:szCs w:val="15"/>
          <w:color w:val="auto"/>
        </w:rPr>
        <w:t>The renter’s monthly payment includes the site rent and an amount attributable to rental home lease. The site rent is reflected in the Real Property Operations segment. For purposes of management analysis, the site rent is included in the Rental Program revenue to evaluate the incremental revenue gains associated with implementation of the Rental Program, and assess the overall growth and performance of the Rental Program and financial impact to our operations.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Rental Program NOI increased by 8.1 percent for the three months ended March 31, 2019 as compared to the same period in 2018. The increase is due to an increase in Rental Program revenues of 5.2 percent, or $1.5 million, which is primarily attributable to a 5.5 percent increase in the weighted average monthly rental rate, combined with a decrease of $0.4 million in expenses.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OTHER ITEMS -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income and expenses for the three months ended March 31, 2019 and 2018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5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380" w:type="dxa"/>
            <w:vAlign w:val="bottom"/>
          </w:tcPr>
          <w:p>
            <w:pPr>
              <w:jc w:val="right"/>
              <w:ind w:right="27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Ancillary revenues, net</w:t>
            </w:r>
          </w:p>
        </w:tc>
        <w:tc>
          <w:tcPr>
            <w:tcW w:w="960" w:type="dxa"/>
            <w:vAlign w:val="bottom"/>
            <w:tcBorders>
              <w:top w:val="single" w:sz="8" w:color="auto"/>
              <w:bottom w:val="single" w:sz="8" w:color="CCEEFF"/>
            </w:tcBorders>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960" w:type="dxa"/>
            <w:vAlign w:val="bottom"/>
          </w:tcPr>
          <w:p>
            <w:pPr>
              <w:jc w:val="right"/>
              <w:ind w:right="75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21"/>
                <w:szCs w:val="21"/>
                <w:color w:val="auto"/>
              </w:rPr>
            </w:pPr>
          </w:p>
        </w:tc>
        <w:tc>
          <w:tcPr>
            <w:tcW w:w="960" w:type="dxa"/>
            <w:vAlign w:val="bottom"/>
          </w:tcPr>
          <w:p>
            <w:pPr>
              <w:jc w:val="right"/>
              <w:ind w:right="751"/>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5,316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Brokerage commissions and other revenues, net</w:t>
            </w:r>
          </w:p>
        </w:tc>
        <w:tc>
          <w:tcPr>
            <w:tcW w:w="960" w:type="dxa"/>
            <w:vAlign w:val="bottom"/>
            <w:tcBorders>
              <w:bottom w:val="single" w:sz="8" w:color="CCEEFF"/>
            </w:tcBorders>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283.3 %</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Home selling expenses</w:t>
            </w:r>
          </w:p>
        </w:tc>
        <w:tc>
          <w:tcPr>
            <w:tcW w:w="960" w:type="dxa"/>
            <w:vAlign w:val="bottom"/>
          </w:tcPr>
          <w:p>
            <w:pPr>
              <w:jc w:val="right"/>
              <w:ind w:right="75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3,324</w:t>
            </w:r>
          </w:p>
        </w:tc>
        <w:tc>
          <w:tcPr>
            <w:tcW w:w="120" w:type="dxa"/>
            <w:vAlign w:val="bottom"/>
          </w:tcPr>
          <w:p>
            <w:pPr>
              <w:spacing w:after="0"/>
              <w:rPr>
                <w:sz w:val="21"/>
                <w:szCs w:val="21"/>
                <w:color w:val="auto"/>
              </w:rPr>
            </w:pPr>
          </w:p>
        </w:tc>
        <w:tc>
          <w:tcPr>
            <w:tcW w:w="960" w:type="dxa"/>
            <w:vAlign w:val="bottom"/>
          </w:tcPr>
          <w:p>
            <w:pPr>
              <w:jc w:val="right"/>
              <w:ind w:right="751"/>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5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960" w:type="dxa"/>
            <w:vAlign w:val="bottom"/>
            <w:tcBorders>
              <w:bottom w:val="single" w:sz="8" w:color="CCEEFF"/>
            </w:tcBorders>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21,887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19,757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jc w:val="right"/>
              <w:ind w:right="75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76,556</w:t>
            </w:r>
          </w:p>
        </w:tc>
        <w:tc>
          <w:tcPr>
            <w:tcW w:w="120" w:type="dxa"/>
            <w:vAlign w:val="bottom"/>
          </w:tcPr>
          <w:p>
            <w:pPr>
              <w:spacing w:after="0"/>
              <w:rPr>
                <w:sz w:val="21"/>
                <w:szCs w:val="21"/>
                <w:color w:val="auto"/>
              </w:rPr>
            </w:pPr>
          </w:p>
        </w:tc>
        <w:tc>
          <w:tcPr>
            <w:tcW w:w="960" w:type="dxa"/>
            <w:vAlign w:val="bottom"/>
          </w:tcPr>
          <w:p>
            <w:pPr>
              <w:jc w:val="right"/>
              <w:ind w:right="751"/>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66,437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10,119</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15.2 %</w:t>
            </w:r>
          </w:p>
        </w:tc>
      </w:tr>
      <w:tr>
        <w:trPr>
          <w:trHeight w:val="27"/>
        </w:trPr>
        <w:tc>
          <w:tcPr>
            <w:tcW w:w="5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960" w:type="dxa"/>
            <w:vAlign w:val="bottom"/>
            <w:tcBorders>
              <w:bottom w:val="single" w:sz="8" w:color="CCEEFF"/>
            </w:tcBorders>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233.2 %</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60" w:type="dxa"/>
            <w:vAlign w:val="bottom"/>
          </w:tcPr>
          <w:p>
            <w:pPr>
              <w:jc w:val="right"/>
              <w:ind w:right="75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35,108</w:t>
            </w:r>
          </w:p>
        </w:tc>
        <w:tc>
          <w:tcPr>
            <w:tcW w:w="120" w:type="dxa"/>
            <w:vAlign w:val="bottom"/>
          </w:tcPr>
          <w:p>
            <w:pPr>
              <w:spacing w:after="0"/>
              <w:rPr>
                <w:sz w:val="21"/>
                <w:szCs w:val="21"/>
                <w:color w:val="auto"/>
              </w:rPr>
            </w:pPr>
          </w:p>
        </w:tc>
        <w:tc>
          <w:tcPr>
            <w:tcW w:w="960" w:type="dxa"/>
            <w:vAlign w:val="bottom"/>
          </w:tcPr>
          <w:p>
            <w:pPr>
              <w:jc w:val="right"/>
              <w:ind w:right="751"/>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31,757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3,351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10.6 %</w:t>
            </w:r>
          </w:p>
        </w:tc>
      </w:tr>
      <w:tr>
        <w:trPr>
          <w:trHeight w:val="27"/>
        </w:trPr>
        <w:tc>
          <w:tcPr>
            <w:tcW w:w="5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Catastrophic weather related charges, net</w:t>
            </w:r>
          </w:p>
        </w:tc>
        <w:tc>
          <w:tcPr>
            <w:tcW w:w="960" w:type="dxa"/>
            <w:vAlign w:val="bottom"/>
            <w:tcBorders>
              <w:bottom w:val="single" w:sz="8" w:color="CCEEFF"/>
            </w:tcBorders>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43"/>
        </w:trPr>
        <w:tc>
          <w:tcPr>
            <w:tcW w:w="5280" w:type="dxa"/>
            <w:vAlign w:val="bottom"/>
          </w:tcPr>
          <w:p>
            <w:pPr>
              <w:ind w:left="40"/>
              <w:spacing w:after="0"/>
              <w:rPr>
                <w:sz w:val="20"/>
                <w:szCs w:val="20"/>
                <w:color w:val="auto"/>
              </w:rPr>
            </w:pPr>
            <w:r>
              <w:rPr>
                <w:rFonts w:ascii="Arial" w:cs="Arial" w:eastAsia="Arial" w:hAnsi="Arial"/>
                <w:sz w:val="17"/>
                <w:szCs w:val="17"/>
                <w:color w:val="auto"/>
              </w:rPr>
              <w:t>Other income / (expense), net</w:t>
            </w:r>
          </w:p>
        </w:tc>
        <w:tc>
          <w:tcPr>
            <w:tcW w:w="960" w:type="dxa"/>
            <w:vAlign w:val="bottom"/>
          </w:tcPr>
          <w:p>
            <w:pPr>
              <w:jc w:val="right"/>
              <w:ind w:right="75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21"/>
                <w:szCs w:val="21"/>
                <w:color w:val="auto"/>
              </w:rPr>
            </w:pPr>
          </w:p>
        </w:tc>
        <w:tc>
          <w:tcPr>
            <w:tcW w:w="960" w:type="dxa"/>
            <w:vAlign w:val="bottom"/>
          </w:tcPr>
          <w:p>
            <w:pPr>
              <w:jc w:val="right"/>
              <w:ind w:right="751"/>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(2,617)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4,515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172.5 %</w:t>
            </w:r>
          </w:p>
        </w:tc>
      </w:tr>
      <w:tr>
        <w:trPr>
          <w:trHeight w:val="27"/>
        </w:trPr>
        <w:tc>
          <w:tcPr>
            <w:tcW w:w="5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 (loss) from nonconsolidated affiliates</w:t>
            </w:r>
          </w:p>
        </w:tc>
        <w:tc>
          <w:tcPr>
            <w:tcW w:w="960" w:type="dxa"/>
            <w:vAlign w:val="bottom"/>
            <w:tcBorders>
              <w:bottom w:val="single" w:sz="8" w:color="CCEEFF"/>
            </w:tcBorders>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683.1 %</w:t>
            </w:r>
          </w:p>
        </w:tc>
      </w:tr>
      <w:tr>
        <w:trPr>
          <w:trHeight w:val="243"/>
        </w:trPr>
        <w:tc>
          <w:tcPr>
            <w:tcW w:w="5280" w:type="dxa"/>
            <w:vAlign w:val="bottom"/>
          </w:tcPr>
          <w:p>
            <w:pPr>
              <w:ind w:left="40"/>
              <w:spacing w:after="0"/>
              <w:rPr>
                <w:sz w:val="20"/>
                <w:szCs w:val="20"/>
                <w:color w:val="auto"/>
              </w:rPr>
            </w:pPr>
            <w:r>
              <w:rPr>
                <w:rFonts w:ascii="Arial" w:cs="Arial" w:eastAsia="Arial" w:hAnsi="Arial"/>
                <w:sz w:val="17"/>
                <w:szCs w:val="17"/>
                <w:color w:val="auto"/>
              </w:rPr>
              <w:t>Current tax expense</w:t>
            </w:r>
          </w:p>
        </w:tc>
        <w:tc>
          <w:tcPr>
            <w:tcW w:w="960" w:type="dxa"/>
            <w:vAlign w:val="bottom"/>
          </w:tcPr>
          <w:p>
            <w:pPr>
              <w:jc w:val="right"/>
              <w:ind w:right="75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960" w:type="dxa"/>
            <w:vAlign w:val="bottom"/>
          </w:tcPr>
          <w:p>
            <w:pPr>
              <w:jc w:val="right"/>
              <w:ind w:right="751"/>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5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280" w:type="dxa"/>
            <w:vAlign w:val="bottom"/>
            <w:shd w:val="clear" w:color="auto" w:fill="CCEEFF"/>
          </w:tcPr>
          <w:p>
            <w:pPr>
              <w:ind w:left="40"/>
              <w:spacing w:after="0"/>
              <w:rPr>
                <w:sz w:val="20"/>
                <w:szCs w:val="20"/>
                <w:color w:val="auto"/>
              </w:rPr>
            </w:pPr>
            <w:r>
              <w:rPr>
                <w:rFonts w:ascii="Arial" w:cs="Arial" w:eastAsia="Arial" w:hAnsi="Arial"/>
                <w:sz w:val="17"/>
                <w:szCs w:val="17"/>
                <w:color w:val="auto"/>
              </w:rPr>
              <w:t>Deferred tax benefit</w:t>
            </w:r>
          </w:p>
        </w:tc>
        <w:tc>
          <w:tcPr>
            <w:tcW w:w="96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5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Interest income - </w:t>
      </w:r>
      <w:r>
        <w:rPr>
          <w:rFonts w:ascii="Arial" w:cs="Arial" w:eastAsia="Arial" w:hAnsi="Arial"/>
          <w:sz w:val="18"/>
          <w:szCs w:val="18"/>
          <w:color w:val="auto"/>
        </w:rPr>
        <w:t>for the three months ended March 31, 2019, decreased primarily due to a decrease in our interest bearing receivables as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2018. Refer to Note 4, “Collateralized Receivables and Transfers of Financial Assets,” and Note 5, “Notes and Other Receivables” of our accompanying Consolidated Financial Statements for additional information.</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Brokerage commissions and other revenues, net - </w:t>
      </w:r>
      <w:r>
        <w:rPr>
          <w:rFonts w:ascii="Arial" w:cs="Arial" w:eastAsia="Arial" w:hAnsi="Arial"/>
          <w:sz w:val="18"/>
          <w:szCs w:val="18"/>
          <w:color w:val="auto"/>
        </w:rPr>
        <w:t>for the three months ended March 31, 2019, increased primarily due to an increase in dividend income of</w:t>
      </w:r>
      <w:r>
        <w:rPr>
          <w:rFonts w:ascii="Arial" w:cs="Arial" w:eastAsia="Arial" w:hAnsi="Arial"/>
          <w:sz w:val="18"/>
          <w:szCs w:val="18"/>
          <w:b w:val="1"/>
          <w:bCs w:val="1"/>
          <w:color w:val="auto"/>
        </w:rPr>
        <w:t xml:space="preserve"> </w:t>
      </w:r>
      <w:r>
        <w:rPr>
          <w:rFonts w:ascii="Arial" w:cs="Arial" w:eastAsia="Arial" w:hAnsi="Arial"/>
          <w:sz w:val="18"/>
          <w:szCs w:val="18"/>
          <w:color w:val="auto"/>
        </w:rPr>
        <w:t>$0.9 million for the three months ended March 31, 2019, primarily due to our investment in marketable securities, as compared to the same period in 2018, in addition to $0.4 million in business interruption insurance proceeds related to Hurricane Irma.</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General and administrative expenses - </w:t>
      </w:r>
      <w:r>
        <w:rPr>
          <w:rFonts w:ascii="Arial" w:cs="Arial" w:eastAsia="Arial" w:hAnsi="Arial"/>
          <w:sz w:val="18"/>
          <w:szCs w:val="18"/>
          <w:color w:val="auto"/>
        </w:rPr>
        <w:t>for the three months ended March 31, 2019, increased primarily due to an increase in wages, taxes,incentives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compensation expenses as compared to the same period in 2018.</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Depreciation and amortization - </w:t>
      </w:r>
      <w:r>
        <w:rPr>
          <w:rFonts w:ascii="Arial" w:cs="Arial" w:eastAsia="Arial" w:hAnsi="Arial"/>
          <w:sz w:val="18"/>
          <w:szCs w:val="18"/>
          <w:color w:val="auto"/>
        </w:rPr>
        <w:t>increased as a result of our recent property acquisitions and ongoing expansion and development activities. Refer to Note</w:t>
      </w:r>
      <w:r>
        <w:rPr>
          <w:rFonts w:ascii="Arial" w:cs="Arial" w:eastAsia="Arial" w:hAnsi="Arial"/>
          <w:sz w:val="18"/>
          <w:szCs w:val="18"/>
          <w:b w:val="1"/>
          <w:bCs w:val="1"/>
          <w:color w:val="auto"/>
        </w:rPr>
        <w:t xml:space="preserve"> </w:t>
      </w:r>
      <w:r>
        <w:rPr>
          <w:rFonts w:ascii="Arial" w:cs="Arial" w:eastAsia="Arial" w:hAnsi="Arial"/>
          <w:sz w:val="18"/>
          <w:szCs w:val="18"/>
          <w:color w:val="auto"/>
        </w:rPr>
        <w:t>3, “Real Estate Acquisitions” of our accompanying Consolidated Financial Statements for additional information.</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Interest Expense - </w:t>
      </w:r>
      <w:r>
        <w:rPr>
          <w:rFonts w:ascii="Arial" w:cs="Arial" w:eastAsia="Arial" w:hAnsi="Arial"/>
          <w:sz w:val="18"/>
          <w:szCs w:val="18"/>
          <w:color w:val="auto"/>
        </w:rPr>
        <w:t>for the three months ended March 31, 2019, increased primarily due to an increase in mortgage loans outstanding and a higher line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 balance for the quarter ended March 31, 2019 as compared to 2018. Refer to Note 9, “Debt and Lines of Credit,” in our accompanying Consolidated Financial Statements for additional information.</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Catastrophic weather related charges, net - </w:t>
      </w:r>
      <w:r>
        <w:rPr>
          <w:rFonts w:ascii="Arial" w:cs="Arial" w:eastAsia="Arial" w:hAnsi="Arial"/>
          <w:sz w:val="17"/>
          <w:szCs w:val="17"/>
          <w:color w:val="auto"/>
        </w:rPr>
        <w:t>In September 2017, Hurricane Irma impacted our communities in Florida and Georgia. During the three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March 31, 2018, we recorded a $2.2 million net favorable adjustment primarily as a result of incremental losses where deductibles were previously met, and refinements to previous recovery estimates as damage losses were attributed to specific asset deductible categories.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Other income / (expense), net - </w:t>
      </w:r>
      <w:r>
        <w:rPr>
          <w:rFonts w:ascii="Arial" w:cs="Arial" w:eastAsia="Arial" w:hAnsi="Arial"/>
          <w:sz w:val="18"/>
          <w:szCs w:val="18"/>
          <w:color w:val="auto"/>
        </w:rPr>
        <w:t>in the three months ended March 31, 2019, was primarily comprised of a foreign currency translation gain of $2.0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partially offset by a contingent liability re-measurement of $0.1 million, as compared to a foreign currency translation loss of $2.5 million partially offset by a contingent liability re-measurement of $0.1 million during the same period in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FUNDS FROM OPERATIONS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net income to FFO data for diluted purposes for the three months ended March 31, 2019 and 2018 (in thousands, except per share amounts):</w:t>
      </w:r>
    </w:p>
    <w:p>
      <w:pPr>
        <w:spacing w:after="0" w:line="108"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9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0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Sun Communities, Inc. common stockholders: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29,986</w:t>
            </w:r>
          </w:p>
        </w:tc>
        <w:tc>
          <w:tcPr>
            <w:tcW w:w="0" w:type="dxa"/>
            <w:vAlign w:val="bottom"/>
          </w:tcPr>
          <w:p>
            <w:pPr>
              <w:spacing w:after="0"/>
              <w:rPr>
                <w:sz w:val="1"/>
                <w:szCs w:val="1"/>
                <w:color w:val="auto"/>
              </w:rPr>
            </w:pPr>
          </w:p>
        </w:tc>
      </w:tr>
      <w:tr>
        <w:trPr>
          <w:trHeight w:val="263"/>
        </w:trPr>
        <w:tc>
          <w:tcPr>
            <w:tcW w:w="90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76,712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66,646</w:t>
            </w:r>
          </w:p>
        </w:tc>
        <w:tc>
          <w:tcPr>
            <w:tcW w:w="0" w:type="dxa"/>
            <w:vAlign w:val="bottom"/>
          </w:tcPr>
          <w:p>
            <w:pPr>
              <w:spacing w:after="0"/>
              <w:rPr>
                <w:sz w:val="1"/>
                <w:szCs w:val="1"/>
                <w:color w:val="auto"/>
              </w:rPr>
            </w:pPr>
          </w:p>
        </w:tc>
      </w:tr>
      <w:tr>
        <w:trPr>
          <w:trHeight w:val="243"/>
        </w:trPr>
        <w:tc>
          <w:tcPr>
            <w:tcW w:w="9000" w:type="dxa"/>
            <w:vAlign w:val="bottom"/>
          </w:tcPr>
          <w:p>
            <w:pPr>
              <w:ind w:left="520"/>
              <w:spacing w:after="0"/>
              <w:rPr>
                <w:sz w:val="20"/>
                <w:szCs w:val="20"/>
                <w:color w:val="auto"/>
              </w:rPr>
            </w:pPr>
            <w:r>
              <w:rPr>
                <w:rFonts w:ascii="Arial" w:cs="Arial" w:eastAsia="Arial" w:hAnsi="Arial"/>
                <w:sz w:val="18"/>
                <w:szCs w:val="18"/>
                <w:color w:val="auto"/>
              </w:rPr>
              <w:t>Remeasurement of marketable securities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Amounts attributable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43"/>
        </w:trPr>
        <w:tc>
          <w:tcPr>
            <w:tcW w:w="9000" w:type="dxa"/>
            <w:vAlign w:val="bottom"/>
          </w:tcPr>
          <w:p>
            <w:pPr>
              <w:ind w:left="520"/>
              <w:spacing w:after="0"/>
              <w:rPr>
                <w:sz w:val="20"/>
                <w:szCs w:val="20"/>
                <w:color w:val="auto"/>
              </w:rPr>
            </w:pPr>
            <w:r>
              <w:rPr>
                <w:rFonts w:ascii="Arial" w:cs="Arial" w:eastAsia="Arial" w:hAnsi="Arial"/>
                <w:sz w:val="18"/>
                <w:szCs w:val="18"/>
                <w:color w:val="auto"/>
              </w:rPr>
              <w:t>Preferred return to preferred OP units</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Preferred distribution to Series A-4 preferred stock</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43"/>
        </w:trPr>
        <w:tc>
          <w:tcPr>
            <w:tcW w:w="9000" w:type="dxa"/>
            <w:vAlign w:val="bottom"/>
          </w:tcPr>
          <w:p>
            <w:pPr>
              <w:ind w:left="520"/>
              <w:spacing w:after="0"/>
              <w:rPr>
                <w:sz w:val="20"/>
                <w:szCs w:val="20"/>
                <w:color w:val="auto"/>
              </w:rPr>
            </w:pPr>
            <w:r>
              <w:rPr>
                <w:rFonts w:ascii="Arial" w:cs="Arial" w:eastAsia="Arial" w:hAnsi="Arial"/>
                <w:sz w:val="18"/>
                <w:szCs w:val="18"/>
                <w:color w:val="auto"/>
              </w:rPr>
              <w:t>Gain on disposition of assets,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7"/>
        </w:trPr>
        <w:tc>
          <w:tcPr>
            <w:tcW w:w="9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9000" w:type="dxa"/>
            <w:vAlign w:val="bottom"/>
            <w:shd w:val="clear" w:color="auto" w:fill="CCEEFF"/>
          </w:tcPr>
          <w:p>
            <w:pPr>
              <w:ind w:left="20"/>
              <w:spacing w:after="0" w:line="277" w:lineRule="exact"/>
              <w:rPr>
                <w:sz w:val="20"/>
                <w:szCs w:val="20"/>
                <w:color w:val="auto"/>
              </w:rPr>
            </w:pPr>
            <w:r>
              <w:rPr>
                <w:rFonts w:ascii="Arial" w:cs="Arial" w:eastAsia="Arial" w:hAnsi="Arial"/>
                <w:sz w:val="18"/>
                <w:szCs w:val="18"/>
                <w:color w:val="auto"/>
              </w:rPr>
              <w:t xml:space="preserve">FFO attributable to Sun Communities, Inc. common stockholders and dilutive convertible securities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4"/>
                <w:szCs w:val="24"/>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106,779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94,976</w:t>
            </w:r>
          </w:p>
        </w:tc>
        <w:tc>
          <w:tcPr>
            <w:tcW w:w="0" w:type="dxa"/>
            <w:vAlign w:val="bottom"/>
          </w:tcPr>
          <w:p>
            <w:pPr>
              <w:spacing w:after="0"/>
              <w:rPr>
                <w:sz w:val="1"/>
                <w:szCs w:val="1"/>
                <w:color w:val="auto"/>
              </w:rPr>
            </w:pPr>
          </w:p>
        </w:tc>
      </w:tr>
      <w:tr>
        <w:trPr>
          <w:trHeight w:val="54"/>
        </w:trPr>
        <w:tc>
          <w:tcPr>
            <w:tcW w:w="90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7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9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00" w:type="dxa"/>
            <w:vAlign w:val="bottom"/>
            <w:shd w:val="clear" w:color="auto" w:fill="CCEEFF"/>
          </w:tcPr>
          <w:p>
            <w:pPr>
              <w:ind w:left="520"/>
              <w:spacing w:after="0" w:line="270" w:lineRule="exact"/>
              <w:rPr>
                <w:sz w:val="20"/>
                <w:szCs w:val="20"/>
                <w:color w:val="auto"/>
              </w:rPr>
            </w:pPr>
            <w:r>
              <w:rPr>
                <w:rFonts w:ascii="Arial" w:cs="Arial" w:eastAsia="Arial" w:hAnsi="Arial"/>
                <w:sz w:val="18"/>
                <w:szCs w:val="18"/>
                <w:color w:val="auto"/>
              </w:rPr>
              <w:t xml:space="preserve">Other acquisition related costs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9000" w:type="dxa"/>
            <w:vAlign w:val="bottom"/>
          </w:tcPr>
          <w:p>
            <w:pPr>
              <w:ind w:left="52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Catastrophic weather related charges, net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70"/>
        </w:trPr>
        <w:tc>
          <w:tcPr>
            <w:tcW w:w="9000" w:type="dxa"/>
            <w:vAlign w:val="bottom"/>
          </w:tcPr>
          <w:p>
            <w:pPr>
              <w:ind w:left="520"/>
              <w:spacing w:after="0" w:line="270" w:lineRule="exact"/>
              <w:rPr>
                <w:sz w:val="20"/>
                <w:szCs w:val="20"/>
                <w:color w:val="auto"/>
              </w:rPr>
            </w:pPr>
            <w:r>
              <w:rPr>
                <w:rFonts w:ascii="Arial" w:cs="Arial" w:eastAsia="Arial" w:hAnsi="Arial"/>
                <w:sz w:val="18"/>
                <w:szCs w:val="18"/>
                <w:color w:val="auto"/>
              </w:rPr>
              <w:t xml:space="preserve">Loss of earnings - catastrophic weather related </w:t>
            </w:r>
            <w:r>
              <w:rPr>
                <w:rFonts w:ascii="Arial" w:cs="Arial" w:eastAsia="Arial" w:hAnsi="Arial"/>
                <w:sz w:val="25"/>
                <w:szCs w:val="25"/>
                <w:color w:val="auto"/>
                <w:vertAlign w:val="superscript"/>
              </w:rPr>
              <w:t>(3)</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50"/>
        </w:trPr>
        <w:tc>
          <w:tcPr>
            <w:tcW w:w="9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Other (income) /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43"/>
        </w:trPr>
        <w:tc>
          <w:tcPr>
            <w:tcW w:w="9000" w:type="dxa"/>
            <w:vAlign w:val="bottom"/>
          </w:tcPr>
          <w:p>
            <w:pPr>
              <w:ind w:left="520"/>
              <w:spacing w:after="0"/>
              <w:rPr>
                <w:sz w:val="20"/>
                <w:szCs w:val="20"/>
                <w:color w:val="auto"/>
              </w:rPr>
            </w:pPr>
            <w:r>
              <w:rPr>
                <w:rFonts w:ascii="Arial" w:cs="Arial" w:eastAsia="Arial" w:hAnsi="Arial"/>
                <w:sz w:val="18"/>
                <w:szCs w:val="18"/>
                <w:color w:val="auto"/>
              </w:rPr>
              <w:t>Debt premium write-off</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Deferred tax benefit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304"/>
        </w:trPr>
        <w:tc>
          <w:tcPr>
            <w:tcW w:w="9000" w:type="dxa"/>
            <w:vAlign w:val="bottom"/>
            <w:tcBorders>
              <w:bottom w:val="single" w:sz="8" w:color="CCEEFF"/>
            </w:tcBorders>
          </w:tcPr>
          <w:p>
            <w:pPr>
              <w:ind w:left="20"/>
              <w:spacing w:after="0" w:line="264" w:lineRule="exact"/>
              <w:rPr>
                <w:sz w:val="20"/>
                <w:szCs w:val="20"/>
                <w:color w:val="auto"/>
              </w:rPr>
            </w:pPr>
            <w:r>
              <w:rPr>
                <w:rFonts w:ascii="Arial" w:cs="Arial" w:eastAsia="Arial" w:hAnsi="Arial"/>
                <w:sz w:val="18"/>
                <w:szCs w:val="18"/>
                <w:color w:val="auto"/>
              </w:rPr>
              <w:t>Core FFO attributable to Sun Communities, Inc. common stockholders and dilutive convertible</w:t>
            </w:r>
            <w:r>
              <w:rPr>
                <w:rFonts w:ascii="Arial" w:cs="Arial" w:eastAsia="Arial" w:hAnsi="Arial"/>
                <w:sz w:val="25"/>
                <w:szCs w:val="25"/>
                <w:color w:val="auto"/>
                <w:vertAlign w:val="superscript"/>
              </w:rPr>
              <w:t>(1)</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106,259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94,907</w:t>
            </w:r>
          </w:p>
        </w:tc>
        <w:tc>
          <w:tcPr>
            <w:tcW w:w="0" w:type="dxa"/>
            <w:vAlign w:val="bottom"/>
          </w:tcPr>
          <w:p>
            <w:pPr>
              <w:spacing w:after="0"/>
              <w:rPr>
                <w:sz w:val="1"/>
                <w:szCs w:val="1"/>
                <w:color w:val="auto"/>
              </w:rPr>
            </w:pPr>
          </w:p>
        </w:tc>
      </w:tr>
      <w:tr>
        <w:trPr>
          <w:trHeight w:val="210"/>
        </w:trPr>
        <w:tc>
          <w:tcPr>
            <w:tcW w:w="9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85,520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78,855</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600"/>
              <w:spacing w:after="0"/>
              <w:rPr>
                <w:sz w:val="20"/>
                <w:szCs w:val="20"/>
                <w:color w:val="auto"/>
              </w:rPr>
            </w:pPr>
            <w:r>
              <w:rPr>
                <w:rFonts w:ascii="Arial" w:cs="Arial" w:eastAsia="Arial" w:hAnsi="Arial"/>
                <w:sz w:val="18"/>
                <w:szCs w:val="18"/>
                <w:color w:val="auto"/>
              </w:rPr>
              <w:t>Common stock issuable upon conversion of stock options</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Restricted stock</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9000" w:type="dxa"/>
            <w:vAlign w:val="bottom"/>
          </w:tcPr>
          <w:p>
            <w:pPr>
              <w:ind w:left="600"/>
              <w:spacing w:after="0"/>
              <w:rPr>
                <w:sz w:val="20"/>
                <w:szCs w:val="20"/>
                <w:color w:val="auto"/>
              </w:rPr>
            </w:pPr>
            <w:r>
              <w:rPr>
                <w:rFonts w:ascii="Arial" w:cs="Arial" w:eastAsia="Arial" w:hAnsi="Arial"/>
                <w:sz w:val="18"/>
                <w:szCs w:val="18"/>
                <w:color w:val="auto"/>
              </w:rPr>
              <w:t>Common OP units</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Common stock issuable upon conversion of Series A-4 preferred stock</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43"/>
        </w:trPr>
        <w:tc>
          <w:tcPr>
            <w:tcW w:w="9000" w:type="dxa"/>
            <w:vAlign w:val="bottom"/>
          </w:tcPr>
          <w:p>
            <w:pPr>
              <w:ind w:left="600"/>
              <w:spacing w:after="0"/>
              <w:rPr>
                <w:sz w:val="20"/>
                <w:szCs w:val="20"/>
                <w:color w:val="auto"/>
              </w:rPr>
            </w:pPr>
            <w:r>
              <w:rPr>
                <w:rFonts w:ascii="Arial" w:cs="Arial" w:eastAsia="Arial" w:hAnsi="Arial"/>
                <w:sz w:val="18"/>
                <w:szCs w:val="18"/>
                <w:color w:val="auto"/>
              </w:rPr>
              <w:t>Common stock issuable upon conversion of Series A-3 preferred OP units</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Common stock issuable upon conversion of Series A-1 preferred OP units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97"/>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 fully diluted</w:t>
            </w: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90,105</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83,598</w:t>
            </w:r>
          </w:p>
        </w:tc>
        <w:tc>
          <w:tcPr>
            <w:tcW w:w="0" w:type="dxa"/>
            <w:vAlign w:val="bottom"/>
          </w:tcPr>
          <w:p>
            <w:pPr>
              <w:spacing w:after="0"/>
              <w:rPr>
                <w:sz w:val="1"/>
                <w:szCs w:val="1"/>
                <w:color w:val="auto"/>
              </w:rPr>
            </w:pPr>
          </w:p>
        </w:tc>
      </w:tr>
      <w:tr>
        <w:trPr>
          <w:trHeight w:val="257"/>
        </w:trPr>
        <w:tc>
          <w:tcPr>
            <w:tcW w:w="9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60" w:type="dxa"/>
            <w:vAlign w:val="bottom"/>
            <w:gridSpan w:val="2"/>
          </w:tcPr>
          <w:p>
            <w:pPr>
              <w:ind w:left="20"/>
              <w:spacing w:after="0"/>
              <w:rPr>
                <w:sz w:val="20"/>
                <w:szCs w:val="20"/>
                <w:color w:val="auto"/>
              </w:rPr>
            </w:pPr>
            <w:r>
              <w:rPr>
                <w:rFonts w:ascii="Arial" w:cs="Arial" w:eastAsia="Arial" w:hAnsi="Arial"/>
                <w:sz w:val="18"/>
                <w:szCs w:val="18"/>
                <w:color w:val="auto"/>
                <w:w w:val="93"/>
              </w:rPr>
              <w:t>FFO attributable to Sun Communities, Inc. common stockholders and dilutive convertible securities per share - fully diluted $</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6"/>
        </w:trPr>
        <w:tc>
          <w:tcPr>
            <w:tcW w:w="9000" w:type="dxa"/>
            <w:vAlign w:val="bottom"/>
          </w:tcPr>
          <w:p>
            <w:pPr>
              <w:ind w:left="20"/>
              <w:spacing w:after="0"/>
              <w:rPr>
                <w:sz w:val="20"/>
                <w:szCs w:val="20"/>
                <w:color w:val="auto"/>
              </w:rPr>
            </w:pPr>
            <w:r>
              <w:rPr>
                <w:rFonts w:ascii="Arial" w:cs="Arial" w:eastAsia="Arial" w:hAnsi="Arial"/>
                <w:sz w:val="18"/>
                <w:szCs w:val="18"/>
                <w:color w:val="auto"/>
                <w:w w:val="93"/>
              </w:rPr>
              <w:t>Core FFO attributable to Sun Communities, Inc. common stockholders and dilutive convertible securities per share - fully</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-290830</wp:posOffset>
            </wp:positionV>
            <wp:extent cx="7229475"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ind w:left="200" w:hanging="192"/>
        <w:spacing w:after="0"/>
        <w:tabs>
          <w:tab w:leader="none" w:pos="200" w:val="left"/>
        </w:tabs>
        <w:numPr>
          <w:ilvl w:val="0"/>
          <w:numId w:val="26"/>
        </w:numPr>
        <w:rPr>
          <w:rFonts w:ascii="Arial" w:cs="Arial" w:eastAsia="Arial" w:hAnsi="Arial"/>
          <w:sz w:val="9"/>
          <w:szCs w:val="9"/>
          <w:color w:val="auto"/>
        </w:rPr>
      </w:pPr>
      <w:r>
        <w:rPr>
          <w:rFonts w:ascii="Arial" w:cs="Arial" w:eastAsia="Arial" w:hAnsi="Arial"/>
          <w:sz w:val="14"/>
          <w:szCs w:val="14"/>
          <w:color w:val="auto"/>
        </w:rPr>
        <w:t>The effect of certain anti-dilutive convertible securities is excluded from these items.</w:t>
      </w:r>
    </w:p>
    <w:p>
      <w:pPr>
        <w:spacing w:after="0" w:line="13" w:lineRule="exact"/>
        <w:rPr>
          <w:rFonts w:ascii="Arial" w:cs="Arial" w:eastAsia="Arial" w:hAnsi="Arial"/>
          <w:sz w:val="9"/>
          <w:szCs w:val="9"/>
          <w:color w:val="auto"/>
        </w:rPr>
      </w:pPr>
    </w:p>
    <w:p>
      <w:pPr>
        <w:ind w:left="340" w:hanging="332"/>
        <w:spacing w:after="0" w:line="241" w:lineRule="auto"/>
        <w:tabs>
          <w:tab w:leader="none" w:pos="340" w:val="left"/>
        </w:tabs>
        <w:numPr>
          <w:ilvl w:val="0"/>
          <w:numId w:val="26"/>
        </w:numPr>
        <w:rPr>
          <w:rFonts w:ascii="Arial" w:cs="Arial" w:eastAsia="Arial" w:hAnsi="Arial"/>
          <w:sz w:val="9"/>
          <w:szCs w:val="9"/>
          <w:color w:val="auto"/>
        </w:rPr>
      </w:pPr>
      <w:r>
        <w:rPr>
          <w:rFonts w:ascii="Arial" w:cs="Arial" w:eastAsia="Arial" w:hAnsi="Arial"/>
          <w:sz w:val="14"/>
          <w:szCs w:val="14"/>
          <w:color w:val="auto"/>
        </w:rPr>
        <w:t>These costs represent the expenses incurred to bring recently acquired properties up to our operating standards, including items such as tree trimming and painting costs that do not meet our capitalization policy.</w:t>
      </w:r>
    </w:p>
    <w:p>
      <w:pPr>
        <w:ind w:left="340" w:hanging="332"/>
        <w:spacing w:after="0" w:line="255" w:lineRule="auto"/>
        <w:tabs>
          <w:tab w:leader="none" w:pos="340" w:val="left"/>
        </w:tabs>
        <w:numPr>
          <w:ilvl w:val="0"/>
          <w:numId w:val="26"/>
        </w:numPr>
        <w:rPr>
          <w:rFonts w:ascii="Arial" w:cs="Arial" w:eastAsia="Arial" w:hAnsi="Arial"/>
          <w:sz w:val="9"/>
          <w:szCs w:val="9"/>
          <w:color w:val="auto"/>
        </w:rPr>
      </w:pPr>
      <w:r>
        <w:rPr>
          <w:rFonts w:ascii="Arial" w:cs="Arial" w:eastAsia="Arial" w:hAnsi="Arial"/>
          <w:sz w:val="14"/>
          <w:szCs w:val="14"/>
          <w:color w:val="auto"/>
        </w:rPr>
        <w:t>Adjustment represents estimated loss of earnings in excess of the applicable business interruption deductible in relation to our three Florida Keys communities that were impaired by Hurricane Irma which had not yet been received from our insurer.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liquidity demands have historically been, and are expected to continue to be, distributions to our stockholders and the unit holders of the Operating Partnership, capital improvement of properties, the purchase of new and pre-owned homes, property acquisitions, development and expansion of properties, and debt repayment.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market conditions, we intend to continue to identify opportunities to expand our development pipeline and acquire existing communities. We finance acquisitions through available cash, secured financing, draws on our lines of credit, the assumption of existing debt on properties, and the issuance of equity securities. We will continue to evaluate acquisition opportunities that meet our criteria. Refer to Note 3, “Real Estate Acquisitions” in our accompanying Consolidated Financial Statements for information regarding recent community acquisitions.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intend to continue to strengthen our capital and liquidity positions by focusing on our core fundamentals, which are generating positive cash flows from operations, maintaining appropriate debt levels and leverage ratios, and controlling overhead costs. We intend to meet our liquidity requirements through available cash balances, cash flows generated from operations, draws on our lines of credit, and the use of debt and equity offerings under our shelf registration statement. Refer to Note 9, “Debt and Lines of Credit” and Note 10, “Equity and Temporary Equity” in our accompanying Consolidated Financial Statements for additional information.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capital expenditures include expansion and development, lot modifications, recurring capital expenditures and rental home purchases. For the three months ended March 31, 2019 and 2018, expansion and development activities of $51.2 million and $24.6 million, respectively, related to costs consisting primarily of construction of sites and other costs necessary to complete home site improvements.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2019 and 2018, lot modification expenditures were $5.6 million and $5.1 million, respectively. These expenditures improve asset quality in our communities and are incurred when an existing home is removed and the site is prepared for a new home (more often than not, a multi-sectional home). These activities, which are mandated by strict manufacturer’s installation requirements and state building codes, include items such as new foundations, driveways, and utility upgrades.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2019 and 2018, recurring capital expenditures of $5.3 million and $3.3 million, respectively, related to our continued commitment to the upkeep of our properties.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invest in the acquisition of homes intended for the Rental Program. Expenditures for these investments depend upon the condition of the markets for repossessions and new home sales, as well as rental homes. We finance certain of our new home purchases with a $12.0 million manufactured home floor plan facility. Our ability to purchase homes for sale or rent may be limited by cash received from third-party financing of our home sales, available manufactured home floor plan financing and working capital available on our lines of credit.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cash flow activities are summarized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000" w:type="dxa"/>
            <w:vAlign w:val="bottom"/>
            <w:tcBorders>
              <w:bottom w:val="single" w:sz="8" w:color="D2F0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D2F0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8000" w:type="dxa"/>
            <w:vAlign w:val="bottom"/>
            <w:tcBorders>
              <w:bottom w:val="single" w:sz="8" w:color="D2F0FF"/>
            </w:tcBorders>
            <w:shd w:val="clear" w:color="auto" w:fill="D2F0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D2F0FF"/>
            </w:tcBorders>
            <w:shd w:val="clear" w:color="auto" w:fill="D2F0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D2F0FF"/>
            </w:tcBorders>
            <w:shd w:val="clear" w:color="auto" w:fill="D2F0FF"/>
          </w:tcPr>
          <w:p>
            <w:pPr>
              <w:jc w:val="right"/>
              <w:ind w:right="36"/>
              <w:spacing w:after="0"/>
              <w:rPr>
                <w:sz w:val="20"/>
                <w:szCs w:val="20"/>
                <w:color w:val="auto"/>
              </w:rPr>
            </w:pPr>
            <w:r>
              <w:rPr>
                <w:rFonts w:ascii="Arial" w:cs="Arial" w:eastAsia="Arial" w:hAnsi="Arial"/>
                <w:sz w:val="18"/>
                <w:szCs w:val="18"/>
                <w:color w:val="auto"/>
              </w:rPr>
              <w:t>103,141</w:t>
            </w:r>
          </w:p>
        </w:tc>
        <w:tc>
          <w:tcPr>
            <w:tcW w:w="200" w:type="dxa"/>
            <w:vAlign w:val="bottom"/>
            <w:tcBorders>
              <w:bottom w:val="single" w:sz="8" w:color="D2F0FF"/>
            </w:tcBorders>
            <w:shd w:val="clear" w:color="auto" w:fill="D2F0FF"/>
          </w:tcPr>
          <w:p>
            <w:pPr>
              <w:spacing w:after="0"/>
              <w:rPr>
                <w:sz w:val="21"/>
                <w:szCs w:val="21"/>
                <w:color w:val="auto"/>
              </w:rPr>
            </w:pPr>
          </w:p>
        </w:tc>
        <w:tc>
          <w:tcPr>
            <w:tcW w:w="400" w:type="dxa"/>
            <w:vAlign w:val="bottom"/>
            <w:tcBorders>
              <w:bottom w:val="single" w:sz="8" w:color="D2F0FF"/>
            </w:tcBorders>
            <w:shd w:val="clear" w:color="auto" w:fill="D2F0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D2F0FF"/>
            </w:tcBorders>
            <w:shd w:val="clear" w:color="auto" w:fill="D2F0FF"/>
          </w:tcPr>
          <w:p>
            <w:pPr>
              <w:jc w:val="right"/>
              <w:ind w:right="14"/>
              <w:spacing w:after="0"/>
              <w:rPr>
                <w:sz w:val="20"/>
                <w:szCs w:val="20"/>
                <w:color w:val="auto"/>
              </w:rPr>
            </w:pPr>
            <w:r>
              <w:rPr>
                <w:rFonts w:ascii="Arial" w:cs="Arial" w:eastAsia="Arial" w:hAnsi="Arial"/>
                <w:sz w:val="18"/>
                <w:szCs w:val="18"/>
                <w:color w:val="auto"/>
              </w:rPr>
              <w:t>80,905</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for Investing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(392,483)</w:t>
            </w:r>
          </w:p>
        </w:tc>
        <w:tc>
          <w:tcPr>
            <w:tcW w:w="2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(68,518)</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0" w:type="dxa"/>
            <w:vAlign w:val="bottom"/>
            <w:tcBorders>
              <w:bottom w:val="single" w:sz="8" w:color="D2F0FF"/>
            </w:tcBorders>
            <w:shd w:val="clear" w:color="auto" w:fill="D2F0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D2F0FF"/>
            </w:tcBorders>
            <w:shd w:val="clear" w:color="auto" w:fill="D2F0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D2F0FF"/>
            </w:tcBorders>
            <w:shd w:val="clear" w:color="auto" w:fill="D2F0FF"/>
          </w:tcPr>
          <w:p>
            <w:pPr>
              <w:jc w:val="right"/>
              <w:ind w:right="36"/>
              <w:spacing w:after="0"/>
              <w:rPr>
                <w:sz w:val="20"/>
                <w:szCs w:val="20"/>
                <w:color w:val="auto"/>
              </w:rPr>
            </w:pPr>
            <w:r>
              <w:rPr>
                <w:rFonts w:ascii="Arial" w:cs="Arial" w:eastAsia="Arial" w:hAnsi="Arial"/>
                <w:sz w:val="18"/>
                <w:szCs w:val="18"/>
                <w:color w:val="auto"/>
              </w:rPr>
              <w:t>261,097</w:t>
            </w:r>
          </w:p>
        </w:tc>
        <w:tc>
          <w:tcPr>
            <w:tcW w:w="200" w:type="dxa"/>
            <w:vAlign w:val="bottom"/>
            <w:tcBorders>
              <w:bottom w:val="single" w:sz="8" w:color="D2F0FF"/>
            </w:tcBorders>
            <w:shd w:val="clear" w:color="auto" w:fill="D2F0FF"/>
          </w:tcPr>
          <w:p>
            <w:pPr>
              <w:spacing w:after="0"/>
              <w:rPr>
                <w:sz w:val="21"/>
                <w:szCs w:val="21"/>
                <w:color w:val="auto"/>
              </w:rPr>
            </w:pPr>
          </w:p>
        </w:tc>
        <w:tc>
          <w:tcPr>
            <w:tcW w:w="400" w:type="dxa"/>
            <w:vAlign w:val="bottom"/>
            <w:tcBorders>
              <w:bottom w:val="single" w:sz="8" w:color="D2F0FF"/>
            </w:tcBorders>
            <w:shd w:val="clear" w:color="auto" w:fill="D2F0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D2F0FF"/>
            </w:tcBorders>
            <w:shd w:val="clear" w:color="auto" w:fill="D2F0FF"/>
          </w:tcPr>
          <w:p>
            <w:pPr>
              <w:jc w:val="right"/>
              <w:spacing w:after="0"/>
              <w:rPr>
                <w:sz w:val="20"/>
                <w:szCs w:val="20"/>
                <w:color w:val="auto"/>
              </w:rPr>
            </w:pPr>
            <w:r>
              <w:rPr>
                <w:rFonts w:ascii="Arial" w:cs="Arial" w:eastAsia="Arial" w:hAnsi="Arial"/>
                <w:sz w:val="18"/>
                <w:szCs w:val="18"/>
                <w:color w:val="auto"/>
              </w:rPr>
              <w:t>(8,464)</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Cash, cash equivalents and restricted cash decreased by $28.1 million from $62.3 million as of December 31, 2018, to $34.2 million as of March 31,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increased by $22.2 million from $80.9 million for the three months ended March 31, 2018 to $103.1 million for the three months ended March 31,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96" w:right="2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Our net cash flows provided by operating activities from continuing operations may be adversely impacted by, among other things: (a) the market and economic conditions in our current markets generally, and specifically in metropolitan areas of our current markets; (b) lower occupancy and rental rates of our properties; (c) increased operating costs, such as wage and benefit costs, insurance premiums, real estate taxes and utilities, that cannot be passed on to our tenants; (d) decreased sales of manufactured homes; and (e) current volatility in economic conditions and the financial markets. See “Risk Factors” in Part I, Item 1A of our 2018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for investing activities was $392.5 million for the three months ended March 31, 2019, compared to $68.5 million for the three months ended March 31, 2018. Refer to Note 3, “Real Estate Acquisitions” in our accompanying Consolidated Financial Statements for additional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was $261.1 million for the three months ended March 31, 2019, compared to net cash provided by financing activities of $8.5 million for the three months ended March 31, 2018. Refer to Note 9, “Debt and Lines of Credit” and Note 10, “Equity and Temporary Equity” in our accompanying Consolidated Financial Statements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Flexibility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2017, we entered into an at the market offering sales agreement (the “Sales Agreement”) with certain sales agents (collectively, the “Sales Agents”), whereby we may offer and sell shares of our common stock, having an aggregate offering price of up to $450.0 million, from time to time through the Sales Agents. The Sales Agents are entitled to compensation in an agreed amount not to exceed 2.0 percent of the gross price per share for any shares sold from time to time under the Sales Agreement. Through March 31, 2019, we have sold shares of our common stock for gross proceeds of $163.8 million under the Sales Agreement.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2017, we amended and restated our credit agreement (the “A&amp;R Credit Agreement”) with Citibank, N.A. (“Citibank”) and certain other lenders. Pursuant to the A&amp;R Credit Agreement, we entered into a senior revolving credit facility with Citibank and certain other lenders in the amount of $650.0 million, comprised of a $550.0 million revolving loan and a $100.0 million term loan (the “A&amp;R Facility”). We repaid the term loan in full on September 7, 2018 and we are unable to reborrow on the term loan. The A&amp;R Credit Agreement has a four-year term ending April 25, 2021, which can be extended for two additional six-month periods at our option, subject to the satisfaction of certain conditions as defined in the A&amp;R Credit Agreement. The A&amp;R Credit Agreement also provides for, subject to the satisfaction of certain conditions, additional commitments in an amount not to exceed $350.0 million. If additional borrowings are made pursuant to any such additional commitments, the aggregate borrowing limit under the A&amp;R Facility may be increased up to $900.0 million.</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A&amp;R Facility bears interest at a floating rate based on the Eurodollar rate plus a margin that is determined based on our leverage ratio calculated in accordance with the A&amp;R Credit Agreement, which margin can range from 1.35 percent to 2.20 percent for the revolving loan. As of March 31, 2019, the margin based on our leverage ratio was 1.35 percent on the revolving loan. We had $393.0 million borrowings on the revolving loan as of March 31, 2019.</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A&amp;R Facility provides us with the ability to issue letters of credit. Our issuance of letters of credit does not increase our borrowings outstanding under our line of credit, but does reduce the borrowing amount available. At March 31, 2019 and December 31, 2018, approximately $3.9 million of availability was used to back standby letters of credit.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01"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Pursuant to the terms of the A&amp;R Facility, we are subject to various financial and other covenants. We are currently in compliance with these covenants. The most restrictive financial covenants for the A&amp;R Facility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Borders>
              <w:bottom w:val="single" w:sz="8" w:color="auto"/>
            </w:tcBorders>
          </w:tcPr>
          <w:p>
            <w:pPr>
              <w:ind w:left="3320"/>
              <w:spacing w:after="0"/>
              <w:rPr>
                <w:sz w:val="20"/>
                <w:szCs w:val="20"/>
                <w:color w:val="auto"/>
              </w:rPr>
            </w:pPr>
            <w:r>
              <w:rPr>
                <w:rFonts w:ascii="Arial" w:cs="Arial" w:eastAsia="Arial" w:hAnsi="Arial"/>
                <w:sz w:val="16"/>
                <w:szCs w:val="16"/>
                <w:b w:val="1"/>
                <w:bCs w:val="1"/>
                <w:color w:val="auto"/>
              </w:rPr>
              <w:t>Covenant</w:t>
            </w:r>
          </w:p>
        </w:tc>
        <w:tc>
          <w:tcPr>
            <w:tcW w:w="12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Requirement</w:t>
            </w:r>
          </w:p>
        </w:tc>
        <w:tc>
          <w:tcPr>
            <w:tcW w:w="10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As of March 31, 2019</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Maximum Leverage Ratio</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&lt;65%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33.0%</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Minimum Fixed Charge Coverage Ratio</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&gt;1.40</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3.00</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Minimum Tangible Net Worth</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&gt;2,918,046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$4,734,859</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Maximum Dividend Payout Ratio</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&lt;95.0%</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59.0%</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meeting our long-term liquidity requirements, such as scheduled debt maturities, large property acquisitions, expansion and development of communities, and Operating Partnership unit redemptions through the issuance of certain debt or equity securities and/or the collateralization of our properties. At March 31, 2019, we had 195 unencumbered properties, of which 61 support the borrowing base for our $550.0 million revolving loan in our A&amp;R Facility.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we may also issue shares of our capital stock, issue equity units in our Operating Partnership, obtain debt financing, or sell selected assets. Our ability to finance our long-term liquidity requirements in such a manner will be affected by numerous economic factors affecting the MH and RV community industry at the time, including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See “Risk Factors” in Part I, Item 1A of our 2018 Annual Report and in Part II, Item 1A of this report. If we are unable to obtain additional debt or equity financing on acceptable terms, our business, results of operations and financial condition would be adversely impacted.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2019, our net debt to enterprise value was approximately 24.1 percent (assuming conversion of all common OP units, Series A-1 preferred OP units, Series A-3 preferred OP units, Series A-4 preferred OP units, Series C preferred OP units and Series D preferred OP units to shares of common stock). Our debt has a weighted average maturity of approximately 9.3 years and a weighted average interest rate of 4.4 percent.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Quarterly Report on Form 10-Q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filing that relate to expectations, beliefs, projections, future plans and strategies, trends or prospective events or developments and similar expressions concerning matters that are not historical facts are deemed to be forward-looking statements. Words such as “forecasts,” “intends,” “intend,” “intended,” “goal,” “estimate,” “estimates,” “expects,” “expect,” “expected,” “project,” “projected,” “projections,” “plans,” “predicts,” “potential,” “seeks,” “anticipates,” “anticipated,” “should,” “could,” “may,” “will,” “designed to,” “foreseeable future,” “believe,” “believes,” “scheduled,” “guidance”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filing. These risks and uncertainties may cause our actual results to be materially different from any future results expressed or implied by such forward-looking statements. In addition to the risks disclosed under “Risk Factors” in Part I, Item IA, contained in our 2018 Annual Report and Item 8.01 in our Current Report on Form 8-K filed February 22, 2019, and our other filings with the SEC, such risks and uncertainties include, but are not limited to:</w:t>
      </w:r>
    </w:p>
    <w:p>
      <w:pPr>
        <w:spacing w:after="0" w:line="22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general economic conditions, the real estate industry, and the markets in which we operate;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our ability to evaluate, finance, complete and integrate acquisitions, developments and expansions successfully;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liquidity and refinancing demands;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or refinance maturing debt;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compliance with covenants contained in our debt facilities;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foreign currency exchange rates, including between the U.S. dollar and each of the Canadian and the Australian dollar;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rental rates and occupancy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 over financial reporting and disclosure controls and procedures;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interest rates and operating costs, including insurance premiums and real property taxes;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related to natural disasters such as hurricanes, earthquakes, floods and wildfires;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volatility of the capital markets and the market price of shares of our capital stock;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maintain our status as a REIT;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real estate and zoning laws and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legislative or regulatory changes, including changes to laws governing the taxation of REITs;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judgments or settlements;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competitive market forces;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manufactured home buyers to obtain financing;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repossessions by manufactured home lenders.</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filing, whether as a result of new information, future events, changes in our expectations or otherwise, except as required by law.</w:t>
      </w: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9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variable rate debt totaled $396.5 million and $294.8 million as of March 31, 2019 and 2018, respectively, and bears interest at Prime or various LIBOR rates. If Prime or LIBOR increased or decreased by 1.0 percent, our interest expense would have increased or decreased by approximately $0.7 million and $0.6 million for the three months ended March 31, 2019 and 2018, respectively, based on the $290.3 million and $260.1 million average balances outstanding under our variable rate debt facilities,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Canadian properties, and our Australian equity investment and joint venture into U.S. dollars. Fluctuations in foreign currency exchange rates can therefore create volatility in our results of operations and may adversely affect our financial condition.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2019 and December 31, 2018, our stockholder’s equity included $146.6 million and $141.4 million from our Canadian subsidiaries and Australian equity investments, respectively, which represented 4.7 percent and 4.6 percent of total stockholder’s equity, respectively. Based on our sensitivity analysis, a 10.0 percent strengthening of the U.S. dollar against the Canadian and Australian dollar would have caused a reduction of $14.7 million and $14.1 million to our total stockholder’s equity at March 31, 2019 and December 31,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with the participation of our CEO and CFO, evaluated the effectiveness of our disclosure controls and procedures (pursuant to Rules 13a-15(e) or 15d-15(e) of the Exchange Act) at March 31, 2019. Based upon this evaluation, our CEO and CFO concluded that our disclosure controls and procedures were effective as of March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three months ended March 31, 2019 that have materially affected, or are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96"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Refer to “Legal Proceedings” in Part 1 - Item 1 - Note 17, “Commitments and Contingencies” in our accompanying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described in Part 1, Item 1A., “Risk Factors,” in our 2018 Annual Report, and Item 8.01 in our Current Report on Form 8-K filed February 22, 2019, which could materially affect our business, financial condition or future results. There have been no material changes to the disclosure on these matters set forth in the 2018 Annual Report and the Current Report on Form 8-K.</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phaseout of the London Interbank Offered Rate (LIBOR), or the replacement of LIBOR with a different reference rate, may adversely affect interest rates.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July 27, 2017, the Financial Conduct Authority (the authority that regulates LIBOR) announced that it would phaseout LIBOR by the end of 2021. It is unclear whether new methods of calculating LIBOR will be established such that it continues to exist after 2021, or if alternative rates or benchmarks will be adopted. Changes in the method of calculating LIBOR, or the replacement of LIBOR with an alternative rate or benchmark, may adversely affect interest rates and result in higher borrowing costs. This could materially and adversely affect the Company’s results or operations, cash flows and liquidity. With such uncertainty, we cannot predict the effect of the potential changes to LIBOR or the establishment and use of alternative rates or benchmarks. If changes are made to the method of calculating LIBOR or LIBOR ceases to exist, we may need to amend certain contracts and cannot predict what alternative rate or benchmark would be negotiated. This may result in an increase to our interest expense.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OP units have converted the following units during the three months ended March 31, 2019:</w:t>
      </w:r>
    </w:p>
    <w:p>
      <w:pPr>
        <w:spacing w:after="0" w:line="37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720" w:type="dxa"/>
            <w:vAlign w:val="bottom"/>
            <w:tcBorders>
              <w:bottom w:val="single" w:sz="8" w:color="auto"/>
            </w:tcBorders>
            <w:gridSpan w:val="2"/>
          </w:tcPr>
          <w:p>
            <w:pPr>
              <w:jc w:val="right"/>
              <w:ind w:right="753"/>
              <w:spacing w:after="0"/>
              <w:rPr>
                <w:sz w:val="20"/>
                <w:szCs w:val="20"/>
                <w:color w:val="auto"/>
              </w:rPr>
            </w:pPr>
            <w:r>
              <w:rPr>
                <w:rFonts w:ascii="Arial" w:cs="Arial" w:eastAsia="Arial" w:hAnsi="Arial"/>
                <w:sz w:val="14"/>
                <w:szCs w:val="14"/>
                <w:b w:val="1"/>
                <w:bCs w:val="1"/>
                <w:color w:val="auto"/>
              </w:rPr>
              <w:t>March 31, 2019</w:t>
            </w:r>
          </w:p>
        </w:tc>
      </w:tr>
      <w:tr>
        <w:trPr>
          <w:trHeight w:val="209"/>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jc w:val="right"/>
              <w:ind w:right="177"/>
              <w:spacing w:after="0"/>
              <w:rPr>
                <w:sz w:val="20"/>
                <w:szCs w:val="20"/>
                <w:color w:val="auto"/>
              </w:rPr>
            </w:pPr>
            <w:r>
              <w:rPr>
                <w:rFonts w:ascii="Arial" w:cs="Arial" w:eastAsia="Arial" w:hAnsi="Arial"/>
                <w:sz w:val="16"/>
                <w:szCs w:val="16"/>
                <w:b w:val="1"/>
                <w:bCs w:val="1"/>
                <w:color w:val="auto"/>
              </w:rPr>
              <w:t>Units/Shares</w:t>
            </w:r>
          </w:p>
        </w:tc>
        <w:tc>
          <w:tcPr>
            <w:tcW w:w="1340" w:type="dxa"/>
            <w:vAlign w:val="bottom"/>
          </w:tcPr>
          <w:p>
            <w:pPr>
              <w:spacing w:after="0"/>
              <w:rPr>
                <w:sz w:val="18"/>
                <w:szCs w:val="18"/>
                <w:color w:val="auto"/>
              </w:rPr>
            </w:pPr>
          </w:p>
        </w:tc>
      </w:tr>
      <w:tr>
        <w:trPr>
          <w:trHeight w:val="210"/>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Series</w:t>
            </w:r>
          </w:p>
        </w:tc>
        <w:tc>
          <w:tcPr>
            <w:tcW w:w="1500" w:type="dxa"/>
            <w:vAlign w:val="bottom"/>
          </w:tcPr>
          <w:p>
            <w:pPr>
              <w:jc w:val="right"/>
              <w:ind w:right="133"/>
              <w:spacing w:after="0"/>
              <w:rPr>
                <w:sz w:val="20"/>
                <w:szCs w:val="20"/>
                <w:color w:val="auto"/>
              </w:rPr>
            </w:pPr>
            <w:r>
              <w:rPr>
                <w:rFonts w:ascii="Arial" w:cs="Arial" w:eastAsia="Arial" w:hAnsi="Arial"/>
                <w:sz w:val="16"/>
                <w:szCs w:val="16"/>
                <w:b w:val="1"/>
                <w:bCs w:val="1"/>
                <w:color w:val="auto"/>
                <w:w w:val="99"/>
              </w:rPr>
              <w:t>Conversion Rate</w:t>
            </w:r>
          </w:p>
        </w:tc>
        <w:tc>
          <w:tcPr>
            <w:tcW w:w="1380" w:type="dxa"/>
            <w:vAlign w:val="bottom"/>
          </w:tcPr>
          <w:p>
            <w:pPr>
              <w:jc w:val="right"/>
              <w:ind w:right="237"/>
              <w:spacing w:after="0"/>
              <w:rPr>
                <w:sz w:val="20"/>
                <w:szCs w:val="20"/>
                <w:color w:val="auto"/>
              </w:rPr>
            </w:pPr>
            <w:r>
              <w:rPr>
                <w:rFonts w:ascii="Arial" w:cs="Arial" w:eastAsia="Arial" w:hAnsi="Arial"/>
                <w:sz w:val="16"/>
                <w:szCs w:val="16"/>
                <w:b w:val="1"/>
                <w:bCs w:val="1"/>
                <w:color w:val="auto"/>
              </w:rPr>
              <w:t>Converted</w:t>
            </w:r>
          </w:p>
        </w:tc>
        <w:tc>
          <w:tcPr>
            <w:tcW w:w="1340" w:type="dxa"/>
            <w:vAlign w:val="bottom"/>
          </w:tcPr>
          <w:p>
            <w:pPr>
              <w:jc w:val="right"/>
              <w:ind w:right="53"/>
              <w:spacing w:after="0"/>
              <w:rPr>
                <w:sz w:val="20"/>
                <w:szCs w:val="20"/>
                <w:color w:val="auto"/>
              </w:rPr>
            </w:pPr>
            <w:r>
              <w:rPr>
                <w:rFonts w:ascii="Arial" w:cs="Arial" w:eastAsia="Arial" w:hAnsi="Arial"/>
                <w:sz w:val="16"/>
                <w:szCs w:val="16"/>
                <w:b w:val="1"/>
                <w:bCs w:val="1"/>
                <w:color w:val="auto"/>
              </w:rPr>
              <w:t>Common Stock</w:t>
            </w:r>
          </w:p>
        </w:tc>
      </w:tr>
      <w:tr>
        <w:trPr>
          <w:trHeight w:val="33"/>
        </w:trPr>
        <w:tc>
          <w:tcPr>
            <w:tcW w:w="7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OP unit</w:t>
            </w:r>
          </w:p>
        </w:tc>
        <w:tc>
          <w:tcPr>
            <w:tcW w:w="15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6,533</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6,533</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Series A-1 preferred OP unit</w:t>
            </w:r>
          </w:p>
        </w:tc>
        <w:tc>
          <w:tcPr>
            <w:tcW w:w="1500" w:type="dxa"/>
            <w:vAlign w:val="bottom"/>
          </w:tcPr>
          <w:p>
            <w:pPr>
              <w:jc w:val="right"/>
              <w:ind w:right="153"/>
              <w:spacing w:after="0"/>
              <w:rPr>
                <w:sz w:val="20"/>
                <w:szCs w:val="20"/>
                <w:color w:val="auto"/>
              </w:rPr>
            </w:pPr>
            <w:r>
              <w:rPr>
                <w:rFonts w:ascii="Arial" w:cs="Arial" w:eastAsia="Arial" w:hAnsi="Arial"/>
                <w:sz w:val="18"/>
                <w:szCs w:val="18"/>
                <w:color w:val="auto"/>
              </w:rPr>
              <w:t>2.439</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3,950</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9,633</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above shares of common stock were issued in private placements in reliance on Section 4(a)(2) of the Securities Act of 1933, as amended, including Regulation D promulgated thereunder. No underwriters were used in connection with any of such issuances.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“Exhibit Index.”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13"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75" w:lineRule="exact"/>
        <w:rPr>
          <w:sz w:val="20"/>
          <w:szCs w:val="20"/>
          <w:color w:val="auto"/>
        </w:rPr>
      </w:pPr>
    </w:p>
    <w:tbl>
      <w:tblPr>
        <w:tblLayout w:type="fixed"/>
        <w:tblInd w:w="30" w:type="dxa"/>
        <w:tblCellMar>
          <w:top w:w="0" w:type="dxa"/>
          <w:left w:w="0" w:type="dxa"/>
          <w:bottom w:w="0" w:type="dxa"/>
          <w:right w:w="0" w:type="dxa"/>
        </w:tblCellMar>
      </w:tblPr>
      <w:tr>
        <w:trPr>
          <w:trHeight w:val="257"/>
        </w:trPr>
        <w:tc>
          <w:tcPr>
            <w:tcW w:w="130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Exhibit No.</w:t>
            </w:r>
          </w:p>
        </w:tc>
        <w:tc>
          <w:tcPr>
            <w:tcW w:w="2100" w:type="dxa"/>
            <w:vAlign w:val="bottom"/>
            <w:tcBorders>
              <w:top w:val="single" w:sz="8" w:color="auto"/>
            </w:tcBorders>
          </w:tcPr>
          <w:p>
            <w:pPr>
              <w:spacing w:after="0"/>
              <w:rPr>
                <w:sz w:val="22"/>
                <w:szCs w:val="22"/>
                <w:color w:val="auto"/>
              </w:rPr>
            </w:pPr>
          </w:p>
        </w:tc>
        <w:tc>
          <w:tcPr>
            <w:tcW w:w="4940" w:type="dxa"/>
            <w:vAlign w:val="bottom"/>
            <w:tcBorders>
              <w:top w:val="single" w:sz="8" w:color="auto"/>
              <w:right w:val="single" w:sz="8" w:color="auto"/>
            </w:tcBorders>
            <w:gridSpan w:val="7"/>
          </w:tcPr>
          <w:p>
            <w:pPr>
              <w:ind w:left="960"/>
              <w:spacing w:after="0"/>
              <w:rPr>
                <w:sz w:val="20"/>
                <w:szCs w:val="20"/>
                <w:color w:val="auto"/>
              </w:rPr>
            </w:pPr>
            <w:r>
              <w:rPr>
                <w:rFonts w:ascii="Arial" w:cs="Arial" w:eastAsia="Arial" w:hAnsi="Arial"/>
                <w:sz w:val="18"/>
                <w:szCs w:val="18"/>
                <w:b w:val="1"/>
                <w:bCs w:val="1"/>
                <w:color w:val="auto"/>
              </w:rPr>
              <w:t>Description</w:t>
            </w:r>
          </w:p>
        </w:tc>
        <w:tc>
          <w:tcPr>
            <w:tcW w:w="306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Method of Filing</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196"/>
        </w:trPr>
        <w:tc>
          <w:tcPr>
            <w:tcW w:w="1300" w:type="dxa"/>
            <w:vAlign w:val="bottom"/>
            <w:tcBorders>
              <w:left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7040" w:type="dxa"/>
            <w:vAlign w:val="bottom"/>
            <w:tcBorders>
              <w:right w:val="single" w:sz="8" w:color="auto"/>
            </w:tcBorders>
            <w:gridSpan w:val="8"/>
            <w:shd w:val="clear" w:color="auto" w:fill="CCEEFF"/>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Fourth Amended and Restated Agreement of Limited Partnership of Sun Communities</w:t>
              </w:r>
            </w:hyperlink>
          </w:p>
        </w:tc>
        <w:tc>
          <w:tcPr>
            <w:tcW w:w="3060" w:type="dxa"/>
            <w:vAlign w:val="bottom"/>
            <w:tcBorders>
              <w:right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Incorporated by reference to Sun</w:t>
            </w:r>
          </w:p>
        </w:tc>
      </w:tr>
      <w:tr>
        <w:trPr>
          <w:trHeight w:val="196"/>
        </w:trPr>
        <w:tc>
          <w:tcPr>
            <w:tcW w:w="130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6240" w:type="dxa"/>
            <w:vAlign w:val="bottom"/>
            <w:tcBorders>
              <w:top w:val="single" w:sz="8" w:color="0000FF"/>
            </w:tcBorders>
            <w:gridSpan w:val="3"/>
            <w:shd w:val="clear" w:color="auto" w:fill="CCEEFF"/>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Operating Limited Partnership dated January 31, 2019</w:t>
              </w:r>
            </w:hyperlink>
          </w:p>
        </w:tc>
        <w:tc>
          <w:tcPr>
            <w:tcW w:w="800" w:type="dxa"/>
            <w:vAlign w:val="bottom"/>
            <w:tcBorders>
              <w:top w:val="single" w:sz="8" w:color="CCEEFF"/>
              <w:right w:val="single" w:sz="8" w:color="auto"/>
            </w:tcBorders>
            <w:gridSpan w:val="5"/>
            <w:shd w:val="clear" w:color="auto" w:fill="CCEEFF"/>
          </w:tcPr>
          <w:p>
            <w:pPr>
              <w:spacing w:after="0"/>
              <w:rPr>
                <w:sz w:val="17"/>
                <w:szCs w:val="17"/>
                <w:color w:val="auto"/>
              </w:rPr>
            </w:pPr>
          </w:p>
        </w:tc>
        <w:tc>
          <w:tcPr>
            <w:tcW w:w="3060" w:type="dxa"/>
            <w:vAlign w:val="bottom"/>
            <w:tcBorders>
              <w:top w:val="single" w:sz="8" w:color="CCEEFF"/>
              <w:right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7"/>
              </w:rPr>
              <w:t>Communities, Inc.’s Current Report on</w:t>
            </w:r>
          </w:p>
        </w:tc>
      </w:tr>
      <w:tr>
        <w:trPr>
          <w:trHeight w:val="269"/>
        </w:trPr>
        <w:tc>
          <w:tcPr>
            <w:tcW w:w="1300" w:type="dxa"/>
            <w:vAlign w:val="bottom"/>
            <w:tcBorders>
              <w:top w:val="single" w:sz="8" w:color="CCEEFF"/>
              <w:left w:val="single" w:sz="8" w:color="auto"/>
              <w:bottom w:val="single" w:sz="8" w:color="CCEEFF"/>
              <w:right w:val="single" w:sz="8" w:color="auto"/>
            </w:tcBorders>
            <w:shd w:val="clear" w:color="auto" w:fill="CCEEFF"/>
          </w:tcPr>
          <w:p>
            <w:pPr>
              <w:spacing w:after="0"/>
              <w:rPr>
                <w:sz w:val="22"/>
                <w:szCs w:val="22"/>
                <w:color w:val="auto"/>
              </w:rPr>
            </w:pPr>
          </w:p>
        </w:tc>
        <w:tc>
          <w:tcPr>
            <w:tcW w:w="2100" w:type="dxa"/>
            <w:vAlign w:val="bottom"/>
            <w:tcBorders>
              <w:top w:val="single" w:sz="8" w:color="0000FF"/>
              <w:bottom w:val="single" w:sz="8" w:color="CCEEFF"/>
            </w:tcBorders>
            <w:shd w:val="clear" w:color="auto" w:fill="CCEEFF"/>
          </w:tcPr>
          <w:p>
            <w:pPr>
              <w:spacing w:after="0"/>
              <w:rPr>
                <w:sz w:val="22"/>
                <w:szCs w:val="22"/>
                <w:color w:val="auto"/>
              </w:rPr>
            </w:pPr>
          </w:p>
        </w:tc>
        <w:tc>
          <w:tcPr>
            <w:tcW w:w="1820" w:type="dxa"/>
            <w:vAlign w:val="bottom"/>
            <w:tcBorders>
              <w:top w:val="single" w:sz="8" w:color="0000FF"/>
              <w:bottom w:val="single" w:sz="8" w:color="CCEEFF"/>
            </w:tcBorders>
            <w:shd w:val="clear" w:color="auto" w:fill="CCEEFF"/>
          </w:tcPr>
          <w:p>
            <w:pPr>
              <w:spacing w:after="0"/>
              <w:rPr>
                <w:sz w:val="22"/>
                <w:szCs w:val="22"/>
                <w:color w:val="auto"/>
              </w:rPr>
            </w:pPr>
          </w:p>
        </w:tc>
        <w:tc>
          <w:tcPr>
            <w:tcW w:w="23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CCEEFF"/>
              <w:bottom w:val="single" w:sz="8" w:color="CCEEFF"/>
              <w:right w:val="single" w:sz="8" w:color="auto"/>
            </w:tcBorders>
            <w:shd w:val="clear" w:color="auto" w:fill="CCEEFF"/>
          </w:tcPr>
          <w:p>
            <w:pPr>
              <w:spacing w:after="0"/>
              <w:rPr>
                <w:sz w:val="22"/>
                <w:szCs w:val="22"/>
                <w:color w:val="auto"/>
              </w:rPr>
            </w:pPr>
          </w:p>
        </w:tc>
        <w:tc>
          <w:tcPr>
            <w:tcW w:w="3060" w:type="dxa"/>
            <w:vAlign w:val="bottom"/>
            <w:tcBorders>
              <w:top w:val="single" w:sz="8" w:color="CCEEFF"/>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Form 8-K filed February 5, 2019</w:t>
            </w:r>
          </w:p>
        </w:tc>
      </w:tr>
      <w:tr>
        <w:trPr>
          <w:trHeight w:val="196"/>
        </w:trPr>
        <w:tc>
          <w:tcPr>
            <w:tcW w:w="1300" w:type="dxa"/>
            <w:vAlign w:val="bottom"/>
            <w:tcBorders>
              <w:top w:val="single" w:sz="8" w:color="auto"/>
              <w:left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6360" w:type="dxa"/>
            <w:vAlign w:val="bottom"/>
            <w:tcBorders>
              <w:top w:val="single" w:sz="8" w:color="auto"/>
              <w:bottom w:val="single" w:sz="8" w:color="0000FF"/>
            </w:tcBorders>
            <w:gridSpan w:val="5"/>
          </w:tcPr>
          <w:p>
            <w:pPr>
              <w:spacing w:after="0" w:line="196" w:lineRule="exact"/>
              <w:rPr>
                <w:rFonts w:ascii="Arial" w:cs="Arial" w:eastAsia="Arial" w:hAnsi="Arial"/>
                <w:sz w:val="18"/>
                <w:szCs w:val="18"/>
                <w:color w:val="0000FF"/>
                <w:w w:val="91"/>
              </w:rPr>
            </w:pPr>
            <w:hyperlink w:anchor="page50">
              <w:r>
                <w:rPr>
                  <w:rFonts w:ascii="Arial" w:cs="Arial" w:eastAsia="Arial" w:hAnsi="Arial"/>
                  <w:sz w:val="18"/>
                  <w:szCs w:val="18"/>
                  <w:color w:val="0000FF"/>
                  <w:w w:val="91"/>
                </w:rPr>
                <w:t>Certification of Chief Executive Officer pursuant to Securities Exchange Act Rules 13a-</w:t>
              </w:r>
            </w:hyperlink>
          </w:p>
        </w:tc>
        <w:tc>
          <w:tcPr>
            <w:tcW w:w="680" w:type="dxa"/>
            <w:vAlign w:val="bottom"/>
            <w:tcBorders>
              <w:top w:val="single" w:sz="8" w:color="auto"/>
              <w:right w:val="single" w:sz="8" w:color="auto"/>
            </w:tcBorders>
            <w:gridSpan w:val="3"/>
          </w:tcPr>
          <w:p>
            <w:pPr>
              <w:spacing w:after="0"/>
              <w:rPr>
                <w:sz w:val="17"/>
                <w:szCs w:val="17"/>
                <w:color w:val="auto"/>
              </w:rPr>
            </w:pPr>
          </w:p>
        </w:tc>
        <w:tc>
          <w:tcPr>
            <w:tcW w:w="3060" w:type="dxa"/>
            <w:vAlign w:val="bottom"/>
            <w:tcBorders>
              <w:top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Filed herewith</w:t>
            </w: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7040" w:type="dxa"/>
            <w:vAlign w:val="bottom"/>
            <w:tcBorders>
              <w:right w:val="single" w:sz="8" w:color="auto"/>
            </w:tcBorders>
            <w:gridSpan w:val="8"/>
          </w:tcPr>
          <w:p>
            <w:pPr>
              <w:spacing w:after="0" w:line="196" w:lineRule="exact"/>
              <w:rPr>
                <w:rFonts w:ascii="Arial" w:cs="Arial" w:eastAsia="Arial" w:hAnsi="Arial"/>
                <w:sz w:val="18"/>
                <w:szCs w:val="18"/>
                <w:color w:val="0000FF"/>
                <w:w w:val="97"/>
              </w:rPr>
            </w:pPr>
            <w:hyperlink w:anchor="page50">
              <w:r>
                <w:rPr>
                  <w:rFonts w:ascii="Arial" w:cs="Arial" w:eastAsia="Arial" w:hAnsi="Arial"/>
                  <w:sz w:val="18"/>
                  <w:szCs w:val="18"/>
                  <w:color w:val="0000FF"/>
                  <w:w w:val="97"/>
                </w:rPr>
                <w:t>14(a)/15(d)-14(a), as adopted pursuant to Section 302 of the Sarbanes-Oxley Act of 2002</w:t>
              </w:r>
            </w:hyperlink>
            <w:r>
              <w:rPr>
                <w:rFonts w:ascii="Arial" w:cs="Arial" w:eastAsia="Arial" w:hAnsi="Arial"/>
                <w:sz w:val="18"/>
                <w:szCs w:val="18"/>
                <w:color w:val="000000"/>
                <w:w w:val="97"/>
              </w:rPr>
              <w:t>.</w:t>
            </w:r>
          </w:p>
        </w:tc>
        <w:tc>
          <w:tcPr>
            <w:tcW w:w="3060" w:type="dxa"/>
            <w:vAlign w:val="bottom"/>
            <w:tcBorders>
              <w:right w:val="single" w:sz="8" w:color="auto"/>
            </w:tcBorders>
          </w:tcPr>
          <w:p>
            <w:pPr>
              <w:spacing w:after="0"/>
              <w:rPr>
                <w:sz w:val="17"/>
                <w:szCs w:val="17"/>
                <w:color w:val="auto"/>
              </w:rPr>
            </w:pPr>
          </w:p>
        </w:tc>
      </w:tr>
      <w:tr>
        <w:trPr>
          <w:trHeight w:val="48"/>
        </w:trPr>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2100" w:type="dxa"/>
            <w:vAlign w:val="bottom"/>
            <w:tcBorders>
              <w:top w:val="single" w:sz="8" w:color="0000FF"/>
              <w:bottom w:val="single" w:sz="8" w:color="auto"/>
            </w:tcBorders>
          </w:tcPr>
          <w:p>
            <w:pPr>
              <w:spacing w:after="0"/>
              <w:rPr>
                <w:sz w:val="4"/>
                <w:szCs w:val="4"/>
                <w:color w:val="auto"/>
              </w:rPr>
            </w:pPr>
          </w:p>
        </w:tc>
        <w:tc>
          <w:tcPr>
            <w:tcW w:w="1820" w:type="dxa"/>
            <w:vAlign w:val="bottom"/>
            <w:tcBorders>
              <w:top w:val="single" w:sz="8" w:color="0000FF"/>
              <w:bottom w:val="single" w:sz="8" w:color="auto"/>
            </w:tcBorders>
          </w:tcPr>
          <w:p>
            <w:pPr>
              <w:spacing w:after="0"/>
              <w:rPr>
                <w:sz w:val="4"/>
                <w:szCs w:val="4"/>
                <w:color w:val="auto"/>
              </w:rPr>
            </w:pPr>
          </w:p>
        </w:tc>
        <w:tc>
          <w:tcPr>
            <w:tcW w:w="23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r>
      <w:tr>
        <w:trPr>
          <w:trHeight w:val="196"/>
        </w:trPr>
        <w:tc>
          <w:tcPr>
            <w:tcW w:w="1300" w:type="dxa"/>
            <w:vAlign w:val="bottom"/>
            <w:tcBorders>
              <w:left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7040" w:type="dxa"/>
            <w:vAlign w:val="bottom"/>
            <w:tcBorders>
              <w:right w:val="single" w:sz="8" w:color="auto"/>
            </w:tcBorders>
            <w:gridSpan w:val="8"/>
            <w:shd w:val="clear" w:color="auto" w:fill="CCEEFF"/>
          </w:tcPr>
          <w:p>
            <w:pPr>
              <w:spacing w:after="0" w:line="196" w:lineRule="exact"/>
              <w:rPr>
                <w:rFonts w:ascii="Arial" w:cs="Arial" w:eastAsia="Arial" w:hAnsi="Arial"/>
                <w:sz w:val="18"/>
                <w:szCs w:val="18"/>
                <w:color w:val="0000FF"/>
              </w:rPr>
            </w:pPr>
            <w:hyperlink w:anchor="page51">
              <w:r>
                <w:rPr>
                  <w:rFonts w:ascii="Arial" w:cs="Arial" w:eastAsia="Arial" w:hAnsi="Arial"/>
                  <w:sz w:val="18"/>
                  <w:szCs w:val="18"/>
                  <w:color w:val="0000FF"/>
                </w:rPr>
                <w:t>Certification of Chief Financial Officer pursuant to Securities Exchange Act Rules 13a-</w:t>
              </w:r>
            </w:hyperlink>
          </w:p>
        </w:tc>
        <w:tc>
          <w:tcPr>
            <w:tcW w:w="3060" w:type="dxa"/>
            <w:vAlign w:val="bottom"/>
            <w:tcBorders>
              <w:right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Filed herewith</w:t>
            </w:r>
          </w:p>
        </w:tc>
      </w:tr>
      <w:tr>
        <w:trPr>
          <w:trHeight w:val="20"/>
        </w:trPr>
        <w:tc>
          <w:tcPr>
            <w:tcW w:w="130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20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CCEEFF"/>
          </w:tcPr>
          <w:p>
            <w:pPr>
              <w:spacing w:after="0" w:line="20" w:lineRule="exact"/>
              <w:rPr>
                <w:sz w:val="1"/>
                <w:szCs w:val="1"/>
                <w:color w:val="auto"/>
              </w:rPr>
            </w:pPr>
          </w:p>
        </w:tc>
        <w:tc>
          <w:tcPr>
            <w:tcW w:w="3060" w:type="dxa"/>
            <w:vAlign w:val="bottom"/>
            <w:tcBorders>
              <w:right w:val="single" w:sz="8" w:color="auto"/>
            </w:tcBorders>
            <w:shd w:val="clear" w:color="auto" w:fill="CCEEFF"/>
          </w:tcPr>
          <w:p>
            <w:pPr>
              <w:spacing w:after="0" w:line="20" w:lineRule="exact"/>
              <w:rPr>
                <w:sz w:val="1"/>
                <w:szCs w:val="1"/>
                <w:color w:val="auto"/>
              </w:rPr>
            </w:pPr>
          </w:p>
        </w:tc>
      </w:tr>
      <w:tr>
        <w:trPr>
          <w:trHeight w:val="264"/>
        </w:trPr>
        <w:tc>
          <w:tcPr>
            <w:tcW w:w="130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7040" w:type="dxa"/>
            <w:vAlign w:val="bottom"/>
            <w:tcBorders>
              <w:bottom w:val="single" w:sz="8" w:color="auto"/>
              <w:right w:val="single" w:sz="8" w:color="auto"/>
            </w:tcBorders>
            <w:gridSpan w:val="8"/>
            <w:shd w:val="clear" w:color="auto" w:fill="CCEEFF"/>
          </w:tcPr>
          <w:p>
            <w:pPr>
              <w:spacing w:after="0" w:line="196" w:lineRule="exact"/>
              <w:rPr>
                <w:rFonts w:ascii="Arial" w:cs="Arial" w:eastAsia="Arial" w:hAnsi="Arial"/>
                <w:sz w:val="18"/>
                <w:szCs w:val="18"/>
                <w:color w:val="0000FF"/>
                <w:w w:val="97"/>
              </w:rPr>
            </w:pPr>
            <w:hyperlink w:anchor="page51">
              <w:r>
                <w:rPr>
                  <w:rFonts w:ascii="Arial" w:cs="Arial" w:eastAsia="Arial" w:hAnsi="Arial"/>
                  <w:sz w:val="18"/>
                  <w:szCs w:val="18"/>
                  <w:color w:val="0000FF"/>
                  <w:w w:val="97"/>
                </w:rPr>
                <w:t>14(a)/15(d)-14(a), as adopted pursuant to Section 302 of the Sarbanes-Oxley Act of 2002.</w:t>
              </w:r>
            </w:hyperlink>
          </w:p>
        </w:tc>
        <w:tc>
          <w:tcPr>
            <w:tcW w:w="3060" w:type="dxa"/>
            <w:vAlign w:val="bottom"/>
            <w:tcBorders>
              <w:bottom w:val="single" w:sz="8" w:color="auto"/>
              <w:right w:val="single" w:sz="8" w:color="auto"/>
            </w:tcBorders>
            <w:shd w:val="clear" w:color="auto" w:fill="CCEEFF"/>
          </w:tcPr>
          <w:p>
            <w:pPr>
              <w:spacing w:after="0"/>
              <w:rPr>
                <w:sz w:val="22"/>
                <w:szCs w:val="22"/>
                <w:color w:val="auto"/>
              </w:rPr>
            </w:pPr>
          </w:p>
        </w:tc>
      </w:tr>
      <w:tr>
        <w:trPr>
          <w:trHeight w:val="196"/>
        </w:trPr>
        <w:tc>
          <w:tcPr>
            <w:tcW w:w="1300" w:type="dxa"/>
            <w:vAlign w:val="bottom"/>
            <w:tcBorders>
              <w:left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32.1</w:t>
            </w:r>
          </w:p>
        </w:tc>
        <w:tc>
          <w:tcPr>
            <w:tcW w:w="7040" w:type="dxa"/>
            <w:vAlign w:val="bottom"/>
            <w:tcBorders>
              <w:right w:val="single" w:sz="8" w:color="auto"/>
            </w:tcBorders>
            <w:gridSpan w:val="8"/>
          </w:tcPr>
          <w:p>
            <w:pPr>
              <w:spacing w:after="0" w:line="196" w:lineRule="exact"/>
              <w:rPr>
                <w:rFonts w:ascii="Arial" w:cs="Arial" w:eastAsia="Arial" w:hAnsi="Arial"/>
                <w:sz w:val="18"/>
                <w:szCs w:val="18"/>
                <w:color w:val="0000FF"/>
                <w:w w:val="96"/>
              </w:rPr>
            </w:pPr>
            <w:hyperlink w:anchor="page52">
              <w:r>
                <w:rPr>
                  <w:rFonts w:ascii="Arial" w:cs="Arial" w:eastAsia="Arial" w:hAnsi="Arial"/>
                  <w:sz w:val="18"/>
                  <w:szCs w:val="18"/>
                  <w:color w:val="0000FF"/>
                  <w:w w:val="96"/>
                </w:rPr>
                <w:t>Certification pursuant to 18 U.S.C. Section 1350, as adopted pursuant to Section 906 of the</w:t>
              </w:r>
            </w:hyperlink>
          </w:p>
        </w:tc>
        <w:tc>
          <w:tcPr>
            <w:tcW w:w="306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Filed herewith</w:t>
            </w: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7040" w:type="dxa"/>
            <w:vAlign w:val="bottom"/>
            <w:tcBorders>
              <w:top w:val="single" w:sz="8" w:color="0000FF"/>
              <w:right w:val="single" w:sz="8" w:color="auto"/>
            </w:tcBorders>
            <w:gridSpan w:val="8"/>
          </w:tcPr>
          <w:p>
            <w:pPr>
              <w:spacing w:after="0" w:line="196" w:lineRule="exact"/>
              <w:rPr>
                <w:rFonts w:ascii="Arial" w:cs="Arial" w:eastAsia="Arial" w:hAnsi="Arial"/>
                <w:sz w:val="18"/>
                <w:szCs w:val="18"/>
                <w:color w:val="0000FF"/>
              </w:rPr>
            </w:pPr>
            <w:hyperlink w:anchor="page52">
              <w:r>
                <w:rPr>
                  <w:rFonts w:ascii="Arial" w:cs="Arial" w:eastAsia="Arial" w:hAnsi="Arial"/>
                  <w:sz w:val="18"/>
                  <w:szCs w:val="18"/>
                  <w:color w:val="0000FF"/>
                </w:rPr>
                <w:t>Sarbanes-Oxley Act of 2002.</w:t>
              </w:r>
            </w:hyperlink>
          </w:p>
        </w:tc>
        <w:tc>
          <w:tcPr>
            <w:tcW w:w="3060" w:type="dxa"/>
            <w:vAlign w:val="bottom"/>
            <w:tcBorders>
              <w:right w:val="single" w:sz="8" w:color="auto"/>
            </w:tcBorders>
          </w:tcPr>
          <w:p>
            <w:pPr>
              <w:spacing w:after="0"/>
              <w:rPr>
                <w:sz w:val="17"/>
                <w:szCs w:val="17"/>
                <w:color w:val="auto"/>
              </w:rPr>
            </w:pPr>
          </w:p>
        </w:tc>
      </w:tr>
      <w:tr>
        <w:trPr>
          <w:trHeight w:val="48"/>
        </w:trPr>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2100" w:type="dxa"/>
            <w:vAlign w:val="bottom"/>
            <w:tcBorders>
              <w:top w:val="single" w:sz="8" w:color="0000FF"/>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r>
      <w:tr>
        <w:trPr>
          <w:trHeight w:val="222"/>
        </w:trPr>
        <w:tc>
          <w:tcPr>
            <w:tcW w:w="13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704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30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The instance document does not appear</w:t>
            </w:r>
          </w:p>
        </w:tc>
      </w:tr>
      <w:tr>
        <w:trPr>
          <w:trHeight w:val="216"/>
        </w:trPr>
        <w:tc>
          <w:tcPr>
            <w:tcW w:w="1300" w:type="dxa"/>
            <w:vAlign w:val="bottom"/>
            <w:tcBorders>
              <w:left w:val="single" w:sz="8" w:color="auto"/>
              <w:right w:val="single" w:sz="8" w:color="auto"/>
            </w:tcBorders>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30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in the Interactive Data File because its</w:t>
            </w:r>
          </w:p>
        </w:tc>
      </w:tr>
      <w:tr>
        <w:trPr>
          <w:trHeight w:val="216"/>
        </w:trPr>
        <w:tc>
          <w:tcPr>
            <w:tcW w:w="1300" w:type="dxa"/>
            <w:vAlign w:val="bottom"/>
            <w:tcBorders>
              <w:left w:val="single" w:sz="8" w:color="auto"/>
              <w:right w:val="single" w:sz="8" w:color="auto"/>
            </w:tcBorders>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30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XBRL tags are embedded within the</w:t>
            </w:r>
          </w:p>
        </w:tc>
      </w:tr>
      <w:tr>
        <w:trPr>
          <w:trHeight w:val="230"/>
        </w:trPr>
        <w:tc>
          <w:tcPr>
            <w:tcW w:w="1300" w:type="dxa"/>
            <w:vAlign w:val="bottom"/>
            <w:tcBorders>
              <w:left w:val="single" w:sz="8" w:color="auto"/>
              <w:right w:val="single" w:sz="8" w:color="auto"/>
            </w:tcBorders>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tcBorders>
              <w:right w:val="single" w:sz="8" w:color="auto"/>
            </w:tcBorders>
            <w:shd w:val="clear" w:color="auto" w:fill="CCEEFF"/>
          </w:tcPr>
          <w:p>
            <w:pPr>
              <w:spacing w:after="0"/>
              <w:rPr>
                <w:sz w:val="20"/>
                <w:szCs w:val="20"/>
                <w:color w:val="auto"/>
              </w:rPr>
            </w:pPr>
          </w:p>
        </w:tc>
        <w:tc>
          <w:tcPr>
            <w:tcW w:w="30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Inline XBRL document.</w:t>
            </w:r>
          </w:p>
        </w:tc>
      </w:tr>
      <w:tr>
        <w:trPr>
          <w:trHeight w:val="243"/>
        </w:trPr>
        <w:tc>
          <w:tcPr>
            <w:tcW w:w="130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spacing w:after="0"/>
              <w:rPr>
                <w:sz w:val="21"/>
                <w:szCs w:val="21"/>
                <w:color w:val="auto"/>
              </w:rPr>
            </w:pPr>
          </w:p>
        </w:tc>
        <w:tc>
          <w:tcPr>
            <w:tcW w:w="23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right w:val="single" w:sz="8" w:color="auto"/>
            </w:tcBorders>
            <w:shd w:val="clear" w:color="auto" w:fill="CCEEFF"/>
          </w:tcPr>
          <w:p>
            <w:pPr>
              <w:spacing w:after="0"/>
              <w:rPr>
                <w:sz w:val="21"/>
                <w:szCs w:val="21"/>
                <w:color w:val="auto"/>
              </w:rPr>
            </w:pPr>
          </w:p>
        </w:tc>
        <w:tc>
          <w:tcPr>
            <w:tcW w:w="30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37"/>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101.SCH</w:t>
            </w:r>
          </w:p>
        </w:tc>
        <w:tc>
          <w:tcPr>
            <w:tcW w:w="704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3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69"/>
        </w:trPr>
        <w:tc>
          <w:tcPr>
            <w:tcW w:w="13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101.CAL</w:t>
            </w:r>
          </w:p>
        </w:tc>
        <w:tc>
          <w:tcPr>
            <w:tcW w:w="7040" w:type="dxa"/>
            <w:vAlign w:val="bottom"/>
            <w:tcBorders>
              <w:bottom w:val="single" w:sz="8" w:color="CCEEFF"/>
              <w:right w:val="single" w:sz="8" w:color="auto"/>
            </w:tcBorders>
            <w:gridSpan w:val="8"/>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0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r>
      <w:tr>
        <w:trPr>
          <w:trHeight w:val="237"/>
        </w:trPr>
        <w:tc>
          <w:tcPr>
            <w:tcW w:w="1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101.LAB</w:t>
            </w:r>
          </w:p>
        </w:tc>
        <w:tc>
          <w:tcPr>
            <w:tcW w:w="7040" w:type="dxa"/>
            <w:vAlign w:val="bottom"/>
            <w:tcBorders>
              <w:top w:val="single" w:sz="8" w:color="auto"/>
              <w:right w:val="single" w:sz="8" w:color="auto"/>
            </w:tcBorders>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3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69"/>
        </w:trPr>
        <w:tc>
          <w:tcPr>
            <w:tcW w:w="13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7040" w:type="dxa"/>
            <w:vAlign w:val="bottom"/>
            <w:tcBorders>
              <w:bottom w:val="single" w:sz="8" w:color="CCEEFF"/>
              <w:right w:val="single" w:sz="8" w:color="auto"/>
            </w:tcBorders>
            <w:gridSpan w:val="8"/>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30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r>
      <w:tr>
        <w:trPr>
          <w:trHeight w:val="237"/>
        </w:trPr>
        <w:tc>
          <w:tcPr>
            <w:tcW w:w="1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101.DEF</w:t>
            </w:r>
          </w:p>
        </w:tc>
        <w:tc>
          <w:tcPr>
            <w:tcW w:w="7040" w:type="dxa"/>
            <w:vAlign w:val="bottom"/>
            <w:tcBorders>
              <w:top w:val="single" w:sz="8" w:color="auto"/>
              <w:right w:val="single" w:sz="8" w:color="auto"/>
            </w:tcBorders>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4560" w:val="left"/>
          <w:tab w:leader="none" w:pos="5000" w:val="left"/>
        </w:tabs>
        <w:rPr>
          <w:sz w:val="20"/>
          <w:szCs w:val="20"/>
          <w:color w:val="auto"/>
        </w:rPr>
      </w:pPr>
      <w:r>
        <w:rPr>
          <w:rFonts w:ascii="Arial" w:cs="Arial" w:eastAsia="Arial" w:hAnsi="Arial"/>
          <w:sz w:val="18"/>
          <w:szCs w:val="18"/>
          <w:color w:val="auto"/>
        </w:rPr>
        <w:t>Dated: April 25,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31750</wp:posOffset>
            </wp:positionV>
            <wp:extent cx="38677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867785" cy="8890"/>
                    </a:xfrm>
                    <a:prstGeom prst="rect">
                      <a:avLst/>
                    </a:prstGeom>
                    <a:noFill/>
                  </pic:spPr>
                </pic:pic>
              </a:graphicData>
            </a:graphic>
          </wp:anchor>
        </w:drawing>
      </w:r>
    </w:p>
    <w:p>
      <w:pPr>
        <w:spacing w:after="0" w:line="5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Karen J. Dearing, Chief Financial Officer and Secretary</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96"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Gary A. Shiffman,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40" w:hanging="316"/>
        <w:spacing w:after="0" w:line="264" w:lineRule="auto"/>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hanging="316"/>
        <w:spacing w:after="0" w:line="264" w:lineRule="auto"/>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40" w:right="20" w:hanging="316"/>
        <w:spacing w:after="0" w:line="308" w:lineRule="auto"/>
        <w:tabs>
          <w:tab w:leader="none" w:pos="10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40" w:hanging="316"/>
        <w:spacing w:after="0" w:line="264" w:lineRule="auto"/>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080" w:hanging="316"/>
        <w:spacing w:after="0" w:line="277" w:lineRule="auto"/>
        <w:tabs>
          <w:tab w:leader="none" w:pos="10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20" w:hanging="316"/>
        <w:spacing w:after="0" w:line="277" w:lineRule="auto"/>
        <w:tabs>
          <w:tab w:leader="none" w:pos="10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18"/>
          <w:szCs w:val="18"/>
          <w:color w:val="auto"/>
        </w:rPr>
        <w:t>Dated: April 25, 2019</w:t>
      </w:r>
      <w:r>
        <w:rPr>
          <w:sz w:val="20"/>
          <w:szCs w:val="20"/>
          <w:color w:val="auto"/>
        </w:rPr>
        <w:tab/>
      </w:r>
      <w:r>
        <w:rPr>
          <w:rFonts w:ascii="Arial" w:cs="Arial" w:eastAsia="Arial" w:hAnsi="Arial"/>
          <w:sz w:val="16"/>
          <w:szCs w:val="16"/>
          <w:color w:val="auto"/>
        </w:rPr>
        <w:t>/s/ Gary A. Shiffman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Gary A. Shiffman, Chief Executive Officer</w:t>
      </w:r>
    </w:p>
    <w:p>
      <w:pPr>
        <w:sectPr>
          <w:pgSz w:w="11900" w:h="16838" w:orient="portrait"/>
          <w:cols w:equalWidth="0" w:num="1">
            <w:col w:w="11420"/>
          </w:cols>
          <w:pgMar w:left="240" w:top="58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Karen J. Dearing, certify that:</w:t>
      </w:r>
    </w:p>
    <w:p>
      <w:pPr>
        <w:spacing w:after="0" w:line="266"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6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1060" w:hanging="323"/>
        <w:spacing w:after="0" w:line="308" w:lineRule="auto"/>
        <w:tabs>
          <w:tab w:leader="none" w:pos="10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Arial" w:cs="Arial" w:eastAsia="Arial" w:hAnsi="Arial"/>
          <w:sz w:val="17"/>
          <w:szCs w:val="17"/>
          <w:color w:val="auto"/>
        </w:rPr>
      </w:pPr>
    </w:p>
    <w:p>
      <w:pPr>
        <w:jc w:val="both"/>
        <w:ind w:left="1060" w:hanging="323"/>
        <w:spacing w:after="0" w:line="264" w:lineRule="auto"/>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7" w:lineRule="exact"/>
        <w:rPr>
          <w:rFonts w:ascii="Arial" w:cs="Arial" w:eastAsia="Arial" w:hAnsi="Arial"/>
          <w:sz w:val="17"/>
          <w:szCs w:val="17"/>
          <w:color w:val="auto"/>
        </w:rPr>
      </w:pPr>
    </w:p>
    <w:p>
      <w:pPr>
        <w:ind w:left="1080" w:hanging="316"/>
        <w:spacing w:after="0" w:line="277" w:lineRule="auto"/>
        <w:tabs>
          <w:tab w:leader="none" w:pos="10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1080" w:hanging="316"/>
        <w:spacing w:after="0" w:line="277" w:lineRule="auto"/>
        <w:tabs>
          <w:tab w:leader="none" w:pos="10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tabs>
          <w:tab w:leader="none" w:pos="5360" w:val="left"/>
        </w:tabs>
        <w:rPr>
          <w:sz w:val="20"/>
          <w:szCs w:val="20"/>
          <w:color w:val="auto"/>
        </w:rPr>
      </w:pPr>
      <w:r>
        <w:rPr>
          <w:rFonts w:ascii="Arial" w:cs="Arial" w:eastAsia="Arial" w:hAnsi="Arial"/>
          <w:sz w:val="18"/>
          <w:szCs w:val="18"/>
          <w:color w:val="auto"/>
        </w:rPr>
        <w:t>Dated: April 25, 2019</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31750</wp:posOffset>
            </wp:positionV>
            <wp:extent cx="3662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Karen J. Dearing, Chief Financial Officer</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32.1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Under Section 906 of the Sarbanes-Oxley Act of 2002)</w:t>
      </w: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officers, Gary A. Shiffman and Karen J. Dearing, hereby certify that to the best of their knowledge: (a) this Quarterly Report on Form 10-Q of Sun Communities, Inc., for the period ended March 31, 2019,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1920" w:type="dxa"/>
            <w:vAlign w:val="bottom"/>
          </w:tcPr>
          <w:p>
            <w:pPr>
              <w:spacing w:after="0"/>
              <w:rPr>
                <w:sz w:val="17"/>
                <w:szCs w:val="17"/>
                <w:color w:val="auto"/>
              </w:rPr>
            </w:pPr>
          </w:p>
        </w:tc>
        <w:tc>
          <w:tcPr>
            <w:tcW w:w="9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 Gary A. Shiffman</w:t>
            </w:r>
          </w:p>
        </w:tc>
        <w:tc>
          <w:tcPr>
            <w:tcW w:w="2880" w:type="dxa"/>
            <w:vAlign w:val="bottom"/>
            <w:gridSpan w:val="3"/>
          </w:tcPr>
          <w:p>
            <w:pPr>
              <w:jc w:val="center"/>
              <w:ind w:left="1210"/>
              <w:spacing w:after="0"/>
              <w:rPr>
                <w:sz w:val="20"/>
                <w:szCs w:val="20"/>
                <w:color w:val="auto"/>
              </w:rPr>
            </w:pPr>
            <w:r>
              <w:rPr>
                <w:rFonts w:ascii="Arial" w:cs="Arial" w:eastAsia="Arial" w:hAnsi="Arial"/>
                <w:sz w:val="18"/>
                <w:szCs w:val="18"/>
                <w:color w:val="auto"/>
                <w:w w:val="93"/>
              </w:rPr>
              <w:t>Dated: April 25, 2019</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Gary A. Shiffman, Chief Executive Officer</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 Karen J. Dearing</w:t>
            </w:r>
          </w:p>
        </w:tc>
        <w:tc>
          <w:tcPr>
            <w:tcW w:w="2880" w:type="dxa"/>
            <w:vAlign w:val="bottom"/>
            <w:gridSpan w:val="3"/>
          </w:tcPr>
          <w:p>
            <w:pPr>
              <w:jc w:val="center"/>
              <w:ind w:left="1210"/>
              <w:spacing w:after="0"/>
              <w:rPr>
                <w:sz w:val="20"/>
                <w:szCs w:val="20"/>
                <w:color w:val="auto"/>
              </w:rPr>
            </w:pPr>
            <w:r>
              <w:rPr>
                <w:rFonts w:ascii="Arial" w:cs="Arial" w:eastAsia="Arial" w:hAnsi="Arial"/>
                <w:sz w:val="18"/>
                <w:szCs w:val="18"/>
                <w:color w:val="auto"/>
                <w:w w:val="93"/>
              </w:rPr>
              <w:t>Dated: April 25, 2019</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Karen J. Dearing, Chief Financial Officer</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r>
    </w:tbl>
    <w:p>
      <w:pPr>
        <w:spacing w:after="0" w:line="2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Sun Communities, Inc. and will be retained by Sun Communities,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4"/>
    </w:lvl>
  </w:abstractNum>
  <w:abstractNum w:abstractNumId="8">
    <w:nsid w:val="7C83E458"/>
    <w:multiLevelType w:val="hybridMultilevel"/>
    <w:lvl w:ilvl="0">
      <w:lvlJc w:val="left"/>
      <w:lvlText w:val="%1."/>
      <w:numFmt w:val="decimal"/>
      <w:start w:val="6"/>
    </w:lvl>
  </w:abstractNum>
  <w:abstractNum w:abstractNumId="9">
    <w:nsid w:val="257130A3"/>
    <w:multiLevelType w:val="hybridMultilevel"/>
    <w:lvl w:ilvl="0">
      <w:lvlJc w:val="left"/>
      <w:lvlText w:val="%1."/>
      <w:numFmt w:val="decimal"/>
      <w:start w:val="7"/>
    </w:lvl>
  </w:abstractNum>
  <w:abstractNum w:abstractNumId="10">
    <w:nsid w:val="62BBD95A"/>
    <w:multiLevelType w:val="hybridMultilevel"/>
    <w:lvl w:ilvl="0">
      <w:lvlJc w:val="left"/>
      <w:lvlText w:val="%1."/>
      <w:numFmt w:val="decimal"/>
      <w:start w:val="8"/>
    </w:lvl>
  </w:abstractNum>
  <w:abstractNum w:abstractNumId="11">
    <w:nsid w:val="436C6125"/>
    <w:multiLevelType w:val="hybridMultilevel"/>
    <w:lvl w:ilvl="0">
      <w:lvlJc w:val="left"/>
      <w:lvlText w:val="%1."/>
      <w:numFmt w:val="decimal"/>
      <w:start w:val="9"/>
    </w:lvl>
  </w:abstractNum>
  <w:abstractNum w:abstractNumId="12">
    <w:nsid w:val="628C895D"/>
    <w:multiLevelType w:val="hybridMultilevel"/>
    <w:lvl w:ilvl="0">
      <w:lvlJc w:val="left"/>
      <w:lvlText w:val="%1."/>
      <w:numFmt w:val="decimal"/>
      <w:start w:val="10"/>
    </w:lvl>
  </w:abstractNum>
  <w:abstractNum w:abstractNumId="13">
    <w:nsid w:val="333AB105"/>
    <w:multiLevelType w:val="hybridMultilevel"/>
    <w:lvl w:ilvl="0">
      <w:lvlJc w:val="left"/>
      <w:lvlText w:val="%1."/>
      <w:numFmt w:val="decimal"/>
      <w:start w:val="1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2"/>
    </w:lvl>
  </w:abstractNum>
  <w:abstractNum w:abstractNumId="16">
    <w:nsid w:val="2D1D5AE9"/>
    <w:multiLevelType w:val="hybridMultilevel"/>
    <w:lvl w:ilvl="0">
      <w:lvlJc w:val="left"/>
      <w:lvlText w:val="%1."/>
      <w:numFmt w:val="decimal"/>
      <w:start w:val="13"/>
    </w:lvl>
  </w:abstractNum>
  <w:abstractNum w:abstractNumId="17">
    <w:nsid w:val="6763845E"/>
    <w:multiLevelType w:val="hybridMultilevel"/>
    <w:lvl w:ilvl="0">
      <w:lvlJc w:val="left"/>
      <w:lvlText w:val="%1."/>
      <w:numFmt w:val="decimal"/>
      <w:start w:val="14"/>
    </w:lvl>
  </w:abstractNum>
  <w:abstractNum w:abstractNumId="18">
    <w:nsid w:val="75A2A8D4"/>
    <w:multiLevelType w:val="hybridMultilevel"/>
    <w:lvl w:ilvl="0">
      <w:lvlJc w:val="left"/>
      <w:lvlText w:val="%1."/>
      <w:numFmt w:val="decimal"/>
      <w:start w:val="15"/>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6"/>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6" Type="http://schemas.openxmlformats.org/officeDocument/2006/relationships/hyperlink" Target="http://www.sec.gov/Archives/edgar/data/912593/000091259319000004/0000912593-19-000004-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2019-12-28T13:42:40Z</dcterms:created>
  <dcterms:modified xsi:type="dcterms:W3CDTF">2019-12-28T13:42:40Z</dcterms:modified>
</cp:coreProperties>
</file>