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UNITED STATES</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before="0" w:after="0"/>
        <w:jc w:val="left"/>
        <w:rPr/>
      </w:pPr>
      <w:r>
        <w:rPr/>
      </w:r>
    </w:p>
    <w:p>
      <w:pPr>
        <w:pStyle w:val="TextBody"/>
        <w:bidi w:val="0"/>
        <w:spacing w:lineRule="auto" w:line="288" w:before="0" w:after="0"/>
        <w:jc w:val="center"/>
        <w:rPr/>
      </w:pPr>
      <w:r>
        <w:rPr>
          <w:color w:val="000000"/>
        </w:rPr>
        <w:t xml:space="preserve">☒ </w:t>
      </w:r>
      <w:r>
        <w:rPr>
          <w:rFonts w:ascii="Times New Roman;serif" w:hAnsi="Times New Roman;serif"/>
          <w:b/>
          <w:color w:val="000000"/>
          <w:sz w:val="20"/>
        </w:rPr>
        <w:t>QUARTERLY REPORT PURSUANT TO SECTION 13 OR 15(D)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2025</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or</w:t>
      </w:r>
    </w:p>
    <w:p>
      <w:pPr>
        <w:pStyle w:val="TextBody"/>
        <w:bidi w:val="0"/>
        <w:spacing w:before="0" w:after="0"/>
        <w:jc w:val="center"/>
        <w:rPr/>
      </w:pPr>
      <w:r>
        <w:rPr/>
      </w:r>
    </w:p>
    <w:p>
      <w:pPr>
        <w:pStyle w:val="TextBody"/>
        <w:bidi w:val="0"/>
        <w:spacing w:lineRule="auto" w:line="288" w:before="0" w:after="0"/>
        <w:jc w:val="center"/>
        <w:rPr/>
      </w:pPr>
      <w:r>
        <w:rPr>
          <w:color w:val="000000"/>
        </w:rPr>
        <w:t xml:space="preserve">☐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______ to ______</w:t>
      </w:r>
    </w:p>
    <w:tbl>
      <w:tblPr>
        <w:tblW w:w="399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719"/>
        <w:gridCol w:w="719"/>
        <w:gridCol w:w="721"/>
        <w:gridCol w:w="264"/>
        <w:gridCol w:w="264"/>
        <w:gridCol w:w="2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1-12616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2009775"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9775" cy="5429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SUN COMMUNITIES,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before="0" w:after="0"/>
        <w:jc w:val="center"/>
        <w:rPr/>
      </w:pPr>
      <w:r>
        <w:rPr/>
      </w:r>
    </w:p>
    <w:tbl>
      <w:tblPr>
        <w:tblW w:w="5365" w:type="dxa"/>
        <w:jc w:val="center"/>
        <w:tblInd w:w="0" w:type="dxa"/>
        <w:tblLayout w:type="fixed"/>
        <w:tblCellMar>
          <w:top w:w="28" w:type="dxa"/>
          <w:left w:w="28" w:type="dxa"/>
          <w:bottom w:w="28" w:type="dxa"/>
          <w:right w:w="28" w:type="dxa"/>
        </w:tblCellMar>
      </w:tblPr>
      <w:tblGrid>
        <w:gridCol w:w="726"/>
        <w:gridCol w:w="640"/>
        <w:gridCol w:w="643"/>
        <w:gridCol w:w="109"/>
        <w:gridCol w:w="109"/>
        <w:gridCol w:w="109"/>
        <w:gridCol w:w="884"/>
        <w:gridCol w:w="884"/>
        <w:gridCol w:w="1261"/>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38-2730780</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5981" w:type="dxa"/>
        <w:jc w:val="center"/>
        <w:tblInd w:w="0" w:type="dxa"/>
        <w:tblLayout w:type="fixed"/>
        <w:tblCellMar>
          <w:top w:w="28" w:type="dxa"/>
          <w:left w:w="28" w:type="dxa"/>
          <w:bottom w:w="28" w:type="dxa"/>
          <w:right w:w="28" w:type="dxa"/>
        </w:tblCellMar>
      </w:tblPr>
      <w:tblGrid>
        <w:gridCol w:w="640"/>
        <w:gridCol w:w="563"/>
        <w:gridCol w:w="567"/>
        <w:gridCol w:w="309"/>
        <w:gridCol w:w="309"/>
        <w:gridCol w:w="311"/>
        <w:gridCol w:w="334"/>
        <w:gridCol w:w="334"/>
        <w:gridCol w:w="336"/>
        <w:gridCol w:w="305"/>
        <w:gridCol w:w="305"/>
        <w:gridCol w:w="306"/>
        <w:gridCol w:w="109"/>
        <w:gridCol w:w="109"/>
        <w:gridCol w:w="109"/>
        <w:gridCol w:w="303"/>
        <w:gridCol w:w="303"/>
        <w:gridCol w:w="429"/>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27777 Franklin Rd,</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Suite 300,</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Southfield,</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Michigan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48034</w:t>
            </w:r>
          </w:p>
        </w:tc>
      </w:tr>
      <w:tr>
        <w:trPr/>
        <w:tc>
          <w:tcPr>
            <w:tcW w:w="461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(248) 208-2500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707" w:type="dxa"/>
        <w:jc w:val="center"/>
        <w:tblInd w:w="0" w:type="dxa"/>
        <w:tblLayout w:type="fixed"/>
        <w:tblCellMar>
          <w:top w:w="28" w:type="dxa"/>
          <w:left w:w="28" w:type="dxa"/>
          <w:bottom w:w="28" w:type="dxa"/>
          <w:right w:w="28" w:type="dxa"/>
        </w:tblCellMar>
      </w:tblPr>
      <w:tblGrid>
        <w:gridCol w:w="988"/>
        <w:gridCol w:w="865"/>
        <w:gridCol w:w="876"/>
        <w:gridCol w:w="109"/>
        <w:gridCol w:w="109"/>
        <w:gridCol w:w="109"/>
        <w:gridCol w:w="539"/>
        <w:gridCol w:w="539"/>
        <w:gridCol w:w="541"/>
        <w:gridCol w:w="109"/>
        <w:gridCol w:w="109"/>
        <w:gridCol w:w="109"/>
        <w:gridCol w:w="1085"/>
        <w:gridCol w:w="1085"/>
        <w:gridCol w:w="1535"/>
      </w:tblGrid>
      <w:tr>
        <w:trPr/>
        <w:tc>
          <w:tcPr>
            <w:tcW w:w="98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SUI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821" w:type="dxa"/>
        <w:jc w:val="center"/>
        <w:tblInd w:w="0" w:type="dxa"/>
        <w:tblLayout w:type="fixed"/>
        <w:tblCellMar>
          <w:top w:w="28" w:type="dxa"/>
          <w:left w:w="28" w:type="dxa"/>
          <w:bottom w:w="28" w:type="dxa"/>
          <w:right w:w="28" w:type="dxa"/>
        </w:tblCellMar>
      </w:tblPr>
      <w:tblGrid>
        <w:gridCol w:w="695"/>
        <w:gridCol w:w="611"/>
        <w:gridCol w:w="613"/>
        <w:gridCol w:w="479"/>
        <w:gridCol w:w="479"/>
        <w:gridCol w:w="481"/>
        <w:gridCol w:w="599"/>
        <w:gridCol w:w="599"/>
        <w:gridCol w:w="601"/>
        <w:gridCol w:w="769"/>
        <w:gridCol w:w="769"/>
        <w:gridCol w:w="772"/>
        <w:gridCol w:w="689"/>
        <w:gridCol w:w="689"/>
        <w:gridCol w:w="976"/>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Emerging growth company</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Indicate by check mark whether the Registrant is a shell company (as defined in Rule 12b-2 of the Exchange Act). 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Number of shares of Common Stock, $0.01 par value per share, outstanding as of October 23, 2025: 123,668,389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left"/>
        <w:tblInd w:w="0" w:type="dxa"/>
        <w:tblLayout w:type="fixed"/>
        <w:tblCellMar>
          <w:top w:w="28" w:type="dxa"/>
          <w:left w:w="28" w:type="dxa"/>
          <w:bottom w:w="28" w:type="dxa"/>
          <w:right w:w="28" w:type="dxa"/>
        </w:tblCellMar>
      </w:tblPr>
      <w:tblGrid>
        <w:gridCol w:w="341"/>
        <w:gridCol w:w="300"/>
        <w:gridCol w:w="300"/>
        <w:gridCol w:w="2914"/>
        <w:gridCol w:w="2654"/>
        <w:gridCol w:w="2660"/>
        <w:gridCol w:w="300"/>
        <w:gridCol w:w="300"/>
        <w:gridCol w:w="436"/>
      </w:tblGrid>
      <w:tr>
        <w:trPr/>
        <w:tc>
          <w:tcPr>
            <w:tcW w:w="34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914"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 – FINANCIAL INFORMATION</w:t>
              <w:br/>
              <w:t> </w:t>
            </w:r>
          </w:p>
        </w:tc>
      </w:tr>
      <w:tr>
        <w:trPr/>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2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Financial Statements</w:t>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Balance Sheets as of September 30, 2025 (Unaudited) and December 31, 2024</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99ed775ee94be7befbf9a0e37155ae_16">
              <w:r>
                <w:rPr>
                  <w:rStyle w:val="InternetLink"/>
                  <w:rFonts w:ascii="Times New Roman;serif" w:hAnsi="Times New Roman;serif"/>
                  <w:b w:val="false"/>
                  <w:color w:val="000000"/>
                  <w:sz w:val="20"/>
                  <w:u w:val="single"/>
                </w:rPr>
                <w:t>1</w:t>
              </w:r>
            </w:hyperlink>
          </w:p>
        </w:tc>
      </w:tr>
      <w:tr>
        <w:trPr/>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Operations for the Three and Nine Months Ended September 30, 2025 and 2024 (Unaudited)</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99ed775ee94be7befbf9a0e37155ae_19">
              <w:r>
                <w:rPr>
                  <w:rStyle w:val="InternetLink"/>
                  <w:rFonts w:ascii="Times New Roman;serif" w:hAnsi="Times New Roman;serif"/>
                  <w:b w:val="false"/>
                  <w:color w:val="000000"/>
                  <w:sz w:val="20"/>
                  <w:u w:val="single"/>
                </w:rPr>
                <w:t>2</w:t>
              </w:r>
            </w:hyperlink>
          </w:p>
        </w:tc>
      </w:tr>
      <w:tr>
        <w:trPr/>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Comprehensive Income / (Loss) for the Three and Nine Months Ended September 30, 2025 and 2024 (Unaudited)</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99ed775ee94be7befbf9a0e37155ae_22">
              <w:r>
                <w:rPr>
                  <w:rStyle w:val="InternetLink"/>
                  <w:rFonts w:ascii="Times New Roman;serif" w:hAnsi="Times New Roman;serif"/>
                  <w:b w:val="false"/>
                  <w:color w:val="000000"/>
                  <w:sz w:val="20"/>
                  <w:u w:val="single"/>
                </w:rPr>
                <w:t>3</w:t>
              </w:r>
            </w:hyperlink>
          </w:p>
        </w:tc>
      </w:tr>
      <w:tr>
        <w:trPr/>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Shareholders' Equity for the Three and Nine Months Ended September 30, 2025 and 2024 (Unaudited)</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99ed775ee94be7befbf9a0e37155ae_25">
              <w:r>
                <w:rPr>
                  <w:rStyle w:val="InternetLink"/>
                  <w:rFonts w:ascii="Times New Roman;serif" w:hAnsi="Times New Roman;serif"/>
                  <w:b w:val="false"/>
                  <w:color w:val="000000"/>
                  <w:sz w:val="20"/>
                  <w:u w:val="single"/>
                </w:rPr>
                <w:t>4</w:t>
              </w:r>
            </w:hyperlink>
          </w:p>
        </w:tc>
      </w:tr>
      <w:tr>
        <w:trPr/>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Statements of Cash Flows for the Nine Months Ended September 30, 2025 and 2024 (Unaudited)</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99ed775ee94be7befbf9a0e37155ae_28">
              <w:r>
                <w:rPr>
                  <w:rStyle w:val="InternetLink"/>
                  <w:rFonts w:ascii="Times New Roman;serif" w:hAnsi="Times New Roman;serif"/>
                  <w:b w:val="false"/>
                  <w:color w:val="000000"/>
                  <w:sz w:val="20"/>
                  <w:u w:val="single"/>
                </w:rPr>
                <w:t>6</w:t>
              </w:r>
            </w:hyperlink>
          </w:p>
        </w:tc>
      </w:tr>
      <w:tr>
        <w:trPr/>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 (Unaudited)</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99ed775ee94be7befbf9a0e37155ae_34">
              <w:r>
                <w:rPr>
                  <w:rStyle w:val="InternetLink"/>
                  <w:rFonts w:ascii="Times New Roman;serif" w:hAnsi="Times New Roman;serif"/>
                  <w:b w:val="false"/>
                  <w:color w:val="000000"/>
                  <w:sz w:val="20"/>
                  <w:u w:val="single"/>
                </w:rPr>
                <w:t>7</w:t>
              </w:r>
            </w:hyperlink>
          </w:p>
        </w:tc>
      </w:tr>
      <w:tr>
        <w:trPr/>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2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 </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99ed775ee94be7befbf9a0e37155ae_112">
              <w:r>
                <w:rPr>
                  <w:rStyle w:val="InternetLink"/>
                  <w:rFonts w:ascii="Times New Roman;serif" w:hAnsi="Times New Roman;serif"/>
                  <w:b w:val="false"/>
                  <w:color w:val="000000"/>
                  <w:sz w:val="20"/>
                  <w:u w:val="single"/>
                </w:rPr>
                <w:t>38</w:t>
              </w:r>
            </w:hyperlink>
          </w:p>
        </w:tc>
      </w:tr>
      <w:tr>
        <w:trPr/>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2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Quantitative and Qualitative Disclosures about Market Risk </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99ed775ee94be7befbf9a0e37155ae_142">
              <w:r>
                <w:rPr>
                  <w:rStyle w:val="InternetLink"/>
                  <w:rFonts w:ascii="Times New Roman;serif" w:hAnsi="Times New Roman;serif"/>
                  <w:b w:val="false"/>
                  <w:color w:val="000000"/>
                  <w:sz w:val="20"/>
                  <w:u w:val="single"/>
                </w:rPr>
                <w:t>60</w:t>
              </w:r>
            </w:hyperlink>
          </w:p>
        </w:tc>
      </w:tr>
      <w:tr>
        <w:trPr/>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2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Controls and Procedures </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99ed775ee94be7befbf9a0e37155ae_148">
              <w:r>
                <w:rPr>
                  <w:rStyle w:val="InternetLink"/>
                  <w:rFonts w:ascii="Times New Roman;serif" w:hAnsi="Times New Roman;serif"/>
                  <w:b w:val="false"/>
                  <w:color w:val="000000"/>
                  <w:sz w:val="20"/>
                  <w:u w:val="single"/>
                </w:rPr>
                <w:t>61</w:t>
              </w:r>
            </w:hyperlink>
          </w:p>
        </w:tc>
      </w:tr>
      <w:tr>
        <w:trPr/>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 – OTHER INFORMATION</w:t>
              <w:br/>
              <w:t> </w:t>
            </w:r>
          </w:p>
        </w:tc>
      </w:tr>
      <w:tr>
        <w:trPr/>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2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Proceedings </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99ed775ee94be7befbf9a0e37155ae_154">
              <w:r>
                <w:rPr>
                  <w:rStyle w:val="InternetLink"/>
                  <w:rFonts w:ascii="Times New Roman;serif" w:hAnsi="Times New Roman;serif"/>
                  <w:b w:val="false"/>
                  <w:color w:val="000000"/>
                  <w:sz w:val="20"/>
                  <w:u w:val="single"/>
                </w:rPr>
                <w:t>62</w:t>
              </w:r>
            </w:hyperlink>
          </w:p>
        </w:tc>
      </w:tr>
      <w:tr>
        <w:trPr/>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2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Factors </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99ed775ee94be7befbf9a0e37155ae_157">
              <w:r>
                <w:rPr>
                  <w:rStyle w:val="InternetLink"/>
                  <w:rFonts w:ascii="Times New Roman;serif" w:hAnsi="Times New Roman;serif"/>
                  <w:b w:val="false"/>
                  <w:color w:val="000000"/>
                  <w:sz w:val="20"/>
                  <w:u w:val="single"/>
                </w:rPr>
                <w:t>62</w:t>
              </w:r>
            </w:hyperlink>
          </w:p>
        </w:tc>
      </w:tr>
      <w:tr>
        <w:trPr/>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2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Unregistered Sales of Equity Securities and Use of Proceeds</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99ed775ee94be7befbf9a0e37155ae_160">
              <w:r>
                <w:rPr>
                  <w:rStyle w:val="InternetLink"/>
                  <w:rFonts w:ascii="Times New Roman;serif" w:hAnsi="Times New Roman;serif"/>
                  <w:b w:val="false"/>
                  <w:color w:val="000000"/>
                  <w:sz w:val="20"/>
                  <w:u w:val="single"/>
                </w:rPr>
                <w:t>62</w:t>
              </w:r>
            </w:hyperlink>
          </w:p>
        </w:tc>
      </w:tr>
      <w:tr>
        <w:trPr/>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2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Defaults Upon Senior Securities</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99ed775ee94be7befbf9a0e37155ae_2748779070808">
              <w:r>
                <w:rPr>
                  <w:rStyle w:val="InternetLink"/>
                  <w:rFonts w:ascii="Times New Roman;serif" w:hAnsi="Times New Roman;serif"/>
                  <w:b w:val="false"/>
                  <w:color w:val="000000"/>
                  <w:sz w:val="20"/>
                  <w:u w:val="single"/>
                </w:rPr>
                <w:t>63</w:t>
              </w:r>
            </w:hyperlink>
          </w:p>
        </w:tc>
      </w:tr>
      <w:tr>
        <w:trPr/>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2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Mine Safety Disclosures</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99ed775ee94be7befbf9a0e37155ae_2748779070827">
              <w:r>
                <w:rPr>
                  <w:rStyle w:val="InternetLink"/>
                  <w:rFonts w:ascii="Times New Roman;serif" w:hAnsi="Times New Roman;serif"/>
                  <w:b w:val="false"/>
                  <w:color w:val="000000"/>
                  <w:sz w:val="20"/>
                  <w:u w:val="single"/>
                </w:rPr>
                <w:t>63</w:t>
              </w:r>
            </w:hyperlink>
          </w:p>
        </w:tc>
      </w:tr>
      <w:tr>
        <w:trPr/>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2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99ed775ee94be7befbf9a0e37155ae_163">
              <w:r>
                <w:rPr>
                  <w:rStyle w:val="InternetLink"/>
                  <w:rFonts w:ascii="Times New Roman;serif" w:hAnsi="Times New Roman;serif"/>
                  <w:b w:val="false"/>
                  <w:color w:val="000000"/>
                  <w:sz w:val="20"/>
                  <w:u w:val="single"/>
                </w:rPr>
                <w:t>63</w:t>
              </w:r>
            </w:hyperlink>
          </w:p>
        </w:tc>
      </w:tr>
      <w:tr>
        <w:trPr/>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2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 </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99ed775ee94be7befbf9a0e37155ae_166">
              <w:r>
                <w:rPr>
                  <w:rStyle w:val="InternetLink"/>
                  <w:rFonts w:ascii="Times New Roman;serif" w:hAnsi="Times New Roman;serif"/>
                  <w:b w:val="false"/>
                  <w:color w:val="000000"/>
                  <w:sz w:val="20"/>
                  <w:u w:val="single"/>
                </w:rPr>
                <w:t>64</w:t>
              </w:r>
            </w:hyperlink>
          </w:p>
        </w:tc>
      </w:tr>
      <w:tr>
        <w:trPr/>
        <w:tc>
          <w:tcPr>
            <w:tcW w:w="941" w:type="dxa"/>
            <w:gridSpan w:val="3"/>
            <w:tcBorders/>
            <w:vAlign w:val="center"/>
          </w:tcPr>
          <w:p>
            <w:pPr>
              <w:pStyle w:val="TableContents"/>
              <w:bidi w:val="0"/>
              <w:spacing w:before="0" w:after="283"/>
              <w:jc w:val="left"/>
              <w:rPr>
                <w:sz w:val="4"/>
                <w:szCs w:val="4"/>
              </w:rPr>
            </w:pPr>
            <w:r>
              <w:rPr>
                <w:sz w:val="4"/>
                <w:szCs w:val="4"/>
              </w:rPr>
            </w:r>
          </w:p>
        </w:tc>
        <w:tc>
          <w:tcPr>
            <w:tcW w:w="8228"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9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Signatures </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099ed775ee94be7befbf9a0e37155ae_169">
              <w:r>
                <w:rPr>
                  <w:rStyle w:val="InternetLink"/>
                  <w:rFonts w:ascii="Times New Roman;serif" w:hAnsi="Times New Roman;serif"/>
                  <w:b w:val="false"/>
                  <w:color w:val="000000"/>
                  <w:sz w:val="20"/>
                  <w:u w:val="single"/>
                </w:rPr>
                <w:t>65</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 except for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577"/>
        <w:gridCol w:w="2247"/>
        <w:gridCol w:w="2271"/>
        <w:gridCol w:w="249"/>
        <w:gridCol w:w="994"/>
        <w:gridCol w:w="138"/>
        <w:gridCol w:w="109"/>
        <w:gridCol w:w="109"/>
        <w:gridCol w:w="109"/>
        <w:gridCol w:w="241"/>
        <w:gridCol w:w="966"/>
        <w:gridCol w:w="195"/>
      </w:tblGrid>
      <w:tr>
        <w:trPr/>
        <w:tc>
          <w:tcPr>
            <w:tcW w:w="2577"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7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2024</w:t>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Assets</w:t>
            </w:r>
          </w:p>
        </w:tc>
        <w:tc>
          <w:tcPr>
            <w:tcW w:w="13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Land</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3,388.1 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3,461.5 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Land improvements and buildings</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8,949.2 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9,058.7 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Rental homes and improvements</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897.8 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834.1 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Furniture, fixtures and equipment</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746.4 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739.2 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Investment property</w:t>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13,981.5 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14,093.5 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depreciation</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(3,495.6)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(3,228.4)</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Investment property, net</w:t>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10,485.9 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10,865.1 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Cash, cash equivalents and restricted cash (See Note 4)</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1,180.0 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Inventory of manufactured homes</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155.1 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Notes and other receivables, net (includes $221.6 and $242.4 at fair value, respectively)</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468.4 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430.1 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Collateralized receivables, net (see Note 7)</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Goodwill</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Other intangible assets, net (see Note 8)</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Other assets, net</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359.0 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442.4 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Assets held for sale and discontinued operations, net (see Note 2)</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4,461.7 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Assets</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12,800.3 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16,549.4 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Liabilities</w:t>
            </w:r>
          </w:p>
        </w:tc>
        <w:tc>
          <w:tcPr>
            <w:tcW w:w="138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Mortgage loans payable (see Note 10)</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2,440.4 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3,212.2 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Secured borrowings on collateralized receivables (See Note 7)</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Unsecured debt</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1,785.9 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4,089.4 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Distributions payable</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131.4 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Advanced reservation deposits and rent</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308.3 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249.4 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Accrued expenses and accounts payable</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282.0 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265.8 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Other liabilities</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444.6 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819.3 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Liabilities held for sale and discontinued operations, net (see Note 2)</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286.9 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Liabilities</w:t>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5,438.0 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9,096.8 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Commitments and contingencies (see Note 18)</w:t>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Temporary equity (see Note 11)</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256.2 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259.8 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Shareholders' Equity</w:t>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Common stock, $0.01 par value. Authorized: 360.0 shares; Issued and outstanding: 123.6 at September 30, 2025 and 127.4 at December 31, 2024</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Additional paid-in capital</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9,573.0 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9,864.2 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other comprehensive income / (loss)</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Distributions in excess of accumulated earnings</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(2,615.0)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(2,775.9)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SUI Shareholders' Equity</w:t>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6,985.1 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7,081.7 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Noncontrolling interests</w:t>
            </w:r>
          </w:p>
        </w:tc>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Common and preferred OP units</w:t>
            </w:r>
          </w:p>
        </w:tc>
        <w:tc>
          <w:tcPr>
            <w:tcW w:w="12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120.6 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Consolidated entities</w:t>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noncontrolling interests</w:t>
            </w:r>
          </w:p>
        </w:tc>
        <w:tc>
          <w:tcPr>
            <w:tcW w:w="12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121.0 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111.1 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Shareholders' Equity</w:t>
            </w:r>
          </w:p>
        </w:tc>
        <w:tc>
          <w:tcPr>
            <w:tcW w:w="12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7,106.1 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7,192.8 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Liabilities, Temporary Equity and Shareholders' Equity</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12,800.3 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16,549.4 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72465"/>
                <wp:effectExtent l="0" t="0" r="0" b="0"/>
                <wp:wrapNone/>
                <wp:docPr id="4" name="Frame3"/>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 except for per share amounts) (Unaudited)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545"/>
        <w:gridCol w:w="1260"/>
        <w:gridCol w:w="1246"/>
        <w:gridCol w:w="285"/>
        <w:gridCol w:w="809"/>
        <w:gridCol w:w="159"/>
        <w:gridCol w:w="109"/>
        <w:gridCol w:w="109"/>
        <w:gridCol w:w="109"/>
        <w:gridCol w:w="285"/>
        <w:gridCol w:w="809"/>
        <w:gridCol w:w="159"/>
        <w:gridCol w:w="109"/>
        <w:gridCol w:w="109"/>
        <w:gridCol w:w="109"/>
        <w:gridCol w:w="257"/>
        <w:gridCol w:w="907"/>
        <w:gridCol w:w="143"/>
        <w:gridCol w:w="109"/>
        <w:gridCol w:w="109"/>
        <w:gridCol w:w="109"/>
        <w:gridCol w:w="254"/>
        <w:gridCol w:w="898"/>
        <w:gridCol w:w="208"/>
      </w:tblGrid>
      <w:tr>
        <w:trPr/>
        <w:tc>
          <w:tcPr>
            <w:tcW w:w="154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40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Nine Months Ended</w:t>
            </w:r>
          </w:p>
        </w:tc>
      </w:tr>
      <w:tr>
        <w:trPr/>
        <w:tc>
          <w:tcPr>
            <w:tcW w:w="40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2024</w:t>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Revenues</w:t>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Real property</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517.7 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502.2 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1,352.3 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1,315.3 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Home sales</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105.3 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262.9 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281.7 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Ancillary</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115.4 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114.9 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Interest</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Brokerage commissions and other, net</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Total Revenues</w:t>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697.2 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680.4 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1,790.9 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1,745.9 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Expenses</w:t>
            </w:r>
          </w:p>
        </w:tc>
        <w:tc>
          <w:tcPr>
            <w:tcW w:w="12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Property operating and maintenance</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168.8 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172.2 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458.0 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451.0 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Real estate tax</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Home costs and selling</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200.5 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203.0 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Ancillary</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General and administrative</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174.0 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170.3 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Catastrophic event-related charges, net</w:t>
            </w:r>
            <w:r>
              <w:rPr>
                <w:color w:val="000000"/>
              </w:rPr>
              <w:t xml:space="preserve"> </w:t>
            </w:r>
            <w:r>
              <w:rPr>
                <w:rFonts w:ascii="Times New Roman;serif" w:hAnsi="Times New Roman;serif"/>
                <w:b w:val="false"/>
                <w:color w:val="000000"/>
                <w:sz w:val="17"/>
              </w:rPr>
              <w:t>(see Note 18)</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377.3 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368.1 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Asset impairments</w:t>
            </w:r>
            <w:r>
              <w:rPr>
                <w:color w:val="000000"/>
              </w:rPr>
              <w:t xml:space="preserve"> </w:t>
            </w:r>
            <w:r>
              <w:rPr>
                <w:rFonts w:ascii="Times New Roman;serif" w:hAnsi="Times New Roman;serif"/>
                <w:b w:val="false"/>
                <w:color w:val="000000"/>
                <w:sz w:val="17"/>
              </w:rPr>
              <w:t>(see Note 17)</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165.9 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356.0 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Loss on extinguishment of debt (see Note 10)</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Interest</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181.8 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267.1 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Total Expenses</w:t>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699.1 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586.9 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2,024.4 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1,670.1 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Income / (Loss) Before Other Items</w:t>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(233.5)</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75.8 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Gain / (loss) on foreign currency exchanges</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Gain / (loss) on dispositions of properties</w:t>
            </w:r>
            <w:r>
              <w:rPr>
                <w:color w:val="000000"/>
              </w:rPr>
              <w:t xml:space="preserve"> </w:t>
            </w:r>
            <w:r>
              <w:rPr>
                <w:rFonts w:ascii="Times New Roman;serif" w:hAnsi="Times New Roman;serif"/>
                <w:b w:val="false"/>
                <w:color w:val="000000"/>
                <w:sz w:val="17"/>
              </w:rPr>
              <w:t>(see Note 5)</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178.7 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186.6 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Other income / (expense), net</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Gain / (loss) on remeasurement of notes receivable (see Note 6)</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Income from nonconsolidated affiliates</w:t>
            </w:r>
            <w:r>
              <w:rPr>
                <w:color w:val="000000"/>
              </w:rPr>
              <w:t xml:space="preserve"> </w:t>
            </w:r>
            <w:r>
              <w:rPr>
                <w:rFonts w:ascii="Times New Roman;serif" w:hAnsi="Times New Roman;serif"/>
                <w:b w:val="false"/>
                <w:color w:val="000000"/>
                <w:sz w:val="17"/>
              </w:rPr>
              <w:t>(see Note 9)</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Gain / (loss) on remeasurement of investment in nonconsolidated affiliates</w:t>
            </w:r>
            <w:r>
              <w:rPr>
                <w:color w:val="000000"/>
              </w:rPr>
              <w:t xml:space="preserve"> </w:t>
            </w:r>
            <w:r>
              <w:rPr>
                <w:rFonts w:ascii="Times New Roman;serif" w:hAnsi="Times New Roman;serif"/>
                <w:b w:val="false"/>
                <w:color w:val="000000"/>
                <w:sz w:val="17"/>
              </w:rPr>
              <w:t>(see Note 9)</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Current tax benefit / (expense)</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Deferred tax benefit</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Net Income / (Loss) from Continuing Operations</w:t>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278.4 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(119.0)</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274.4 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Income from discontinued operations, net</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1,418.6 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Net Income</w:t>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305.2 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1,299.6 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338.1 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Less: Preferred return to preferred OP units / equity interests</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Less: Income / (loss) attributable to noncontrolling interests</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4051"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Net Income Attributable to SUI Common Shareholders</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288.7 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1,239.3 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313.4 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Weighted average common shares outstanding - basic</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Weighted average common shares outstanding - diluted</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Basic earnings / (loss) per share from continuing operations (see Note 15)</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Basic earnings per share from discontinued operations (see Note 15)</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11.29 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Basic earnings per share</w:t>
            </w:r>
            <w:r>
              <w:rPr>
                <w:color w:val="000000"/>
              </w:rPr>
              <w:t xml:space="preserve"> </w:t>
            </w:r>
            <w:r>
              <w:rPr>
                <w:rFonts w:ascii="Times New Roman;serif" w:hAnsi="Times New Roman;serif"/>
                <w:b w:val="false"/>
                <w:color w:val="000000"/>
                <w:sz w:val="17"/>
              </w:rPr>
              <w:t>(see Note 15)</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2.52 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7"/>
              </w:rPr>
              <w:t>Diluted earnings / (loss) per share from continuing operations</w:t>
            </w:r>
            <w:r>
              <w:rPr>
                <w:color w:val="000000"/>
              </w:rPr>
              <w:t xml:space="preserve"> </w:t>
            </w:r>
            <w:r>
              <w:rPr>
                <w:rFonts w:ascii="Times New Roman;serif" w:hAnsi="Times New Roman;serif"/>
                <w:b w:val="false"/>
                <w:color w:val="000000"/>
                <w:sz w:val="17"/>
              </w:rPr>
              <w:t>(see Note 15)</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Diluted earnings per share from discontinued operations</w:t>
            </w:r>
            <w:r>
              <w:rPr>
                <w:color w:val="000000"/>
              </w:rPr>
              <w:t xml:space="preserve"> </w:t>
            </w:r>
            <w:r>
              <w:rPr>
                <w:rFonts w:ascii="Times New Roman;serif" w:hAnsi="Times New Roman;serif"/>
                <w:b w:val="false"/>
                <w:color w:val="000000"/>
                <w:sz w:val="17"/>
              </w:rPr>
              <w:t>(see Note 15)</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11.29 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Diluted earnings per share</w:t>
            </w:r>
            <w:r>
              <w:rPr>
                <w:color w:val="000000"/>
              </w:rPr>
              <w:t xml:space="preserve"> </w:t>
            </w:r>
            <w:r>
              <w:rPr>
                <w:rFonts w:ascii="Times New Roman;serif" w:hAnsi="Times New Roman;serif"/>
                <w:b w:val="false"/>
                <w:color w:val="000000"/>
                <w:sz w:val="17"/>
              </w:rPr>
              <w:t>(see Note 15)</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0.07 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2.31 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9.81 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2.51 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72465"/>
                <wp:effectExtent l="0" t="0" r="0" b="0"/>
                <wp:wrapNone/>
                <wp:docPr id="5" name="Frame4"/>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 / (LOSS)</w:t>
      </w:r>
    </w:p>
    <w:p>
      <w:pPr>
        <w:pStyle w:val="TextBody"/>
        <w:bidi w:val="0"/>
        <w:spacing w:lineRule="auto" w:line="288" w:before="0" w:after="0"/>
        <w:ind w:left="0" w:right="0" w:firstLine="45"/>
        <w:jc w:val="center"/>
        <w:rPr>
          <w:rFonts w:ascii="Times New Roman;serif" w:hAnsi="Times New Roman;serif"/>
          <w:b/>
          <w:color w:val="000000"/>
          <w:sz w:val="18"/>
        </w:rPr>
      </w:pPr>
      <w:r>
        <w:rPr>
          <w:rFonts w:ascii="Times New Roman;serif" w:hAnsi="Times New Roman;serif"/>
          <w:b/>
          <w:color w:val="000000"/>
          <w:sz w:val="18"/>
        </w:rPr>
        <w:t>(In millions) (Unaudited)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428"/>
        <w:gridCol w:w="1167"/>
        <w:gridCol w:w="1165"/>
        <w:gridCol w:w="341"/>
        <w:gridCol w:w="812"/>
        <w:gridCol w:w="191"/>
        <w:gridCol w:w="109"/>
        <w:gridCol w:w="109"/>
        <w:gridCol w:w="109"/>
        <w:gridCol w:w="305"/>
        <w:gridCol w:w="867"/>
        <w:gridCol w:w="171"/>
        <w:gridCol w:w="109"/>
        <w:gridCol w:w="109"/>
        <w:gridCol w:w="109"/>
        <w:gridCol w:w="271"/>
        <w:gridCol w:w="958"/>
        <w:gridCol w:w="151"/>
        <w:gridCol w:w="109"/>
        <w:gridCol w:w="109"/>
        <w:gridCol w:w="109"/>
        <w:gridCol w:w="299"/>
        <w:gridCol w:w="853"/>
        <w:gridCol w:w="245"/>
      </w:tblGrid>
      <w:tr>
        <w:trPr/>
        <w:tc>
          <w:tcPr>
            <w:tcW w:w="14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37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Nine Months Ended</w:t>
            </w:r>
          </w:p>
        </w:tc>
      </w:tr>
      <w:tr>
        <w:trPr/>
        <w:tc>
          <w:tcPr>
            <w:tcW w:w="37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2024</w:t>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Net Income</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10.9 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305.2 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1,299.6 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338.1 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Foreign Currency Translation</w:t>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r>
      <w:tr>
        <w:trPr/>
        <w:tc>
          <w:tcPr>
            <w:tcW w:w="3760"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Net foreign currency translation gain / (loss)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Flow Hedges</w:t>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Change in unrealized gain / (loss) on interest rate derivatives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Less: Interest rate derivative gain reclassified to earnings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(14.8)</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Net unrealized loss on interest rate derivatives</w:t>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(18.1)</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(13.1)</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Total Comprehensive Income / (Loss)</w:t>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332.5 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1,332.8 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359.3 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Less: Comprehensive income attributable to noncontrolling interests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(50.2)</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Comprehensive Income / (Loss) Attributable to SUI</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319.8 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1,282.6 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344.7 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72465"/>
                <wp:effectExtent l="0" t="0" r="0" b="0"/>
                <wp:wrapNone/>
                <wp:docPr id="6" name="Frame5"/>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SHAREHOLDERS'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 (Unaudited)</w:t>
      </w:r>
    </w:p>
    <w:tbl>
      <w:tblPr>
        <w:tblW w:w="11262" w:type="dxa"/>
        <w:jc w:val="center"/>
        <w:tblInd w:w="0" w:type="dxa"/>
        <w:tblLayout w:type="fixed"/>
        <w:tblCellMar>
          <w:top w:w="28" w:type="dxa"/>
          <w:left w:w="28" w:type="dxa"/>
          <w:bottom w:w="28" w:type="dxa"/>
          <w:right w:w="28" w:type="dxa"/>
        </w:tblCellMar>
      </w:tblPr>
      <w:tblGrid>
        <w:gridCol w:w="634"/>
        <w:gridCol w:w="268"/>
        <w:gridCol w:w="269"/>
        <w:gridCol w:w="211"/>
        <w:gridCol w:w="601"/>
        <w:gridCol w:w="119"/>
        <w:gridCol w:w="109"/>
        <w:gridCol w:w="109"/>
        <w:gridCol w:w="109"/>
        <w:gridCol w:w="301"/>
        <w:gridCol w:w="255"/>
        <w:gridCol w:w="256"/>
        <w:gridCol w:w="109"/>
        <w:gridCol w:w="109"/>
        <w:gridCol w:w="109"/>
        <w:gridCol w:w="220"/>
        <w:gridCol w:w="422"/>
        <w:gridCol w:w="124"/>
        <w:gridCol w:w="196"/>
        <w:gridCol w:w="691"/>
        <w:gridCol w:w="109"/>
        <w:gridCol w:w="196"/>
        <w:gridCol w:w="746"/>
        <w:gridCol w:w="109"/>
        <w:gridCol w:w="309"/>
        <w:gridCol w:w="734"/>
        <w:gridCol w:w="173"/>
        <w:gridCol w:w="273"/>
        <w:gridCol w:w="775"/>
        <w:gridCol w:w="153"/>
        <w:gridCol w:w="215"/>
        <w:gridCol w:w="760"/>
        <w:gridCol w:w="121"/>
        <w:gridCol w:w="109"/>
        <w:gridCol w:w="109"/>
        <w:gridCol w:w="109"/>
        <w:gridCol w:w="196"/>
        <w:gridCol w:w="691"/>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Temporary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($Value)</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Distributions in Excess of Accumulated Earnings</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 (Loss)</w:t>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Balance at December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259.8 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(2,775.9)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7,192.8 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7,452.6 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common stock, common OP units, and other securities, net</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Common stock withheld to satisfy income tax obligations related to vesting of restricted stock awards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Conversions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Share-based compensation - amortization and forfeitures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Redemptions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comprehensive income / (loss)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loss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Distributions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 units accretion</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Balance at March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244.3 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(2,938.7)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7,025.9 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7,270.2 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Common stock withheld to satisfy income tax obligations related to vesting of restricted stock awards</w:t>
            </w:r>
          </w:p>
        </w:tc>
        <w:tc>
          <w:tcPr>
            <w:tcW w:w="8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Common stock repurchased</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(202.8)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Conversions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Share-based compensation - amortization and forfeitures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Redemptions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comprehensive income / (loss)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(0.9)</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1,314.1 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Distributions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(15.2)</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(656.2)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 units accretion</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Balance at June 30,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257.9 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(2,380.3)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124.3 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7,534.2 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7,792.1 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common stock, common OP units, and other securities, net</w:t>
            </w:r>
          </w:p>
        </w:tc>
        <w:tc>
          <w:tcPr>
            <w:tcW w:w="8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Common stock withheld to satisfy income tax obligations related to vesting of restricted stock awards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Common stock repurchased</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(297.5)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Conversions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Share-based compensation - amortization and forfeitures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comprehensive income / (loss)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(18.3)</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 / (loss)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Distributions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 units accretion</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Balance at September 30,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256.2 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123.6 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9,573.0 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(2,615.0)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25.9 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121.0 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7,106.1 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7,362.3 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72465"/>
                <wp:effectExtent l="0" t="0" r="0" b="0"/>
                <wp:wrapNone/>
                <wp:docPr id="7" name="Frame6"/>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tbl>
      <w:tblPr>
        <w:tblW w:w="11262" w:type="dxa"/>
        <w:jc w:val="center"/>
        <w:tblInd w:w="0" w:type="dxa"/>
        <w:tblLayout w:type="fixed"/>
        <w:tblCellMar>
          <w:top w:w="28" w:type="dxa"/>
          <w:left w:w="28" w:type="dxa"/>
          <w:bottom w:w="28" w:type="dxa"/>
          <w:right w:w="28" w:type="dxa"/>
        </w:tblCellMar>
      </w:tblPr>
      <w:tblGrid>
        <w:gridCol w:w="634"/>
        <w:gridCol w:w="268"/>
        <w:gridCol w:w="269"/>
        <w:gridCol w:w="211"/>
        <w:gridCol w:w="601"/>
        <w:gridCol w:w="119"/>
        <w:gridCol w:w="109"/>
        <w:gridCol w:w="109"/>
        <w:gridCol w:w="109"/>
        <w:gridCol w:w="301"/>
        <w:gridCol w:w="255"/>
        <w:gridCol w:w="256"/>
        <w:gridCol w:w="109"/>
        <w:gridCol w:w="109"/>
        <w:gridCol w:w="109"/>
        <w:gridCol w:w="220"/>
        <w:gridCol w:w="422"/>
        <w:gridCol w:w="124"/>
        <w:gridCol w:w="196"/>
        <w:gridCol w:w="691"/>
        <w:gridCol w:w="109"/>
        <w:gridCol w:w="196"/>
        <w:gridCol w:w="746"/>
        <w:gridCol w:w="109"/>
        <w:gridCol w:w="309"/>
        <w:gridCol w:w="734"/>
        <w:gridCol w:w="173"/>
        <w:gridCol w:w="273"/>
        <w:gridCol w:w="775"/>
        <w:gridCol w:w="153"/>
        <w:gridCol w:w="215"/>
        <w:gridCol w:w="760"/>
        <w:gridCol w:w="121"/>
        <w:gridCol w:w="109"/>
        <w:gridCol w:w="109"/>
        <w:gridCol w:w="109"/>
        <w:gridCol w:w="196"/>
        <w:gridCol w:w="691"/>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6"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Temporary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($Value)</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Distributions in Excess of Accumulated Earnings</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 (loss)</w:t>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Balance at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260.9 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124.4 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(2,397.5)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90.2 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7,173.0 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7,433.9 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common stock, common OP units, and other securities, net</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Common stock withheld to satisfy income tax obligations related to vesting of restricted stock awards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Conversions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Share-based compensation - amortization and forfeitures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comprehensive income / (loss)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loss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Distributions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(120.6)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 units accretion</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Balance at March 31, 2024</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259.7 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9,471.4 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(2,540.6)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84.9 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7,023.6 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7,283.3 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common stock, common OP units, and other securities, net</w:t>
            </w:r>
          </w:p>
        </w:tc>
        <w:tc>
          <w:tcPr>
            <w:tcW w:w="81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2.5 </w:t>
            </w:r>
          </w:p>
        </w:tc>
        <w:tc>
          <w:tcPr>
            <w:tcW w:w="15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2.2 </w:t>
            </w:r>
          </w:p>
        </w:tc>
        <w:tc>
          <w:tcPr>
            <w:tcW w:w="12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Common stock withheld to satisfy income tax obligations related to vesting of restricted stock awards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Conversions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Share-based compensation - amortization and forfeitures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comprehensive loss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Distributions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(120.5)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 units accretion</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Balance at June 30,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259.7 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(2,604.1)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6,969.8 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7,229.5 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Issuance of common stock, common OP units, and other securities, net</w:t>
            </w:r>
          </w:p>
        </w:tc>
        <w:tc>
          <w:tcPr>
            <w:tcW w:w="8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361.6 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31.4 </w:t>
            </w:r>
          </w:p>
        </w:tc>
        <w:tc>
          <w:tcPr>
            <w:tcW w:w="15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393.1 </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393.1 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Common stock withheld to satisfy income tax obligations related to vesting of restricted stock awards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Conversions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(0.9)</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Sale of consolidated affiliates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Share-based compensation - amortization and forfeitures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comprehensive income / (loss)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income</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Distributions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 units accretion</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Balance at September 30,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263.3 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127.4 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9,853.6 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(2,433.3)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33.9 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120.6 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7,576.1 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7,839.4 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72465"/>
                <wp:effectExtent l="0" t="0" r="0" b="0"/>
                <wp:wrapNone/>
                <wp:docPr id="8" name="Frame7"/>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 (Unaudited)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478"/>
        <w:gridCol w:w="2157"/>
        <w:gridCol w:w="2173"/>
        <w:gridCol w:w="298"/>
        <w:gridCol w:w="1051"/>
        <w:gridCol w:w="165"/>
        <w:gridCol w:w="109"/>
        <w:gridCol w:w="109"/>
        <w:gridCol w:w="109"/>
        <w:gridCol w:w="335"/>
        <w:gridCol w:w="953"/>
        <w:gridCol w:w="268"/>
      </w:tblGrid>
      <w:tr>
        <w:trPr/>
        <w:tc>
          <w:tcPr>
            <w:tcW w:w="2478"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6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6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6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Activities</w:t>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 - continuing operations</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 - discontinued operations</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Provided By Operating Activities</w:t>
            </w:r>
          </w:p>
        </w:tc>
        <w:tc>
          <w:tcPr>
            <w:tcW w:w="13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697.7 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743.0 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Investing Activities</w:t>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in properties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(343.5)</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Acquisitions, net of cash acquired</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from deposit on acquisition</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insurance</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8"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6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disposition of assets and depreciated homes, net</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related to disposition of properties</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382.1 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8"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6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notes and other receivables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8"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6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Repayments of notes and other receivables</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8"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6808"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6808"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6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 in nonconsolidated affiliates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of capital from nonconsolidated affiliates</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8"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6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 (used for) investing activities - continuing operations</w:t>
            </w:r>
          </w:p>
        </w:tc>
        <w:tc>
          <w:tcPr>
            <w:tcW w:w="13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(127.9)</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 (used for) investing activities - discontinued operations</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5,511.9 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(188.4)</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Provided By / (Used For) Investing Activities</w:t>
            </w:r>
          </w:p>
        </w:tc>
        <w:tc>
          <w:tcPr>
            <w:tcW w:w="13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5,384.0 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(165.6)</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Financing Activities</w:t>
            </w:r>
          </w:p>
        </w:tc>
        <w:tc>
          <w:tcPr>
            <w:tcW w:w="15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and costs of common stock, OP units and preferred OP units, net</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withheld to satisfy income tax obligations related to vesting of restricted stock awards</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Redemption of Series F preferred OP units</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8"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6808"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6808"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6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on lines of credit</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2,147.2 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on lines of credit</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(2,106.5)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(3,028.6)</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8"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6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other debt</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499.8 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8"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6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on other debt</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(2,025.6)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(136.1)</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8"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6808"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6808"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6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(909.8)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(366.9)</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deferred financing costs, net of prepaid return</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8"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6808"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6808"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6808"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r>
      <w:tr>
        <w:trPr/>
        <w:tc>
          <w:tcPr>
            <w:tcW w:w="6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capital transfer from consolidated affiliates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5,546.3 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 (used for) financing activities - continuing operations</w:t>
            </w:r>
          </w:p>
        </w:tc>
        <w:tc>
          <w:tcPr>
            <w:tcW w:w="13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606.4 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(542.7)</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 (used for) financing activities - discontinued operations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(5,573.5)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Used For Financing Activities</w:t>
            </w:r>
          </w:p>
        </w:tc>
        <w:tc>
          <w:tcPr>
            <w:tcW w:w="13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(4,967.1)</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(538.9)</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 cash equivalents and restricted cash</w:t>
            </w:r>
          </w:p>
        </w:tc>
        <w:tc>
          <w:tcPr>
            <w:tcW w:w="13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cash, cash equivalents and restricted cash</w:t>
            </w:r>
          </w:p>
        </w:tc>
        <w:tc>
          <w:tcPr>
            <w:tcW w:w="13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beginning of period</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end of period</w:t>
            </w:r>
          </w:p>
        </w:tc>
        <w:tc>
          <w:tcPr>
            <w:tcW w:w="13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1,180.0 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Cash, cash equivalents and restricted cash - discontinued operations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Cash Equivalents and Restricted Cash - Continuing Operations</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1,180.0 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64.6 </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626" w:type="dxa"/>
        <w:jc w:val="left"/>
        <w:tblInd w:w="0" w:type="dxa"/>
        <w:tblLayout w:type="fixed"/>
        <w:tblCellMar>
          <w:top w:w="28" w:type="dxa"/>
          <w:left w:w="28" w:type="dxa"/>
          <w:bottom w:w="28" w:type="dxa"/>
          <w:right w:w="28" w:type="dxa"/>
        </w:tblCellMar>
      </w:tblPr>
      <w:tblGrid>
        <w:gridCol w:w="2233"/>
        <w:gridCol w:w="1965"/>
        <w:gridCol w:w="1967"/>
        <w:gridCol w:w="351"/>
        <w:gridCol w:w="997"/>
        <w:gridCol w:w="197"/>
        <w:gridCol w:w="109"/>
        <w:gridCol w:w="109"/>
        <w:gridCol w:w="109"/>
        <w:gridCol w:w="343"/>
        <w:gridCol w:w="976"/>
        <w:gridCol w:w="270"/>
      </w:tblGrid>
      <w:tr>
        <w:trPr/>
        <w:tc>
          <w:tcPr>
            <w:tcW w:w="2233"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Information</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paid for interest (net of capitalized interest of $2.9 and $6.8, respectively)</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267.8 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income taxes</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Noncash Investing and Financing Activities</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Reduction in secured borrowing balance</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distributions declared and outstanding</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common and preferred OP units</w:t>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Reduction in note receivable balance in exchange for redemption of preferred OP units</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Noncash Investing and Financing Activities at the Date of Acquisition</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Acquisitions - Common stock and OP units issued</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72465"/>
                <wp:effectExtent l="0" t="0" r="0" b="0"/>
                <wp:wrapNone/>
                <wp:docPr id="9" name="Frame8"/>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Basis of Presentation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Sun Communities, Inc., and all wholly-owned or majority-owned and controlled subsidiaries, including Sun Communities Operating Limited Partnership (the "Operating Partnership"), Sun Home Services, Inc. ("SHS"), and our Park Holidays subsidiaries and the other entities through which we operate our business in the United Kingdom ("UK") are referred to herein as the "Company," "SUI," "us," "we," or "our."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follow accounting standards set by the Financial Accounting Standards Board ("FASB"). FASB establishes accounting principles generally accepted in the United States of America ("GAAP"), which we follow to ensure that we consistently report our financial condition, results of operations, and cash flows. References to GAAP issued by the FASB in these footnotes are to the FASB Accounting Standards Codification ("ASC"). These unaudited Consolidated Financial Statements have been prepared pursuant to the rules and regulations of the Securities and Exchange Commission ("SEC") for interim financial information and in accordance with GAAP. We present interim disclosures and certain information and footnote disclosures as required by SEC rules and regulations. Accordingly, the unaudited Consolidated Financial Statements do not include all of the information and footnotes required by GAAP for complete financial statements. The accompanying unaudited Consolidated Financial Statements reflect, in the opinion of management, all adjustments, including adjustments of a normal and recurring nature, necessary for a fair presentation of the interim financial statements. All significant intercompany transactions have been eliminated in consolidation.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results of operations for interim periods are not necessarily indicative of results that may be expected for any other interim period or for the full year. These unaudited Consolidated Financial Statements should be read in conjunction with the Consolidated Financial Statements and notes thereto included in our Annual Report on Form 10-K for the year ended December 31, 2024 as filed with the SEC on February 28, 2025 (our "2024 Annual Report"). These statements have been prepared on a basis that is substantially consistent with the accounting principles applied in our 2024 Annual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Real Estate Held for Sale and Discontinued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February 2025, we entered into a definitive agreement to sell Safe Harbor Marinas LLC ("Safe Harbor") for an aggregate purchase price of approximately $5.65 billion, subject to certain adjustments (the "Safe Harbor Sale"). In April 2025, we completed the initial closing of the Safe Harbor Sale. The subsequent closing of the transfer of subsidiaries owning 15 of Safe Harbor's properties (the "Delayed Consent Subsidiaries") with an aggregate agreed value of approximately $250.0 million was further subject to the receipt of certain third-party consents. On August 29, 2025, we completed the final closing of the Delayed Consent Subsidiaries and fully divested our investment in the Safe Harbor business. As a result, the results of the Marina business and assets and liabilities included in the disposition are presented as held for sale and as discontinued operations through the final transaction closing date. Certain reclassifications have been made to prior period financial statements and related notes in order to conform to current period presentation. Unless otherwise noted, the information disclosed in Note 3 through Note 20 refers only to our continuing operations and do not include discussion of balances or activity related to Safe Harbor, which is included within discontinued operations. Refer to Note 2, "Assets Held for Sale and Discontinued Operations," for additional information related to Safe Harbor and the Safe Harbor Sale.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Reportable Segments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a result of the Safe Harbor Sale, we revised our reporting structure from a four-segment to a three-segment structure, which consists of (i) manufactured home ("MH") communities, (ii) recreational vehicle ("RV") communities, and (iii) communities in the United Kingdom ("UK"). Refer to Note 13, "Segment Reporting,"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Furthermore, service, retail, dining and entertainment revenues and expenses have been renamed as ancillary revenues and expenses to more appropriately reflect the nature of this activity for our continuing operations, after reclassifying the Marina results to discontinued operations. There was no impact to prior period net income, stockholders' equity, or cash flows due to the change in naming convention.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672465"/>
                <wp:effectExtent l="0" t="0" r="0" b="0"/>
                <wp:wrapNone/>
                <wp:docPr id="10" name="Frame9"/>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 Assets Held for Sale and Discontinued Operations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 February 2025, we entered into an agreement to sell Safe Harbor, which represents a strategic shift in operations that is expected to have a major effect on our operations and financial results. Accordingly, the results of the Marina business and assets and liabilities included in the Safe Harbor Sale have been presented as discontinued operations through the final transaction closing date of August 29, 2025 under ASC 205-20, "</w:t>
      </w:r>
      <w:r>
        <w:rPr>
          <w:rFonts w:ascii="Times New Roman;serif" w:hAnsi="Times New Roman;serif"/>
          <w:b w:val="false"/>
          <w:i/>
          <w:color w:val="000000"/>
          <w:sz w:val="20"/>
        </w:rPr>
        <w:t>Presentation of Financial Statements: Discontinued Operations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we completed the initial closing of the Safe Harbor Sale, which generated pre-tax cash proceeds of approximately $5.25 billion, net of transaction costs. Subsequent to the initial closing through June 30, 2025, we completed the sale of six Delayed Consent Subsidiaries for $136.7 million. In connection with the closings of the Safe Harbor Sale and the six Delayed Consent Subsidiaries, we recorded a gain on sale of $1.4 billion within Income from discontinued operations, net during the three months ended June 30, 2025. During the three months ended September 30, 2025, we completed the sale of the remaining nine Delayed Consent Subsidiaries for $117.5 million and recorded a gain on sale of $15.4 million within Income from discontinued operations,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proceeds and related gain from the closing of the Safe Harbor Sale may be adjusted in future periods based on provisions in the agreement that allow for adjustments for working capital amounts and other miscellaneous items subsequent to the final transaction closing date of August 29,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assets and liabilities attributable to discontinued operations related to Safe Harbor (in millions):</w:t>
      </w:r>
    </w:p>
    <w:p>
      <w:pPr>
        <w:pStyle w:val="TextBody"/>
        <w:bidi w:val="0"/>
        <w:spacing w:before="0" w:after="0"/>
        <w:jc w:val="both"/>
        <w:rPr/>
      </w:pPr>
      <w:r>
        <w:rPr/>
      </w:r>
    </w:p>
    <w:tbl>
      <w:tblPr>
        <w:tblW w:w="6446" w:type="dxa"/>
        <w:jc w:val="left"/>
        <w:tblInd w:w="0" w:type="dxa"/>
        <w:tblLayout w:type="fixed"/>
        <w:tblCellMar>
          <w:top w:w="28" w:type="dxa"/>
          <w:left w:w="28" w:type="dxa"/>
          <w:bottom w:w="28" w:type="dxa"/>
          <w:right w:w="28" w:type="dxa"/>
        </w:tblCellMar>
      </w:tblPr>
      <w:tblGrid>
        <w:gridCol w:w="1093"/>
        <w:gridCol w:w="963"/>
        <w:gridCol w:w="974"/>
        <w:gridCol w:w="425"/>
        <w:gridCol w:w="882"/>
        <w:gridCol w:w="237"/>
        <w:gridCol w:w="109"/>
        <w:gridCol w:w="109"/>
        <w:gridCol w:w="109"/>
        <w:gridCol w:w="291"/>
        <w:gridCol w:w="1026"/>
        <w:gridCol w:w="228"/>
      </w:tblGrid>
      <w:tr>
        <w:trPr/>
        <w:tc>
          <w:tcPr>
            <w:tcW w:w="1093"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2024</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Assets</w:t>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Land</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1,049.5 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Land improvements and buildings</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2,401.9 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Furniture, fixtures and equipment</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369.2 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Investment property</w:t>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3,820.6 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depreciation</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(512.6)</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 xml:space="preserve">Investment property, net </w:t>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3,308.0 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 xml:space="preserve">Cash, cash equivalents and restricted cash </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Notes and other receivables, net</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Goodwill</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541.7 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 xml:space="preserve">Other intangible assets, net </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236.4 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 xml:space="preserve">Other assets, net </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267.7 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Assets</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4,414.5 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Liabilities</w:t>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 xml:space="preserve">Advanced reservation deposits and rent </w:t>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 xml:space="preserve">Accrued expenses and accounts payable </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Other liabilities</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161.0 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Liabilities</w:t>
            </w:r>
          </w:p>
        </w:tc>
        <w:tc>
          <w:tcPr>
            <w:tcW w:w="4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286.9 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72465"/>
                <wp:effectExtent l="0" t="0" r="0" b="0"/>
                <wp:wrapNone/>
                <wp:docPr id="11" name="Frame10"/>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the operating results of Safe Harbor included within Income from discontinued operations, net through the final transaction closing date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07"/>
        <w:gridCol w:w="1134"/>
        <w:gridCol w:w="1151"/>
        <w:gridCol w:w="352"/>
        <w:gridCol w:w="839"/>
        <w:gridCol w:w="197"/>
        <w:gridCol w:w="109"/>
        <w:gridCol w:w="109"/>
        <w:gridCol w:w="109"/>
        <w:gridCol w:w="315"/>
        <w:gridCol w:w="896"/>
        <w:gridCol w:w="177"/>
        <w:gridCol w:w="109"/>
        <w:gridCol w:w="109"/>
        <w:gridCol w:w="109"/>
        <w:gridCol w:w="279"/>
        <w:gridCol w:w="984"/>
        <w:gridCol w:w="155"/>
        <w:gridCol w:w="109"/>
        <w:gridCol w:w="109"/>
        <w:gridCol w:w="109"/>
        <w:gridCol w:w="309"/>
        <w:gridCol w:w="880"/>
        <w:gridCol w:w="249"/>
      </w:tblGrid>
      <w:tr>
        <w:trPr/>
        <w:tc>
          <w:tcPr>
            <w:tcW w:w="1307"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5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Nine Months Ended</w:t>
            </w:r>
          </w:p>
        </w:tc>
      </w:tr>
      <w:tr>
        <w:trPr/>
        <w:tc>
          <w:tcPr>
            <w:tcW w:w="35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September 30, 2024</w:t>
            </w:r>
          </w:p>
        </w:tc>
      </w:tr>
      <w:tr>
        <w:trPr/>
        <w:tc>
          <w:tcPr>
            <w:tcW w:w="35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Revenues</w:t>
            </w:r>
          </w:p>
        </w:tc>
        <w:tc>
          <w:tcPr>
            <w:tcW w:w="13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Real property</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131.9 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347.1 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Service, retail, dining, and entertainment</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377.8 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 brokerage commissions and other, net</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Total Revenues</w:t>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259.5 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312.2 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729.3 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Expenses</w:t>
            </w:r>
          </w:p>
        </w:tc>
        <w:tc>
          <w:tcPr>
            <w:tcW w:w="13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5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Property operating and maintenance</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Real estate tax</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16.6 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Service, retail, dining and entertainment</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120.8 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354.2 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General and administrative</w:t>
            </w:r>
            <w:r>
              <w:rPr>
                <w:rFonts w:ascii="Times New Roman;serif" w:hAnsi="Times New Roman;serif"/>
                <w:b w:val="false"/>
                <w:color w:val="000000"/>
                <w:sz w:val="10"/>
              </w:rPr>
              <w:t>(1)</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 expense</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Catastrophic event-related charges, net</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2"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r>
      <w:tr>
        <w:trPr/>
        <w:tc>
          <w:tcPr>
            <w:tcW w:w="3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Business combination costs</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amortization and loss on disposal of assets</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142.4 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Asset impairments</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Total Expenses</w:t>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232.6 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336.9 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675.0 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Income / (Loss) Before Other Items</w:t>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0.9 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54.3 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Gain on disposition of properties, net</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Other income / (expense), net</w:t>
            </w:r>
            <w:r>
              <w:rPr>
                <w:rFonts w:ascii="Times New Roman;serif" w:hAnsi="Times New Roman;serif"/>
                <w:b w:val="false"/>
                <w:color w:val="000000"/>
                <w:sz w:val="10"/>
              </w:rPr>
              <w:t>(2)</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Income from discontinued operations, before income taxes</w:t>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26.9 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1,420.9 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64.2 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Current tax expense</w:t>
            </w:r>
            <w:r>
              <w:rPr>
                <w:color w:val="000000"/>
              </w:rPr>
              <w:t xml:space="preserve"> </w:t>
            </w:r>
            <w:r>
              <w:rPr>
                <w:rFonts w:ascii="Times New Roman;serif" w:hAnsi="Times New Roman;serif"/>
                <w:b w:val="false"/>
                <w:color w:val="000000"/>
                <w:sz w:val="17"/>
              </w:rPr>
              <w:t>(see Note 14)</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Income from discontinued operations, net</w:t>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26.8 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1,418.6 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63.7 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Includes transaction costs of $63.1 million recognized during the nine months ended September 30, 2025 that were directly attributable to the Safe Harbor Sale, including legal and advisory fees, employee separation costs, and other expenses.</w:t>
      </w:r>
    </w:p>
    <w:p>
      <w:pPr>
        <w:pStyle w:val="TextBody"/>
        <w:bidi w:val="0"/>
        <w:spacing w:lineRule="auto" w:line="288" w:before="0" w:after="0"/>
        <w:ind w:left="0" w:right="0" w:hanging="180"/>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During the three months ended March 31, 2025, we recorded a contingent consideration expense of $14.6 million related to a tax protection agreement that we entered into with former owners of certain Marina properties at the time of acquisition. The tax protection agreement stipulates that we indemnify those owners for certain tax obligations incurred related to the sale of certain Marina properties. As a result of the Safe Harbor Sale, we concluded that our tax liability to the former owners was probable of being realized and estimable. Refer to Note 17, "Fair Value Measurements"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depreciation, amortization, and capital expenditures attributable to discontinued operations related to Safe Harbor (in millions):</w:t>
      </w:r>
    </w:p>
    <w:p>
      <w:pPr>
        <w:pStyle w:val="TextBody"/>
        <w:bidi w:val="0"/>
        <w:spacing w:before="0" w:after="0"/>
        <w:jc w:val="both"/>
        <w:rPr/>
      </w:pPr>
      <w:r>
        <w:rPr/>
      </w:r>
    </w:p>
    <w:tbl>
      <w:tblPr>
        <w:tblW w:w="5898" w:type="dxa"/>
        <w:jc w:val="left"/>
        <w:tblInd w:w="0" w:type="dxa"/>
        <w:tblLayout w:type="fixed"/>
        <w:tblCellMar>
          <w:top w:w="28" w:type="dxa"/>
          <w:left w:w="28" w:type="dxa"/>
          <w:bottom w:w="28" w:type="dxa"/>
          <w:right w:w="28" w:type="dxa"/>
        </w:tblCellMar>
      </w:tblPr>
      <w:tblGrid>
        <w:gridCol w:w="563"/>
        <w:gridCol w:w="495"/>
        <w:gridCol w:w="501"/>
        <w:gridCol w:w="109"/>
        <w:gridCol w:w="109"/>
        <w:gridCol w:w="109"/>
        <w:gridCol w:w="109"/>
        <w:gridCol w:w="109"/>
        <w:gridCol w:w="167"/>
        <w:gridCol w:w="167"/>
        <w:gridCol w:w="392"/>
        <w:gridCol w:w="934"/>
        <w:gridCol w:w="218"/>
        <w:gridCol w:w="109"/>
        <w:gridCol w:w="109"/>
        <w:gridCol w:w="109"/>
        <w:gridCol w:w="343"/>
        <w:gridCol w:w="976"/>
        <w:gridCol w:w="270"/>
      </w:tblGrid>
      <w:tr>
        <w:trPr/>
        <w:tc>
          <w:tcPr>
            <w:tcW w:w="56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8" w:type="dxa"/>
            <w:gridSpan w:val="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Nine Months Ended</w:t>
            </w:r>
          </w:p>
        </w:tc>
        <w:tc>
          <w:tcPr>
            <w:tcW w:w="1916" w:type="dxa"/>
            <w:gridSpan w:val="6"/>
            <w:tcBorders/>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September 30, 2024</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31.9 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126.6 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15.8 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146.3 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72465"/>
                <wp:effectExtent l="0" t="0" r="0" b="0"/>
                <wp:wrapNone/>
                <wp:docPr id="12" name="Frame11"/>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3. Revenue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revenue consists of real property revenue at our MH, RV, and UK properties, revenue from home sales, ancillary revenue, interest income, and brokerage commissions and other 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disaggregates our revenue by major source and segment (in millions):</w:t>
      </w:r>
    </w:p>
    <w:p>
      <w:pPr>
        <w:pStyle w:val="TextBody"/>
        <w:bidi w:val="0"/>
        <w:spacing w:before="0" w:after="0"/>
        <w:jc w:val="both"/>
        <w:rPr/>
      </w:pPr>
      <w:r>
        <w:rPr/>
      </w:r>
    </w:p>
    <w:tbl>
      <w:tblPr>
        <w:tblW w:w="10608" w:type="dxa"/>
        <w:jc w:val="center"/>
        <w:tblInd w:w="0" w:type="dxa"/>
        <w:tblLayout w:type="fixed"/>
        <w:tblCellMar>
          <w:top w:w="28" w:type="dxa"/>
          <w:left w:w="28" w:type="dxa"/>
          <w:bottom w:w="28" w:type="dxa"/>
          <w:right w:w="28" w:type="dxa"/>
        </w:tblCellMar>
      </w:tblPr>
      <w:tblGrid>
        <w:gridCol w:w="385"/>
        <w:gridCol w:w="338"/>
        <w:gridCol w:w="283"/>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39"/>
        <w:gridCol w:w="678"/>
        <w:gridCol w:w="134"/>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37"/>
        <w:gridCol w:w="672"/>
        <w:gridCol w:w="187"/>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7"/>
              </w:rPr>
            </w:pPr>
            <w:r>
              <w:rPr>
                <w:rFonts w:ascii="Times New Roman;serif" w:hAnsi="Times New Roman;serif"/>
                <w:b/>
                <w:color w:val="000000"/>
                <w:sz w:val="17"/>
              </w:rPr>
              <w:t>September 30, 2024</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Consolidated</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Revenues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Real property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517.7 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502.2 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Home sales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105.3 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Ancillary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Interest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Brokerage commissions and other,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Total Revenues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697.2 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680.4 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608" w:type="dxa"/>
        <w:jc w:val="left"/>
        <w:tblInd w:w="0" w:type="dxa"/>
        <w:tblLayout w:type="fixed"/>
        <w:tblCellMar>
          <w:top w:w="28" w:type="dxa"/>
          <w:left w:w="28" w:type="dxa"/>
          <w:bottom w:w="28" w:type="dxa"/>
          <w:right w:w="28" w:type="dxa"/>
        </w:tblCellMar>
      </w:tblPr>
      <w:tblGrid>
        <w:gridCol w:w="385"/>
        <w:gridCol w:w="338"/>
        <w:gridCol w:w="283"/>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06"/>
        <w:gridCol w:w="729"/>
        <w:gridCol w:w="116"/>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06"/>
        <w:gridCol w:w="727"/>
        <w:gridCol w:w="163"/>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Nine Months Ended</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September 30, 2024</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Consolidated</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Revenues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Real property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1,352.3 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1,315.3 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Home sales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262.9 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281.7 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Ancillary</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115.4 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114.9 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Interest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Brokerage commissions and other,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Total Revenues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1,790.9 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1,745.9 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majority of our revenue is derived from site and home leases that are accounted for pursuant to ASC 842, "</w:t>
      </w:r>
      <w:r>
        <w:rPr>
          <w:rFonts w:ascii="Times New Roman;serif" w:hAnsi="Times New Roman;serif"/>
          <w:b w:val="false"/>
          <w:i/>
          <w:color w:val="000000"/>
          <w:sz w:val="20"/>
        </w:rPr>
        <w:t>Leases</w:t>
      </w:r>
      <w:r>
        <w:rPr>
          <w:rFonts w:ascii="Times New Roman;serif" w:hAnsi="Times New Roman;serif"/>
          <w:b w:val="false"/>
          <w:color w:val="000000"/>
          <w:sz w:val="20"/>
        </w:rPr>
        <w:t>." We account for all revenue from contracts with customers following ASC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except for those that are within the scope of other topics in the FASB ASC. For additional information, refer to Note 1, "Significant Accounting Policies" in our 2024 Annual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4. Cash, Cash Equivalents and Restricted Cash</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 of cash, cash equivalents and restricted cash by significant investment category, which approximates cost (in millions):</w:t>
      </w:r>
    </w:p>
    <w:p>
      <w:pPr>
        <w:pStyle w:val="TextBody"/>
        <w:bidi w:val="0"/>
        <w:spacing w:before="0" w:after="0"/>
        <w:jc w:val="both"/>
        <w:rPr/>
      </w:pPr>
      <w:r>
        <w:rPr/>
      </w:r>
    </w:p>
    <w:tbl>
      <w:tblPr>
        <w:tblW w:w="7710" w:type="dxa"/>
        <w:jc w:val="left"/>
        <w:tblInd w:w="0" w:type="dxa"/>
        <w:tblLayout w:type="fixed"/>
        <w:tblCellMar>
          <w:top w:w="28" w:type="dxa"/>
          <w:left w:w="28" w:type="dxa"/>
          <w:bottom w:w="28" w:type="dxa"/>
          <w:right w:w="28" w:type="dxa"/>
        </w:tblCellMar>
      </w:tblPr>
      <w:tblGrid>
        <w:gridCol w:w="1358"/>
        <w:gridCol w:w="1194"/>
        <w:gridCol w:w="1197"/>
        <w:gridCol w:w="109"/>
        <w:gridCol w:w="109"/>
        <w:gridCol w:w="109"/>
        <w:gridCol w:w="109"/>
        <w:gridCol w:w="109"/>
        <w:gridCol w:w="304"/>
        <w:gridCol w:w="1072"/>
        <w:gridCol w:w="169"/>
        <w:gridCol w:w="109"/>
        <w:gridCol w:w="109"/>
        <w:gridCol w:w="109"/>
        <w:gridCol w:w="370"/>
        <w:gridCol w:w="882"/>
        <w:gridCol w:w="292"/>
      </w:tblGrid>
      <w:tr>
        <w:trPr/>
        <w:tc>
          <w:tcPr>
            <w:tcW w:w="135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2024</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time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542.7 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47.9 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542.7 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47.9 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time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637.3 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637.3 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1,180.0 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57.1 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72465"/>
                <wp:effectExtent l="0" t="0" r="0" b="0"/>
                <wp:wrapNone/>
                <wp:docPr id="13" name="Frame12"/>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Restricted cash balances in the table above include $629.5 million as of September 30, 2025, generated from the Safe Harbor Sale and held in escrow accounts that have been designated to fund potential future MH and RV acquisitions in accordance with Section 1031 of the Internal Revenue Code ("1031 exchange transactions"). Restricted cash also includes utility deposits and amounts held in deposit for tax, insurance, and repair escrows held by lenders in accordance with certain debt agreements. Restricted cash is included in cash and cash equivalents in the reconciliation of the beginning of period and the end of period cash balance on the Consolidated Statements of Cash Flows. Refer to Note 21, "Subsequent Events," for 1031 exchange transaction activity subsequent to September 30,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Real Estate Acquisitions and Dispositions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2025 Development and Expansion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did not acquire any operating properties during the nine months ended September 30, 2025. Refer to Note 21, "Subsequent Events," for acquisitions that closed subsequent to September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2025 Disposition Activity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following dispositions of real estate properties for our continuing operations occurred during the</w:t>
      </w:r>
      <w:r>
        <w:rPr>
          <w:color w:val="000000"/>
        </w:rPr>
        <w:t xml:space="preserve"> </w:t>
      </w:r>
      <w:r>
        <w:rPr>
          <w:rFonts w:ascii="Times New Roman;serif" w:hAnsi="Times New Roman;serif"/>
          <w:b w:val="false"/>
          <w:color w:val="000000"/>
          <w:sz w:val="20"/>
        </w:rPr>
        <w:t>nine months ended September 30, 2025 (in millions, except for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42"/>
        <w:gridCol w:w="262"/>
        <w:gridCol w:w="264"/>
        <w:gridCol w:w="109"/>
        <w:gridCol w:w="109"/>
        <w:gridCol w:w="109"/>
        <w:gridCol w:w="240"/>
        <w:gridCol w:w="240"/>
        <w:gridCol w:w="241"/>
        <w:gridCol w:w="109"/>
        <w:gridCol w:w="109"/>
        <w:gridCol w:w="109"/>
        <w:gridCol w:w="299"/>
        <w:gridCol w:w="299"/>
        <w:gridCol w:w="300"/>
        <w:gridCol w:w="109"/>
        <w:gridCol w:w="109"/>
        <w:gridCol w:w="109"/>
        <w:gridCol w:w="172"/>
        <w:gridCol w:w="172"/>
        <w:gridCol w:w="173"/>
        <w:gridCol w:w="109"/>
        <w:gridCol w:w="109"/>
        <w:gridCol w:w="109"/>
        <w:gridCol w:w="262"/>
        <w:gridCol w:w="262"/>
        <w:gridCol w:w="263"/>
        <w:gridCol w:w="109"/>
        <w:gridCol w:w="109"/>
        <w:gridCol w:w="109"/>
        <w:gridCol w:w="253"/>
        <w:gridCol w:w="253"/>
        <w:gridCol w:w="254"/>
        <w:gridCol w:w="109"/>
        <w:gridCol w:w="109"/>
        <w:gridCol w:w="109"/>
        <w:gridCol w:w="206"/>
        <w:gridCol w:w="490"/>
        <w:gridCol w:w="114"/>
        <w:gridCol w:w="109"/>
        <w:gridCol w:w="109"/>
        <w:gridCol w:w="109"/>
        <w:gridCol w:w="306"/>
        <w:gridCol w:w="730"/>
        <w:gridCol w:w="172"/>
        <w:gridCol w:w="109"/>
        <w:gridCol w:w="109"/>
        <w:gridCol w:w="109"/>
        <w:gridCol w:w="266"/>
        <w:gridCol w:w="532"/>
        <w:gridCol w:w="222"/>
      </w:tblGrid>
      <w:tr>
        <w:trPr/>
        <w:tc>
          <w:tcPr>
            <w:tcW w:w="34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86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Property Name</w:t>
            </w:r>
            <w:r>
              <w:rPr>
                <w:rFonts w:ascii="Times New Roman;serif" w:hAnsi="Times New Roman;serif"/>
                <w:b/>
                <w:color w:val="000000"/>
                <w:sz w:val="11"/>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Number of Properties*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 Sites*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State, Province, or Country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Month Disposed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Gross Sales Proceeds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Cash Consideration, net</w:t>
            </w:r>
            <w:r>
              <w:rPr>
                <w:rFonts w:ascii="Times New Roman;serif" w:hAnsi="Times New Roman;serif"/>
                <w:b/>
                <w:color w:val="000000"/>
                <w:sz w:val="11"/>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Loss on Disposition</w:t>
            </w:r>
            <w:r>
              <w:rPr>
                <w:rFonts w:ascii="Times New Roman;serif" w:hAnsi="Times New Roman;serif"/>
                <w:b/>
                <w:color w:val="000000"/>
                <w:sz w:val="11"/>
              </w:rPr>
              <w:t>(3)</w:t>
            </w:r>
          </w:p>
        </w:tc>
      </w:tr>
      <w:tr>
        <w:trPr/>
        <w:tc>
          <w:tcPr>
            <w:tcW w:w="8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RV Portfolio</w:t>
            </w:r>
            <w:r>
              <w:rPr>
                <w:rFonts w:ascii="Times New Roman;serif" w:hAnsi="Times New Roman;serif"/>
                <w:b w:val="false"/>
                <w:color w:val="000000"/>
                <w:sz w:val="11"/>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RV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January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MH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MH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March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Sun Retreats Millbrook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RV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April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Pertains to our continuing operations. Refer to Note 2, "Assets Held for Sale and Discontinued Operations," for additional details related to the Safe Harbor Sale, which is classified as a discontinued operation.</w:t>
      </w:r>
    </w:p>
    <w:p>
      <w:pPr>
        <w:pStyle w:val="TextBody"/>
        <w:bidi w:val="0"/>
        <w:spacing w:lineRule="auto" w:line="288" w:before="0" w:after="60"/>
        <w:ind w:left="0" w:right="0" w:hanging="18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 xml:space="preserve">Cash consideration, net of settlement of the associated mortgage debt, when applicable, and other closing adjustments. </w:t>
      </w:r>
    </w:p>
    <w:p>
      <w:pPr>
        <w:pStyle w:val="TextBody"/>
        <w:bidi w:val="0"/>
        <w:spacing w:lineRule="auto" w:line="288" w:before="0" w:after="60"/>
        <w:ind w:left="0" w:right="0" w:hanging="180"/>
        <w:jc w:val="both"/>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Recorded in Gain / (loss) on dispositions of properties on the Consolidated Statements of Operations.</w:t>
      </w:r>
    </w:p>
    <w:p>
      <w:pPr>
        <w:pStyle w:val="TextBody"/>
        <w:bidi w:val="0"/>
        <w:spacing w:lineRule="auto" w:line="288" w:before="0" w:after="0"/>
        <w:ind w:left="0" w:right="0" w:hanging="180"/>
        <w:jc w:val="both"/>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Total sales proceeds include the disposition of two operating properties and two development properties that we owned along with the settlement of a developer note receivable of $36.5 million pertaining to three additional properties in which we had provided financing to the developer that were classified as held for sale as of December 31, 2024. During the year ended December 31, 2024, we recognized asset impairment charges of $12.1 million to reduce the carrying value of the four owned RV properties to an aggregate fair value of $47.5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June 2025, we sold one MH developmental land parcel in Washington for total consideration of $40.0 million and recorded a gain on sale of $2.6 million. The property was previously classified as held for sale.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September 2025, we sold one RV development land parcel in California for total consideration of $18.0 million and recorded a loss on sale of $0.1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2024 Disposition Activity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following dispositions of real estate properties for our continuing operations occurred during the</w:t>
      </w:r>
      <w:r>
        <w:rPr>
          <w:color w:val="000000"/>
        </w:rPr>
        <w:t xml:space="preserve"> </w:t>
      </w:r>
      <w:r>
        <w:rPr>
          <w:rFonts w:ascii="Times New Roman;serif" w:hAnsi="Times New Roman;serif"/>
          <w:b w:val="false"/>
          <w:color w:val="000000"/>
          <w:sz w:val="20"/>
        </w:rPr>
        <w:t>nine months ended September 30, 2024 (in millions, except for *):</w:t>
      </w:r>
    </w:p>
    <w:p>
      <w:pPr>
        <w:pStyle w:val="TextBody"/>
        <w:bidi w:val="0"/>
        <w:spacing w:before="0" w:after="0"/>
        <w:jc w:val="both"/>
        <w:rPr/>
      </w:pPr>
      <w:r>
        <w:rPr/>
      </w:r>
    </w:p>
    <w:tbl>
      <w:tblPr>
        <w:tblW w:w="10220" w:type="dxa"/>
        <w:jc w:val="left"/>
        <w:tblInd w:w="0" w:type="dxa"/>
        <w:tblLayout w:type="fixed"/>
        <w:tblCellMar>
          <w:top w:w="28" w:type="dxa"/>
          <w:left w:w="28" w:type="dxa"/>
          <w:bottom w:w="28" w:type="dxa"/>
          <w:right w:w="28" w:type="dxa"/>
        </w:tblCellMar>
      </w:tblPr>
      <w:tblGrid>
        <w:gridCol w:w="448"/>
        <w:gridCol w:w="248"/>
        <w:gridCol w:w="250"/>
        <w:gridCol w:w="109"/>
        <w:gridCol w:w="109"/>
        <w:gridCol w:w="109"/>
        <w:gridCol w:w="240"/>
        <w:gridCol w:w="240"/>
        <w:gridCol w:w="241"/>
        <w:gridCol w:w="109"/>
        <w:gridCol w:w="109"/>
        <w:gridCol w:w="109"/>
        <w:gridCol w:w="285"/>
        <w:gridCol w:w="285"/>
        <w:gridCol w:w="286"/>
        <w:gridCol w:w="109"/>
        <w:gridCol w:w="109"/>
        <w:gridCol w:w="109"/>
        <w:gridCol w:w="180"/>
        <w:gridCol w:w="165"/>
        <w:gridCol w:w="166"/>
        <w:gridCol w:w="109"/>
        <w:gridCol w:w="109"/>
        <w:gridCol w:w="109"/>
        <w:gridCol w:w="240"/>
        <w:gridCol w:w="240"/>
        <w:gridCol w:w="241"/>
        <w:gridCol w:w="109"/>
        <w:gridCol w:w="109"/>
        <w:gridCol w:w="109"/>
        <w:gridCol w:w="350"/>
        <w:gridCol w:w="245"/>
        <w:gridCol w:w="246"/>
        <w:gridCol w:w="109"/>
        <w:gridCol w:w="109"/>
        <w:gridCol w:w="109"/>
        <w:gridCol w:w="196"/>
        <w:gridCol w:w="556"/>
        <w:gridCol w:w="109"/>
        <w:gridCol w:w="109"/>
        <w:gridCol w:w="109"/>
        <w:gridCol w:w="109"/>
        <w:gridCol w:w="266"/>
        <w:gridCol w:w="756"/>
        <w:gridCol w:w="149"/>
        <w:gridCol w:w="109"/>
        <w:gridCol w:w="109"/>
        <w:gridCol w:w="109"/>
        <w:gridCol w:w="211"/>
        <w:gridCol w:w="598"/>
        <w:gridCol w:w="167"/>
      </w:tblGrid>
      <w:tr>
        <w:trPr/>
        <w:tc>
          <w:tcPr>
            <w:tcW w:w="4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Property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Number of Properties*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 Sites*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State, Province or Country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Month Disposed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Gross Sales Proceeds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Cash Consideration, net</w:t>
            </w:r>
            <w:r>
              <w:rPr>
                <w:rFonts w:ascii="Times New Roman;serif" w:hAnsi="Times New Roman;serif"/>
                <w:b/>
                <w:color w:val="000000"/>
                <w:sz w:val="11"/>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Gain Disposition</w:t>
            </w:r>
            <w:r>
              <w:rPr>
                <w:rFonts w:ascii="Times New Roman;serif" w:hAnsi="Times New Roman;serif"/>
                <w:b/>
                <w:color w:val="000000"/>
                <w:sz w:val="11"/>
              </w:rPr>
              <w:t>(2)</w:t>
            </w:r>
          </w:p>
        </w:tc>
      </w:tr>
      <w:tr>
        <w:trPr/>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Spanish Trails and Sundance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MH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AZ &amp; FL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February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Littondale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UK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UK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May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Six Community MH Portfolio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MH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July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150.7 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142.0 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Lake Pointe Village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MH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July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Reserve at Fox Creek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MH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AZ</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September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Cash consideration, net of settlement of the associated mortgage debt and other closing adjustments.</w:t>
      </w:r>
    </w:p>
    <w:p>
      <w:pPr>
        <w:pStyle w:val="TextBody"/>
        <w:bidi w:val="0"/>
        <w:spacing w:lineRule="auto" w:line="288" w:before="0" w:after="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Recorded in Gain / (loss) on dispositions of properties on the Consolidated Statements of Operations.</w:t>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72465"/>
                <wp:effectExtent l="0" t="0" r="0" b="0"/>
                <wp:wrapNone/>
                <wp:docPr id="14" name="Frame13"/>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Notes and Other Receivables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regarding notes and other receivables (in millions):</w:t>
      </w:r>
    </w:p>
    <w:p>
      <w:pPr>
        <w:pStyle w:val="TextBody"/>
        <w:bidi w:val="0"/>
        <w:spacing w:before="0" w:after="0"/>
        <w:jc w:val="both"/>
        <w:rPr/>
      </w:pPr>
      <w:r>
        <w:rPr/>
      </w:r>
    </w:p>
    <w:tbl>
      <w:tblPr>
        <w:tblW w:w="7571" w:type="dxa"/>
        <w:jc w:val="left"/>
        <w:tblInd w:w="0" w:type="dxa"/>
        <w:tblLayout w:type="fixed"/>
        <w:tblCellMar>
          <w:top w:w="28" w:type="dxa"/>
          <w:left w:w="28" w:type="dxa"/>
          <w:bottom w:w="28" w:type="dxa"/>
          <w:right w:w="28" w:type="dxa"/>
        </w:tblCellMar>
      </w:tblPr>
      <w:tblGrid>
        <w:gridCol w:w="1503"/>
        <w:gridCol w:w="1322"/>
        <w:gridCol w:w="1330"/>
        <w:gridCol w:w="351"/>
        <w:gridCol w:w="997"/>
        <w:gridCol w:w="197"/>
        <w:gridCol w:w="109"/>
        <w:gridCol w:w="109"/>
        <w:gridCol w:w="109"/>
        <w:gridCol w:w="334"/>
        <w:gridCol w:w="948"/>
        <w:gridCol w:w="262"/>
      </w:tblGrid>
      <w:tr>
        <w:trPr/>
        <w:tc>
          <w:tcPr>
            <w:tcW w:w="1503"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2024</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Installment notes receivable on manufactured homes, net</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129.2 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93.9 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Notes receivable from real estate developers and operators</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148.5 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receivables, net</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246.8 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187.7 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Notes and Other Receivables, net</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468.4 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430.1 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Installment Notes Receivable on Manufactured Homes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Installment notes receivable are measured at fair value, using indicative pricing models from third party valuation specialists, in accordance with ASC 820, "</w:t>
      </w:r>
      <w:r>
        <w:rPr>
          <w:rFonts w:ascii="Times New Roman;serif" w:hAnsi="Times New Roman;serif"/>
          <w:b w:val="false"/>
          <w:i/>
          <w:color w:val="000000"/>
          <w:sz w:val="20"/>
        </w:rPr>
        <w:t>Fair Value Measurements and Disclosures</w:t>
      </w:r>
      <w:r>
        <w:rPr>
          <w:rFonts w:ascii="Times New Roman;serif" w:hAnsi="Times New Roman;serif"/>
          <w:b w:val="false"/>
          <w:color w:val="000000"/>
          <w:sz w:val="20"/>
        </w:rPr>
        <w:t>." The balances of installment notes receivable of $129.2 million (principal of installment notes receivable of $132.1 million less fair value adjustment of $2.9 million) and $93.9 million (principal of installment notes receivable of $95.2 million less fair value adjustment of $1.3 million) as of September 30, 2025 and December 31, 2024, respectively, are secured by manufactured homes. The notes represent financing to purchasers of manufactured homes located in our communities and require monthly principal and interest payments. The notes had a net weighted average interest rate (net of servicing costs) and maturity of 7.3% and 17.5 years as of September 30, 2025, and 6.4% and 18.6 years as of December 31, 2024, respectively. Refer to Note 17, "Fair Value Measurements," for additional details.</w:t>
      </w:r>
    </w:p>
    <w:tbl>
      <w:tblPr>
        <w:tblW w:w="13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Notes Receivable from Real Estate Developers and Operators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Notes receivable from real estate developers and operators are measured at fair value, using indicative pricing models from third party valuation specialists, in accordance with ASC 820, "</w:t>
      </w:r>
      <w:r>
        <w:rPr>
          <w:rFonts w:ascii="Times New Roman;serif" w:hAnsi="Times New Roman;serif"/>
          <w:b w:val="false"/>
          <w:i/>
          <w:color w:val="000000"/>
          <w:sz w:val="20"/>
        </w:rPr>
        <w:t>Fair Value Measurements and Disclosures</w:t>
      </w:r>
      <w:r>
        <w:rPr>
          <w:rFonts w:ascii="Times New Roman;serif" w:hAnsi="Times New Roman;serif"/>
          <w:b w:val="false"/>
          <w:color w:val="000000"/>
          <w:sz w:val="20"/>
        </w:rPr>
        <w:t>." Refer to Note 17, "Fair Value Measurements," for additional information.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Notes Receivable from Real Estate Operators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notes receivable from real estate operators at September 30, 2025 consist of a loan provided to a real estate operator to fund the Canadian RV Portfolio disposition (the "Canadian RV Note"). The balance on the Canadian RV Note was $43.8 million with a net weighted average interest rate and maturity of 5.0% and 1.2 years as of September 30, 2025, and was $42.4 million with a net weighted average interest rate and maturity of 5.0% and 2.0 years as of December 31,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Notes Receivable from Real Estate Developers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acquisition and construction loans provided to real estate developers total $48.6 million with a net weighted average interest rate and maturity of 8.7% and 0.4 years as of September 30, 2025, and total $106.1 million with a net weighted average interest rate and maturity of 8.0% and 1.9 years as of December 31, 2024. As of September 30, 2025 and December 31, 2024, the additional acquisition and construction loans provided to real estate developers had $11.6 million and $36.8 million of undrawn funds, respectively.</w:t>
      </w:r>
    </w:p>
    <w:tbl>
      <w:tblPr>
        <w:tblW w:w="136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Other Receivables,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receivables, net were comprised of amounts due from the following categories (in millions):</w:t>
      </w:r>
    </w:p>
    <w:p>
      <w:pPr>
        <w:pStyle w:val="TextBody"/>
        <w:bidi w:val="0"/>
        <w:spacing w:before="0" w:after="0"/>
        <w:jc w:val="both"/>
        <w:rPr/>
      </w:pPr>
      <w:r>
        <w:rPr/>
      </w:r>
    </w:p>
    <w:tbl>
      <w:tblPr>
        <w:tblW w:w="6535" w:type="dxa"/>
        <w:jc w:val="left"/>
        <w:tblInd w:w="0" w:type="dxa"/>
        <w:tblLayout w:type="fixed"/>
        <w:tblCellMar>
          <w:top w:w="28" w:type="dxa"/>
          <w:left w:w="28" w:type="dxa"/>
          <w:bottom w:w="28" w:type="dxa"/>
          <w:right w:w="28" w:type="dxa"/>
        </w:tblCellMar>
      </w:tblPr>
      <w:tblGrid>
        <w:gridCol w:w="1129"/>
        <w:gridCol w:w="992"/>
        <w:gridCol w:w="998"/>
        <w:gridCol w:w="351"/>
        <w:gridCol w:w="997"/>
        <w:gridCol w:w="197"/>
        <w:gridCol w:w="109"/>
        <w:gridCol w:w="109"/>
        <w:gridCol w:w="109"/>
        <w:gridCol w:w="334"/>
        <w:gridCol w:w="948"/>
        <w:gridCol w:w="262"/>
      </w:tblGrid>
      <w:tr>
        <w:trPr/>
        <w:tc>
          <w:tcPr>
            <w:tcW w:w="112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2024</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Receivables from residents and customers</w:t>
            </w:r>
            <w:r>
              <w:rPr>
                <w:rFonts w:ascii="Times New Roman;serif" w:hAnsi="Times New Roman;serif"/>
                <w:b w:val="false"/>
                <w:color w:val="000000"/>
                <w:sz w:val="11"/>
              </w:rPr>
              <w:t>(1)</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128.4 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62.2 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Insurance receivables</w:t>
            </w:r>
            <w:r>
              <w:rPr>
                <w:rFonts w:ascii="Times New Roman;serif" w:hAnsi="Times New Roman;serif"/>
                <w:b w:val="false"/>
                <w:color w:val="000000"/>
                <w:sz w:val="11"/>
              </w:rPr>
              <w:t>(2)</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7"/>
              </w:rPr>
            </w:pPr>
            <w:r>
              <w:rPr>
                <w:rFonts w:ascii="Times New Roman;serif" w:hAnsi="Times New Roman;serif"/>
                <w:b w:val="false"/>
                <w:color w:val="000000"/>
                <w:sz w:val="17"/>
              </w:rPr>
              <w:t>Home sale proceeds</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receivables</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Other Receivables, net</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246.8 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187.7 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erif" w:hAnsi="Times New Roman;serif"/>
          <w:b w:val="false"/>
          <w:color w:val="000000"/>
          <w:sz w:val="10"/>
        </w:rPr>
        <w:t>(1)</w:t>
      </w:r>
      <w:r>
        <w:rPr>
          <w:rFonts w:ascii="Times New Roman;serif" w:hAnsi="Times New Roman;serif"/>
          <w:b w:val="false"/>
          <w:color w:val="000000"/>
          <w:sz w:val="16"/>
        </w:rPr>
        <w:t>Net of allowance for credit losses of $4.9 million and $5.6 million as of September 30, 2025 and December 31, 2024, respectively.</w:t>
      </w:r>
    </w:p>
    <w:p>
      <w:pPr>
        <w:pStyle w:val="TextBody"/>
        <w:bidi w:val="0"/>
        <w:spacing w:lineRule="auto" w:line="288" w:before="0" w:after="0"/>
        <w:ind w:left="0" w:right="0" w:hanging="180"/>
        <w:jc w:val="both"/>
        <w:rPr/>
      </w:pPr>
      <w:r>
        <w:rPr>
          <w:rFonts w:ascii="Times New Roman;serif" w:hAnsi="Times New Roman;serif"/>
          <w:b w:val="false"/>
          <w:color w:val="000000"/>
          <w:sz w:val="10"/>
        </w:rPr>
        <w:t>(2)</w:t>
      </w:r>
      <w:r>
        <w:rPr>
          <w:rFonts w:ascii="Times New Roman;serif" w:hAnsi="Times New Roman;serif"/>
          <w:b w:val="false"/>
          <w:color w:val="000000"/>
          <w:sz w:val="16"/>
        </w:rPr>
        <w:t>Primarily consists of receivables from insurance providers related to Hurricanes Ian, Helene, and Milton. Refer to Note 18, "Commitments and Contingencies," for additional details.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72465"/>
                <wp:effectExtent l="0" t="0" r="0" b="0"/>
                <wp:wrapNone/>
                <wp:docPr id="15" name="Frame14"/>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Collateralized Receivables and Transfers of Financial Assets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We previously completed various transactions with an unrelated entity involving our installment notes receivable under which we received cash proceeds in exchange for relinquishing our right, title, and interest in certain notes receivables. We have no further obligations or rights with respect to the control, management, administration, servicing, or collection of the installment notes receivables. However, we are subject to certain recourse provisions requiring us to purchase the underlying manufactured homes collateralizing such notes at a price calculated based on the agreed upon terms, in the event of a note default and subsequent repossession of the home by the unrelated entity. The recourse provisions are considered to be a form of continuing involvement which precludes establishing legal isolation, and therefore these transferred loans do not meet the requirements for sale accounting under ASC 860, "</w:t>
      </w:r>
      <w:r>
        <w:rPr>
          <w:rFonts w:ascii="Times New Roman;serif" w:hAnsi="Times New Roman;serif"/>
          <w:b w:val="false"/>
          <w:i/>
          <w:color w:val="000000"/>
          <w:sz w:val="20"/>
        </w:rPr>
        <w:t>Transfers and Servicing</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transaction has been accounted for in accordance with ASC 860-30, with the transferred assets classified as Collateralized receivables, net and the cash proceeds received from this transaction classified as Secured borrowings on collateralized receivables within the Consolidated Balance Sheets. We have elected to apply the fair value option to the collateralized receivables and related secured borrowings under ASC 820, "</w:t>
      </w:r>
      <w:r>
        <w:rPr>
          <w:rFonts w:ascii="Times New Roman;serif" w:hAnsi="Times New Roman;serif"/>
          <w:b w:val="false"/>
          <w:i/>
          <w:color w:val="000000"/>
          <w:sz w:val="20"/>
        </w:rPr>
        <w:t>Fair Value Measurements and Disclosures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regarding collateralized receivables and the related secured borrowings (in millions, except interest rates and maturities):</w:t>
      </w:r>
    </w:p>
    <w:p>
      <w:pPr>
        <w:pStyle w:val="TextBody"/>
        <w:bidi w:val="0"/>
        <w:spacing w:before="0" w:after="0"/>
        <w:jc w:val="both"/>
        <w:rPr/>
      </w:pPr>
      <w:r>
        <w:rPr/>
      </w:r>
    </w:p>
    <w:tbl>
      <w:tblPr>
        <w:tblW w:w="10144" w:type="dxa"/>
        <w:jc w:val="left"/>
        <w:tblInd w:w="0" w:type="dxa"/>
        <w:tblLayout w:type="fixed"/>
        <w:tblCellMar>
          <w:top w:w="28" w:type="dxa"/>
          <w:left w:w="28" w:type="dxa"/>
          <w:bottom w:w="28" w:type="dxa"/>
          <w:right w:w="28" w:type="dxa"/>
        </w:tblCellMar>
      </w:tblPr>
      <w:tblGrid>
        <w:gridCol w:w="965"/>
        <w:gridCol w:w="849"/>
        <w:gridCol w:w="856"/>
        <w:gridCol w:w="335"/>
        <w:gridCol w:w="797"/>
        <w:gridCol w:w="412"/>
        <w:gridCol w:w="109"/>
        <w:gridCol w:w="109"/>
        <w:gridCol w:w="109"/>
        <w:gridCol w:w="325"/>
        <w:gridCol w:w="774"/>
        <w:gridCol w:w="400"/>
        <w:gridCol w:w="109"/>
        <w:gridCol w:w="109"/>
        <w:gridCol w:w="109"/>
        <w:gridCol w:w="340"/>
        <w:gridCol w:w="808"/>
        <w:gridCol w:w="418"/>
        <w:gridCol w:w="189"/>
        <w:gridCol w:w="189"/>
        <w:gridCol w:w="189"/>
        <w:gridCol w:w="340"/>
        <w:gridCol w:w="808"/>
        <w:gridCol w:w="496"/>
      </w:tblGrid>
      <w:tr>
        <w:trPr/>
        <w:tc>
          <w:tcPr>
            <w:tcW w:w="9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Collateralized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Secured Borrowings on Collateralized Receivables</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December 31, 2024</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Gross Balance</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46.5 </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52.0 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41.7 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47.3 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Fair Value Adjustments</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Carrying Balance</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45.4 </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51.2 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45.4 </w:t>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51.2 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Weighted Average Interest Rates</w:t>
            </w:r>
          </w:p>
        </w:tc>
        <w:tc>
          <w:tcPr>
            <w:tcW w:w="11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8.5 </w:t>
            </w:r>
          </w:p>
        </w:tc>
        <w:tc>
          <w:tcPr>
            <w:tcW w:w="4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8.6 </w:t>
            </w:r>
          </w:p>
        </w:tc>
        <w:tc>
          <w:tcPr>
            <w:tcW w:w="40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8.5 </w:t>
            </w:r>
          </w:p>
        </w:tc>
        <w:tc>
          <w:tcPr>
            <w:tcW w:w="4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8.6 </w:t>
            </w:r>
          </w:p>
        </w:tc>
        <w:tc>
          <w:tcPr>
            <w:tcW w:w="4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Weighted Average Years to Maturity</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 years</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 years</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collateralized receivables earn interest income and the secured borrowings accrue interest expense in equal amounts. The amount of interest income and interest expense recognized during the three and nine months ended September 30, 2025 was $1.0 million and $3.0 million, respectively, and during the three and nine months ended September 30, 2024 was $1.1 million and $3.5 million, respectively. Refer to Note 17, "Fair Value Measurements," for additional details.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8. Other Intangible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gross carrying amounts and accumulated amortization of our intangible assets were as follows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95"/>
        <w:gridCol w:w="686"/>
        <w:gridCol w:w="691"/>
        <w:gridCol w:w="109"/>
        <w:gridCol w:w="109"/>
        <w:gridCol w:w="109"/>
        <w:gridCol w:w="244"/>
        <w:gridCol w:w="244"/>
        <w:gridCol w:w="245"/>
        <w:gridCol w:w="109"/>
        <w:gridCol w:w="109"/>
        <w:gridCol w:w="109"/>
        <w:gridCol w:w="284"/>
        <w:gridCol w:w="806"/>
        <w:gridCol w:w="158"/>
        <w:gridCol w:w="109"/>
        <w:gridCol w:w="109"/>
        <w:gridCol w:w="109"/>
        <w:gridCol w:w="325"/>
        <w:gridCol w:w="950"/>
        <w:gridCol w:w="183"/>
        <w:gridCol w:w="109"/>
        <w:gridCol w:w="109"/>
        <w:gridCol w:w="109"/>
        <w:gridCol w:w="284"/>
        <w:gridCol w:w="806"/>
        <w:gridCol w:w="158"/>
        <w:gridCol w:w="109"/>
        <w:gridCol w:w="109"/>
        <w:gridCol w:w="109"/>
        <w:gridCol w:w="319"/>
        <w:gridCol w:w="932"/>
        <w:gridCol w:w="260"/>
      </w:tblGrid>
      <w:tr>
        <w:trPr/>
        <w:tc>
          <w:tcPr>
            <w:tcW w:w="99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2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2024</w:t>
            </w:r>
          </w:p>
        </w:tc>
      </w:tr>
      <w:tr>
        <w:trPr/>
        <w:tc>
          <w:tcPr>
            <w:tcW w:w="2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Other Intangible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Accumulated Amortization</w:t>
            </w:r>
          </w:p>
        </w:tc>
      </w:tr>
      <w:tr>
        <w:trPr/>
        <w:tc>
          <w:tcPr>
            <w:tcW w:w="2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In-place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138.4 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(130.5)</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138.8 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(126.4)</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Trademarks and 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(15.4)</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4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Franchise agreements and other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7"/>
              </w:rPr>
            </w:pPr>
            <w:r>
              <w:rPr>
                <w:rFonts w:ascii="Times New Roman;serif" w:hAnsi="Times New Roman;serif"/>
                <w:b w:val="false"/>
                <w:color w:val="000000"/>
                <w:sz w:val="17"/>
              </w:rPr>
              <w:t>10 - 27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finite-lived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260.7 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(164.4)</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255.0 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(153.1)</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Indefinite-lived assets - Trademarks, trade names,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indefinite-lived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261.4 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(164.4)</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255.6 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(153.1)</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672465"/>
                <wp:effectExtent l="0" t="0" r="0" b="0"/>
                <wp:wrapNone/>
                <wp:docPr id="16" name="Frame15"/>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Amortization expenses related to our Other intangible assets were as follows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11"/>
        <w:gridCol w:w="976"/>
        <w:gridCol w:w="979"/>
        <w:gridCol w:w="109"/>
        <w:gridCol w:w="109"/>
        <w:gridCol w:w="109"/>
        <w:gridCol w:w="414"/>
        <w:gridCol w:w="796"/>
        <w:gridCol w:w="234"/>
        <w:gridCol w:w="109"/>
        <w:gridCol w:w="109"/>
        <w:gridCol w:w="109"/>
        <w:gridCol w:w="414"/>
        <w:gridCol w:w="796"/>
        <w:gridCol w:w="234"/>
        <w:gridCol w:w="109"/>
        <w:gridCol w:w="109"/>
        <w:gridCol w:w="109"/>
        <w:gridCol w:w="414"/>
        <w:gridCol w:w="796"/>
        <w:gridCol w:w="234"/>
        <w:gridCol w:w="109"/>
        <w:gridCol w:w="109"/>
        <w:gridCol w:w="109"/>
        <w:gridCol w:w="358"/>
        <w:gridCol w:w="851"/>
        <w:gridCol w:w="290"/>
      </w:tblGrid>
      <w:tr>
        <w:trPr/>
        <w:tc>
          <w:tcPr>
            <w:tcW w:w="11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Nine Months Ended</w:t>
            </w:r>
          </w:p>
        </w:tc>
      </w:tr>
      <w:tr>
        <w:trPr/>
        <w:tc>
          <w:tcPr>
            <w:tcW w:w="3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Other Intangible Asset Amortization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2024</w:t>
            </w:r>
          </w:p>
        </w:tc>
      </w:tr>
      <w:tr>
        <w:trPr/>
        <w:tc>
          <w:tcPr>
            <w:tcW w:w="3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In-place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Trademarks and 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Franchise fees and other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10.0 </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anticipate amortization expense for Other intangible assets to be as follows for the next five years (in millions):</w:t>
      </w:r>
    </w:p>
    <w:p>
      <w:pPr>
        <w:pStyle w:val="TextBody"/>
        <w:bidi w:val="0"/>
        <w:spacing w:before="0" w:after="0"/>
        <w:jc w:val="both"/>
        <w:rPr/>
      </w:pPr>
      <w:r>
        <w:rPr/>
      </w:r>
    </w:p>
    <w:tbl>
      <w:tblPr>
        <w:tblW w:w="9744" w:type="dxa"/>
        <w:jc w:val="left"/>
        <w:tblInd w:w="0" w:type="dxa"/>
        <w:tblLayout w:type="fixed"/>
        <w:tblCellMar>
          <w:top w:w="28" w:type="dxa"/>
          <w:left w:w="28" w:type="dxa"/>
          <w:bottom w:w="28" w:type="dxa"/>
          <w:right w:w="28" w:type="dxa"/>
        </w:tblCellMar>
      </w:tblPr>
      <w:tblGrid>
        <w:gridCol w:w="1429"/>
        <w:gridCol w:w="1256"/>
        <w:gridCol w:w="1260"/>
        <w:gridCol w:w="109"/>
        <w:gridCol w:w="109"/>
        <w:gridCol w:w="109"/>
        <w:gridCol w:w="375"/>
        <w:gridCol w:w="720"/>
        <w:gridCol w:w="210"/>
        <w:gridCol w:w="109"/>
        <w:gridCol w:w="109"/>
        <w:gridCol w:w="109"/>
        <w:gridCol w:w="196"/>
        <w:gridCol w:w="466"/>
        <w:gridCol w:w="109"/>
        <w:gridCol w:w="109"/>
        <w:gridCol w:w="109"/>
        <w:gridCol w:w="109"/>
        <w:gridCol w:w="196"/>
        <w:gridCol w:w="376"/>
        <w:gridCol w:w="109"/>
        <w:gridCol w:w="109"/>
        <w:gridCol w:w="109"/>
        <w:gridCol w:w="109"/>
        <w:gridCol w:w="196"/>
        <w:gridCol w:w="376"/>
        <w:gridCol w:w="109"/>
        <w:gridCol w:w="109"/>
        <w:gridCol w:w="109"/>
        <w:gridCol w:w="109"/>
        <w:gridCol w:w="196"/>
        <w:gridCol w:w="376"/>
        <w:gridCol w:w="154"/>
      </w:tblGrid>
      <w:tr>
        <w:trPr/>
        <w:tc>
          <w:tcPr>
            <w:tcW w:w="142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Other Intangible Asset Future Amortization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Remainder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2029</w:t>
            </w:r>
          </w:p>
        </w:tc>
      </w:tr>
      <w:tr>
        <w:trPr/>
        <w:tc>
          <w:tcPr>
            <w:tcW w:w="39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In-place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Trademarks and 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Franchise agreements and other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rFonts w:ascii="Times New Roman;serif" w:hAnsi="Times New Roman;serif"/>
          <w:b/>
          <w:color w:val="000000"/>
          <w:sz w:val="20"/>
        </w:rPr>
      </w:pPr>
      <w:r>
        <w:rPr>
          <w:rFonts w:ascii="Times New Roman;serif" w:hAnsi="Times New Roman;serif"/>
          <w:b/>
          <w:color w:val="000000"/>
          <w:sz w:val="20"/>
        </w:rPr>
        <w:t>9. Investments in Nonconsolidated Affiliates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Investments in joint ventures that are not consolidated, nor recorded at cost, are accounted for using the equity method of accounting as prescribed in ASC 323, "</w:t>
      </w:r>
      <w:r>
        <w:rPr>
          <w:rFonts w:ascii="Times New Roman;serif" w:hAnsi="Times New Roman;serif"/>
          <w:b w:val="false"/>
          <w:i/>
          <w:color w:val="000000"/>
          <w:sz w:val="20"/>
        </w:rPr>
        <w:t>Investments - Equity Method and Joint Ventures</w:t>
      </w:r>
      <w:r>
        <w:rPr>
          <w:rFonts w:ascii="Times New Roman;serif" w:hAnsi="Times New Roman;serif"/>
          <w:b w:val="false"/>
          <w:color w:val="000000"/>
          <w:sz w:val="20"/>
        </w:rPr>
        <w:t>." Investments in nonconsolidated affiliates are recorded within Other assets, net on the Consolidated Balance Sheets. Equity income and loss are recorded in Income from nonconsolidated affiliates on the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Sungenia Joint Venture ("Sungenia JV")</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September 30, 2025 and December 31, 2024, we had a 50.0% ownership interest in Sungenia JV, a joint venture formed between us and Ingenia to establish and grow a manufactured housing community development program in Australia.</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GTSC LLC </w:t>
      </w:r>
      <w:r>
        <w:rPr>
          <w:rFonts w:ascii="Times New Roman;serif" w:hAnsi="Times New Roman;serif"/>
          <w:b w:val="false"/>
          <w:color w:val="000000"/>
          <w:sz w:val="20"/>
        </w:rPr>
        <w:t>(</w:t>
      </w:r>
      <w:r>
        <w:rPr>
          <w:rFonts w:ascii="Times New Roman;serif" w:hAnsi="Times New Roman;serif"/>
          <w:b w:val="false"/>
          <w:i/>
          <w:color w:val="000000"/>
          <w:sz w:val="20"/>
        </w:rPr>
        <w:t>"GTSC"</w:t>
      </w:r>
      <w:r>
        <w:rPr>
          <w:rFonts w:ascii="Times New Roman;serif" w:hAnsi="Times New Roman;serif"/>
          <w:b w:val="false"/>
          <w:color w:val="000000"/>
          <w:sz w:val="20"/>
        </w:rPr>
        <w: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September 30, 2025 and December 31, 2024, we had a 40.0% ownership interest in GTSC, which engages in acquiring, holding and selling loans secured, directly or indirectly, by manufactured homes located in our communities.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SV Lift, LLC ("SV Lift")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September 30, 2025 and December 31, 2024, we had a 50.0% ownership interest in SV Lift, which owns, operates, and leases an aircraft.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investment balance in each nonconsolidated affiliate was as follows (in millions):</w:t>
      </w:r>
    </w:p>
    <w:p>
      <w:pPr>
        <w:pStyle w:val="TextBody"/>
        <w:bidi w:val="0"/>
        <w:spacing w:before="0" w:after="0"/>
        <w:jc w:val="both"/>
        <w:rPr/>
      </w:pPr>
      <w:r>
        <w:rPr/>
      </w:r>
    </w:p>
    <w:tbl>
      <w:tblPr>
        <w:tblW w:w="5723" w:type="dxa"/>
        <w:jc w:val="center"/>
        <w:tblInd w:w="0" w:type="dxa"/>
        <w:tblLayout w:type="fixed"/>
        <w:tblCellMar>
          <w:top w:w="28" w:type="dxa"/>
          <w:left w:w="28" w:type="dxa"/>
          <w:bottom w:w="28" w:type="dxa"/>
          <w:right w:w="28" w:type="dxa"/>
        </w:tblCellMar>
      </w:tblPr>
      <w:tblGrid>
        <w:gridCol w:w="718"/>
        <w:gridCol w:w="629"/>
        <w:gridCol w:w="633"/>
        <w:gridCol w:w="109"/>
        <w:gridCol w:w="109"/>
        <w:gridCol w:w="109"/>
        <w:gridCol w:w="351"/>
        <w:gridCol w:w="997"/>
        <w:gridCol w:w="197"/>
        <w:gridCol w:w="109"/>
        <w:gridCol w:w="109"/>
        <w:gridCol w:w="109"/>
        <w:gridCol w:w="334"/>
        <w:gridCol w:w="948"/>
        <w:gridCol w:w="262"/>
      </w:tblGrid>
      <w:tr>
        <w:trPr/>
        <w:tc>
          <w:tcPr>
            <w:tcW w:w="71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2024</w:t>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Investment in Sungenia JV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86.6 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75.1 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Investment in GTSC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48.9 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Investment in SV Lift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126.1 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125.1 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72465"/>
                <wp:effectExtent l="0" t="0" r="0" b="0"/>
                <wp:wrapNone/>
                <wp:docPr id="17" name="Frame16"/>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income / (loss) from each nonconsolidated affiliate is as follows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44"/>
        <w:gridCol w:w="1008"/>
        <w:gridCol w:w="1009"/>
        <w:gridCol w:w="109"/>
        <w:gridCol w:w="109"/>
        <w:gridCol w:w="109"/>
        <w:gridCol w:w="408"/>
        <w:gridCol w:w="783"/>
        <w:gridCol w:w="230"/>
        <w:gridCol w:w="109"/>
        <w:gridCol w:w="109"/>
        <w:gridCol w:w="109"/>
        <w:gridCol w:w="408"/>
        <w:gridCol w:w="783"/>
        <w:gridCol w:w="230"/>
        <w:gridCol w:w="109"/>
        <w:gridCol w:w="109"/>
        <w:gridCol w:w="109"/>
        <w:gridCol w:w="361"/>
        <w:gridCol w:w="859"/>
        <w:gridCol w:w="202"/>
        <w:gridCol w:w="109"/>
        <w:gridCol w:w="109"/>
        <w:gridCol w:w="109"/>
        <w:gridCol w:w="396"/>
        <w:gridCol w:w="759"/>
        <w:gridCol w:w="317"/>
      </w:tblGrid>
      <w:tr>
        <w:trPr/>
        <w:tc>
          <w:tcPr>
            <w:tcW w:w="1144"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Nine Months Ended</w:t>
            </w:r>
          </w:p>
        </w:tc>
      </w:tr>
      <w:tr>
        <w:trPr/>
        <w:tc>
          <w:tcPr>
            <w:tcW w:w="3161"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7"/>
              </w:rPr>
            </w:pPr>
            <w:r>
              <w:rPr>
                <w:rFonts w:ascii="Times New Roman;serif" w:hAnsi="Times New Roman;serif"/>
                <w:b/>
                <w:color w:val="000000"/>
                <w:sz w:val="17"/>
              </w:rPr>
              <w:t>Income / (Loss) from Nonconsolidated Affiliates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2024</w:t>
            </w:r>
          </w:p>
        </w:tc>
      </w:tr>
      <w:tr>
        <w:trPr/>
        <w:tc>
          <w:tcPr>
            <w:tcW w:w="3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rPr/>
        <w:tc>
          <w:tcPr>
            <w:tcW w:w="3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Sungenia JV equity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10.5 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GTSC equity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r>
      <w:tr>
        <w:trPr/>
        <w:tc>
          <w:tcPr>
            <w:tcW w:w="3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SV Lift equity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(0.9)</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Income from Nonconsolidated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6.5 </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and 2024, we received distributions of $10.7 million and $26.3 million, respectively, and made contributions of $0.7 million and $13.9 million, respectively, with our nonconsolidated affiliates.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10. Debt and Line of Credit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regarding debt, including premiums, discounts and deferred financing costs (in millions, except for statistical information):</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00"/>
        <w:gridCol w:w="486"/>
        <w:gridCol w:w="487"/>
        <w:gridCol w:w="226"/>
        <w:gridCol w:w="799"/>
        <w:gridCol w:w="126"/>
        <w:gridCol w:w="109"/>
        <w:gridCol w:w="109"/>
        <w:gridCol w:w="109"/>
        <w:gridCol w:w="224"/>
        <w:gridCol w:w="790"/>
        <w:gridCol w:w="124"/>
        <w:gridCol w:w="109"/>
        <w:gridCol w:w="109"/>
        <w:gridCol w:w="109"/>
        <w:gridCol w:w="353"/>
        <w:gridCol w:w="353"/>
        <w:gridCol w:w="355"/>
        <w:gridCol w:w="125"/>
        <w:gridCol w:w="125"/>
        <w:gridCol w:w="125"/>
        <w:gridCol w:w="338"/>
        <w:gridCol w:w="338"/>
        <w:gridCol w:w="340"/>
        <w:gridCol w:w="109"/>
        <w:gridCol w:w="109"/>
        <w:gridCol w:w="109"/>
        <w:gridCol w:w="354"/>
        <w:gridCol w:w="251"/>
        <w:gridCol w:w="560"/>
        <w:gridCol w:w="114"/>
        <w:gridCol w:w="114"/>
        <w:gridCol w:w="114"/>
        <w:gridCol w:w="333"/>
        <w:gridCol w:w="254"/>
        <w:gridCol w:w="616"/>
      </w:tblGrid>
      <w:tr>
        <w:trPr/>
        <w:tc>
          <w:tcPr>
            <w:tcW w:w="800"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Weighted Average </w:t>
              <w:br/>
              <w:t>Years to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Weighted Average </w:t>
              <w:br/>
              <w:t>Interest Rates</w:t>
            </w:r>
          </w:p>
        </w:tc>
      </w:tr>
      <w:tr>
        <w:trPr/>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2024</w:t>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Secured Debt</w:t>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3"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1773"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1773"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1773"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Mortgage loans payable</w:t>
            </w:r>
            <w:r>
              <w:rPr>
                <w:rFonts w:ascii="Times New Roman;serif" w:hAnsi="Times New Roman;serif"/>
                <w:b w:val="false"/>
                <w:color w:val="000000"/>
                <w:sz w:val="11"/>
              </w:rPr>
              <w:t>(1)</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2,440.4 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3,212.2 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3.635 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3.991 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Secured borrowings on collateralized receivables</w:t>
            </w:r>
            <w:r>
              <w:rPr>
                <w:rFonts w:ascii="Times New Roman;serif" w:hAnsi="Times New Roman;serif"/>
                <w:b w:val="false"/>
                <w:color w:val="000000"/>
                <w:sz w:val="11"/>
              </w:rPr>
              <w:t>(2)</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8.542 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8.575 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773"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1773"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Secured Debt</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2,485.8 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3,263.4 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Unsecured Debt</w:t>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Senior unsecured notes</w:t>
            </w:r>
            <w:r>
              <w:rPr>
                <w:rFonts w:ascii="Times New Roman;serif" w:hAnsi="Times New Roman;serif"/>
                <w:b w:val="false"/>
                <w:color w:val="000000"/>
                <w:sz w:val="11"/>
              </w:rPr>
              <w:t>(3)</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1,785.9 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2,676.3 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2.901 </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3.778 </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773"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7"/>
              </w:rPr>
            </w:pPr>
            <w:r>
              <w:rPr>
                <w:rFonts w:ascii="Times New Roman;serif" w:hAnsi="Times New Roman;serif"/>
                <w:b w:val="false"/>
                <w:color w:val="000000"/>
                <w:sz w:val="17"/>
              </w:rPr>
              <w:t>Line of credit</w:t>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1,413.1 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4.744 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773"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1773"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17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Unsecured Debt</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1,785.9 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4,089.4 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Debt</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4,271.7 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7,352.8 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3.380 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4.090 </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bl>
    <w:p>
      <w:pPr>
        <w:pStyle w:val="TextBody"/>
        <w:bidi w:val="0"/>
        <w:spacing w:lineRule="auto" w:line="288" w:before="20" w:after="60"/>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Balances at September 30, 2025 and December 31, 2024 include $10.0 million and $15.2 million of deferred financing costs, respectively.</w:t>
      </w:r>
    </w:p>
    <w:p>
      <w:pPr>
        <w:pStyle w:val="TextBody"/>
        <w:bidi w:val="0"/>
        <w:spacing w:lineRule="auto" w:line="288" w:before="0" w:after="60"/>
        <w:ind w:left="0" w:right="0" w:hanging="18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Balances at September 30, 2025 and December 31, 2024 include fair value adjustments of $3.7 million and $3.9 million, respectively.</w:t>
      </w:r>
    </w:p>
    <w:p>
      <w:pPr>
        <w:pStyle w:val="TextBody"/>
        <w:bidi w:val="0"/>
        <w:spacing w:lineRule="auto" w:line="288" w:before="0" w:after="0"/>
        <w:ind w:left="0" w:right="0" w:hanging="180"/>
        <w:jc w:val="both"/>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Balances at September 30, 2025 and December 31, 2024 include $4.3 million and $6.3 million of net debt discount, respectively, and $9.8 million and $17.4 million of deferred financing costs, respectively. Weighted average interest rates include the impact of hedge activity.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Secured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Mortgage term loans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we repaid the following mortgage term loans (in millions, except for statistical information):</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47"/>
        <w:gridCol w:w="571"/>
        <w:gridCol w:w="581"/>
        <w:gridCol w:w="109"/>
        <w:gridCol w:w="109"/>
        <w:gridCol w:w="109"/>
        <w:gridCol w:w="290"/>
        <w:gridCol w:w="828"/>
        <w:gridCol w:w="163"/>
        <w:gridCol w:w="109"/>
        <w:gridCol w:w="109"/>
        <w:gridCol w:w="109"/>
        <w:gridCol w:w="486"/>
        <w:gridCol w:w="408"/>
        <w:gridCol w:w="904"/>
        <w:gridCol w:w="109"/>
        <w:gridCol w:w="109"/>
        <w:gridCol w:w="109"/>
        <w:gridCol w:w="723"/>
        <w:gridCol w:w="688"/>
        <w:gridCol w:w="669"/>
        <w:gridCol w:w="109"/>
        <w:gridCol w:w="109"/>
        <w:gridCol w:w="109"/>
        <w:gridCol w:w="463"/>
        <w:gridCol w:w="1102"/>
        <w:gridCol w:w="374"/>
      </w:tblGrid>
      <w:tr>
        <w:trPr/>
        <w:tc>
          <w:tcPr>
            <w:tcW w:w="64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Repayment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Weighted Average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Loss on Extinguishment of Debt</w:t>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9"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Three months ended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691.8 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1"/>
              </w:rPr>
            </w:pPr>
            <w:r>
              <w:rPr>
                <w:rFonts w:ascii="Times New Roman;serif" w:hAnsi="Times New Roman;serif"/>
                <w:b w:val="false"/>
                <w:color w:val="000000"/>
                <w:sz w:val="11"/>
              </w:rPr>
              <w:t>(1)</w:t>
            </w:r>
          </w:p>
        </w:tc>
        <w:tc>
          <w:tcPr>
            <w:tcW w:w="8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5.346 </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February 13, 2026 - September 10, 2044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45.9 </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Three months ended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1"/>
              </w:rPr>
            </w:pPr>
            <w:r>
              <w:rPr>
                <w:rFonts w:ascii="Times New Roman;serif" w:hAnsi="Times New Roman;serif"/>
                <w:b w:val="false"/>
                <w:color w:val="000000"/>
                <w:sz w:val="11"/>
              </w:rPr>
              <w:t>(2)</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4.013 </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February 01, 2025 -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We settled $737.7 million of secured mortgage debt, inclusive of $45.9 million of prepayment costs and deferred financing cost write offs, resulting in a repayment of $691.8 million of net secured mortgage debt. The various mortgage term loans were secured by 44 properties.</w:t>
      </w:r>
    </w:p>
    <w:p>
      <w:pPr>
        <w:pStyle w:val="TextBody"/>
        <w:bidi w:val="0"/>
        <w:spacing w:lineRule="auto" w:line="288" w:before="0" w:after="0"/>
        <w:ind w:left="0" w:right="0" w:hanging="18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Includes five mortgage term loans, which were secured by five properties, and were paid off on the maturity dates in accordance with the loan documents.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we did not enter into any mortgage term loans.</w:t>
      </w:r>
    </w:p>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mortgage term loans, which total $2.4 billion as of September 30, 2025, are secured by 110 properties representing approximately $1.8 billion of net book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672465"/>
                <wp:effectExtent l="0" t="0" r="0" b="0"/>
                <wp:wrapNone/>
                <wp:docPr id="18" name="Frame17"/>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Secured Borrowings on Collateralized Receivables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Refer to Note 7, "Collateralized Receivables and Transfers of Financial Assets," for information on secured borrowings on collateralized receivables.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Unsecured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Senior Unsecured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regarding our senior unsecured notes (in millions, except for statistical information). All senior unsecured notes include interest payments on a semi-annual basis in arrears and are recorded within the Unsecured debt line item on the Consolidated Balance Sheets.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810"/>
        <w:gridCol w:w="1565"/>
        <w:gridCol w:w="1579"/>
        <w:gridCol w:w="109"/>
        <w:gridCol w:w="109"/>
        <w:gridCol w:w="109"/>
        <w:gridCol w:w="262"/>
        <w:gridCol w:w="926"/>
        <w:gridCol w:w="145"/>
        <w:gridCol w:w="109"/>
        <w:gridCol w:w="109"/>
        <w:gridCol w:w="109"/>
        <w:gridCol w:w="287"/>
        <w:gridCol w:w="1015"/>
        <w:gridCol w:w="160"/>
        <w:gridCol w:w="109"/>
        <w:gridCol w:w="109"/>
        <w:gridCol w:w="109"/>
        <w:gridCol w:w="276"/>
        <w:gridCol w:w="976"/>
        <w:gridCol w:w="223"/>
      </w:tblGrid>
      <w:tr>
        <w:trPr/>
        <w:tc>
          <w:tcPr>
            <w:tcW w:w="181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4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Carrying Amount</w:t>
            </w:r>
          </w:p>
        </w:tc>
      </w:tr>
      <w:tr>
        <w:trPr/>
        <w:tc>
          <w:tcPr>
            <w:tcW w:w="4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2024</w:t>
            </w:r>
          </w:p>
        </w:tc>
      </w:tr>
      <w:tr>
        <w:trPr/>
        <w:tc>
          <w:tcPr>
            <w:tcW w:w="4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5.5% notes, issued in January 2024 and due in January 2029 (the "2029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500.0 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496.2 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5.7% notes, issued in January 2023 and due in January 2033 (the "2033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400.0 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396.1</w:t>
            </w:r>
          </w:p>
        </w:tc>
      </w:tr>
      <w:tr>
        <w:trPr/>
        <w:tc>
          <w:tcPr>
            <w:tcW w:w="4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4.2% notes, issued in April 2022 and due in April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600.0 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593.9 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593.2 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2.3% notes, issued in October 2021 and due in November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450.0 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447.9 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447.4 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2.7% notes, issued in June 2021 and October 2021, and due in July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750.0 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744.1 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743.4 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2,700.0 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1,785.9 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2,676.3 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we redeemed the aggregate principal amount of $900.0 million on the 2029 Notes and the 2033 Notes using cash proceeds generated from the Safe Harbor Sale (the "2029 and 2033 Note Redemptions"). In accordance with the terms of each series of Notes, the redemption price was inclusive of a customary make-whole premium and accrued and unpaid interest. As a result, during the three months ended June 30, 2025, we recorded charges of $56.5 million to Loss on extinguishment of debt on the Consolidated Statements of Operations in connection with early extinguishment premiums on the 2029 and 2033 Note Redemptions. Refer to Note 16, "Derivative Financial Instruments," for cash flow hedge activity resulting from the redemptions.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New Credit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17, 2025, we entered into a Credit Agreement (the "New Credit Agreement"), which replaced our previous $3.05 billion senior credit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New Credit Agreement, we may borrow up to $2.0 billion under a revolving loan (the "New Credit Facility"). The New Credit Agreement also permits, subject to the satisfaction of certain conditions, additional borrowings of $1.0 billion. The New Credit Facility's maturity date is January 31, 2030, and, at our option, may be extended for two additional six-month periods subject to the satisfaction of certain conditions.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New Credit Facility offers various interest rates for borrowings under U.S. dollars (at the Alternate Base Rate ("ABR"), Term Secured Overnight Financing Rate ("SOFR"), and Daily Effective SOFR), euros (at the Adjusted Euro Interbank Offered Rate ("EURIBOR")), pound sterling (at the Daily Simple Sterling Overnight Index Average ("SONIA") Rate), Canadian dollars (at the Term Canadian Overnight Repo Rate Average ("CORRA") and the Daily Simple CORRA), and Australian dollars (at the Australian Bank Bill Swap Bid ("BBSY") Rate,) plus a margin, which can range from 0.725% to 1.40% for all interest rates except ABR loans, which can range from 0.000% to 0.400%. As of September 30, 2025, there were no borrowings under the New Credit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we recorded charges of $1.6 million to Loss on extinguishment of debt on the Consolidated Statements of Operations related to the write off of deferred financing costs in connection with the termination of our previous senior credit facility. As of September 30, 2025, we also recorded deferred financing costs of $11.4 million in connection with the New Credit Facility, which was recorded within Other assets, net on the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New Credit Facility provides us with the ability to issue up to $100.0 million of letters of credit. We had $10.3 million and $11.5 million of outstanding letters of credit at September 30, 2025 and December 31, 2024,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72465"/>
                <wp:effectExtent l="0" t="0" r="0" b="0"/>
                <wp:wrapNone/>
                <wp:docPr id="19" name="Frame18"/>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Covenants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mortgage term loans, senior unsecured notes, and New Credit Facility are subject to various financial and other covenants. At September 30, 2025, we were in compliance with all financial covenants.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certain of our subsidiary borrowers own properties that secure loans. These subsidiaries are consolidated within our accompanying Consolidated Financial Statements, however, each of these subsidiaries' assets and credit are not available to satisfy our debts and other obligations, or any of our other subsidiaries or any other person or entity.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Interest Capitalized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capitalize interest during the construction and development of our communities. Capitalized interest costs associated with construction and development activities during the three and nine months ended September 30, 2025 were $0.2 million and $2.9 million, respectively, and during the three and nine months ended September 30, 2024 were $1.9 million and $6.8 million,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11. Equity and Temporary Equity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Temporary Equity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Temporary equity includes preferred securities that are redeemable for cash at the holder's option or upon the occurrence of an event that is not solely within our control based on a fixed or determinable price and other redeemable equity interests. These securities are not mandatorily redeemable for cash nor do they contain a fixed maturity date. The following table sets forth the various series of redeemable preferred OP units and other redeemable equity interests that were outstanding as of September 30, 2025 and December 31, 2024, and the related terms, and summarizes the balance included within Temporary Equity on our Consolidated Balance Sheets (in millions, except for statistical information):</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52"/>
        <w:gridCol w:w="310"/>
        <w:gridCol w:w="312"/>
        <w:gridCol w:w="109"/>
        <w:gridCol w:w="109"/>
        <w:gridCol w:w="109"/>
        <w:gridCol w:w="536"/>
        <w:gridCol w:w="339"/>
        <w:gridCol w:w="340"/>
        <w:gridCol w:w="109"/>
        <w:gridCol w:w="109"/>
        <w:gridCol w:w="109"/>
        <w:gridCol w:w="273"/>
        <w:gridCol w:w="273"/>
        <w:gridCol w:w="274"/>
        <w:gridCol w:w="109"/>
        <w:gridCol w:w="109"/>
        <w:gridCol w:w="109"/>
        <w:gridCol w:w="239"/>
        <w:gridCol w:w="235"/>
        <w:gridCol w:w="524"/>
        <w:gridCol w:w="109"/>
        <w:gridCol w:w="109"/>
        <w:gridCol w:w="109"/>
        <w:gridCol w:w="337"/>
        <w:gridCol w:w="337"/>
        <w:gridCol w:w="338"/>
        <w:gridCol w:w="109"/>
        <w:gridCol w:w="109"/>
        <w:gridCol w:w="109"/>
        <w:gridCol w:w="363"/>
        <w:gridCol w:w="363"/>
        <w:gridCol w:w="364"/>
        <w:gridCol w:w="109"/>
        <w:gridCol w:w="109"/>
        <w:gridCol w:w="109"/>
        <w:gridCol w:w="200"/>
        <w:gridCol w:w="569"/>
        <w:gridCol w:w="112"/>
        <w:gridCol w:w="109"/>
        <w:gridCol w:w="109"/>
        <w:gridCol w:w="109"/>
        <w:gridCol w:w="198"/>
        <w:gridCol w:w="562"/>
        <w:gridCol w:w="166"/>
      </w:tblGrid>
      <w:tr>
        <w:trPr/>
        <w:tc>
          <w:tcPr>
            <w:tcW w:w="35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9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OP Units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Exchange Rate</w:t>
            </w:r>
            <w:r>
              <w:rPr>
                <w:rFonts w:ascii="Times New Roman;serif" w:hAnsi="Times New Roman;serif"/>
                <w:b/>
                <w:color w:val="000000"/>
                <w:sz w:val="11"/>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Annual Distribution Rate</w:t>
            </w:r>
            <w:r>
              <w:rPr>
                <w:rFonts w:ascii="Times New Roman;serif" w:hAnsi="Times New Roman;serif"/>
                <w:b/>
                <w:color w:val="000000"/>
                <w:sz w:val="11"/>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Cash Redemption</w:t>
            </w:r>
            <w:r>
              <w:rPr>
                <w:rFonts w:ascii="Times New Roman;serif" w:hAnsi="Times New Roman;serif"/>
                <w:b/>
                <w:color w:val="000000"/>
                <w:sz w:val="11"/>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Redemption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Carrying Amount</w:t>
            </w:r>
          </w:p>
        </w:tc>
      </w:tr>
      <w:tr>
        <w:trPr/>
        <w:tc>
          <w:tcPr>
            <w:tcW w:w="9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2024</w:t>
            </w:r>
          </w:p>
        </w:tc>
      </w:tr>
      <w:tr>
        <w:trPr/>
        <w:tc>
          <w:tcPr>
            <w:tcW w:w="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Series D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488,958 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4.0 </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Holder's 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Any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Series F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70,000 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3.0 </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Holder's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Any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Series G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4,898 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0.6452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3.2 </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Holder's 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Any time after earlier of September 30, 2025 or death of holder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Series H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580,464 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0.6098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3.0 </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Holder's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Any time after earlier of October 30, 2025 or death of holder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Series J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236,000 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0.6061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2.85 </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Holder's 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During the 30-day period following a change of control of the Company or any time after April 21,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Series K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1,000,000 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0.5882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4.0 </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Holder's 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Within 60 days after March 23,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Other redeemable equity interests</w:t>
            </w:r>
            <w:r>
              <w:rPr>
                <w:rFonts w:ascii="Times New Roman;serif" w:hAnsi="Times New Roman;serif"/>
                <w:b w:val="false"/>
                <w:color w:val="000000"/>
                <w:sz w:val="11"/>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2,380,320 </w:t>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256.2 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259.8 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Exchange rates are subject to adjustment upon stock splits, recapitalizations and similar events. The exchange rates of certain series of OP units are approximated to four decimal places.</w:t>
      </w:r>
    </w:p>
    <w:p>
      <w:pPr>
        <w:pStyle w:val="TextBody"/>
        <w:bidi w:val="0"/>
        <w:spacing w:lineRule="auto" w:line="288" w:before="0" w:after="60"/>
        <w:ind w:left="0" w:right="0" w:hanging="180"/>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Distributions are payable on the issue price of each OP unit, which is $100.00 per unit for all these preferred OP units.</w:t>
      </w:r>
    </w:p>
    <w:p>
      <w:pPr>
        <w:pStyle w:val="TextBody"/>
        <w:bidi w:val="0"/>
        <w:spacing w:lineRule="auto" w:line="288" w:before="0" w:after="60"/>
        <w:ind w:left="0" w:right="0" w:hanging="180"/>
        <w:jc w:val="both"/>
        <w:rPr/>
      </w:pPr>
      <w:r>
        <w:rPr>
          <w:rFonts w:ascii="Times New Roman;serif" w:hAnsi="Times New Roman;serif"/>
          <w:b w:val="false"/>
          <w:color w:val="000000"/>
          <w:sz w:val="10"/>
        </w:rPr>
        <w:t xml:space="preserve">(3) </w:t>
      </w:r>
      <w:r>
        <w:rPr>
          <w:rFonts w:ascii="Times New Roman;serif" w:hAnsi="Times New Roman;serif"/>
          <w:b w:val="false"/>
          <w:color w:val="000000"/>
          <w:sz w:val="16"/>
        </w:rPr>
        <w:t>The redemption price for each preferred OP unit redeemed will be equal to its issue price plus all accrued but unpaid distributions.</w:t>
      </w:r>
    </w:p>
    <w:p>
      <w:pPr>
        <w:pStyle w:val="TextBody"/>
        <w:bidi w:val="0"/>
        <w:spacing w:lineRule="auto" w:line="288" w:before="0" w:after="0"/>
        <w:ind w:left="0" w:right="0" w:hanging="180"/>
        <w:jc w:val="both"/>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Includes redeemable equity interests related to joint ventures that primarily operate and maintain solar energy equipment in select communities and portfolios of RV communities in the U.S.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672465"/>
                <wp:effectExtent l="0" t="0" r="0" b="0"/>
                <wp:wrapNone/>
                <wp:docPr id="20" name="Frame19"/>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Permanent Equity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Universal Shelf Registration Statement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filed a universal shelf registration statement on Form S-3 with the SEC, which provides for the registration of unspecified amounts of equity and debt securities. The authorized number of shares of our capital stock is 380,000,000 shares, of which 360,000,000 shares are common stock and 20,000,000 shares are preferred stock. As of September 30, 2025, we had 123,608,071 shares of common stock issued and outstanding and no shares of preferred stock were issued and outstanding.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At the Market Offering Sales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entered into an At the Market Offering Sales Agreement (the "ATM") with certain sales agents and forward sellers pursuant to which we may sell, from time to time, up to an aggregate gross sales price of $1.25 billion of our common stock. Through September 30, 2025, we had entered into and settled forward sales agreements under the ATM for an aggregate gross sales price of $524.8 million, leaving $725.2 million available for sale under the ATM.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Stock Repurchase Program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May 2025, our Board of Directors authorized a stock repurchase program (the "Stock Repurchase Program") under which we may repurchase up to $1.0 billion in shares of our outstanding common stock through April 30, 2026. Under the Stock Repurchase Program, we may repurchase shares of our common stock in open market transactions, through privately negotiated transactions, through one or more accelerated repurchases, or otherwise, in accordance with the terms set forth in Rule 10b5-1 and Rule 10b-18 of the Securities Exchange Act of 1934, as amended (the "Exchange Act") and other applicable legal requirements. The Stock Repurchase Program does not obligate us to repurchase any specific number of shares, and we may initiate, suspend, or discontinue purchases under the Stock Repurchase Program at any time.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We account for stock repurchases in accordance with ASC 505, "</w:t>
      </w:r>
      <w:r>
        <w:rPr>
          <w:rFonts w:ascii="Times New Roman;serif" w:hAnsi="Times New Roman;serif"/>
          <w:b w:val="false"/>
          <w:i/>
          <w:color w:val="000000"/>
          <w:sz w:val="20"/>
        </w:rPr>
        <w:t>Equity</w:t>
      </w:r>
      <w:r>
        <w:rPr>
          <w:rFonts w:ascii="Times New Roman;serif" w:hAnsi="Times New Roman;serif"/>
          <w:b w:val="false"/>
          <w:color w:val="000000"/>
          <w:sz w:val="20"/>
        </w:rPr>
        <w:t>," by allocating the repurchase price to Common Stock, Additional paid-in-capital, and Distributions in excess of accumulated earnings on the Consolidated Balance Sheets. Under Maryland corporate law, our state of incorporation, there is no concept of treasury shares. As a result, all repurchased shares are retired and returned to the status of authorized but unissued shares upon settlement. Through September 30, 2025, we repurchased and retired 4.0 million shares of our outstanding common stock for $500.3 million. As of September 30, 2025, we had $499.7 million remaining authorized for purchase under this program.</w:t>
      </w:r>
    </w:p>
    <w:tbl>
      <w:tblPr>
        <w:tblW w:w="23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Accumulated Other Comprehensive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AOCI attributable to SUI common shareholders is separately presented on our Consolidated Balance Sheets as a component of total SUI shareholders' equity. Other Comprehensive Income ("OCI") attributable to noncontrolling interests is allocated to, and included within, Noncontrolling interests on our Consolidated Balance Sheets. Refer to the Consolidated Statements of Comprehensive Income / (Loss) for complete details related to OCI activity in the reporting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AOCI attributable to SUI common shareholders consisted of the following, net of tax (in millions):</w:t>
      </w:r>
    </w:p>
    <w:p>
      <w:pPr>
        <w:pStyle w:val="TextBody"/>
        <w:bidi w:val="0"/>
        <w:spacing w:before="0" w:after="0"/>
        <w:jc w:val="both"/>
        <w:rPr/>
      </w:pPr>
      <w:r>
        <w:rPr/>
      </w:r>
    </w:p>
    <w:tbl>
      <w:tblPr>
        <w:tblW w:w="7016" w:type="dxa"/>
        <w:jc w:val="left"/>
        <w:tblInd w:w="0" w:type="dxa"/>
        <w:tblLayout w:type="fixed"/>
        <w:tblCellMar>
          <w:top w:w="28" w:type="dxa"/>
          <w:left w:w="28" w:type="dxa"/>
          <w:bottom w:w="28" w:type="dxa"/>
          <w:right w:w="28" w:type="dxa"/>
        </w:tblCellMar>
      </w:tblPr>
      <w:tblGrid>
        <w:gridCol w:w="1301"/>
        <w:gridCol w:w="1147"/>
        <w:gridCol w:w="1151"/>
        <w:gridCol w:w="392"/>
        <w:gridCol w:w="933"/>
        <w:gridCol w:w="220"/>
        <w:gridCol w:w="109"/>
        <w:gridCol w:w="109"/>
        <w:gridCol w:w="109"/>
        <w:gridCol w:w="340"/>
        <w:gridCol w:w="938"/>
        <w:gridCol w:w="267"/>
      </w:tblGrid>
      <w:tr>
        <w:trPr/>
        <w:tc>
          <w:tcPr>
            <w:tcW w:w="1301"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2024</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foreign currency translation income / (loss)</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(44.1)</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net gain on derivatives</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18.8 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36.2 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other comprehensive income / (loss)</w:t>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25.9 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72465"/>
                <wp:effectExtent l="0" t="0" r="0" b="0"/>
                <wp:wrapNone/>
                <wp:docPr id="21" name="Frame20"/>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Noncontrolling Interests - Common and Preferred OP Units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common and preferred OP units included within Noncontrolling interests on our Consolidated Balance Sheets (in millions, except for units and statistical information):</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58"/>
        <w:gridCol w:w="315"/>
        <w:gridCol w:w="317"/>
        <w:gridCol w:w="109"/>
        <w:gridCol w:w="109"/>
        <w:gridCol w:w="109"/>
        <w:gridCol w:w="537"/>
        <w:gridCol w:w="343"/>
        <w:gridCol w:w="345"/>
        <w:gridCol w:w="109"/>
        <w:gridCol w:w="109"/>
        <w:gridCol w:w="109"/>
        <w:gridCol w:w="276"/>
        <w:gridCol w:w="276"/>
        <w:gridCol w:w="277"/>
        <w:gridCol w:w="109"/>
        <w:gridCol w:w="109"/>
        <w:gridCol w:w="109"/>
        <w:gridCol w:w="248"/>
        <w:gridCol w:w="248"/>
        <w:gridCol w:w="553"/>
        <w:gridCol w:w="109"/>
        <w:gridCol w:w="109"/>
        <w:gridCol w:w="109"/>
        <w:gridCol w:w="330"/>
        <w:gridCol w:w="330"/>
        <w:gridCol w:w="331"/>
        <w:gridCol w:w="109"/>
        <w:gridCol w:w="109"/>
        <w:gridCol w:w="109"/>
        <w:gridCol w:w="331"/>
        <w:gridCol w:w="331"/>
        <w:gridCol w:w="332"/>
        <w:gridCol w:w="109"/>
        <w:gridCol w:w="109"/>
        <w:gridCol w:w="109"/>
        <w:gridCol w:w="203"/>
        <w:gridCol w:w="578"/>
        <w:gridCol w:w="114"/>
        <w:gridCol w:w="109"/>
        <w:gridCol w:w="109"/>
        <w:gridCol w:w="109"/>
        <w:gridCol w:w="201"/>
        <w:gridCol w:w="571"/>
        <w:gridCol w:w="171"/>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9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OP Units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Exchange Rate</w:t>
            </w:r>
            <w:r>
              <w:rPr>
                <w:rFonts w:ascii="Times New Roman;serif" w:hAnsi="Times New Roman;serif"/>
                <w:b/>
                <w:color w:val="000000"/>
                <w:sz w:val="11"/>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Annual Distribution Rate</w:t>
            </w:r>
            <w:r>
              <w:rPr>
                <w:rFonts w:ascii="Times New Roman;serif" w:hAnsi="Times New Roman;serif"/>
                <w:b/>
                <w:color w:val="000000"/>
                <w:sz w:val="11"/>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Cash Redemption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Redemption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Carrying Amount</w:t>
            </w:r>
          </w:p>
        </w:tc>
      </w:tr>
      <w:tr>
        <w:trPr/>
        <w:tc>
          <w:tcPr>
            <w:tcW w:w="99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2024</w:t>
            </w:r>
          </w:p>
        </w:tc>
      </w:tr>
      <w:tr>
        <w:trPr/>
        <w:tc>
          <w:tcPr>
            <w:tcW w:w="9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Common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2,797,150 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Same distribution rate for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Series A-1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169,913 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2.4390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6.0 </w:t>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Series A-3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40,268 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1.8605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4.5 </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Series C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292,436 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5.0 </w:t>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Series E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80,000 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0.6897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5.5 </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Series L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20,000 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3.5 </w:t>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3,399,767 </w:t>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120.6 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110.4 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Exchange rates are subject to adjustment upon stock splits, recapitalizations and similar events. The exchange rates of certain series of OP units are approximated to four decimal places.</w:t>
      </w:r>
    </w:p>
    <w:p>
      <w:pPr>
        <w:pStyle w:val="TextBody"/>
        <w:bidi w:val="0"/>
        <w:spacing w:lineRule="auto" w:line="288" w:before="0" w:after="0"/>
        <w:ind w:left="0" w:right="0" w:hanging="180"/>
        <w:jc w:val="both"/>
        <w:rPr/>
      </w:pPr>
      <w:r>
        <w:rPr>
          <w:rFonts w:ascii="Times New Roman;serif" w:hAnsi="Times New Roman;serif"/>
          <w:b w:val="false"/>
          <w:color w:val="000000"/>
          <w:sz w:val="10"/>
        </w:rPr>
        <w:t xml:space="preserve">(2) </w:t>
      </w:r>
      <w:r>
        <w:rPr>
          <w:rFonts w:ascii="Times New Roman;serif" w:hAnsi="Times New Roman;serif"/>
          <w:b w:val="false"/>
          <w:color w:val="000000"/>
          <w:sz w:val="16"/>
        </w:rPr>
        <w:t>Distributions are payable on the issue price of each OP unit which is $100.00 per unit for all these preferred OP units.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Conversions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Conversions to Common Stock and Common OP Units</w:t>
      </w:r>
      <w:r>
        <w:rPr>
          <w:color w:val="000000"/>
        </w:rPr>
        <w:t xml:space="preserve"> </w:t>
      </w:r>
      <w:r>
        <w:rPr>
          <w:rFonts w:ascii="Times New Roman;serif" w:hAnsi="Times New Roman;serif"/>
          <w:b w:val="false"/>
          <w:color w:val="000000"/>
          <w:sz w:val="20"/>
        </w:rPr>
        <w:t>- Subject to certain limitations, holders can convert certain series of OP units to shares of our common stock and to common OP units at any time. Below is the activity of conversions during the nine months ended September 30, 2025 and 2024:</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26"/>
        <w:gridCol w:w="461"/>
        <w:gridCol w:w="467"/>
        <w:gridCol w:w="109"/>
        <w:gridCol w:w="109"/>
        <w:gridCol w:w="109"/>
        <w:gridCol w:w="386"/>
        <w:gridCol w:w="373"/>
        <w:gridCol w:w="375"/>
        <w:gridCol w:w="109"/>
        <w:gridCol w:w="109"/>
        <w:gridCol w:w="109"/>
        <w:gridCol w:w="538"/>
        <w:gridCol w:w="460"/>
        <w:gridCol w:w="461"/>
        <w:gridCol w:w="139"/>
        <w:gridCol w:w="139"/>
        <w:gridCol w:w="139"/>
        <w:gridCol w:w="444"/>
        <w:gridCol w:w="367"/>
        <w:gridCol w:w="349"/>
        <w:gridCol w:w="109"/>
        <w:gridCol w:w="171"/>
        <w:gridCol w:w="171"/>
        <w:gridCol w:w="171"/>
        <w:gridCol w:w="171"/>
        <w:gridCol w:w="492"/>
        <w:gridCol w:w="457"/>
        <w:gridCol w:w="468"/>
        <w:gridCol w:w="109"/>
        <w:gridCol w:w="109"/>
        <w:gridCol w:w="109"/>
        <w:gridCol w:w="417"/>
        <w:gridCol w:w="348"/>
        <w:gridCol w:w="349"/>
        <w:gridCol w:w="109"/>
        <w:gridCol w:w="167"/>
      </w:tblGrid>
      <w:tr>
        <w:trPr/>
        <w:tc>
          <w:tcPr>
            <w:tcW w:w="52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6" w:type="dxa"/>
            <w:gridSpan w:val="1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Nine Months Ended</w:t>
            </w:r>
          </w:p>
        </w:tc>
        <w:tc>
          <w:tcPr>
            <w:tcW w:w="1717" w:type="dxa"/>
            <w:gridSpan w:val="8"/>
            <w:tcBorders/>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2024</w:t>
            </w:r>
          </w:p>
        </w:tc>
        <w:tc>
          <w:tcPr>
            <w:tcW w:w="1717" w:type="dxa"/>
            <w:gridSpan w:val="8"/>
            <w:tcBorders/>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Conversion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Units / Shares Converted</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Common Stock</w:t>
            </w:r>
            <w:r>
              <w:rPr>
                <w:rFonts w:ascii="Times New Roman;serif" w:hAnsi="Times New Roman;serif"/>
                <w:b/>
                <w:color w:val="000000"/>
                <w:sz w:val="11"/>
              </w:rPr>
              <w:t>(1)</w:t>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Units / Shares Converted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Common Stock</w:t>
            </w:r>
            <w:r>
              <w:rPr>
                <w:rFonts w:ascii="Times New Roman;serif" w:hAnsi="Times New Roman;serif"/>
                <w:b/>
                <w:color w:val="000000"/>
                <w:sz w:val="11"/>
              </w:rPr>
              <w:t>(1)</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Common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1.0000 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108,720 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108,720 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80,096 </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80,096 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Series A-1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2.4390 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6,884 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16,788 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24,563 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59,900 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Series C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1.1100 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4,309 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4,782 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9,103 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10,104 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Series G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0.6452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4,898 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3,160 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Series H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0.6098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765 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465 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Series J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0.6061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2,000 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1,212 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erif" w:hAnsi="Times New Roman;serif"/>
          <w:b w:val="false"/>
          <w:color w:val="000000"/>
          <w:sz w:val="10"/>
        </w:rPr>
        <w:t>(1)</w:t>
      </w:r>
      <w:r>
        <w:rPr>
          <w:rFonts w:ascii="Times New Roman;serif" w:hAnsi="Times New Roman;serif"/>
          <w:b w:val="false"/>
          <w:color w:val="000000"/>
          <w:sz w:val="16"/>
        </w:rPr>
        <w:t>Calculation may yield minor differences due to rounding incorporated in the above numbers.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Distributions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Distributions declared for the nine months ended September 30, 2025 were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35"/>
        <w:gridCol w:w="1170"/>
        <w:gridCol w:w="1177"/>
        <w:gridCol w:w="109"/>
        <w:gridCol w:w="109"/>
        <w:gridCol w:w="109"/>
        <w:gridCol w:w="292"/>
        <w:gridCol w:w="292"/>
        <w:gridCol w:w="294"/>
        <w:gridCol w:w="109"/>
        <w:gridCol w:w="109"/>
        <w:gridCol w:w="109"/>
        <w:gridCol w:w="332"/>
        <w:gridCol w:w="332"/>
        <w:gridCol w:w="334"/>
        <w:gridCol w:w="109"/>
        <w:gridCol w:w="109"/>
        <w:gridCol w:w="109"/>
        <w:gridCol w:w="371"/>
        <w:gridCol w:w="883"/>
        <w:gridCol w:w="207"/>
        <w:gridCol w:w="109"/>
        <w:gridCol w:w="109"/>
        <w:gridCol w:w="109"/>
        <w:gridCol w:w="403"/>
        <w:gridCol w:w="1148"/>
        <w:gridCol w:w="327"/>
      </w:tblGrid>
      <w:tr>
        <w:trPr/>
        <w:tc>
          <w:tcPr>
            <w:tcW w:w="133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36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Common Stock, Common OP units and Restricted Stock Distributions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Distribution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 Distribution (in millions)</w:t>
            </w:r>
          </w:p>
        </w:tc>
      </w:tr>
      <w:tr>
        <w:trPr/>
        <w:tc>
          <w:tcPr>
            <w:tcW w:w="36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4/15/2025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0.94 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122.6 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May 14, 2025 Special Distribution</w:t>
            </w:r>
            <w:r>
              <w:rPr>
                <w:rFonts w:ascii="Times New Roman;serif" w:hAnsi="Times New Roman;serif"/>
                <w:b w:val="false"/>
                <w:color w:val="000000"/>
                <w:sz w:val="11"/>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5/14/2025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5/22/2025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521.3 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6/30/2025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7/15/2025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133.8 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10/15/2025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131.5 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 connection with the closing of the Safe Harbor Sale, our Board of Directors authorized a one-time special cash distribution of $4.00 per common share and common unit.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672465"/>
                <wp:effectExtent l="0" t="0" r="0" b="0"/>
                <wp:wrapNone/>
                <wp:docPr id="22" name="Frame21"/>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hanging="540"/>
        <w:jc w:val="both"/>
        <w:rPr>
          <w:rFonts w:ascii="Times New Roman;serif" w:hAnsi="Times New Roman;serif"/>
          <w:b/>
          <w:color w:val="000000"/>
          <w:sz w:val="20"/>
        </w:rPr>
      </w:pPr>
      <w:r>
        <w:rPr>
          <w:rFonts w:ascii="Times New Roman;serif" w:hAnsi="Times New Roman;serif"/>
          <w:b/>
          <w:color w:val="000000"/>
          <w:sz w:val="20"/>
        </w:rPr>
        <w:t>12. Share-Based Compensation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September 30, 2025, we had two share-based compensation plans: the Sun Communities, Inc. 2015 Equity Incentive Plan (as amended, the "2015 Equity Incentive Plan") and the First Amended and Restated 2004 Non-Employee Director Option Plan (as amended, the "2004 Non-Employee Director Option Plan"). We believe granting equity awards will provide certain executives, key employees and directors additional incentives to promote our financial success and promote employee and director retention by providing an opportunity to acquire or increase the direct proprietary interest of those individuals in our operations and future. Time based awards for directors generally vest over three years. Time based awards for key employees and executives generally vest over five years. Market condition awards for executives generally vest after three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and 2024, shares were granted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01"/>
        <w:gridCol w:w="265"/>
        <w:gridCol w:w="267"/>
        <w:gridCol w:w="109"/>
        <w:gridCol w:w="109"/>
        <w:gridCol w:w="109"/>
        <w:gridCol w:w="371"/>
        <w:gridCol w:w="371"/>
        <w:gridCol w:w="376"/>
        <w:gridCol w:w="109"/>
        <w:gridCol w:w="109"/>
        <w:gridCol w:w="109"/>
        <w:gridCol w:w="830"/>
        <w:gridCol w:w="612"/>
        <w:gridCol w:w="620"/>
        <w:gridCol w:w="109"/>
        <w:gridCol w:w="109"/>
        <w:gridCol w:w="109"/>
        <w:gridCol w:w="414"/>
        <w:gridCol w:w="365"/>
        <w:gridCol w:w="323"/>
        <w:gridCol w:w="109"/>
        <w:gridCol w:w="109"/>
        <w:gridCol w:w="109"/>
        <w:gridCol w:w="350"/>
        <w:gridCol w:w="1154"/>
        <w:gridCol w:w="194"/>
        <w:gridCol w:w="109"/>
        <w:gridCol w:w="109"/>
        <w:gridCol w:w="109"/>
        <w:gridCol w:w="393"/>
        <w:gridCol w:w="331"/>
        <w:gridCol w:w="325"/>
        <w:gridCol w:w="109"/>
        <w:gridCol w:w="109"/>
        <w:gridCol w:w="109"/>
        <w:gridCol w:w="109"/>
        <w:gridCol w:w="109"/>
        <w:gridCol w:w="163"/>
      </w:tblGrid>
      <w:tr>
        <w:trPr/>
        <w:tc>
          <w:tcPr>
            <w:tcW w:w="30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Grant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Shares 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Grant Date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Vesting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Key Employees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2015 Equity Incentive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156,101 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132.36 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1"/>
              </w:rPr>
            </w:pPr>
            <w:r>
              <w:rPr>
                <w:rFonts w:ascii="Times New Roman;serif" w:hAnsi="Times New Roman;serif"/>
                <w:b w:val="false"/>
                <w:color w:val="000000"/>
                <w:sz w:val="11"/>
              </w:rPr>
              <w:t>(1)</w:t>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Time Based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Executive Officers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2015 Equity Incentive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87,913 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128.76 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1"/>
              </w:rPr>
            </w:pPr>
            <w:r>
              <w:rPr>
                <w:rFonts w:ascii="Times New Roman;serif" w:hAnsi="Times New Roman;serif"/>
                <w:b w:val="false"/>
                <w:color w:val="000000"/>
                <w:sz w:val="11"/>
              </w:rPr>
              <w:t>(1)</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Time Based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Executive Officers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2015 Equity Incentive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87,000 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106.62 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1"/>
              </w:rPr>
            </w:pPr>
            <w:r>
              <w:rPr>
                <w:rFonts w:ascii="Times New Roman;serif" w:hAnsi="Times New Roman;serif"/>
                <w:b w:val="false"/>
                <w:color w:val="000000"/>
                <w:sz w:val="11"/>
              </w:rPr>
              <w:t>(2)</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Market Condition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1"/>
              </w:rPr>
            </w:pPr>
            <w:r>
              <w:rPr>
                <w:rFonts w:ascii="Times New Roman;serif" w:hAnsi="Times New Roman;serif"/>
                <w:b w:val="false"/>
                <w:color w:val="000000"/>
                <w:sz w:val="11"/>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2004 Non-Employee Director Option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14,000 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122.78 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1"/>
              </w:rPr>
            </w:pPr>
            <w:r>
              <w:rPr>
                <w:rFonts w:ascii="Times New Roman;serif" w:hAnsi="Times New Roman;serif"/>
                <w:b w:val="false"/>
                <w:color w:val="000000"/>
                <w:sz w:val="11"/>
              </w:rPr>
              <w:t>(1)</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Time Based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Key Employees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2015 Equity Incentive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205,540 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132.10 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1"/>
              </w:rPr>
            </w:pPr>
            <w:r>
              <w:rPr>
                <w:rFonts w:ascii="Times New Roman;serif" w:hAnsi="Times New Roman;serif"/>
                <w:b w:val="false"/>
                <w:color w:val="000000"/>
                <w:sz w:val="11"/>
              </w:rPr>
              <w:t>(1)</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Time Based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Executive Officers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2015 Equity Incentive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31,800 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132.13 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1"/>
              </w:rPr>
            </w:pPr>
            <w:r>
              <w:rPr>
                <w:rFonts w:ascii="Times New Roman;serif" w:hAnsi="Times New Roman;serif"/>
                <w:b w:val="false"/>
                <w:color w:val="000000"/>
                <w:sz w:val="11"/>
              </w:rPr>
              <w:t>(1)</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Time Based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Executive Officers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2015 Equity Incentive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41,400 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98.14 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1"/>
              </w:rPr>
            </w:pPr>
            <w:r>
              <w:rPr>
                <w:rFonts w:ascii="Times New Roman;serif" w:hAnsi="Times New Roman;serif"/>
                <w:b w:val="false"/>
                <w:color w:val="000000"/>
                <w:sz w:val="11"/>
              </w:rPr>
              <w:t>(2)</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Market Condition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1"/>
              </w:rPr>
            </w:pPr>
            <w:r>
              <w:rPr>
                <w:rFonts w:ascii="Times New Roman;serif" w:hAnsi="Times New Roman;serif"/>
                <w:b w:val="false"/>
                <w:color w:val="000000"/>
                <w:sz w:val="11"/>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2004 Non-Employee Director Option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20,000 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129.47 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1"/>
              </w:rPr>
            </w:pPr>
            <w:r>
              <w:rPr>
                <w:rFonts w:ascii="Times New Roman;serif" w:hAnsi="Times New Roman;serif"/>
                <w:b w:val="false"/>
                <w:color w:val="000000"/>
                <w:sz w:val="11"/>
              </w:rPr>
              <w:t>(1)</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Time Based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40" w:after="283"/>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r>
        <w:trPr/>
        <w:tc>
          <w:tcPr>
            <w:tcW w:w="8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gridSpan w:val="2"/>
            <w:tcBorders/>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erif" w:hAnsi="Times New Roman;serif"/>
          <w:b w:val="false"/>
          <w:color w:val="000000"/>
          <w:sz w:val="10"/>
        </w:rPr>
        <w:t>(1)</w:t>
      </w:r>
      <w:r>
        <w:rPr>
          <w:rFonts w:ascii="Times New Roman;serif" w:hAnsi="Times New Roman;serif"/>
          <w:b w:val="false"/>
          <w:color w:val="000000"/>
          <w:sz w:val="16"/>
        </w:rPr>
        <w:t>Represents the weighted average fair value per share of the closing price of our common stock on the dates the shares were awarded.</w:t>
      </w:r>
    </w:p>
    <w:p>
      <w:pPr>
        <w:pStyle w:val="TextBody"/>
        <w:bidi w:val="0"/>
        <w:spacing w:lineRule="auto" w:line="288" w:before="0" w:after="60"/>
        <w:ind w:left="0" w:right="0" w:hanging="180"/>
        <w:jc w:val="both"/>
        <w:rPr/>
      </w:pPr>
      <w:r>
        <w:rPr>
          <w:rFonts w:ascii="Times New Roman;serif" w:hAnsi="Times New Roman;serif"/>
          <w:b w:val="false"/>
          <w:color w:val="000000"/>
          <w:sz w:val="10"/>
        </w:rPr>
        <w:t>(2)</w:t>
      </w:r>
      <w:r>
        <w:rPr>
          <w:rFonts w:ascii="Times New Roman;serif" w:hAnsi="Times New Roman;serif"/>
          <w:b w:val="false"/>
          <w:color w:val="000000"/>
          <w:sz w:val="16"/>
        </w:rPr>
        <w:t>Represents the weighted average fair value per share of the Monte Carlo simulation fair value price of our market condition awards on the dates the shares were awarded.</w:t>
      </w:r>
    </w:p>
    <w:p>
      <w:pPr>
        <w:pStyle w:val="TextBody"/>
        <w:bidi w:val="0"/>
        <w:spacing w:lineRule="auto" w:line="288" w:before="0" w:after="0"/>
        <w:ind w:left="0" w:right="0" w:hanging="180"/>
        <w:jc w:val="both"/>
        <w:rPr/>
      </w:pPr>
      <w:r>
        <w:rPr>
          <w:rFonts w:ascii="Times New Roman;serif" w:hAnsi="Times New Roman;serif"/>
          <w:b w:val="false"/>
          <w:color w:val="000000"/>
          <w:sz w:val="10"/>
        </w:rPr>
        <w:t>(3)</w:t>
      </w:r>
      <w:r>
        <w:rPr>
          <w:rFonts w:ascii="Times New Roman;serif" w:hAnsi="Times New Roman;serif"/>
          <w:b w:val="false"/>
          <w:color w:val="000000"/>
          <w:sz w:val="16"/>
        </w:rPr>
        <w:t>Share-based compensation for restricted stock awards with market conditions is measured based on shares expected to vest using a Monte Carlo simulation to determine fair value.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Refer to Note 21, "Subsequent Events," for restricted share activity subsequent to September 30, 2025. The vesting requirements for 189,679 and 198,244 restricted shares granted to our executives, directors, and employees were satisfied during the nine months ended September 30, 2025 and 2024,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recognized the following share-based compensation costs for our continuing operations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12"/>
        <w:gridCol w:w="889"/>
        <w:gridCol w:w="895"/>
        <w:gridCol w:w="109"/>
        <w:gridCol w:w="109"/>
        <w:gridCol w:w="109"/>
        <w:gridCol w:w="434"/>
        <w:gridCol w:w="833"/>
        <w:gridCol w:w="245"/>
        <w:gridCol w:w="109"/>
        <w:gridCol w:w="109"/>
        <w:gridCol w:w="109"/>
        <w:gridCol w:w="434"/>
        <w:gridCol w:w="833"/>
        <w:gridCol w:w="245"/>
        <w:gridCol w:w="109"/>
        <w:gridCol w:w="109"/>
        <w:gridCol w:w="109"/>
        <w:gridCol w:w="384"/>
        <w:gridCol w:w="914"/>
        <w:gridCol w:w="215"/>
        <w:gridCol w:w="109"/>
        <w:gridCol w:w="109"/>
        <w:gridCol w:w="109"/>
        <w:gridCol w:w="374"/>
        <w:gridCol w:w="890"/>
        <w:gridCol w:w="300"/>
      </w:tblGrid>
      <w:tr>
        <w:trPr/>
        <w:tc>
          <w:tcPr>
            <w:tcW w:w="1012"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2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Nine Months Ended</w:t>
            </w:r>
          </w:p>
        </w:tc>
      </w:tr>
      <w:tr>
        <w:trPr/>
        <w:tc>
          <w:tcPr>
            <w:tcW w:w="2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2024</w:t>
            </w:r>
          </w:p>
        </w:tc>
      </w:tr>
      <w:tr>
        <w:trPr/>
        <w:tc>
          <w:tcPr>
            <w:tcW w:w="2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7"/>
              </w:rPr>
              <w:t>Share-based compensation - expensed</w:t>
            </w:r>
            <w:r>
              <w:rPr>
                <w:rFonts w:ascii="Times New Roman;serif" w:hAnsi="Times New Roman;serif"/>
                <w:b w:val="false"/>
                <w:color w:val="000000"/>
                <w:sz w:val="11"/>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26.4 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23.4 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Recorded within General and administrative expense on the Consolidated Statements of Operations.</w:t>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72465"/>
                <wp:effectExtent l="0" t="0" r="0" b="0"/>
                <wp:wrapNone/>
                <wp:docPr id="23" name="Frame22"/>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hanging="540"/>
        <w:jc w:val="both"/>
        <w:rPr>
          <w:rFonts w:ascii="Times New Roman;serif" w:hAnsi="Times New Roman;serif"/>
          <w:b/>
          <w:color w:val="000000"/>
          <w:sz w:val="20"/>
        </w:rPr>
      </w:pPr>
      <w:r>
        <w:rPr>
          <w:rFonts w:ascii="Times New Roman;serif" w:hAnsi="Times New Roman;serif"/>
          <w:b/>
          <w:color w:val="000000"/>
          <w:sz w:val="20"/>
        </w:rPr>
        <w:t>13. Segment Reporting</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ASC 280, "</w:t>
      </w:r>
      <w:r>
        <w:rPr>
          <w:rFonts w:ascii="Times New Roman;serif" w:hAnsi="Times New Roman;serif"/>
          <w:b w:val="false"/>
          <w:i/>
          <w:color w:val="000000"/>
          <w:sz w:val="20"/>
        </w:rPr>
        <w:t>Segment Reporting</w:t>
      </w:r>
      <w:r>
        <w:rPr>
          <w:rFonts w:ascii="Times New Roman;serif" w:hAnsi="Times New Roman;serif"/>
          <w:b w:val="false"/>
          <w:color w:val="000000"/>
          <w:sz w:val="20"/>
        </w:rPr>
        <w:t>," establishes standards for the way that business enterprises report information about operating segments in their financial statements.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As described in Note 1, "Basis of Presentation,"</w:t>
      </w:r>
      <w:r>
        <w:rPr>
          <w:color w:val="000000"/>
        </w:rPr>
        <w:t xml:space="preserve"> </w:t>
      </w:r>
      <w:r>
        <w:rPr>
          <w:rFonts w:ascii="Times New Roman;serif" w:hAnsi="Times New Roman;serif"/>
          <w:b w:val="false"/>
          <w:color w:val="000000"/>
          <w:sz w:val="20"/>
        </w:rPr>
        <w:t>effective March 31, 2025, we revised our reporting structure from four segments to three segments as a result of the Safe Harbor Sale, consisting of (i) MH communities, (ii) RV communities, and (iii) the UK. Refer to Note 2, "Assets Held for Sale and Discontinued Operations," for additional details regarding discontinued operations. Beginning with the three months ended March 31, 2025, we report our financial results consistent with our realigned operating segments and have recast prior period amounts to conform to the way we internally manage our business and monitor segment performance.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MH segment owns, operates, develops, or has an interest in, a portfolio of MH communities in the U.S., and is in the business of acquiring, operating and developing ground-up MH communities to provide affordable housing solutions to residents. The MH segment in the U.S. also provides manufactured home sales and leasing services to tenants and prospective tenants of our communities.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RV segment owns, operates, develops, or has an interest in, a portfolio of RV communities and is in the business of acquiring, operating, and developing ground-up RV communities in the U.S. and Canada. It also provides leasing services for vacation rentals within the RV communities.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UK segment owns, operates, develops, or has an interest in, a portfolio of communities, referred to as holiday parks, and is in the business of acquiring, operating, and developing communities in the United Kingdom. It also provides home sales and associated site license activities to owners and tenants within the communities.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672465"/>
                <wp:effectExtent l="0" t="0" r="0" b="0"/>
                <wp:wrapNone/>
                <wp:docPr id="24" name="Frame23"/>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presentation of segment financial information is summarized as follows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05"/>
        <w:gridCol w:w="386"/>
        <w:gridCol w:w="390"/>
        <w:gridCol w:w="181"/>
        <w:gridCol w:w="496"/>
        <w:gridCol w:w="109"/>
        <w:gridCol w:w="109"/>
        <w:gridCol w:w="109"/>
        <w:gridCol w:w="109"/>
        <w:gridCol w:w="181"/>
        <w:gridCol w:w="496"/>
        <w:gridCol w:w="109"/>
        <w:gridCol w:w="109"/>
        <w:gridCol w:w="109"/>
        <w:gridCol w:w="109"/>
        <w:gridCol w:w="181"/>
        <w:gridCol w:w="496"/>
        <w:gridCol w:w="109"/>
        <w:gridCol w:w="109"/>
        <w:gridCol w:w="109"/>
        <w:gridCol w:w="109"/>
        <w:gridCol w:w="181"/>
        <w:gridCol w:w="496"/>
        <w:gridCol w:w="109"/>
        <w:gridCol w:w="109"/>
        <w:gridCol w:w="109"/>
        <w:gridCol w:w="109"/>
        <w:gridCol w:w="181"/>
        <w:gridCol w:w="496"/>
        <w:gridCol w:w="109"/>
        <w:gridCol w:w="109"/>
        <w:gridCol w:w="109"/>
        <w:gridCol w:w="109"/>
        <w:gridCol w:w="181"/>
        <w:gridCol w:w="496"/>
        <w:gridCol w:w="109"/>
        <w:gridCol w:w="109"/>
        <w:gridCol w:w="109"/>
        <w:gridCol w:w="109"/>
        <w:gridCol w:w="181"/>
        <w:gridCol w:w="496"/>
        <w:gridCol w:w="109"/>
        <w:gridCol w:w="109"/>
        <w:gridCol w:w="109"/>
        <w:gridCol w:w="109"/>
        <w:gridCol w:w="181"/>
        <w:gridCol w:w="496"/>
        <w:gridCol w:w="156"/>
      </w:tblGrid>
      <w:tr>
        <w:trPr/>
        <w:tc>
          <w:tcPr>
            <w:tcW w:w="80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4"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1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from real property</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from real property - transient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Home sales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Ancillary</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Functional Revenue</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Expenses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Payroll - Real property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Utilities - Real property</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Legal, taxes, and insurance - Real property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Supplies and repairs - Real property</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expenses - Real property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Real estate taxes - Real property</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Home sales - Cost of sales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Ancillary - Cost of goods sold</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segment items</w:t>
            </w:r>
            <w:r>
              <w:rPr>
                <w:rFonts w:ascii="Times New Roman;serif" w:hAnsi="Times New Roman;serif"/>
                <w:b w:val="false"/>
                <w:color w:val="000000"/>
                <w:sz w:val="10"/>
              </w:rPr>
              <w:t>(1)</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NOI</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Adjustments to arrive at net income</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Brokerage commissions and other revenues, net</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General and administrative expense</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Catastrophic event-related charges, net</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Asset impairments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Loss on extinguishment of debt</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Loss on foreign currency exchanges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Gain / (loss) on dispositions of properties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income / (expense), net</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Gain on remeasurement of notes receivable</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from nonconsolidated affiliates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Gain on remeasurement of investment in nonconsolidated affiliates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Current tax benefit / (expense)</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Deferred tax benefit</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 (Loss) from Continuing Operations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from discontinued operations, net</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Less: Preferred return to preferred OP units / equity interests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Less: Income attributable to noncontrolling interests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3" w:type="dxa"/>
            <w:gridSpan w:val="3"/>
            <w:tcBorders/>
            <w:vAlign w:val="center"/>
          </w:tcPr>
          <w:p>
            <w:pPr>
              <w:pStyle w:val="TableContents"/>
              <w:bidi w:val="0"/>
              <w:spacing w:before="0" w:after="283"/>
              <w:jc w:val="left"/>
              <w:rPr>
                <w:sz w:val="4"/>
                <w:szCs w:val="4"/>
              </w:rPr>
            </w:pPr>
            <w:r>
              <w:rPr>
                <w:sz w:val="4"/>
                <w:szCs w:val="4"/>
              </w:rPr>
            </w:r>
          </w:p>
        </w:tc>
      </w:tr>
      <w:tr>
        <w:trPr/>
        <w:tc>
          <w:tcPr>
            <w:tcW w:w="1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Attributable to SUI Common Shareholders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both"/>
        <w:rPr/>
      </w:pPr>
      <w:r>
        <w:rPr>
          <w:rFonts w:ascii="Times New Roman;serif" w:hAnsi="Times New Roman;serif"/>
          <w:b w:val="false"/>
          <w:color w:val="000000"/>
          <w:sz w:val="10"/>
        </w:rPr>
        <w:t>(1)</w:t>
      </w:r>
      <w:r>
        <w:rPr>
          <w:rFonts w:ascii="Times New Roman;serif" w:hAnsi="Times New Roman;serif"/>
          <w:b w:val="false"/>
          <w:color w:val="000000"/>
          <w:sz w:val="16"/>
        </w:rPr>
        <w:t>Other segment items for each reportable segment include:</w:t>
      </w:r>
    </w:p>
    <w:p>
      <w:pPr>
        <w:pStyle w:val="TextBody"/>
        <w:bidi w:val="0"/>
        <w:spacing w:lineRule="auto" w:line="288" w:before="0" w:after="60"/>
        <w:jc w:val="both"/>
        <w:rPr/>
      </w:pPr>
      <w:r>
        <w:rPr>
          <w:rFonts w:ascii="Times New Roman;serif" w:hAnsi="Times New Roman;serif"/>
          <w:b/>
          <w:color w:val="000000"/>
          <w:sz w:val="16"/>
        </w:rPr>
        <w:t>MH and RV</w:t>
      </w:r>
      <w:r>
        <w:rPr>
          <w:color w:val="000000"/>
        </w:rPr>
        <w:t xml:space="preserve"> – </w:t>
      </w:r>
      <w:r>
        <w:rPr>
          <w:rFonts w:ascii="Times New Roman;serif" w:hAnsi="Times New Roman;serif"/>
          <w:b w:val="false"/>
          <w:color w:val="000000"/>
          <w:sz w:val="16"/>
        </w:rPr>
        <w:t>costs related to home sales and ancillary, specifically payroll, utilities, legal, taxes and insurance, supplies and repairs, and other expenses.</w:t>
      </w:r>
    </w:p>
    <w:p>
      <w:pPr>
        <w:pStyle w:val="TextBody"/>
        <w:bidi w:val="0"/>
        <w:spacing w:lineRule="auto" w:line="288" w:before="0" w:after="0"/>
        <w:jc w:val="both"/>
        <w:rPr/>
      </w:pPr>
      <w:r>
        <w:rPr>
          <w:rFonts w:ascii="Times New Roman;serif" w:hAnsi="Times New Roman;serif"/>
          <w:b/>
          <w:color w:val="000000"/>
          <w:sz w:val="16"/>
        </w:rPr>
        <w:t>UK</w:t>
      </w:r>
      <w:r>
        <w:rPr>
          <w:color w:val="000000"/>
        </w:rPr>
        <w:t xml:space="preserve"> – </w:t>
      </w:r>
      <w:r>
        <w:rPr>
          <w:rFonts w:ascii="Times New Roman;serif" w:hAnsi="Times New Roman;serif"/>
          <w:b w:val="false"/>
          <w:color w:val="000000"/>
          <w:sz w:val="16"/>
        </w:rPr>
        <w:t>other costs related to home sales and ancillary, specifically home sales commission expense, payroll, utilities, legal, taxes, and insurance, supplies and repairs, and other expenses.</w:t>
      </w:r>
    </w:p>
    <w:p>
      <w:pPr>
        <w:pStyle w:val="TextBody"/>
        <w:bidi w:val="0"/>
        <w:spacing w:before="0" w:after="0"/>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672465"/>
                <wp:effectExtent l="0" t="0" r="0" b="0"/>
                <wp:wrapNone/>
                <wp:docPr id="25" name="Frame24"/>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37"/>
        <w:gridCol w:w="301"/>
        <w:gridCol w:w="304"/>
        <w:gridCol w:w="181"/>
        <w:gridCol w:w="496"/>
        <w:gridCol w:w="109"/>
        <w:gridCol w:w="109"/>
        <w:gridCol w:w="109"/>
        <w:gridCol w:w="109"/>
        <w:gridCol w:w="181"/>
        <w:gridCol w:w="496"/>
        <w:gridCol w:w="109"/>
        <w:gridCol w:w="109"/>
        <w:gridCol w:w="109"/>
        <w:gridCol w:w="109"/>
        <w:gridCol w:w="181"/>
        <w:gridCol w:w="496"/>
        <w:gridCol w:w="109"/>
        <w:gridCol w:w="109"/>
        <w:gridCol w:w="109"/>
        <w:gridCol w:w="109"/>
        <w:gridCol w:w="181"/>
        <w:gridCol w:w="616"/>
        <w:gridCol w:w="109"/>
        <w:gridCol w:w="109"/>
        <w:gridCol w:w="109"/>
        <w:gridCol w:w="109"/>
        <w:gridCol w:w="181"/>
        <w:gridCol w:w="496"/>
        <w:gridCol w:w="109"/>
        <w:gridCol w:w="109"/>
        <w:gridCol w:w="109"/>
        <w:gridCol w:w="109"/>
        <w:gridCol w:w="181"/>
        <w:gridCol w:w="496"/>
        <w:gridCol w:w="109"/>
        <w:gridCol w:w="109"/>
        <w:gridCol w:w="109"/>
        <w:gridCol w:w="109"/>
        <w:gridCol w:w="181"/>
        <w:gridCol w:w="496"/>
        <w:gridCol w:w="109"/>
        <w:gridCol w:w="109"/>
        <w:gridCol w:w="109"/>
        <w:gridCol w:w="109"/>
        <w:gridCol w:w="181"/>
        <w:gridCol w:w="616"/>
        <w:gridCol w:w="155"/>
      </w:tblGrid>
      <w:tr>
        <w:trPr/>
        <w:tc>
          <w:tcPr>
            <w:tcW w:w="73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3"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from real property</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from real property - transient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Home sales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Ancillary</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Functional Revenue</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1,711.9 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Expenses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Payroll - Real property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Utilities - Real property</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Legal, taxes, and insurance - Real property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Supplies and repairs - Real property</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expenses - Real property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Real estate taxes - Real property</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Home sales - Cost of sales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Ancillary - Cost of goods sold</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segment items</w:t>
            </w:r>
            <w:r>
              <w:rPr>
                <w:rFonts w:ascii="Times New Roman;serif" w:hAnsi="Times New Roman;serif"/>
                <w:b w:val="false"/>
                <w:color w:val="000000"/>
                <w:sz w:val="10"/>
              </w:rPr>
              <w:t>(1)</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NOI</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Adjustments to arrive at net income</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Brokerage commissions and other revenues, net</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General and administrative expense</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Catastrophic event-related charges, net</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Asset impairments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Loss on extinguishment of debt </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134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Gain / (loss) on foreign currency exchanges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Gain / (loss) on dispositions of properties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income / (expense), net</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Loss on remeasurement of notes receivable</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from nonconsolidated affiliates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Gain / (loss) on remeasurement of marketable securities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Current tax expense</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Deferred tax benefit</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 (Loss) from Continuing Operations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Income from discontinued operations, net</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Less: Preferred return to preferred OP units / equity interests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Less: Income attributable to noncontrolling interests</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134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Attributable to SUI Common Shareholders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313.4 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erif" w:hAnsi="Times New Roman;serif"/>
          <w:b w:val="false"/>
          <w:color w:val="000000"/>
          <w:sz w:val="10"/>
        </w:rPr>
        <w:t>(1)</w:t>
      </w:r>
      <w:r>
        <w:rPr>
          <w:rFonts w:ascii="Times New Roman;serif" w:hAnsi="Times New Roman;serif"/>
          <w:b w:val="false"/>
          <w:color w:val="000000"/>
          <w:sz w:val="16"/>
        </w:rPr>
        <w:t>Other segment items for each reportable segment include:</w:t>
      </w:r>
    </w:p>
    <w:p>
      <w:pPr>
        <w:pStyle w:val="TextBody"/>
        <w:bidi w:val="0"/>
        <w:spacing w:lineRule="auto" w:line="288" w:before="0" w:after="60"/>
        <w:jc w:val="both"/>
        <w:rPr/>
      </w:pPr>
      <w:r>
        <w:rPr>
          <w:rFonts w:ascii="Times New Roman;serif" w:hAnsi="Times New Roman;serif"/>
          <w:b/>
          <w:color w:val="000000"/>
          <w:sz w:val="16"/>
        </w:rPr>
        <w:t>MH and RV</w:t>
      </w:r>
      <w:r>
        <w:rPr>
          <w:color w:val="000000"/>
        </w:rPr>
        <w:t xml:space="preserve"> – </w:t>
      </w:r>
      <w:r>
        <w:rPr>
          <w:rFonts w:ascii="Times New Roman;serif" w:hAnsi="Times New Roman;serif"/>
          <w:b w:val="false"/>
          <w:color w:val="000000"/>
          <w:sz w:val="16"/>
        </w:rPr>
        <w:t>costs related to home sales and ancillary, specifically payroll, utilities, legal, taxes and insurance, supplies and repairs, and other expenses.</w:t>
      </w:r>
    </w:p>
    <w:p>
      <w:pPr>
        <w:pStyle w:val="TextBody"/>
        <w:bidi w:val="0"/>
        <w:spacing w:lineRule="auto" w:line="288" w:before="0" w:after="0"/>
        <w:jc w:val="both"/>
        <w:rPr/>
      </w:pPr>
      <w:r>
        <w:rPr>
          <w:rFonts w:ascii="Times New Roman;serif" w:hAnsi="Times New Roman;serif"/>
          <w:b/>
          <w:color w:val="000000"/>
          <w:sz w:val="16"/>
        </w:rPr>
        <w:t>UK</w:t>
      </w:r>
      <w:r>
        <w:rPr>
          <w:color w:val="000000"/>
        </w:rPr>
        <w:t xml:space="preserve"> – </w:t>
      </w:r>
      <w:r>
        <w:rPr>
          <w:rFonts w:ascii="Times New Roman;serif" w:hAnsi="Times New Roman;serif"/>
          <w:b w:val="false"/>
          <w:color w:val="000000"/>
          <w:sz w:val="16"/>
        </w:rPr>
        <w:t>other costs related to home sales and ancillary, specifically home sales commission expense, payroll, utilities, legal, taxes, and insurance, supplies and repairs, and other expenses.</w:t>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72465"/>
                <wp:effectExtent l="0" t="0" r="0" b="0"/>
                <wp:wrapNone/>
                <wp:docPr id="26" name="Frame25"/>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before="0" w:after="0"/>
        <w:jc w:val="center"/>
        <w:rPr/>
      </w:pPr>
      <w:r>
        <w:rPr/>
      </w:r>
    </w:p>
    <w:tbl>
      <w:tblPr>
        <w:tblW w:w="11668" w:type="dxa"/>
        <w:jc w:val="left"/>
        <w:tblInd w:w="0" w:type="dxa"/>
        <w:tblLayout w:type="fixed"/>
        <w:tblCellMar>
          <w:top w:w="28" w:type="dxa"/>
          <w:left w:w="28" w:type="dxa"/>
          <w:bottom w:w="28" w:type="dxa"/>
          <w:right w:w="28" w:type="dxa"/>
        </w:tblCellMar>
      </w:tblPr>
      <w:tblGrid>
        <w:gridCol w:w="582"/>
        <w:gridCol w:w="301"/>
        <w:gridCol w:w="303"/>
        <w:gridCol w:w="196"/>
        <w:gridCol w:w="691"/>
        <w:gridCol w:w="109"/>
        <w:gridCol w:w="109"/>
        <w:gridCol w:w="109"/>
        <w:gridCol w:w="109"/>
        <w:gridCol w:w="196"/>
        <w:gridCol w:w="691"/>
        <w:gridCol w:w="109"/>
        <w:gridCol w:w="109"/>
        <w:gridCol w:w="109"/>
        <w:gridCol w:w="109"/>
        <w:gridCol w:w="196"/>
        <w:gridCol w:w="691"/>
        <w:gridCol w:w="109"/>
        <w:gridCol w:w="109"/>
        <w:gridCol w:w="109"/>
        <w:gridCol w:w="109"/>
        <w:gridCol w:w="196"/>
        <w:gridCol w:w="781"/>
        <w:gridCol w:w="109"/>
        <w:gridCol w:w="109"/>
        <w:gridCol w:w="109"/>
        <w:gridCol w:w="109"/>
        <w:gridCol w:w="196"/>
        <w:gridCol w:w="691"/>
        <w:gridCol w:w="109"/>
        <w:gridCol w:w="109"/>
        <w:gridCol w:w="109"/>
        <w:gridCol w:w="109"/>
        <w:gridCol w:w="196"/>
        <w:gridCol w:w="691"/>
        <w:gridCol w:w="109"/>
        <w:gridCol w:w="109"/>
        <w:gridCol w:w="109"/>
        <w:gridCol w:w="109"/>
        <w:gridCol w:w="196"/>
        <w:gridCol w:w="691"/>
        <w:gridCol w:w="109"/>
        <w:gridCol w:w="109"/>
        <w:gridCol w:w="109"/>
        <w:gridCol w:w="109"/>
        <w:gridCol w:w="196"/>
        <w:gridCol w:w="781"/>
        <w:gridCol w:w="154"/>
      </w:tblGrid>
      <w:tr>
        <w:trPr/>
        <w:tc>
          <w:tcPr>
            <w:tcW w:w="58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21"/>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7"/>
              </w:rPr>
            </w:pPr>
            <w:r>
              <w:rPr>
                <w:rFonts w:ascii="Times New Roman;serif" w:hAnsi="Times New Roman;serif"/>
                <w:b/>
                <w:color w:val="000000"/>
                <w:sz w:val="17"/>
              </w:rPr>
              <w:t>December 31, 2024</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Consolidated</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Identifiable Assets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Investment property,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10,865.1 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Cash, cash equivalents and restricted cash</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Inventory of manufactured homes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Notes and other receivables,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Collateralized receivables,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Goodwill</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Other intangible assets,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Other assets,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Assets held for sale &amp; discontinued operations,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4,461.7 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Assets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6,386.0 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3,763.8 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2,650.5 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12,800.3 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5,754.6 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3,779.2 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2,601.1 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16,549.4 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7765" w:type="dxa"/>
        <w:jc w:val="left"/>
        <w:tblInd w:w="0" w:type="dxa"/>
        <w:tblLayout w:type="fixed"/>
        <w:tblCellMar>
          <w:top w:w="28" w:type="dxa"/>
          <w:left w:w="28" w:type="dxa"/>
          <w:bottom w:w="28" w:type="dxa"/>
          <w:right w:w="28" w:type="dxa"/>
        </w:tblCellMar>
      </w:tblPr>
      <w:tblGrid>
        <w:gridCol w:w="466"/>
        <w:gridCol w:w="410"/>
        <w:gridCol w:w="414"/>
        <w:gridCol w:w="109"/>
        <w:gridCol w:w="109"/>
        <w:gridCol w:w="109"/>
        <w:gridCol w:w="279"/>
        <w:gridCol w:w="1111"/>
        <w:gridCol w:w="155"/>
        <w:gridCol w:w="109"/>
        <w:gridCol w:w="109"/>
        <w:gridCol w:w="109"/>
        <w:gridCol w:w="278"/>
        <w:gridCol w:w="278"/>
        <w:gridCol w:w="475"/>
        <w:gridCol w:w="109"/>
        <w:gridCol w:w="109"/>
        <w:gridCol w:w="109"/>
        <w:gridCol w:w="270"/>
        <w:gridCol w:w="1079"/>
        <w:gridCol w:w="150"/>
        <w:gridCol w:w="109"/>
        <w:gridCol w:w="109"/>
        <w:gridCol w:w="109"/>
        <w:gridCol w:w="278"/>
        <w:gridCol w:w="278"/>
        <w:gridCol w:w="536"/>
      </w:tblGrid>
      <w:tr>
        <w:trPr/>
        <w:tc>
          <w:tcPr>
            <w:tcW w:w="4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4603" w:type="dxa"/>
            <w:gridSpan w:val="18"/>
            <w:tcBorders/>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17"/>
              </w:rPr>
            </w:pPr>
            <w:r>
              <w:rPr>
                <w:rFonts w:ascii="Times New Roman;serif" w:hAnsi="Times New Roman;serif"/>
                <w:b/>
                <w:color w:val="000000"/>
                <w:sz w:val="17"/>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of Total</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North America</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10,149.8 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79.3 </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13,948.3 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84.3 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United Kingdom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2,650.5 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20.7 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2,601.1 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15.7 </w:t>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12,800.3 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100.0 </w:t>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16,549.4 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100.0 </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bl>
    <w:p>
      <w:pPr>
        <w:pStyle w:val="TextBody"/>
        <w:bidi w:val="0"/>
        <w:spacing w:lineRule="auto" w:line="288" w:before="20" w:after="283"/>
        <w:ind w:left="0" w:right="0" w:hanging="180"/>
        <w:jc w:val="both"/>
        <w:rPr/>
      </w:pPr>
      <w:r>
        <w:rPr>
          <w:rFonts w:ascii="Times New Roman;serif" w:hAnsi="Times New Roman;serif"/>
          <w:b w:val="false"/>
          <w:color w:val="000000"/>
          <w:sz w:val="10"/>
        </w:rPr>
        <w:t>(1)</w:t>
      </w:r>
      <w:r>
        <w:rPr>
          <w:rFonts w:ascii="Times New Roman;serif" w:hAnsi="Times New Roman;serif"/>
          <w:b w:val="false"/>
          <w:color w:val="000000"/>
          <w:sz w:val="16"/>
        </w:rPr>
        <w:t>Includes $4.4 billion of total assets from discontinued operations as of December 31, 2024. Refer to Note 2, "Assets Held for Sale and Discontinued Operations," for additional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rFonts w:ascii="Times New Roman;serif" w:hAnsi="Times New Roman;serif"/>
          <w:b/>
          <w:color w:val="000000"/>
          <w:sz w:val="20"/>
        </w:rPr>
      </w:pPr>
      <w:r>
        <w:rPr>
          <w:rFonts w:ascii="Times New Roman;serif" w:hAnsi="Times New Roman;serif"/>
          <w:b/>
          <w:color w:val="000000"/>
          <w:sz w:val="20"/>
        </w:rPr>
        <w:t>14. Income Taxes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elected to be taxed as a real estate investment trust ("REIT") pursuant to Section 856(c) of the Internal Revenue Code of 1986, as amended ("Code"). In order for us to qualify as a REIT, at least 95% of our gross income in any year must be derived from qualifying sources. In addition, a REIT must distribute annually at least 90% of its REIT taxable income (calculated without any deduction for dividends paid and excluding capital gains) to its shareholders and meet other tests.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Qualification as a REIT involves the satisfaction of numerous requirements (on an annual and quarterly basis) established under highly technical and complex Code provisions for which there are limited judicial or administrative interpretations and involves the determination of various factual matters and circumstances not entirely within our control. In addition, frequent changes occur in the area of REIT taxation, which requires us to continually monitor our tax status. We analyzed the various REIT tests and confirmed that we continued to qualify as a REIT during the three and nine months ended September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a REIT, we generally will not be subject to U.S. federal income taxes at the corporate level on the ordinary taxable income we distribute to our shareholders as dividends. If we fail to qualify as a REIT in any taxable year, our taxable income could be subject to U.S. federal income tax at regular corporate rates. Even if we qualify as a REIT, we may be subject to certain state and local income taxes, as well as U.S. federal income and excise taxes on our undistributed income. In addition, taxable income from non-REIT activities managed through taxable REIT subsidiaries is subject to federal, state, and local income taxes. However, we have a valuation allowance on our taxable REIT subsidiaries' deferred tax assets. During the three months ended June 30, 2025, we released a valuation allowance of $17.7 million to partially offset the Safe Harbor Marina gain on sale. Refer to Note 2, "Assets Held for Sale and Discontinued Operations," for additional details related to the Safe Harbor Sale. We are also subject to local income taxes in Canada and the United Kingdom due to certain properties located in those jurisdictions. We do not provide for withholding taxes on our undistributed earnings from our Canadian subsidiaries as they are reinvested and will continue to be reinvested indefinitely outside of the U.S. As currently structured, we are not subject to United Kingdom withholding taxes on distributions from our United Kingdom properties. We also may be subject to Australian withholding taxes on dividends from our Australian subsidiaries.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72465"/>
                <wp:effectExtent l="0" t="0" r="0" b="0"/>
                <wp:wrapNone/>
                <wp:docPr id="27" name="Frame26"/>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15. Earnings / (Loss)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Earnings / (loss) per share ("EPS") is computed by dividing net earnings / (loss) by the weighted average number of common shares outstanding during the period on a basic and diluted basis. We calculate diluted EPS using the more dilutive of the treasury stock method and the two-class method for stock option and restricted common shares, the treasury stock method for forward equity sales and the if converted method for convertible units. Our potentially dilutive securities include our potential common shares related to our forward equity offerings, our unvested restricted common shares, and our Operating Partnership outstanding common and preferred OP units, which, if converted or exercised, may impact dilution.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Diluted EPS considers the impact of potentially dilutive securities except when the potential common shares have an anti-dilutive effect. Our unvested restricted stock common shares contain rights to receive non-forfeitable distributions and participate equally with common stock with respect to distributions issued or declared, and thus, are participating securities, requiring the two-class method of computing EPS. In calculating the two-class method, undistributed earnings are allocated to both common shares and participating securities based on the weighted average number of shares outstanding during the period. The two-class method determines EPS by (1) dividing the sum of distributed earnings and undistributed earnings allocated to common shareholders by the weighted average number of shares of common stock outstanding for the period; and (2) dividing the sum of distributed earnings and undistributed earnings allocated to participating securities by the weighted average number of shares of participating securities for the period. The remaining potential dilutive common shares do not contain rights to distributions and are included in the computation of diluted EPS.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672465"/>
                <wp:effectExtent l="0" t="0" r="0" b="0"/>
                <wp:wrapNone/>
                <wp:docPr id="28" name="Frame27"/>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Computations of basic and diluted EPS were as follows (in millions, except for per share data):</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595"/>
        <w:gridCol w:w="1284"/>
        <w:gridCol w:w="1294"/>
        <w:gridCol w:w="109"/>
        <w:gridCol w:w="109"/>
        <w:gridCol w:w="109"/>
        <w:gridCol w:w="285"/>
        <w:gridCol w:w="706"/>
        <w:gridCol w:w="158"/>
        <w:gridCol w:w="109"/>
        <w:gridCol w:w="109"/>
        <w:gridCol w:w="109"/>
        <w:gridCol w:w="261"/>
        <w:gridCol w:w="742"/>
        <w:gridCol w:w="146"/>
        <w:gridCol w:w="109"/>
        <w:gridCol w:w="109"/>
        <w:gridCol w:w="109"/>
        <w:gridCol w:w="240"/>
        <w:gridCol w:w="849"/>
        <w:gridCol w:w="133"/>
        <w:gridCol w:w="109"/>
        <w:gridCol w:w="109"/>
        <w:gridCol w:w="109"/>
        <w:gridCol w:w="258"/>
        <w:gridCol w:w="734"/>
        <w:gridCol w:w="212"/>
      </w:tblGrid>
      <w:tr>
        <w:trPr/>
        <w:tc>
          <w:tcPr>
            <w:tcW w:w="1595"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Nine Months Ended</w:t>
            </w:r>
          </w:p>
        </w:tc>
      </w:tr>
      <w:tr>
        <w:trPr/>
        <w:tc>
          <w:tcPr>
            <w:tcW w:w="4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2024</w:t>
            </w:r>
          </w:p>
        </w:tc>
      </w:tr>
      <w:tr>
        <w:trPr/>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Numerator for basic 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Net income / (loss)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278.4 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(119.0)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274.4 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Preferred return to preferred OP units equity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Income /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Net income / (loss) from continuing operations attributable to SUI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261.9 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(179.3)</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249.7 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Less: allocation to restricted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Basic earnings - net income / (loss) from continuing operations after allocation to restricted stock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259.9 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(186.3)</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247.7 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Basic earnings - net income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1,418.6 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Basic earnings - net income attributable to common shareholders after allocation to restricted stock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286.7 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1,232.3 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311.4 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Numerator for diluted 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Basic earnings - net income / (loss) from continuing operations after allocation to restricted stock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259.9 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(186.3)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247.7 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Add: allocation to common and preferred OP units dilutive effect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Diluted net income / (loss) from continuing operations attributable to SUI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259.9 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(186.3)</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254.3 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Diluted net income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1,418.6 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Diluted earnings - net income attributable to common shareholders after allocation to common and preferred OP units</w:t>
            </w:r>
            <w:r>
              <w:rPr>
                <w:rFonts w:ascii="Times New Roman;serif" w:hAnsi="Times New Roman;serif"/>
                <w:b w:val="false"/>
                <w:color w:val="000000"/>
                <w:sz w:val="11"/>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286.7 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1,232.3 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318.0 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4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4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Add: dilutive 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Add: common and preferred OP units dilutive effect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7"/>
              </w:rPr>
              <w:t>Diluted weighted average common shares and securities</w:t>
            </w:r>
            <w:r>
              <w:rPr>
                <w:rFonts w:ascii="Times New Roman;serif" w:hAnsi="Times New Roman;serif"/>
                <w:b w:val="false"/>
                <w:color w:val="000000"/>
                <w:sz w:val="11"/>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124.0 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125.6 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126.5 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EPS Available to Common Shareholders After Allocation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Basic earnings / (loss) per share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Basic earnings per share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11.29 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Basic earnings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2.52 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7"/>
              </w:rPr>
            </w:pPr>
            <w:r>
              <w:rPr>
                <w:rFonts w:ascii="Times New Roman;serif" w:hAnsi="Times New Roman;serif"/>
                <w:b w:val="false"/>
                <w:color w:val="000000"/>
                <w:sz w:val="17"/>
              </w:rPr>
              <w:t>Diluted earnings / (loss) per share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7"/>
              </w:rPr>
            </w:pPr>
            <w:r>
              <w:rPr>
                <w:rFonts w:ascii="Times New Roman;serif" w:hAnsi="Times New Roman;serif"/>
                <w:b w:val="false"/>
                <w:color w:val="000000"/>
                <w:sz w:val="17"/>
              </w:rPr>
              <w:t>Diluted earnings per share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11.29 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shd w:fill="CCEEFF" w:val="clear"/>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17"/>
              </w:rPr>
              <w:t>Diluted earnings per share</w:t>
            </w:r>
            <w:r>
              <w:rPr>
                <w:rFonts w:ascii="Times New Roman;serif" w:hAnsi="Times New Roman;serif"/>
                <w:b w:val="false"/>
                <w:color w:val="000000"/>
                <w:sz w:val="11"/>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0.07 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2.31 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9.81 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2.51 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For the three months ended September 30, 2025, diluted earnings per share was calculated using the treasury stock method for restricted common shares as the application of this method resulted in a more diluted earnings per share during this period. For the nine months ended September 30, 2025 and 2024, and the three months ended September 30, 2024</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16"/>
        </w:rPr>
        <w:t>diluted earnings per share was calculated using the two-class stock method for restricted common shares as the application of this method resulted in a more diluted earnings per share during those periods.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672465"/>
                <wp:effectExtent l="0" t="0" r="0" b="0"/>
                <wp:wrapNone/>
                <wp:docPr id="29" name="Frame28"/>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excluded certain potentially dilutive securities from the computation of diluted EPS because the inclusion of those securities would have been anti-dilutive for the periods presented. The following table presents the outstanding securities that were excluded from the computations of diluted EPS as of September 30, 2025 and 2024 (in thousands):</w:t>
      </w:r>
    </w:p>
    <w:p>
      <w:pPr>
        <w:pStyle w:val="TextBody"/>
        <w:bidi w:val="0"/>
        <w:spacing w:before="0" w:after="0"/>
        <w:jc w:val="left"/>
        <w:rPr/>
      </w:pPr>
      <w:r>
        <w:rPr/>
      </w:r>
    </w:p>
    <w:tbl>
      <w:tblPr>
        <w:tblW w:w="7451" w:type="dxa"/>
        <w:jc w:val="left"/>
        <w:tblInd w:w="0" w:type="dxa"/>
        <w:tblLayout w:type="fixed"/>
        <w:tblCellMar>
          <w:top w:w="28" w:type="dxa"/>
          <w:left w:w="28" w:type="dxa"/>
          <w:bottom w:w="28" w:type="dxa"/>
          <w:right w:w="28" w:type="dxa"/>
        </w:tblCellMar>
      </w:tblPr>
      <w:tblGrid>
        <w:gridCol w:w="1286"/>
        <w:gridCol w:w="1132"/>
        <w:gridCol w:w="1137"/>
        <w:gridCol w:w="109"/>
        <w:gridCol w:w="109"/>
        <w:gridCol w:w="109"/>
        <w:gridCol w:w="514"/>
        <w:gridCol w:w="514"/>
        <w:gridCol w:w="516"/>
        <w:gridCol w:w="109"/>
        <w:gridCol w:w="109"/>
        <w:gridCol w:w="109"/>
        <w:gridCol w:w="514"/>
        <w:gridCol w:w="514"/>
        <w:gridCol w:w="516"/>
        <w:gridCol w:w="154"/>
      </w:tblGrid>
      <w:tr>
        <w:trPr/>
        <w:tc>
          <w:tcPr>
            <w:tcW w:w="1286"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2,797 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2,922 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A-1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A-3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Series C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Series D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Series E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Series F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Series G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Series H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Series J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Series K preferred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Series L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Redemption rights - Series G preferred OP units</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Total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5,981 </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6,139 </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(1)</w:t>
      </w:r>
      <w:r>
        <w:rPr>
          <w:rFonts w:ascii="Times New Roman;serif" w:hAnsi="Times New Roman;serif"/>
          <w:b w:val="false"/>
          <w:color w:val="000000"/>
          <w:sz w:val="16"/>
        </w:rPr>
        <w:t xml:space="preserve">In January 2025, we issued a redemption right to repurchase Series G preferred OP units to a real estate developer as part of a non-monetary transaction. The redemption right was antidilutive during the three and nine months ended September 30,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rFonts w:ascii="Times New Roman;serif" w:hAnsi="Times New Roman;serif"/>
          <w:b/>
          <w:color w:val="000000"/>
          <w:sz w:val="20"/>
        </w:rPr>
      </w:pPr>
      <w:r>
        <w:rPr>
          <w:rFonts w:ascii="Times New Roman;serif" w:hAnsi="Times New Roman;serif"/>
          <w:b/>
          <w:color w:val="000000"/>
          <w:sz w:val="20"/>
        </w:rPr>
        <w:t>16. Derivative Financial Instruments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We utilize treasury rate lock contracts, interest rate swaps, and forward swaps for interest rate risk management purposes. We have also periodically entered into forward swaps to hedge foreign currency exchange risk exposures. We do not enter into derivative instruments for speculative purposes. As of September 30, 2025 and December 31, 2024, we held 5 and 11 derivative contracts, respectively, which have each been designated as cash flow hedges under ASC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 The risk being hedged is the interest rate risk related to forecasted debt issuance transactions, and the benchmark interest rates used is the SOFR Rate. The unrealized gains or losses on the derivative instruments are recorded in AOCI and are reclassified to Interest expense on the Consolidated Statements of Operations during the same period in which the hedged transaction affects earnings. We estimate that $3.5 million will be reclassified as a reduction to Interest expense over the next 12 months for all of our outstanding cash flow hedges.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Derivative Contract Activity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we entered into six forward swap contracts with a notional amount totaling $1.0 billion (equivalent to £768.0 million) to hedge a planned repayment of a GBP debt borrowing. In conjunction with the repayment of the debt borrowing during the same period, we settled the forward swap contracts and recognized a gain of $14.4 million, which was recorded within Gain / (loss) on foreign currency exchanges on the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we also terminated three interest rate swap contracts with an aggregate notional amount of $150.0 million in conjunction with the settlement of outstanding debt obligations on our Senior Credit Facility. We recorded a loss on termination of $1.3 million, which was recorded to Other income / (expense), net on the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three forward swaps with a notional amount totaling $646.4 million (equivalent to £500.0 million) expired upon reaching their respective maturity dates.</w:t>
      </w:r>
    </w:p>
    <w:tbl>
      <w:tblPr>
        <w:tblW w:w="496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672465"/>
                <wp:effectExtent l="0" t="0" r="0" b="0"/>
                <wp:wrapNone/>
                <wp:docPr id="30" name="Frame29"/>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gross fair value amounts of our derivative financial instruments and the associated notional amounts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65"/>
        <w:gridCol w:w="849"/>
        <w:gridCol w:w="855"/>
        <w:gridCol w:w="109"/>
        <w:gridCol w:w="109"/>
        <w:gridCol w:w="109"/>
        <w:gridCol w:w="196"/>
        <w:gridCol w:w="556"/>
        <w:gridCol w:w="109"/>
        <w:gridCol w:w="109"/>
        <w:gridCol w:w="109"/>
        <w:gridCol w:w="109"/>
        <w:gridCol w:w="246"/>
        <w:gridCol w:w="474"/>
        <w:gridCol w:w="137"/>
        <w:gridCol w:w="109"/>
        <w:gridCol w:w="109"/>
        <w:gridCol w:w="109"/>
        <w:gridCol w:w="300"/>
        <w:gridCol w:w="576"/>
        <w:gridCol w:w="167"/>
        <w:gridCol w:w="109"/>
        <w:gridCol w:w="109"/>
        <w:gridCol w:w="109"/>
        <w:gridCol w:w="196"/>
        <w:gridCol w:w="556"/>
        <w:gridCol w:w="109"/>
        <w:gridCol w:w="109"/>
        <w:gridCol w:w="109"/>
        <w:gridCol w:w="109"/>
        <w:gridCol w:w="246"/>
        <w:gridCol w:w="474"/>
        <w:gridCol w:w="137"/>
        <w:gridCol w:w="109"/>
        <w:gridCol w:w="109"/>
        <w:gridCol w:w="109"/>
        <w:gridCol w:w="293"/>
        <w:gridCol w:w="563"/>
        <w:gridCol w:w="239"/>
      </w:tblGrid>
      <w:tr>
        <w:trPr/>
        <w:tc>
          <w:tcPr>
            <w:tcW w:w="9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2024</w:t>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Derivatives Designated as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Notional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 xml:space="preserve">Fair Value </w:t>
            </w:r>
          </w:p>
          <w:p>
            <w:pPr>
              <w:pStyle w:val="TableContents"/>
              <w:bidi w:val="0"/>
              <w:spacing w:lineRule="auto" w:line="240" w:before="0" w:after="0"/>
              <w:jc w:val="center"/>
              <w:rPr/>
            </w:pPr>
            <w:r>
              <w:rPr>
                <w:rFonts w:ascii="Times New Roman;serif" w:hAnsi="Times New Roman;serif"/>
                <w:b/>
                <w:color w:val="000000"/>
                <w:sz w:val="17"/>
              </w:rPr>
              <w:t>of Assets</w:t>
            </w:r>
            <w:r>
              <w:rPr>
                <w:rFonts w:ascii="Times New Roman;serif" w:hAnsi="Times New Roman;serif"/>
                <w:b/>
                <w:color w:val="000000"/>
                <w:sz w:val="11"/>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 xml:space="preserve">Fair Value </w:t>
            </w:r>
          </w:p>
          <w:p>
            <w:pPr>
              <w:pStyle w:val="TableContents"/>
              <w:bidi w:val="0"/>
              <w:spacing w:lineRule="auto" w:line="240" w:before="0" w:after="0"/>
              <w:jc w:val="center"/>
              <w:rPr/>
            </w:pPr>
            <w:r>
              <w:rPr>
                <w:rFonts w:ascii="Times New Roman;serif" w:hAnsi="Times New Roman;serif"/>
                <w:b/>
                <w:color w:val="000000"/>
                <w:sz w:val="17"/>
              </w:rPr>
              <w:t>of Liabilities</w:t>
            </w:r>
            <w:r>
              <w:rPr>
                <w:rFonts w:ascii="Times New Roman;serif" w:hAnsi="Times New Roman;serif"/>
                <w:b/>
                <w:color w:val="000000"/>
                <w:sz w:val="11"/>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Notional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 xml:space="preserve">Fair Value </w:t>
            </w:r>
          </w:p>
          <w:p>
            <w:pPr>
              <w:pStyle w:val="TableContents"/>
              <w:bidi w:val="0"/>
              <w:spacing w:lineRule="auto" w:line="240" w:before="0" w:after="0"/>
              <w:jc w:val="center"/>
              <w:rPr/>
            </w:pPr>
            <w:r>
              <w:rPr>
                <w:rFonts w:ascii="Times New Roman;serif" w:hAnsi="Times New Roman;serif"/>
                <w:b/>
                <w:color w:val="000000"/>
                <w:sz w:val="17"/>
              </w:rPr>
              <w:t>of Assets</w:t>
            </w:r>
            <w:r>
              <w:rPr>
                <w:rFonts w:ascii="Times New Roman;serif" w:hAnsi="Times New Roman;serif"/>
                <w:b/>
                <w:color w:val="000000"/>
                <w:sz w:val="11"/>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 xml:space="preserve">Fair Value </w:t>
            </w:r>
          </w:p>
          <w:p>
            <w:pPr>
              <w:pStyle w:val="TableContents"/>
              <w:bidi w:val="0"/>
              <w:spacing w:lineRule="auto" w:line="240" w:before="0" w:after="0"/>
              <w:jc w:val="center"/>
              <w:rPr/>
            </w:pPr>
            <w:r>
              <w:rPr>
                <w:rFonts w:ascii="Times New Roman;serif" w:hAnsi="Times New Roman;serif"/>
                <w:b/>
                <w:color w:val="000000"/>
                <w:sz w:val="17"/>
              </w:rPr>
              <w:t>of Liabilities</w:t>
            </w:r>
            <w:r>
              <w:rPr>
                <w:rFonts w:ascii="Times New Roman;serif" w:hAnsi="Times New Roman;serif"/>
                <w:b/>
                <w:color w:val="000000"/>
                <w:sz w:val="11"/>
              </w:rPr>
              <w:t>(2)</w:t>
            </w:r>
          </w:p>
        </w:tc>
      </w:tr>
      <w:tr>
        <w:trPr/>
        <w:tc>
          <w:tcPr>
            <w:tcW w:w="26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 rate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erif" w:hAnsi="Times New Roman;serif"/>
          <w:b w:val="false"/>
          <w:color w:val="000000"/>
          <w:sz w:val="10"/>
        </w:rPr>
        <w:t>(1)</w:t>
      </w:r>
      <w:r>
        <w:rPr>
          <w:rFonts w:ascii="Times New Roman;serif" w:hAnsi="Times New Roman;serif"/>
          <w:b w:val="false"/>
          <w:color w:val="000000"/>
          <w:sz w:val="16"/>
        </w:rPr>
        <w:t>Included within Other assets, net on the Consolidated Balance Sheets.</w:t>
      </w:r>
    </w:p>
    <w:p>
      <w:pPr>
        <w:pStyle w:val="TextBody"/>
        <w:bidi w:val="0"/>
        <w:spacing w:lineRule="auto" w:line="288" w:before="0" w:after="0"/>
        <w:ind w:left="0" w:right="0" w:hanging="180"/>
        <w:jc w:val="both"/>
        <w:rPr/>
      </w:pPr>
      <w:r>
        <w:rPr>
          <w:rFonts w:ascii="Times New Roman;serif" w:hAnsi="Times New Roman;serif"/>
          <w:b w:val="false"/>
          <w:color w:val="000000"/>
          <w:sz w:val="10"/>
        </w:rPr>
        <w:t>(2)</w:t>
      </w:r>
      <w:r>
        <w:rPr>
          <w:rFonts w:ascii="Times New Roman;serif" w:hAnsi="Times New Roman;serif"/>
          <w:b w:val="false"/>
          <w:color w:val="000000"/>
          <w:sz w:val="16"/>
        </w:rPr>
        <w:t>Included within Other liabilities on the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Refer to Note 17, "Fair Value Measurements," for additional information related to the fair value methodology used for derivative financial instruments.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gains / (losses) on derivatives in cash flow hedging relationships recognized in OCI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97"/>
        <w:gridCol w:w="965"/>
        <w:gridCol w:w="972"/>
        <w:gridCol w:w="109"/>
        <w:gridCol w:w="109"/>
        <w:gridCol w:w="109"/>
        <w:gridCol w:w="408"/>
        <w:gridCol w:w="816"/>
        <w:gridCol w:w="228"/>
        <w:gridCol w:w="109"/>
        <w:gridCol w:w="109"/>
        <w:gridCol w:w="109"/>
        <w:gridCol w:w="408"/>
        <w:gridCol w:w="816"/>
        <w:gridCol w:w="228"/>
        <w:gridCol w:w="109"/>
        <w:gridCol w:w="109"/>
        <w:gridCol w:w="109"/>
        <w:gridCol w:w="408"/>
        <w:gridCol w:w="816"/>
        <w:gridCol w:w="228"/>
        <w:gridCol w:w="109"/>
        <w:gridCol w:w="109"/>
        <w:gridCol w:w="109"/>
        <w:gridCol w:w="404"/>
        <w:gridCol w:w="776"/>
        <w:gridCol w:w="327"/>
      </w:tblGrid>
      <w:tr>
        <w:trPr/>
        <w:tc>
          <w:tcPr>
            <w:tcW w:w="109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3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Nine Months Ended</w:t>
            </w:r>
          </w:p>
        </w:tc>
      </w:tr>
      <w:tr>
        <w:trPr/>
        <w:tc>
          <w:tcPr>
            <w:tcW w:w="3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Derivatives Designated as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2024</w:t>
            </w:r>
          </w:p>
        </w:tc>
      </w:tr>
      <w:tr>
        <w:trPr/>
        <w:tc>
          <w:tcPr>
            <w:tcW w:w="3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 rate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amount of gains on derivative instruments reclassified from AOCI into earnings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40"/>
        <w:gridCol w:w="651"/>
        <w:gridCol w:w="655"/>
        <w:gridCol w:w="109"/>
        <w:gridCol w:w="109"/>
        <w:gridCol w:w="109"/>
        <w:gridCol w:w="587"/>
        <w:gridCol w:w="587"/>
        <w:gridCol w:w="589"/>
        <w:gridCol w:w="109"/>
        <w:gridCol w:w="109"/>
        <w:gridCol w:w="109"/>
        <w:gridCol w:w="338"/>
        <w:gridCol w:w="649"/>
        <w:gridCol w:w="190"/>
        <w:gridCol w:w="109"/>
        <w:gridCol w:w="109"/>
        <w:gridCol w:w="109"/>
        <w:gridCol w:w="338"/>
        <w:gridCol w:w="649"/>
        <w:gridCol w:w="190"/>
        <w:gridCol w:w="109"/>
        <w:gridCol w:w="109"/>
        <w:gridCol w:w="109"/>
        <w:gridCol w:w="299"/>
        <w:gridCol w:w="711"/>
        <w:gridCol w:w="167"/>
        <w:gridCol w:w="109"/>
        <w:gridCol w:w="109"/>
        <w:gridCol w:w="109"/>
        <w:gridCol w:w="293"/>
        <w:gridCol w:w="698"/>
        <w:gridCol w:w="239"/>
      </w:tblGrid>
      <w:tr>
        <w:trPr/>
        <w:tc>
          <w:tcPr>
            <w:tcW w:w="74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0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Derivatives Designated as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Financial Statement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Nine Months Ended</w:t>
            </w:r>
          </w:p>
        </w:tc>
      </w:tr>
      <w:tr>
        <w:trPr/>
        <w:tc>
          <w:tcPr>
            <w:tcW w:w="20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2024</w:t>
            </w:r>
          </w:p>
        </w:tc>
      </w:tr>
      <w:tr>
        <w:trPr/>
        <w:tc>
          <w:tcPr>
            <w:tcW w:w="20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 rate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Interest expense / </w:t>
              <w:br/>
              <w:t>Other income /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0.9 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14.2 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14.8 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During the three months ended June 30, 2025, we released net accumulated gains of $8.7 million from AOCI to earnings in conjunction with the settlement of the 2029 and 2033 Note Redemptions and the repayment of certain mortgage term loans. The debt instruments were previously classified as hedged transactions under ASC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 and the extinguishment of the related debt obligations resulted in the discontinuation of the cash flow hedge relationship. The net accumulated gains were recorded to Other income / (expense), net on the Consolidated Statements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rFonts w:ascii="Times New Roman;serif" w:hAnsi="Times New Roman;serif"/>
          <w:b/>
          <w:color w:val="000000"/>
          <w:sz w:val="20"/>
        </w:rPr>
      </w:pPr>
      <w:r>
        <w:rPr>
          <w:rFonts w:ascii="Times New Roman;serif" w:hAnsi="Times New Roman;serif"/>
          <w:b/>
          <w:color w:val="000000"/>
          <w:sz w:val="20"/>
        </w:rPr>
        <w:t>17. Fair Value Measurements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ASC 820, "</w:t>
      </w:r>
      <w:r>
        <w:rPr>
          <w:rFonts w:ascii="Times New Roman;serif" w:hAnsi="Times New Roman;serif"/>
          <w:b w:val="false"/>
          <w:i/>
          <w:color w:val="000000"/>
          <w:sz w:val="20"/>
        </w:rPr>
        <w:t>Fair Value Measurements and Disclosures</w:t>
      </w:r>
      <w:r>
        <w:rPr>
          <w:rFonts w:ascii="Times New Roman;serif" w:hAnsi="Times New Roman;serif"/>
          <w:b w:val="false"/>
          <w:color w:val="000000"/>
          <w:sz w:val="20"/>
        </w:rPr>
        <w:t>," requires disclosure regarding determination of fair value for assets and liabilities and establishes a hierarchy under which these assets and liabilities must be grouped, based on significant levels of observable or unobservable inputs. Observable inputs reflect market data obtained from independent sources, while unobservable inputs reflect our market assumptions. This hierarchy requires the use of observable market data when available. These two types of inputs have created the following fair value hierarchy: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Level 1 - Quoted unadjusted prices for identical instruments in active markets that we have the ability to access;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Level 2 - Quoted prices for similar instruments in active markets, quoted prices for identical, or similar instruments in markets that are not active and model-derived valuations in which all significant inputs and significant value drivers are observable in active markets or can be corroborated by observable market data; and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Level 3 - Valuations derived from valuation techniques in which one or more significant inputs or significant value drivers are unobservable. The unobservable inputs reflect our assumptions about the assumptions that market participants would use.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carrying values of cash, cash equivalents, and restricted cash, other receivables, and accounts payable approximate their fair market values since their maturities are less than one year. These financial instruments are classified as Level 1 in the hierarchy and are excluded from the table below.</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672465"/>
                <wp:effectExtent l="0" t="0" r="0" b="0"/>
                <wp:wrapNone/>
                <wp:docPr id="31" name="Frame30"/>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Assets by Hierarchy Level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sets forth our financial assets and liabilities (in millions) that required disclosure of fair value on a recurring basis as of September 30, 2025 and December 31, 2024:</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72"/>
        <w:gridCol w:w="741"/>
        <w:gridCol w:w="679"/>
        <w:gridCol w:w="109"/>
        <w:gridCol w:w="279"/>
        <w:gridCol w:w="279"/>
        <w:gridCol w:w="280"/>
        <w:gridCol w:w="109"/>
        <w:gridCol w:w="109"/>
        <w:gridCol w:w="109"/>
        <w:gridCol w:w="214"/>
        <w:gridCol w:w="759"/>
        <w:gridCol w:w="119"/>
        <w:gridCol w:w="112"/>
        <w:gridCol w:w="112"/>
        <w:gridCol w:w="112"/>
        <w:gridCol w:w="112"/>
        <w:gridCol w:w="109"/>
        <w:gridCol w:w="363"/>
        <w:gridCol w:w="363"/>
        <w:gridCol w:w="364"/>
        <w:gridCol w:w="109"/>
        <w:gridCol w:w="196"/>
        <w:gridCol w:w="691"/>
        <w:gridCol w:w="109"/>
        <w:gridCol w:w="109"/>
        <w:gridCol w:w="109"/>
        <w:gridCol w:w="109"/>
        <w:gridCol w:w="215"/>
        <w:gridCol w:w="759"/>
        <w:gridCol w:w="119"/>
        <w:gridCol w:w="109"/>
        <w:gridCol w:w="109"/>
        <w:gridCol w:w="109"/>
        <w:gridCol w:w="196"/>
        <w:gridCol w:w="691"/>
        <w:gridCol w:w="161"/>
      </w:tblGrid>
      <w:tr>
        <w:trPr/>
        <w:tc>
          <w:tcPr>
            <w:tcW w:w="87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4627" w:type="dxa"/>
            <w:gridSpan w:val="18"/>
            <w:tcBorders/>
          </w:tcPr>
          <w:p>
            <w:pPr>
              <w:pStyle w:val="TableContents"/>
              <w:bidi w:val="0"/>
              <w:spacing w:before="0" w:after="283"/>
              <w:jc w:val="left"/>
              <w:rPr>
                <w:sz w:val="4"/>
                <w:szCs w:val="4"/>
              </w:rPr>
            </w:pPr>
            <w:r>
              <w:rPr>
                <w:sz w:val="4"/>
                <w:szCs w:val="4"/>
              </w:rPr>
            </w:r>
          </w:p>
        </w:tc>
      </w:tr>
      <w:tr>
        <w:trPr/>
        <w:tc>
          <w:tcPr>
            <w:tcW w:w="22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2024</w:t>
            </w:r>
          </w:p>
        </w:tc>
        <w:tc>
          <w:tcPr>
            <w:tcW w:w="3900" w:type="dxa"/>
            <w:gridSpan w:val="16"/>
            <w:tcBorders/>
          </w:tcPr>
          <w:p>
            <w:pPr>
              <w:pStyle w:val="TableContents"/>
              <w:bidi w:val="0"/>
              <w:spacing w:before="0" w:after="283"/>
              <w:jc w:val="left"/>
              <w:rPr>
                <w:sz w:val="4"/>
                <w:szCs w:val="4"/>
              </w:rPr>
            </w:pPr>
            <w:r>
              <w:rPr>
                <w:sz w:val="4"/>
                <w:szCs w:val="4"/>
              </w:rPr>
            </w:r>
          </w:p>
        </w:tc>
      </w:tr>
      <w:tr>
        <w:trPr/>
        <w:tc>
          <w:tcPr>
            <w:tcW w:w="2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Fair Value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Carrying Value</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Fair Value</w:t>
            </w:r>
          </w:p>
        </w:tc>
      </w:tr>
      <w:tr>
        <w:trPr/>
        <w:tc>
          <w:tcPr>
            <w:tcW w:w="2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Financial Assets</w:t>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22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2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Installment notes receivable on manufactured homes, net</w:t>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2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Notes receivable from real estate developers and operators</w:t>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148.5 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148.5 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Collateralized receivables, net</w:t>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Derivative assets</w:t>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Assets Measured at Fair Value</w:t>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267.6 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299.9 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299.9 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2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Financial Liabilities</w:t>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Mortgage loans payable</w:t>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2,440.4 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3,212.2 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2,952.4 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Secured borrowings on collateralized receivables</w:t>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secured debt</w:t>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2,485.8 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2,278.3 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3,263.4 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3,003.6 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Unsecured debt</w:t>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Senior unsecured notes</w:t>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1,785.9 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2,676.3 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2,476.8 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Line of credit</w:t>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1,413.1 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1,413.1 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unsecured debt</w:t>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1,785.9 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1,667.4 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4,089.4 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3,889.9 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2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Derivative liabilities</w:t>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financial liabilities (contingent consideration)</w:t>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Liabilities Measured at Fair Value</w:t>
            </w:r>
          </w:p>
        </w:tc>
        <w:tc>
          <w:tcPr>
            <w:tcW w:w="109" w:type="dxa"/>
            <w:tcBorders/>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4,282.9 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3,956.9 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7,365.4 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6,906.1 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65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1"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utilize fair value measurements to record fair value adjustments to certain assets and liabilities and to determine fair value disclosures. The following methods and assumptions were used in order to estimate the fair value of each class of financial instruments for which it is practicable to estimate that value:</w:t>
      </w:r>
    </w:p>
    <w:tbl>
      <w:tblPr>
        <w:tblW w:w="125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Installment Notes Receivable on Manufactured Homes and Collateralized Receivables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Installment notes receivable on manufactured homes and collateralized receivables are recorded at fair value and are measured using model-derived indicative pricing using primarily unobservable inputs, inclusive of default rates, interest rates and recovery rates (Level 3). Refer to Note 6, "Notes and Other Receivables," and Note 7, "Collateralized Receivables and Transfers of Financial Assets,"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Notes Receivable from Real Estate Developers and Operators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Notes receivable from real estate developers and operators are recorded at fair value and are measured using model-derived indicative pricing using primarily unobservable inputs including interest rates and counterparty performance (Level 3). The carrying values of the notes generally approximate their fair market values either due to the nature of the note and / or the note being secured primarily by underlying real estate and other collateral and / or personal guarantees. Refer to Note 6, "Notes and Other Receivables,"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Derivative Assets and Liabilities - Interest Rate Derivatives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rate derivatives are recorded at fair value and consist of interest rate swaps and forward swaps. The fair value of these financial instruments are measured using observable inputs based on the SOFR and SONIA Rates, respectively (Level 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Secured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Secured debt consists primarily of our mortgage term loans. The fair value of mortgage term loans is based on management estimates and on rates currently quoted, rates currently prevailing for comparable loans and instruments of comparable maturities (Level 2). Refer to Note 10, "Debt and Line of Credit," for additional information.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672465"/>
                <wp:effectExtent l="0" t="0" r="0" b="0"/>
                <wp:wrapNone/>
                <wp:docPr id="32" name="Frame31"/>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Secured borrowings on collateralized receivables - recorded at fair value and adjusted based on the same interest rates as the related collateralized receivables (Level 3). Refer to Note 7, "Collateralized Receivables and Transfers of Financial Assets," and Note 10, "Debt and Line of Credit,"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Unsecured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Senior unsecured notes - the fair value of senior unsecured notes is based on the estimates of management and on rates currently quoted, rates currently prevailing for comparable loans and instruments of comparable maturities (Level 2). Refer to Note 10, "Debt and Line of Credit,"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Other Financial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estimate the fair value of contingent consideration liabilities based on valuation models using significant unobservable inputs that generally consider discounting of future cash flows using market interest rates and adjusting for non-performance risk over the remaining term of the liability (Level 3).</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Level 3 Reconciliation, Measurements, and Transfers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review the fair value hierarchy classifications each reporting period. Changes in the observability of the valuation attributes may result in a reclassification of certain financial assets or liabilities. Such reclassifications are reported as transfers in and out of Level 3 at the beginning fair value for the reporting period in which the changes occur. Availability of secondary market activity and consistency of pricing from third-party sources impacts our ability to classify securities as Level 2 or Level 3. There were no transfers into or out of Level 3 during the nine months ended September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changes to our financial instruments carried at fair value and classified within Level 3 of the fair value hierarchy for the three and nine months ended September 30, 2025 and 2024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81"/>
        <w:gridCol w:w="310"/>
        <w:gridCol w:w="314"/>
        <w:gridCol w:w="109"/>
        <w:gridCol w:w="109"/>
        <w:gridCol w:w="109"/>
        <w:gridCol w:w="230"/>
        <w:gridCol w:w="655"/>
        <w:gridCol w:w="129"/>
        <w:gridCol w:w="109"/>
        <w:gridCol w:w="109"/>
        <w:gridCol w:w="109"/>
        <w:gridCol w:w="273"/>
        <w:gridCol w:w="648"/>
        <w:gridCol w:w="152"/>
        <w:gridCol w:w="109"/>
        <w:gridCol w:w="109"/>
        <w:gridCol w:w="109"/>
        <w:gridCol w:w="300"/>
        <w:gridCol w:w="713"/>
        <w:gridCol w:w="167"/>
        <w:gridCol w:w="109"/>
        <w:gridCol w:w="109"/>
        <w:gridCol w:w="109"/>
        <w:gridCol w:w="109"/>
        <w:gridCol w:w="109"/>
        <w:gridCol w:w="257"/>
        <w:gridCol w:w="613"/>
        <w:gridCol w:w="145"/>
        <w:gridCol w:w="109"/>
        <w:gridCol w:w="109"/>
        <w:gridCol w:w="109"/>
        <w:gridCol w:w="244"/>
        <w:gridCol w:w="693"/>
        <w:gridCol w:w="137"/>
        <w:gridCol w:w="109"/>
        <w:gridCol w:w="109"/>
        <w:gridCol w:w="109"/>
        <w:gridCol w:w="300"/>
        <w:gridCol w:w="713"/>
        <w:gridCol w:w="167"/>
        <w:gridCol w:w="109"/>
        <w:gridCol w:w="109"/>
        <w:gridCol w:w="166"/>
      </w:tblGrid>
      <w:tr>
        <w:trPr/>
        <w:tc>
          <w:tcPr>
            <w:tcW w:w="48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2" w:type="dxa"/>
            <w:gridSpan w:val="2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6"/>
            <w:tcBorders/>
          </w:tcPr>
          <w:p>
            <w:pPr>
              <w:pStyle w:val="TableContents"/>
              <w:bidi w:val="0"/>
              <w:spacing w:before="0" w:after="283"/>
              <w:jc w:val="left"/>
              <w:rPr>
                <w:sz w:val="4"/>
                <w:szCs w:val="4"/>
              </w:rPr>
            </w:pPr>
            <w:r>
              <w:rPr>
                <w:sz w:val="4"/>
                <w:szCs w:val="4"/>
              </w:rPr>
            </w:r>
          </w:p>
        </w:tc>
      </w:tr>
      <w:tr>
        <w:trPr/>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2"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6"/>
            <w:tcBorders/>
          </w:tcPr>
          <w:p>
            <w:pPr>
              <w:pStyle w:val="TableContents"/>
              <w:bidi w:val="0"/>
              <w:spacing w:before="0" w:after="283"/>
              <w:jc w:val="left"/>
              <w:rPr>
                <w:sz w:val="4"/>
                <w:szCs w:val="4"/>
              </w:rPr>
            </w:pPr>
            <w:r>
              <w:rPr>
                <w:sz w:val="4"/>
                <w:szCs w:val="4"/>
              </w:rPr>
            </w:r>
          </w:p>
        </w:tc>
      </w:tr>
      <w:tr>
        <w:trPr/>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Installment Notes Receivable on MH,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Notes Receivable From Real Estate Developers and Operators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Collateralized Receivables,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Installment Notes Receivable on MH,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Notes Receivable From Real Estate Developers and Operators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Collateralized Receivables, net</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Level 3 beginning balance at June 30, 2025 and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116.3 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93.1 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54.5 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131.3 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r>
      <w:tr>
        <w:trPr/>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Realized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1"/>
              </w:rPr>
            </w:pPr>
            <w:r>
              <w:rPr>
                <w:rFonts w:ascii="Times New Roman;serif" w:hAnsi="Times New Roman;serif"/>
                <w:b w:val="false"/>
                <w:color w:val="000000"/>
                <w:sz w:val="11"/>
              </w:rPr>
              <w:t>(2)</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1"/>
              </w:rPr>
            </w:pPr>
            <w:r>
              <w:rPr>
                <w:rFonts w:ascii="Times New Roman;serif" w:hAnsi="Times New Roman;serif"/>
                <w:b w:val="false"/>
                <w:color w:val="000000"/>
                <w:sz w:val="11"/>
              </w:rPr>
              <w:t>(1)</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1"/>
              </w:rPr>
            </w:pPr>
            <w:r>
              <w:rPr>
                <w:rFonts w:ascii="Times New Roman;serif" w:hAnsi="Times New Roman;serif"/>
                <w:b w:val="false"/>
                <w:color w:val="000000"/>
                <w:sz w:val="11"/>
              </w:rPr>
              <w:t>(2)</w:t>
            </w:r>
          </w:p>
        </w:tc>
      </w:tr>
      <w:tr>
        <w:trPr/>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Purchases and 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Sales and 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Dispositions of properties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Foreign currency exchange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Level 3 ending balance at September 30, 2025 and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129.2 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92.4 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45.4 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73.7 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139.1 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52.8 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Recorded within Gain / (loss) on remeasurement of notes receivable on the Consolidated Statements of Operations.</w:t>
      </w:r>
    </w:p>
    <w:p>
      <w:pPr>
        <w:pStyle w:val="TextBody"/>
        <w:bidi w:val="0"/>
        <w:spacing w:lineRule="auto" w:line="288" w:before="0" w:after="0"/>
        <w:ind w:left="0" w:right="0" w:hanging="18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Recorded within Other income / (expense), net on the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672465"/>
                <wp:effectExtent l="0" t="0" r="0" b="0"/>
                <wp:wrapNone/>
                <wp:docPr id="33" name="Frame32"/>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498"/>
        <w:gridCol w:w="326"/>
        <w:gridCol w:w="331"/>
        <w:gridCol w:w="109"/>
        <w:gridCol w:w="109"/>
        <w:gridCol w:w="109"/>
        <w:gridCol w:w="236"/>
        <w:gridCol w:w="672"/>
        <w:gridCol w:w="133"/>
        <w:gridCol w:w="109"/>
        <w:gridCol w:w="109"/>
        <w:gridCol w:w="109"/>
        <w:gridCol w:w="254"/>
        <w:gridCol w:w="721"/>
        <w:gridCol w:w="142"/>
        <w:gridCol w:w="109"/>
        <w:gridCol w:w="109"/>
        <w:gridCol w:w="109"/>
        <w:gridCol w:w="303"/>
        <w:gridCol w:w="722"/>
        <w:gridCol w:w="170"/>
        <w:gridCol w:w="109"/>
        <w:gridCol w:w="109"/>
        <w:gridCol w:w="109"/>
        <w:gridCol w:w="263"/>
        <w:gridCol w:w="629"/>
        <w:gridCol w:w="149"/>
        <w:gridCol w:w="109"/>
        <w:gridCol w:w="109"/>
        <w:gridCol w:w="109"/>
        <w:gridCol w:w="254"/>
        <w:gridCol w:w="721"/>
        <w:gridCol w:w="142"/>
        <w:gridCol w:w="109"/>
        <w:gridCol w:w="109"/>
        <w:gridCol w:w="109"/>
        <w:gridCol w:w="303"/>
        <w:gridCol w:w="722"/>
        <w:gridCol w:w="170"/>
        <w:gridCol w:w="109"/>
        <w:gridCol w:w="109"/>
        <w:gridCol w:w="164"/>
      </w:tblGrid>
      <w:tr>
        <w:trPr/>
        <w:tc>
          <w:tcPr>
            <w:tcW w:w="49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Nine Months Ended</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2024</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Installment Notes Receivable on MH,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Notes Receivable From Real Estate Developers and Operators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Collateralized Receivables,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Installment Notes Receivable on MH,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Notes Receivable From Real Estate Developers and Operators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Collateralized Receivables, net</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Level 3 beginning balance at December 31, 2024 and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148.5 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134.5 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82"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Realized gains /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1"/>
              </w:rPr>
            </w:pPr>
            <w:r>
              <w:rPr>
                <w:rFonts w:ascii="Times New Roman;serif" w:hAnsi="Times New Roman;serif"/>
                <w:b w:val="false"/>
                <w:color w:val="000000"/>
                <w:sz w:val="11"/>
              </w:rPr>
              <w:t>(1)</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1"/>
              </w:rPr>
            </w:pPr>
            <w:r>
              <w:rPr>
                <w:rFonts w:ascii="Times New Roman;serif" w:hAnsi="Times New Roman;serif"/>
                <w:b w:val="false"/>
                <w:color w:val="000000"/>
                <w:sz w:val="11"/>
              </w:rPr>
              <w:t>(2)</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1"/>
              </w:rPr>
            </w:pPr>
            <w:r>
              <w:rPr>
                <w:rFonts w:ascii="Times New Roman;serif" w:hAnsi="Times New Roman;serif"/>
                <w:b w:val="false"/>
                <w:color w:val="000000"/>
                <w:sz w:val="11"/>
              </w:rPr>
              <w:t>(1)</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1"/>
              </w:rPr>
            </w:pPr>
            <w:r>
              <w:rPr>
                <w:rFonts w:ascii="Times New Roman;serif" w:hAnsi="Times New Roman;serif"/>
                <w:b w:val="false"/>
                <w:color w:val="000000"/>
                <w:sz w:val="11"/>
              </w:rPr>
              <w:t>(1)</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1"/>
              </w:rPr>
            </w:pPr>
            <w:r>
              <w:rPr>
                <w:rFonts w:ascii="Times New Roman;serif" w:hAnsi="Times New Roman;serif"/>
                <w:b w:val="false"/>
                <w:color w:val="000000"/>
                <w:sz w:val="11"/>
              </w:rPr>
              <w:t>(2)</w:t>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Purchases and 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Sales and 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Dispositions of properties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82" w:type="dxa"/>
            <w:gridSpan w:val="3"/>
            <w:tcBorders/>
            <w:vAlign w:val="center"/>
          </w:tcPr>
          <w:p>
            <w:pPr>
              <w:pStyle w:val="TableContents"/>
              <w:bidi w:val="0"/>
              <w:spacing w:before="0" w:after="283"/>
              <w:jc w:val="left"/>
              <w:rPr>
                <w:sz w:val="4"/>
                <w:szCs w:val="4"/>
              </w:rPr>
            </w:pPr>
            <w:r>
              <w:rPr>
                <w:sz w:val="4"/>
                <w:szCs w:val="4"/>
              </w:rPr>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Foreign currency exchange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Other adjustments</w:t>
            </w:r>
            <w:r>
              <w:rPr>
                <w:rFonts w:ascii="Times New Roman;serif" w:hAnsi="Times New Roman;serif"/>
                <w:b w:val="false"/>
                <w:color w:val="000000"/>
                <w:sz w:val="11"/>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Level 3 ending balance at September 30, 2025 and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129.2 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92.4 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45.4 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73.7 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139.1 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52.8 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Recorded within Gain / (loss) on remeasurement of notes receivable on the Consolidated Statements of Operations.</w:t>
      </w:r>
    </w:p>
    <w:p>
      <w:pPr>
        <w:pStyle w:val="TextBody"/>
        <w:bidi w:val="0"/>
        <w:spacing w:lineRule="auto" w:line="288" w:before="0" w:after="0"/>
        <w:ind w:left="0" w:right="0" w:hanging="18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Recorded within Other income / (expense), net on the Consolidated Statements of Operations.</w:t>
      </w:r>
    </w:p>
    <w:p>
      <w:pPr>
        <w:pStyle w:val="TextBody"/>
        <w:bidi w:val="0"/>
        <w:spacing w:before="0" w:after="0"/>
        <w:ind w:left="0" w:right="0" w:hanging="180"/>
        <w:jc w:val="both"/>
        <w:rPr/>
      </w:pPr>
      <w:r>
        <w:rPr/>
      </w:r>
    </w:p>
    <w:tbl>
      <w:tblPr>
        <w:tblW w:w="10205" w:type="dxa"/>
        <w:jc w:val="left"/>
        <w:tblInd w:w="0" w:type="dxa"/>
        <w:tblLayout w:type="fixed"/>
        <w:tblCellMar>
          <w:top w:w="28" w:type="dxa"/>
          <w:left w:w="28" w:type="dxa"/>
          <w:bottom w:w="28" w:type="dxa"/>
          <w:right w:w="28" w:type="dxa"/>
        </w:tblCellMar>
      </w:tblPr>
      <w:tblGrid>
        <w:gridCol w:w="788"/>
        <w:gridCol w:w="615"/>
        <w:gridCol w:w="617"/>
        <w:gridCol w:w="109"/>
        <w:gridCol w:w="109"/>
        <w:gridCol w:w="109"/>
        <w:gridCol w:w="507"/>
        <w:gridCol w:w="1206"/>
        <w:gridCol w:w="283"/>
        <w:gridCol w:w="109"/>
        <w:gridCol w:w="109"/>
        <w:gridCol w:w="109"/>
        <w:gridCol w:w="390"/>
        <w:gridCol w:w="808"/>
        <w:gridCol w:w="219"/>
        <w:gridCol w:w="109"/>
        <w:gridCol w:w="109"/>
        <w:gridCol w:w="109"/>
        <w:gridCol w:w="507"/>
        <w:gridCol w:w="1206"/>
        <w:gridCol w:w="283"/>
        <w:gridCol w:w="109"/>
        <w:gridCol w:w="109"/>
        <w:gridCol w:w="109"/>
        <w:gridCol w:w="351"/>
        <w:gridCol w:w="834"/>
        <w:gridCol w:w="283"/>
      </w:tblGrid>
      <w:tr>
        <w:trPr/>
        <w:tc>
          <w:tcPr>
            <w:tcW w:w="78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r>
      <w:tr>
        <w:trPr/>
        <w:tc>
          <w:tcPr>
            <w:tcW w:w="2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2024</w:t>
            </w:r>
          </w:p>
        </w:tc>
      </w:tr>
      <w:tr>
        <w:trPr/>
        <w:tc>
          <w:tcPr>
            <w:tcW w:w="20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Secured Borrowing on Collateralized Receivables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Contingent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Secured Borrowing on Collateralized Receivables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Contingent Consideration</w:t>
            </w:r>
          </w:p>
        </w:tc>
      </w:tr>
      <w:tr>
        <w:trPr/>
        <w:tc>
          <w:tcPr>
            <w:tcW w:w="20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Level 3 beginning balance June 30, 2025 and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46.6 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54.3 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11.3 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2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Realized losses</w:t>
            </w:r>
            <w:r>
              <w:rPr>
                <w:rFonts w:ascii="Times New Roman;serif" w:hAnsi="Times New Roman;serif"/>
                <w:b w:val="false"/>
                <w:color w:val="000000"/>
                <w:sz w:val="11"/>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Purchases and 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Sales and 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Dispositions of properties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Level 3 ending balance at September 30, 2025 and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45.4 </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52.8 </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11.3 </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Recorded within Other income / (expense), net on the Consolidated Statements of Operations.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91"/>
        <w:gridCol w:w="617"/>
        <w:gridCol w:w="620"/>
        <w:gridCol w:w="109"/>
        <w:gridCol w:w="109"/>
        <w:gridCol w:w="109"/>
        <w:gridCol w:w="506"/>
        <w:gridCol w:w="1204"/>
        <w:gridCol w:w="283"/>
        <w:gridCol w:w="109"/>
        <w:gridCol w:w="109"/>
        <w:gridCol w:w="109"/>
        <w:gridCol w:w="359"/>
        <w:gridCol w:w="855"/>
        <w:gridCol w:w="201"/>
        <w:gridCol w:w="109"/>
        <w:gridCol w:w="109"/>
        <w:gridCol w:w="109"/>
        <w:gridCol w:w="506"/>
        <w:gridCol w:w="1204"/>
        <w:gridCol w:w="283"/>
        <w:gridCol w:w="109"/>
        <w:gridCol w:w="109"/>
        <w:gridCol w:w="109"/>
        <w:gridCol w:w="350"/>
        <w:gridCol w:w="833"/>
        <w:gridCol w:w="285"/>
      </w:tblGrid>
      <w:tr>
        <w:trPr/>
        <w:tc>
          <w:tcPr>
            <w:tcW w:w="79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2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Nine Months Ended</w:t>
            </w:r>
          </w:p>
        </w:tc>
      </w:tr>
      <w:tr>
        <w:trPr/>
        <w:tc>
          <w:tcPr>
            <w:tcW w:w="2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2024</w:t>
            </w:r>
          </w:p>
        </w:tc>
      </w:tr>
      <w:tr>
        <w:trPr/>
        <w:tc>
          <w:tcPr>
            <w:tcW w:w="2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Secured Borrowing on Collateralized Receivables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Contingent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Secured Borrowing on Collateralized Receivables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Contingent Consideration</w:t>
            </w:r>
          </w:p>
        </w:tc>
      </w:tr>
      <w:tr>
        <w:trPr/>
        <w:tc>
          <w:tcPr>
            <w:tcW w:w="20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Level 3 beginning balance December 31, 2024 and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51.2 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11.3 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55.8 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11.3 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20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Realized (gains) / losses</w:t>
            </w:r>
            <w:r>
              <w:rPr>
                <w:rFonts w:ascii="Times New Roman;serif" w:hAnsi="Times New Roman;serif"/>
                <w:b w:val="false"/>
                <w:color w:val="000000"/>
                <w:sz w:val="11"/>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Purchases and 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Sales and 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Dispositions of properties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Level 3 ending balance at September 30, 2025 and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45.4 </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52.8 </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11.3 </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Recorded within Other income / (expense), net on the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2025, we recorded a contingent consideration expense of $14.6 million related to a tax protection agreement that we entered into with former owners of certain Marina properties at the time of acquisition. During the three months ended September 30, 2025, we disbursed settlement payments of $5.0 million to former owners, with a remaining liability balance of $9.6 million as of September 30, 2025. Refer to Note 2, "Assets Held for Sale and Discontinued Operations" for additional information.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672465"/>
                <wp:effectExtent l="0" t="0" r="0" b="0"/>
                <wp:wrapNone/>
                <wp:docPr id="34" name="Frame33"/>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Fair Value Measurements on a Nonrecurring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September 30, 2025, assets measured at fair value on a non-recurring basis consisted of real estate assets that have been written down to an estimated fair value for impairment purposes. We review the carrying value of long-lived assets to be held for use for impairment quarterly or whenever events or changes in circumstances indicate a possible impairment. During the nine months ended September 30, 2025, due to a contemplated change in strategic plan for certain assets, as well as a reduction in projected future cash flows and deteriorating NOI trends for certain other assets, we recognized the following asset impairment charges (in millions, except for number of properties):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50"/>
        <w:gridCol w:w="660"/>
        <w:gridCol w:w="668"/>
        <w:gridCol w:w="109"/>
        <w:gridCol w:w="109"/>
        <w:gridCol w:w="109"/>
        <w:gridCol w:w="325"/>
        <w:gridCol w:w="325"/>
        <w:gridCol w:w="327"/>
        <w:gridCol w:w="109"/>
        <w:gridCol w:w="109"/>
        <w:gridCol w:w="109"/>
        <w:gridCol w:w="441"/>
        <w:gridCol w:w="441"/>
        <w:gridCol w:w="442"/>
        <w:gridCol w:w="109"/>
        <w:gridCol w:w="109"/>
        <w:gridCol w:w="109"/>
        <w:gridCol w:w="242"/>
        <w:gridCol w:w="242"/>
        <w:gridCol w:w="243"/>
        <w:gridCol w:w="109"/>
        <w:gridCol w:w="109"/>
        <w:gridCol w:w="109"/>
        <w:gridCol w:w="370"/>
        <w:gridCol w:w="1055"/>
        <w:gridCol w:w="209"/>
        <w:gridCol w:w="109"/>
        <w:gridCol w:w="109"/>
        <w:gridCol w:w="109"/>
        <w:gridCol w:w="437"/>
        <w:gridCol w:w="1040"/>
        <w:gridCol w:w="353"/>
      </w:tblGrid>
      <w:tr>
        <w:trPr/>
        <w:tc>
          <w:tcPr>
            <w:tcW w:w="75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2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Fair Value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Number of Properties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Asset Impairment Charges</w:t>
            </w:r>
            <w:r>
              <w:rPr>
                <w:rFonts w:ascii="Times New Roman;serif" w:hAnsi="Times New Roman;serif"/>
                <w:b/>
                <w:color w:val="000000"/>
                <w:sz w:val="11"/>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Aggregate Estimated Fair Value</w:t>
            </w:r>
          </w:p>
        </w:tc>
      </w:tr>
      <w:tr>
        <w:trPr/>
        <w:tc>
          <w:tcPr>
            <w:tcW w:w="20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Three months ended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1"/>
              </w:rPr>
            </w:pPr>
            <w:r>
              <w:rPr>
                <w:rFonts w:ascii="Times New Roman;serif" w:hAnsi="Times New Roman;serif"/>
                <w:b w:val="false"/>
                <w:color w:val="000000"/>
                <w:sz w:val="11"/>
              </w:rPr>
              <w:t>(2)</w:t>
            </w:r>
          </w:p>
        </w:tc>
        <w:tc>
          <w:tcPr>
            <w:tcW w:w="13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RV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165.0 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22.9 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Three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1"/>
              </w:rPr>
            </w:pPr>
            <w:r>
              <w:rPr>
                <w:rFonts w:ascii="Times New Roman;serif" w:hAnsi="Times New Roman;serif"/>
                <w:b w:val="false"/>
                <w:color w:val="000000"/>
                <w:sz w:val="11"/>
              </w:rPr>
              <w:t>(3)</w:t>
            </w:r>
          </w:p>
        </w:tc>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UK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1"/>
              </w:rPr>
            </w:pPr>
            <w:r>
              <w:rPr>
                <w:rFonts w:ascii="Times New Roman;serif" w:hAnsi="Times New Roman;serif"/>
                <w:b w:val="false"/>
                <w:color w:val="000000"/>
                <w:sz w:val="11"/>
              </w:rPr>
              <w:t>(4)</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Three months ended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1"/>
              </w:rPr>
            </w:pPr>
            <w:r>
              <w:rPr>
                <w:rFonts w:ascii="Times New Roman;serif" w:hAnsi="Times New Roman;serif"/>
                <w:b w:val="false"/>
                <w:color w:val="000000"/>
                <w:sz w:val="11"/>
              </w:rPr>
              <w:t>(3)</w:t>
            </w:r>
          </w:p>
        </w:tc>
        <w:tc>
          <w:tcPr>
            <w:tcW w:w="1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RV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86.4 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Three months ended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1"/>
              </w:rPr>
            </w:pPr>
            <w:r>
              <w:rPr>
                <w:rFonts w:ascii="Times New Roman;serif" w:hAnsi="Times New Roman;serif"/>
                <w:b w:val="false"/>
                <w:color w:val="000000"/>
                <w:sz w:val="11"/>
              </w:rPr>
              <w:t>(5)</w:t>
            </w:r>
          </w:p>
        </w:tc>
        <w:tc>
          <w:tcPr>
            <w:tcW w:w="1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MH / RV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93.4 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Recorded in Asset impairments on the Consolidated Statements of Operations.</w:t>
      </w:r>
    </w:p>
    <w:p>
      <w:pPr>
        <w:pStyle w:val="TextBody"/>
        <w:bidi w:val="0"/>
        <w:spacing w:lineRule="auto" w:line="288" w:before="0" w:after="60"/>
        <w:ind w:left="0" w:right="0" w:hanging="18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The non-recurring fair value measurement was driven by a reduction in projected future cash flows and deteriorating NOI trends for the impaired properties and was determined using an income and market approach. The analysis was based upon market conditions, expectations for future growth and comparable transactions, and utilized unobservable quantitative inputs, including capitalization rates ranging from 9.5% to 10.0% and discount rates ranging from 11.0% to 13.0%.</w:t>
      </w:r>
    </w:p>
    <w:p>
      <w:pPr>
        <w:pStyle w:val="TextBody"/>
        <w:bidi w:val="0"/>
        <w:spacing w:lineRule="auto" w:line="288" w:before="0" w:after="60"/>
        <w:ind w:left="0" w:right="0" w:hanging="180"/>
        <w:jc w:val="both"/>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The non-recurring fair value measurement was driven by our contemplated change in strategic plan for the properties and was determined using an income approach. The fair value methodology included a probability weighted holding period and estimated sale price for the assets based on current market conditions and comparable transactions in the applicable geographic location.</w:t>
      </w:r>
    </w:p>
    <w:p>
      <w:pPr>
        <w:pStyle w:val="TextBody"/>
        <w:bidi w:val="0"/>
        <w:spacing w:lineRule="auto" w:line="288" w:before="0" w:after="60"/>
        <w:ind w:left="0" w:right="0" w:hanging="180"/>
        <w:jc w:val="both"/>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Recorded a deferred tax benefit of $29.5 million in conjunction with the impairment.</w:t>
      </w:r>
    </w:p>
    <w:p>
      <w:pPr>
        <w:pStyle w:val="TextBody"/>
        <w:bidi w:val="0"/>
        <w:spacing w:lineRule="auto" w:line="288" w:before="0" w:after="0"/>
        <w:ind w:left="0" w:right="0" w:hanging="180"/>
        <w:jc w:val="both"/>
        <w:rPr/>
      </w:pPr>
      <w:r>
        <w:rPr>
          <w:rFonts w:ascii="Times New Roman;serif" w:hAnsi="Times New Roman;serif"/>
          <w:b w:val="false"/>
          <w:color w:val="000000"/>
          <w:sz w:val="10"/>
        </w:rPr>
        <w:t>(5)</w:t>
      </w:r>
      <w:r>
        <w:rPr>
          <w:color w:val="000000"/>
        </w:rPr>
        <w:t xml:space="preserve"> </w:t>
      </w:r>
      <w:r>
        <w:rPr>
          <w:rFonts w:ascii="Times New Roman;serif" w:hAnsi="Times New Roman;serif"/>
          <w:b w:val="false"/>
          <w:color w:val="000000"/>
          <w:sz w:val="16"/>
        </w:rPr>
        <w:t>The fair value measurement was driven by pre-construction development costs and determined by estimating discounted cash flows based on the expectation that the development projects are no longer probable of being realized.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Although we have determined the estimated fair value amounts using available market information and commonly accepted valuation methodologies, considerable judgment is required in interpreting market data to develop fair value estimates. The fair value estimates are based on information available as of September 30, 2025. As such, our estimates of fair value could differ significantly from the actual carrying value.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both"/>
        <w:rPr>
          <w:rFonts w:ascii="Times New Roman;serif" w:hAnsi="Times New Roman;serif"/>
          <w:b/>
          <w:color w:val="000000"/>
          <w:sz w:val="20"/>
        </w:rPr>
      </w:pPr>
      <w:r>
        <w:rPr>
          <w:rFonts w:ascii="Times New Roman;serif" w:hAnsi="Times New Roman;serif"/>
          <w:b/>
          <w:color w:val="000000"/>
          <w:sz w:val="20"/>
        </w:rPr>
        <w:t>18. Commitments and Contingencies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Legal Proceedings - Class Action Litigation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Since August 31, 2023, several putative class action complaints have been filed in the U.S. District Court for the Northern District of Illinois, Eastern Division, against Datacomp Appraisal Systems, Inc., us, and nine other large MH operators in the U.S. The complaint alleges that the defendants have violated federal antitrust laws by sharing and receiving competitively sensitive non-public information to maintain artificially high site rents. The complaints have been consolidated into the case captioned </w:t>
      </w:r>
      <w:r>
        <w:rPr>
          <w:rFonts w:ascii="Times New Roman;serif" w:hAnsi="Times New Roman;serif"/>
          <w:b w:val="false"/>
          <w:i/>
          <w:color w:val="000000"/>
          <w:sz w:val="20"/>
        </w:rPr>
        <w:t>In re Manufactured Home Lot Rents Antitrust Litigation, No. 1:23-cv-06715.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Plaintiffs seek both injunctive and monetary damages, as well as attorneys' fees. We are unable to estimate a range of loss, if any, that could result were there to be an adverse final decision in this litigation. If an unfavorable result were to occur, it is possible that the impact could be material to our results of operations in the periods in which any such outcome becomes probable and estimable.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that the plaintiffs' allegations are without merit and intend to defend against them vigorously. However, litigation is inherently uncertain and there can be no assurance regarding the likelihood that our defense of this litigation will be successful.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Other Legal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involved in various other legal proceedings arising in the ordinary course of business. All such proceedings, taken together, are not expected to have a material adverse impact on our results of operations or financial condition.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672465"/>
                <wp:effectExtent l="0" t="0" r="0" b="0"/>
                <wp:wrapNone/>
                <wp:docPr id="35" name="Frame34"/>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Catastrophic Event-Related Charges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Hurricanes Helene and Milton - </w:t>
      </w:r>
      <w:r>
        <w:rPr>
          <w:rFonts w:ascii="Times New Roman;serif" w:hAnsi="Times New Roman;serif"/>
          <w:b w:val="false"/>
          <w:color w:val="000000"/>
          <w:sz w:val="20"/>
        </w:rPr>
        <w:t>In September and October 2024, Hurricane Helene and Hurricane Milton, respectively, made landfall in Florida and subsequently impacted several of our properties in the Southeastern and Mid-Atlantic region of the U.S. Estimated property insurance recoveries, excluding business interruption recoveries, of $39.5 million related to Hurricane Helene and Hurricane Milton, were recorded in Notes and other receivables, net, on the Consolidated Balance Sheets as of September 30, 2025. The table below sets forth changes in estimated property insurance recoveries, excluding business interruption recoveries (in millions):</w:t>
      </w:r>
    </w:p>
    <w:p>
      <w:pPr>
        <w:pStyle w:val="TextBody"/>
        <w:bidi w:val="0"/>
        <w:spacing w:before="0" w:after="0"/>
        <w:jc w:val="both"/>
        <w:rPr/>
      </w:pPr>
      <w:r>
        <w:rPr/>
      </w:r>
    </w:p>
    <w:tbl>
      <w:tblPr>
        <w:tblW w:w="6101" w:type="dxa"/>
        <w:jc w:val="left"/>
        <w:tblInd w:w="0" w:type="dxa"/>
        <w:tblLayout w:type="fixed"/>
        <w:tblCellMar>
          <w:top w:w="28" w:type="dxa"/>
          <w:left w:w="28" w:type="dxa"/>
          <w:bottom w:w="28" w:type="dxa"/>
          <w:right w:w="28" w:type="dxa"/>
        </w:tblCellMar>
      </w:tblPr>
      <w:tblGrid>
        <w:gridCol w:w="1515"/>
        <w:gridCol w:w="1330"/>
        <w:gridCol w:w="1339"/>
        <w:gridCol w:w="109"/>
        <w:gridCol w:w="109"/>
        <w:gridCol w:w="109"/>
        <w:gridCol w:w="382"/>
        <w:gridCol w:w="908"/>
        <w:gridCol w:w="300"/>
      </w:tblGrid>
      <w:tr>
        <w:trPr/>
        <w:tc>
          <w:tcPr>
            <w:tcW w:w="1515"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Nine Months Ended</w:t>
              <w:br/>
              <w:t>September 30, 2025</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estimated insurance receivable -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16.7 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Change in estimated property insurance recoveries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33.4 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received from insurer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Total estimated insurance receivable -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39.5 </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Hurricane Ian - </w:t>
      </w:r>
      <w:r>
        <w:rPr>
          <w:rFonts w:ascii="Times New Roman;serif" w:hAnsi="Times New Roman;serif"/>
          <w:b w:val="false"/>
          <w:color w:val="000000"/>
          <w:sz w:val="20"/>
        </w:rPr>
        <w:t>In September 2022, Hurricane Ian primarily affected three RV properties in the Fort Myers area, comprising approximately 2,500 sites. We maintain property, casualty, flood, and business interruption insurance for our community portfolio, subject to customary deductibles and limits.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Estimated property insurance recoveries of $11.3 million related to Hurricane Ian, were recorded in Notes and other receivables, net, on the Consolidated Balance Sheets as of September 30, 2025. The table below sets forth changes in estimated property insurance recoveries, excluding business interruption recoveries (in millions):</w:t>
      </w:r>
    </w:p>
    <w:p>
      <w:pPr>
        <w:pStyle w:val="TextBody"/>
        <w:bidi w:val="0"/>
        <w:spacing w:before="0" w:after="0"/>
        <w:jc w:val="both"/>
        <w:rPr/>
      </w:pPr>
      <w:r>
        <w:rPr/>
      </w:r>
    </w:p>
    <w:tbl>
      <w:tblPr>
        <w:tblW w:w="6101" w:type="dxa"/>
        <w:jc w:val="left"/>
        <w:tblInd w:w="0" w:type="dxa"/>
        <w:tblLayout w:type="fixed"/>
        <w:tblCellMar>
          <w:top w:w="28" w:type="dxa"/>
          <w:left w:w="28" w:type="dxa"/>
          <w:bottom w:w="28" w:type="dxa"/>
          <w:right w:w="28" w:type="dxa"/>
        </w:tblCellMar>
      </w:tblPr>
      <w:tblGrid>
        <w:gridCol w:w="1515"/>
        <w:gridCol w:w="1330"/>
        <w:gridCol w:w="1339"/>
        <w:gridCol w:w="109"/>
        <w:gridCol w:w="109"/>
        <w:gridCol w:w="109"/>
        <w:gridCol w:w="382"/>
        <w:gridCol w:w="908"/>
        <w:gridCol w:w="300"/>
      </w:tblGrid>
      <w:tr>
        <w:trPr/>
        <w:tc>
          <w:tcPr>
            <w:tcW w:w="1515"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Nine Months Ended</w:t>
              <w:br/>
              <w:t>September 30, 2025</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estimated insurance receivable -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49.2 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Change in estimated property insurance recoveries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received from insurer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(39.3)</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Total estimated insurance receivable -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11.3 </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actively working with our insurance providers on claims for business interruption recoveries. During the nine months ended September 30, 2025 we received and recognized $10.7 million, net of deductibles, as business interruption recoveries for lost earnings from Hurricane Ian. The related communities are under redevelopment and we have gradually started to lease developed sites at these communities to customers. However, we currently cannot estimate a date when operating results will be restored to pre-hurricane levels. Our business interruption insurance policy provides for up to 60 months of coverage from the date of restoration.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Other - </w:t>
      </w:r>
      <w:r>
        <w:rPr>
          <w:rFonts w:ascii="Times New Roman;serif" w:hAnsi="Times New Roman;serif"/>
          <w:b w:val="false"/>
          <w:color w:val="000000"/>
          <w:sz w:val="20"/>
        </w:rPr>
        <w:t>In December 2023, one of our RV properties with approximately 300 sites sustained property damage due to heavy rainfall and flooding in the North Conway, New Hampshire area. During the year ended December 31, 2024, we recognized incremental charges of $12.0 million related to the impacted property, comprised of $3.1 million for impaired assets and $8.9 million for debris removal, cleanup, and repairs. We received $6.4 million in insurance proceeds during the year ended December 31, 2024 related to the flood event. The charges and related proceeds were recorded within Catastrophic event-related charges, net in our Consolidated Statements of Operations. The foregoing estimates are based on current information available after the preliminary review of the damages incurred. Actual charges and insurance recoveries could differ from these estimates. Any changes to these estimates will be recognized in the period(s) in which they are determined.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estimates are based on current information available, and we continue to assess these estimates. Actual charges and insurance recoveries could vary significantly from these estimates. Any changes to these estimates will be recognized in the period(s) in which they are determined.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19. Leases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Lessee Accounting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lease land under non-cancelable operating leases at certain MH, RV, and UK properties expiring at various dates through 2100. The majority of the leases have terms requiring fixed payments plus additional rents based on a percentage of revenues at those properties. We also have other operating leases, primarily office space and equipment expiring at various dates through 2042.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672465"/>
                <wp:effectExtent l="0" t="0" r="0" b="0"/>
                <wp:wrapNone/>
                <wp:docPr id="36" name="Frame35"/>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Future minimum lease payments under non-cancellable leases as of September 30, 2025 where we are the lessee include (in millions):</w:t>
      </w:r>
    </w:p>
    <w:p>
      <w:pPr>
        <w:pStyle w:val="TextBody"/>
        <w:bidi w:val="0"/>
        <w:spacing w:before="0" w:after="0"/>
        <w:jc w:val="both"/>
        <w:rPr/>
      </w:pPr>
      <w:r>
        <w:rPr/>
      </w:r>
    </w:p>
    <w:tbl>
      <w:tblPr>
        <w:tblW w:w="8590" w:type="dxa"/>
        <w:jc w:val="left"/>
        <w:tblInd w:w="0" w:type="dxa"/>
        <w:tblLayout w:type="fixed"/>
        <w:tblCellMar>
          <w:top w:w="28" w:type="dxa"/>
          <w:left w:w="28" w:type="dxa"/>
          <w:bottom w:w="28" w:type="dxa"/>
          <w:right w:w="28" w:type="dxa"/>
        </w:tblCellMar>
      </w:tblPr>
      <w:tblGrid>
        <w:gridCol w:w="1504"/>
        <w:gridCol w:w="1322"/>
        <w:gridCol w:w="1328"/>
        <w:gridCol w:w="109"/>
        <w:gridCol w:w="109"/>
        <w:gridCol w:w="109"/>
        <w:gridCol w:w="301"/>
        <w:gridCol w:w="716"/>
        <w:gridCol w:w="167"/>
        <w:gridCol w:w="109"/>
        <w:gridCol w:w="109"/>
        <w:gridCol w:w="109"/>
        <w:gridCol w:w="346"/>
        <w:gridCol w:w="825"/>
        <w:gridCol w:w="194"/>
        <w:gridCol w:w="109"/>
        <w:gridCol w:w="109"/>
        <w:gridCol w:w="109"/>
        <w:gridCol w:w="196"/>
        <w:gridCol w:w="556"/>
        <w:gridCol w:w="154"/>
      </w:tblGrid>
      <w:tr>
        <w:trPr/>
        <w:tc>
          <w:tcPr>
            <w:tcW w:w="1504"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Maturity of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r>
      <w:tr>
        <w:trPr/>
        <w:tc>
          <w:tcPr>
            <w:tcW w:w="4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2025 (excluding nine months ended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99.7 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10.5 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40.3 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Right-of-use ("ROU") assets and lease liabilities for finance and operating leases as included in our Consolidated Balance Sheets are as follows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13"/>
        <w:gridCol w:w="1157"/>
        <w:gridCol w:w="1162"/>
        <w:gridCol w:w="109"/>
        <w:gridCol w:w="109"/>
        <w:gridCol w:w="109"/>
        <w:gridCol w:w="769"/>
        <w:gridCol w:w="769"/>
        <w:gridCol w:w="770"/>
        <w:gridCol w:w="109"/>
        <w:gridCol w:w="109"/>
        <w:gridCol w:w="109"/>
        <w:gridCol w:w="361"/>
        <w:gridCol w:w="859"/>
        <w:gridCol w:w="202"/>
        <w:gridCol w:w="109"/>
        <w:gridCol w:w="109"/>
        <w:gridCol w:w="109"/>
        <w:gridCol w:w="109"/>
        <w:gridCol w:w="109"/>
        <w:gridCol w:w="109"/>
        <w:gridCol w:w="109"/>
        <w:gridCol w:w="340"/>
        <w:gridCol w:w="812"/>
        <w:gridCol w:w="274"/>
      </w:tblGrid>
      <w:tr>
        <w:trPr/>
        <w:tc>
          <w:tcPr>
            <w:tcW w:w="131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3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Financial Statement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As of </w:t>
            </w:r>
          </w:p>
        </w:tc>
        <w:tc>
          <w:tcPr>
            <w:tcW w:w="1753" w:type="dxa"/>
            <w:gridSpan w:val="6"/>
            <w:tcBorders/>
          </w:tcPr>
          <w:p>
            <w:pPr>
              <w:pStyle w:val="TableContents"/>
              <w:bidi w:val="0"/>
              <w:spacing w:before="0" w:after="283"/>
              <w:jc w:val="left"/>
              <w:rPr>
                <w:sz w:val="4"/>
                <w:szCs w:val="4"/>
              </w:rPr>
            </w:pPr>
            <w:r>
              <w:rPr>
                <w:sz w:val="4"/>
                <w:szCs w:val="4"/>
              </w:rPr>
            </w:r>
          </w:p>
        </w:tc>
      </w:tr>
      <w:tr>
        <w:trPr/>
        <w:tc>
          <w:tcPr>
            <w:tcW w:w="3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2024</w:t>
            </w:r>
          </w:p>
        </w:tc>
      </w:tr>
      <w:tr>
        <w:trPr/>
        <w:tc>
          <w:tcPr>
            <w:tcW w:w="36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Finance lease - ROU asset, net of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Investment property,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31.3 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 ROU asset,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60.8 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52.4 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Below market operating leases,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24.6 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10.5 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14.2 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40.3 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34.5 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components of lease costs for finance and operating leases as included in our Consolidated Statements of Operations are as follows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45"/>
        <w:gridCol w:w="430"/>
        <w:gridCol w:w="433"/>
        <w:gridCol w:w="109"/>
        <w:gridCol w:w="109"/>
        <w:gridCol w:w="109"/>
        <w:gridCol w:w="874"/>
        <w:gridCol w:w="874"/>
        <w:gridCol w:w="876"/>
        <w:gridCol w:w="109"/>
        <w:gridCol w:w="109"/>
        <w:gridCol w:w="109"/>
        <w:gridCol w:w="322"/>
        <w:gridCol w:w="618"/>
        <w:gridCol w:w="181"/>
        <w:gridCol w:w="109"/>
        <w:gridCol w:w="109"/>
        <w:gridCol w:w="109"/>
        <w:gridCol w:w="322"/>
        <w:gridCol w:w="618"/>
        <w:gridCol w:w="181"/>
        <w:gridCol w:w="109"/>
        <w:gridCol w:w="109"/>
        <w:gridCol w:w="109"/>
        <w:gridCol w:w="322"/>
        <w:gridCol w:w="618"/>
        <w:gridCol w:w="181"/>
        <w:gridCol w:w="109"/>
        <w:gridCol w:w="109"/>
        <w:gridCol w:w="109"/>
        <w:gridCol w:w="280"/>
        <w:gridCol w:w="666"/>
        <w:gridCol w:w="229"/>
      </w:tblGrid>
      <w:tr>
        <w:trPr/>
        <w:tc>
          <w:tcPr>
            <w:tcW w:w="54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Financial Statement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Nine Months Ended</w:t>
            </w:r>
          </w:p>
        </w:tc>
      </w:tr>
      <w:tr>
        <w:trPr/>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2024</w:t>
            </w:r>
          </w:p>
        </w:tc>
      </w:tr>
      <w:tr>
        <w:trPr/>
        <w:tc>
          <w:tcPr>
            <w:tcW w:w="14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Finance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Amortization of ROU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 on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General and administrative expense, Property operating and maintenance,</w:t>
              <w:b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Variable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Property operating and 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Lease term, discount rates, and additional information for finance and operating leases are as follows:</w:t>
      </w:r>
    </w:p>
    <w:p>
      <w:pPr>
        <w:pStyle w:val="TextBody"/>
        <w:bidi w:val="0"/>
        <w:spacing w:before="0" w:after="0"/>
        <w:jc w:val="both"/>
        <w:rPr/>
      </w:pPr>
      <w:r>
        <w:rPr/>
      </w:r>
    </w:p>
    <w:tbl>
      <w:tblPr>
        <w:tblW w:w="7521" w:type="dxa"/>
        <w:jc w:val="left"/>
        <w:tblInd w:w="0" w:type="dxa"/>
        <w:tblLayout w:type="fixed"/>
        <w:tblCellMar>
          <w:top w:w="28" w:type="dxa"/>
          <w:left w:w="28" w:type="dxa"/>
          <w:bottom w:w="28" w:type="dxa"/>
          <w:right w:w="28" w:type="dxa"/>
        </w:tblCellMar>
      </w:tblPr>
      <w:tblGrid>
        <w:gridCol w:w="1368"/>
        <w:gridCol w:w="1203"/>
        <w:gridCol w:w="1208"/>
        <w:gridCol w:w="109"/>
        <w:gridCol w:w="109"/>
        <w:gridCol w:w="109"/>
        <w:gridCol w:w="365"/>
        <w:gridCol w:w="365"/>
        <w:gridCol w:w="814"/>
        <w:gridCol w:w="109"/>
        <w:gridCol w:w="109"/>
        <w:gridCol w:w="109"/>
        <w:gridCol w:w="333"/>
        <w:gridCol w:w="333"/>
        <w:gridCol w:w="878"/>
      </w:tblGrid>
      <w:tr>
        <w:trPr/>
        <w:tc>
          <w:tcPr>
            <w:tcW w:w="136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As of</w:t>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2024</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Lease Term and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Weighted-average Remaining Lease Terms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Finance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33.79</w:t>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42.59</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Weighted-average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Finance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3.78 </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3.63 </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3.89 </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3.90 </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672465"/>
                <wp:effectExtent l="0" t="0" r="0" b="0"/>
                <wp:wrapNone/>
                <wp:docPr id="37" name="Frame36"/>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before="0" w:after="0"/>
        <w:jc w:val="center"/>
        <w:rPr/>
      </w:pPr>
      <w:r>
        <w:rPr/>
      </w:r>
    </w:p>
    <w:tbl>
      <w:tblPr>
        <w:tblW w:w="8932" w:type="dxa"/>
        <w:jc w:val="left"/>
        <w:tblInd w:w="0" w:type="dxa"/>
        <w:tblLayout w:type="fixed"/>
        <w:tblCellMar>
          <w:top w:w="28" w:type="dxa"/>
          <w:left w:w="28" w:type="dxa"/>
          <w:bottom w:w="28" w:type="dxa"/>
          <w:right w:w="28" w:type="dxa"/>
        </w:tblCellMar>
      </w:tblPr>
      <w:tblGrid>
        <w:gridCol w:w="1862"/>
        <w:gridCol w:w="1636"/>
        <w:gridCol w:w="1646"/>
        <w:gridCol w:w="109"/>
        <w:gridCol w:w="109"/>
        <w:gridCol w:w="109"/>
        <w:gridCol w:w="443"/>
        <w:gridCol w:w="851"/>
        <w:gridCol w:w="250"/>
        <w:gridCol w:w="109"/>
        <w:gridCol w:w="109"/>
        <w:gridCol w:w="109"/>
        <w:gridCol w:w="382"/>
        <w:gridCol w:w="908"/>
        <w:gridCol w:w="300"/>
      </w:tblGrid>
      <w:tr>
        <w:trPr/>
        <w:tc>
          <w:tcPr>
            <w:tcW w:w="1862"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Nine Months Ended</w:t>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2024</w:t>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Other Information (in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Paid for Amounts Included in the Measurement of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cash outflows for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Financing cash outflows for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Cash Paid on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6.8 </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10.0 </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Lessor Accounting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not the lessor for any finance leases at our properties as of September 30, 2025. Nearly all of our operating leases with our residents and customers at our properties where we are the lessor are for a time period not to exceed one year or month-to-month. As of September 30, 2025, future minimum lease payments with our residents or customers would not exceed 12 months. We do not have any operating leases with real estate operators on our properties.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Failed Sale Leaseback</w:t>
      </w:r>
    </w:p>
    <w:tbl>
      <w:tblPr>
        <w:tblW w:w="278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20"/>
        </w:rPr>
        <w:t>In connection with our acquisition of Park Holidays, we assumed ground lease arrangements for certain UK properties that we concluded to be failed sale-leaseback transactions under ASC 842, "</w:t>
      </w:r>
      <w:r>
        <w:rPr>
          <w:rFonts w:ascii="Times New Roman;serif" w:hAnsi="Times New Roman;serif"/>
          <w:b w:val="false"/>
          <w:i/>
          <w:color w:val="000000"/>
          <w:sz w:val="20"/>
        </w:rPr>
        <w:t>Leases</w:t>
      </w:r>
      <w:r>
        <w:rPr>
          <w:rFonts w:ascii="Times New Roman;serif" w:hAnsi="Times New Roman;serif"/>
          <w:b w:val="false"/>
          <w:color w:val="000000"/>
          <w:sz w:val="20"/>
        </w:rPr>
        <w:t xml:space="preserve">." As of March 31, 2025, we maintained these ground lease arrangements for 32 UK properties. The arrangements have maturities ranging from 2117 through 2197 with an option to repurchase for £1.00 at the end of the term. The obligation related to the underlying ground leases has been recorded as a financial liability in Other Liabilities on the Consolidated Balance Sheets.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we repurchased the titles to six and 27 UK properties, respectively, that were previously controlled via ground leases for cash payments of $101.2 million and $300.4 million, respectively, inclusive of taxes and fees. The ground lease terminations reduced our financial liability by $298.1 million in 2025. We recorded long-term lease termination gains of $19.2 million and $45.2 million, respectively, during the three and nine months ended September 30, 2025, which were recorded within Other income / (expense), net on the Consolidated Statements of Operations. In conjunction with the ground lease terminations, we recorded a receivable of $16.1 million for Value-added Taxes as of September 30, 2025. Our receivable for Value-added Taxes as of June 30, 2025 of $31.4 million was subsequently collected during the three months ended September 30, 2025. Refer to Note 22, "Subsequent Events" for additional activity subsequent to September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financial liability was $86.6 million and $355.9 million as of September 30, 2025 and December 31, 2024, respectively. The following table presents the future minimum rental payments for this financial liability as of September 30, 2025 (in millions):</w:t>
      </w:r>
    </w:p>
    <w:p>
      <w:pPr>
        <w:pStyle w:val="TextBody"/>
        <w:bidi w:val="0"/>
        <w:spacing w:before="0" w:after="0"/>
        <w:jc w:val="both"/>
        <w:rPr/>
      </w:pPr>
      <w:r>
        <w:rPr/>
      </w:r>
    </w:p>
    <w:tbl>
      <w:tblPr>
        <w:tblW w:w="6072" w:type="dxa"/>
        <w:jc w:val="left"/>
        <w:tblInd w:w="0" w:type="dxa"/>
        <w:tblLayout w:type="fixed"/>
        <w:tblCellMar>
          <w:top w:w="28" w:type="dxa"/>
          <w:left w:w="28" w:type="dxa"/>
          <w:bottom w:w="28" w:type="dxa"/>
          <w:right w:w="28" w:type="dxa"/>
        </w:tblCellMar>
      </w:tblPr>
      <w:tblGrid>
        <w:gridCol w:w="1504"/>
        <w:gridCol w:w="1320"/>
        <w:gridCol w:w="1331"/>
        <w:gridCol w:w="109"/>
        <w:gridCol w:w="109"/>
        <w:gridCol w:w="109"/>
        <w:gridCol w:w="382"/>
        <w:gridCol w:w="908"/>
        <w:gridCol w:w="300"/>
      </w:tblGrid>
      <w:tr>
        <w:trPr/>
        <w:tc>
          <w:tcPr>
            <w:tcW w:w="1504"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Maturity of Financial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r>
      <w:tr>
        <w:trPr/>
        <w:tc>
          <w:tcPr>
            <w:tcW w:w="4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2025 (excluding nine months ended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428.9 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441.1 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(354.5)</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Present Value of Financial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86.6 </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672465"/>
                <wp:effectExtent l="0" t="0" r="0" b="0"/>
                <wp:wrapNone/>
                <wp:docPr id="38" name="Frame37"/>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20. Recent Accounting Pronouncements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Recent Accounting Pronouncements - Not Yet Adopted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 October 2023, the FASB issued ASU 2023-06, "</w:t>
      </w:r>
      <w:r>
        <w:rPr>
          <w:rFonts w:ascii="Times New Roman;serif" w:hAnsi="Times New Roman;serif"/>
          <w:b w:val="false"/>
          <w:i/>
          <w:color w:val="000000"/>
          <w:sz w:val="20"/>
        </w:rPr>
        <w:t>Disclosure Improvements: Codification Amendments in Response to the SEC's Disclosure Update and Simplification Initiative</w:t>
      </w:r>
      <w:r>
        <w:rPr>
          <w:rFonts w:ascii="Times New Roman;serif" w:hAnsi="Times New Roman;serif"/>
          <w:b w:val="false"/>
          <w:color w:val="000000"/>
          <w:sz w:val="20"/>
        </w:rPr>
        <w:t>," which adds interim and annual disclosure requirements to the US GAAP codification at the request of the SEC. The new guidance is intended to align GAAP requirements with those of the SEC and to facilitate the application of GAAP for all entities. These disclosure requirements are currently included in either SEC Regulation S-X or SEC Regulation S-K. The effective date for each amendment will be the date on which the SEC's removal of that related disclosure from Regulation S-X or Regulation S-K becomes effective. Early adoption is prohibited and the amendments should be applied prospectively. If the SEC has not removed the applicable requirement from Regulation S-X or Regulation S-K by June 30, 2027, the amendments will be removed from the US GAAP codification and will not be effective.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 December 2023, the FASB issued ASU 2023-09,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which requires disclosure of specific categories in the effective tax rate reconciliation as well as provide additional information for reconciling items that meet a quantitative threshold. Further, this amendment requires certain disclosure of income taxes paid disaggregated by federal, state and foreign taxes, and the amount of income taxes paid disaggregated by individual jurisdiction in which income taxes paid meet a quantitative threshold. The new guidance is intended to enhance the transparency and decision usefulness of income tax disclosures. This ASU is effective for fiscal years beginning after December 15, 2024 and will be effective for our annual reporting for the year ending December 31, 2025. Early adoption is permitted and the amendments should be applied prospectively. We are currently evaluating the provisions of this amendment and the impact on our Consolidated Financial Statements and related disclosures.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In November 2024, the FASB issued ASU 2024-03, "</w:t>
      </w:r>
      <w:r>
        <w:rPr>
          <w:rFonts w:ascii="Times New Roman;serif" w:hAnsi="Times New Roman;serif"/>
          <w:b w:val="false"/>
          <w:i/>
          <w:color w:val="000000"/>
          <w:sz w:val="20"/>
        </w:rPr>
        <w:t>Income Statement - Reporting Comprehensive Income - Expense Disaggregation Disclosures (Topic 220-40)</w:t>
      </w:r>
      <w:r>
        <w:rPr>
          <w:rFonts w:ascii="Times New Roman;serif" w:hAnsi="Times New Roman;serif"/>
          <w:b w:val="false"/>
          <w:color w:val="000000"/>
          <w:sz w:val="20"/>
        </w:rPr>
        <w:t>," which requires disaggregated disclosure of certain expense captions into specified categories within the footnotes to the financial statements. This ASU is effective for fiscal years beginning after December 15, 2026 and interim reporting periods beginning after December 15, 2027. Early adoption is permitted. We are currently evaluating the provisions of this amendment and the impact on our Consolidated Financial Statements and related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21. Subsequent Events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Acquisitions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Subsequent to the three months ended September 30, 2025, we acquired the following properties (in millions, except site information):</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33"/>
        <w:gridCol w:w="708"/>
        <w:gridCol w:w="712"/>
        <w:gridCol w:w="109"/>
        <w:gridCol w:w="109"/>
        <w:gridCol w:w="109"/>
        <w:gridCol w:w="374"/>
        <w:gridCol w:w="374"/>
        <w:gridCol w:w="376"/>
        <w:gridCol w:w="109"/>
        <w:gridCol w:w="109"/>
        <w:gridCol w:w="109"/>
        <w:gridCol w:w="278"/>
        <w:gridCol w:w="278"/>
        <w:gridCol w:w="146"/>
        <w:gridCol w:w="109"/>
        <w:gridCol w:w="109"/>
        <w:gridCol w:w="109"/>
        <w:gridCol w:w="362"/>
        <w:gridCol w:w="362"/>
        <w:gridCol w:w="364"/>
        <w:gridCol w:w="109"/>
        <w:gridCol w:w="109"/>
        <w:gridCol w:w="109"/>
        <w:gridCol w:w="109"/>
        <w:gridCol w:w="109"/>
        <w:gridCol w:w="646"/>
        <w:gridCol w:w="646"/>
        <w:gridCol w:w="649"/>
        <w:gridCol w:w="109"/>
        <w:gridCol w:w="109"/>
        <w:gridCol w:w="109"/>
        <w:gridCol w:w="267"/>
        <w:gridCol w:w="759"/>
        <w:gridCol w:w="218"/>
      </w:tblGrid>
      <w:tr>
        <w:trPr/>
        <w:tc>
          <w:tcPr>
            <w:tcW w:w="83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Property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Property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Development </w:t>
              <w:br/>
              <w:t>Sites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State, Province or Country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xml:space="preserve">Total </w:t>
              <w:br/>
              <w:t xml:space="preserve">Purchase Price </w:t>
              <w:br/>
              <w:t>(in millions)</w:t>
            </w:r>
          </w:p>
        </w:tc>
      </w:tr>
      <w:tr>
        <w:trPr/>
        <w:tc>
          <w:tcPr>
            <w:tcW w:w="22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MH / RV Portfolio</w:t>
            </w:r>
            <w:r>
              <w:rPr>
                <w:rFonts w:ascii="Times New Roman;serif" w:hAnsi="Times New Roman;serif"/>
                <w:b w:val="false"/>
                <w:color w:val="000000"/>
                <w:sz w:val="11"/>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MH / RV</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1,193 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175.2 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Marysville Farm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MH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152 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MI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MH Portfolio</w:t>
            </w:r>
            <w:r>
              <w:rPr>
                <w:rFonts w:ascii="Times New Roman;serif" w:hAnsi="Times New Roman;serif"/>
                <w:b w:val="false"/>
                <w:color w:val="000000"/>
                <w:sz w:val="11"/>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MH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MI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100.3 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Reflections on Silver Lake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MH / RV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Lakeridge Estates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MH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The Preserve MHP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MH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415 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FL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7"/>
              </w:rPr>
              <w:t>Total Subsequent Acquisitions</w:t>
            </w:r>
            <w:r>
              <w:rPr>
                <w:rFonts w:ascii="Times New Roman;serif" w:hAnsi="Times New Roman;serif"/>
                <w:b/>
                <w:color w:val="000000"/>
                <w:sz w:val="11"/>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3,605 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567 </w:t>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457.0 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Contains seven MH and RV communities.</w:t>
      </w:r>
    </w:p>
    <w:p>
      <w:pPr>
        <w:pStyle w:val="TextBody"/>
        <w:bidi w:val="0"/>
        <w:spacing w:lineRule="auto" w:line="288" w:before="0" w:after="60"/>
        <w:ind w:left="0" w:right="0" w:hanging="18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Contains three MH communities.</w:t>
      </w:r>
    </w:p>
    <w:p>
      <w:pPr>
        <w:pStyle w:val="TextBody"/>
        <w:bidi w:val="0"/>
        <w:spacing w:lineRule="auto" w:line="288" w:before="0" w:after="0"/>
        <w:ind w:left="0" w:right="0" w:hanging="180"/>
        <w:jc w:val="both"/>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The acquisitions were funded using $399.0 million of restricted cash from our 1031 exchange escrow account and $58.0 million of unrestricted cash.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UK Ground Lease Terminations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October 2025, we repurchased the title to one additional UK property, that was previously controlled via a ground lease, for a cash payment of $23.2 million, inclusive of taxes and fees.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672465"/>
                <wp:effectExtent l="0" t="0" r="0" b="0"/>
                <wp:wrapNone/>
                <wp:docPr id="39" name="Frame38"/>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SUN COMMUNITIES,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Appointment of Chief Executive Officer and Restricted Stock Awards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As previously announced, on October 1, 2025, we appointed Charles D. Young as </w:t>
      </w:r>
      <w:r>
        <w:rPr>
          <w:rFonts w:ascii="Times New Roman;serif" w:hAnsi="Times New Roman;serif"/>
          <w:b w:val="false"/>
          <w:color w:val="000000"/>
          <w:sz w:val="20"/>
          <w:shd w:fill="FFFFFF" w:val="clear"/>
        </w:rPr>
        <w:t>our new Chief Executive Officer ("CEO"). Pursuant to Mr. Young's appointment, we issued 58,754 shares of restricted common stock, 31,128 of which will vest in equal annual installments over four years, and 27,626 are subject to performance vesting after three years based on certain market performance criteria. We also issued 7,782 shares of common stock that vested on October 1, 2025 as an inducement to Mr. Young's employment with the Company under New York Stock Exchange Listed Company Manual Rule 303A.08.</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evaluated our Consolidated Financial Statements for subsequent events through the date that this Form 10-Q was issued.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672465"/>
                <wp:effectExtent l="0" t="0" r="0" b="0"/>
                <wp:wrapNone/>
                <wp:docPr id="40" name="Frame39"/>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ind w:left="0" w:right="0" w:hanging="945"/>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discussion and analysis of the consolidated financial condition and results of operations should be read in conjunction with the Consolidated Financial Statements and the accompanying Notes, along with our 2024 Annual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a fully integrated REIT. As of September 30, 2025, we owned and operated, directly or indirectly, or had an interest in, a portfolio of 501 developed properties located in the U.S., Canada, and the United Kingdom including 284 MH communities, 164 RV communities, and 53 UK communities.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been in the business of operating, acquiring, developing and expanding MH and RV communities since 1975, and communities in the United Kingdom since 2022. We lease individual parcels of land, or sites, with utility access for the placement of manufactured homes and RVs to our MH, RV, and UK customers. Our MH communities are designed to offer affordable housing to individuals and families, while also providing certain amenities. In the U.S., we are also engaged in the marketing, selling and leasing of new and pre-owned homes to current and future residents in our MH communities. The rental program operations within our MH communities support and enhance our occupancy levels, property performance and cash flows. Our RV communities are designed to offer affordable vacation opportunities to individuals and families complemented by a diverse selection of high-quality amenities. In the United Kingdom, our UK communities are referred to as "holiday parks" and are located predominantly at irreplaceable seaside destinations in the south of England. We provide holiday home sales and associated site license activities to holiday homeowners in our communities.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SAFE HARBOR SALE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April 2025, we completed the initial closing of the Safe Harbor Sale, which generated approximately $5.25 billion of pre-tax cash proceeds, net of transaction costs, with a gain on sale of $1.4 billion. Pursuant to the terms of the transaction agreement, 15 Delayed Consent Subsidiaries representing approximately $250.0 million of value were not part of the initial closing. Subsequent to the initial closing through June 30, 2025, we completed the sale of six Delayed Consent Subsidiaries for $136.7 million. On August 29, 2025, we completed the sale of the remaining nine Delayed Consent Subsidiaries for $117.5 million and fully divested our investment in the Safe Harbor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Safe Harbor Sale accelerates our strategy of focusing on our core MH and RV segments and significantly enhances our leverage profile and financial flexibility. Since the closing of the Safe Harbor Sale, we have deployed the cash proceeds from the Safe Harbor Sale to implement a balanced, tax-efficient capital allocation plan aimed at optimizing shareholder value through significantly lower leverage, greater financial flexibility to drive sustainable cash flow growth, and a thoughtful capital return strategy.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Refer to Part 1, Item 1A, "Risk Factors – Risks Related to the Safe Harbor Sale" in our Annual Report on Form 10-K for the year ended December 31, 2024, Note 2, "Assets Held for Sale and Discontinued Operations," in our accompanying Consolidated Financial Statements for additional details related to the Safe Harbor Sale.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Chief Executive Officer Transition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Charles D. Young began serving </w:t>
      </w:r>
      <w:r>
        <w:rPr>
          <w:rFonts w:ascii="Times New Roman;serif" w:hAnsi="Times New Roman;serif"/>
          <w:b w:val="false"/>
          <w:color w:val="000000"/>
          <w:sz w:val="20"/>
          <w:shd w:fill="FFFFFF" w:val="clear"/>
        </w:rPr>
        <w:t xml:space="preserve">as the our Chief Executive Officer and as a Director on </w:t>
      </w:r>
      <w:r>
        <w:rPr>
          <w:rFonts w:ascii="Times New Roman;serif" w:hAnsi="Times New Roman;serif"/>
          <w:b w:val="false"/>
          <w:color w:val="000000"/>
          <w:sz w:val="20"/>
        </w:rPr>
        <w:t>October 1, 2025</w:t>
      </w:r>
      <w:r>
        <w:rPr>
          <w:rFonts w:ascii="Times New Roman;serif" w:hAnsi="Times New Roman;serif"/>
          <w:b w:val="false"/>
          <w:color w:val="000000"/>
          <w:sz w:val="20"/>
          <w:shd w:fill="FFFFFF" w:val="clear"/>
        </w:rPr>
        <w:t>. Mr. Young succeeds Gary Shiffman, who previously announced his retirement from the role of CEO after a distinguished 40 years leading Sun Communities. The Company and Mr. Young entered into an employment agreement under which Mr. Young will serve as our CEO for a five year term, which is automatically renewable thereafter for successive one-year terms unless either party timely terminates the agreement. Refer to the Form 8-K filed with the SEC on July 23, 2025 for additional details related to Mr. Young's Employment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identified significant accounting policies that, as a result of the judgments, uncertainties, and complexities of the underlying accounting standards and operations involved could result in material changes to our financial condition or results of operations under different conditions or using different assumptions. Details regarding significant accounting policies are described fully in our Annual Report on Form 10-K for the year ended December 31, 2024.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672465"/>
                <wp:effectExtent l="0" t="0" r="0" b="0"/>
                <wp:wrapNone/>
                <wp:docPr id="41" name="Frame40"/>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the results reported in accordance with GAAP in our "Results of Operations" below, we have provided information regarding net operating income ("NOI") and funds from operations ("FFO") as supplemental performance measures. We believe NOI and FFO are appropriate measures given their wide use by and relevance to investors and analysts following the real estate industry. NOI provides a measure of rental operations and does not factor in depreciation, amortization, and non-property specific expenses such as general and administrative expenses. FFO, reflecting the assumption that real estate values rise or fall with market conditions, principally adjusts for the effects of GAAP depreciation / amortization of real estate assets. In addition, NOI, and FFO are commonly used in various ratios, pricing multiples / yields and returns, and valuation calculations used to measure financial position, performance, and value.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NOI</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Total Portfolio NOI - </w:t>
      </w:r>
      <w:r>
        <w:rPr>
          <w:rFonts w:ascii="Times New Roman;serif" w:hAnsi="Times New Roman;serif"/>
          <w:b w:val="false"/>
          <w:color w:val="000000"/>
          <w:sz w:val="20"/>
        </w:rPr>
        <w:t>NOI is derived from property operating revenues minus property operating expenses and real estate taxes. NOI is a non-GAAP financial measure that we believe is helpful to investors as a supplemental measure of operating performance because it is an indicator of the return on property investment and provides a method of comparing property performance over time. We use NOI as a key measure when evaluating performance and growth of particular properties and / or groups of properties. The principal limitation of NOI is that it excludes depreciation, amortization, interest expense, and non-property specific expenses such as general and administrative expenses, all of which are significant costs. Therefore, NOI is a measure of the operating performance of our properties rather than of the Company overall. We believe that NOI provides enhanced comparability for investor evaluation of property performance and growth over time.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that GAAP net income (loss) is the most directly comparable measure to NOI. NOI should not be considered to be an alternative to GAAP net income (loss) as an indication of our financial performance or GAAP cash flow from operating activities as a measure of our liquidity; nor is it indicative of funds available for our cash needs, including our ability to make cash distributions. Because of the inclusion of items such as interest, depreciation, and amortization, the use of GAAP net income (loss) as a performance measure is limited as these items may not accurately reflect the actual change in market value of a property, in the case of depreciation and in the case of interest, may not necessarily be linked to the operating performance of a real estate asset, as it is often incurred at a parent company level and not at a property level.</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Same Property NOI</w:t>
      </w:r>
      <w:r>
        <w:rPr>
          <w:color w:val="000000"/>
        </w:rPr>
        <w:t xml:space="preserve"> </w:t>
      </w:r>
      <w:r>
        <w:rPr>
          <w:rFonts w:ascii="Times New Roman;serif" w:hAnsi="Times New Roman;serif"/>
          <w:b w:val="false"/>
          <w:color w:val="000000"/>
          <w:sz w:val="20"/>
        </w:rPr>
        <w:t>- This is a key management tool used when evaluating the performance and growth of our Same Property portfolio. We define same properties as those we have owned and operated continuously since January 1, 2024. Same properties exclude ground-up development properties, acquired properties, properties classified as discontinued operations, and properties sold after December 31, 2023. The Same Property data may change from time-to-time depending on acquisitions, dispositions, management discretion, significant transactions, or unique situations. Same Property NOI does not include the revenues and expenses related to home sales and ancillary activities at the properties. We believe that Same Property NOI is helpful to investors as a supplemental comparative performance measure of the income generated from the Same Property portfolio from one period to the next.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FFO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FFO is defined by the National Association of Real Estate Investment Trusts ("Nareit") as GAAP net income (loss), excluding gains (or losses) from sales of certain real estate assets, plus real estate related depreciation and amortization, impairments of certain real estate assets and investments, and after adjustments for nonconsolidated partnerships and joint ventures. FFO is a non-GAAP financial measure that management believes is a useful supplemental measure of our operating performance. By excluding gains and losses related to sales of previously depreciated operating real estate assets, real estate related to impairment and real estate asset depreciation and amortization (which can vary among owners of identical assets in similar condition based on historical cost accounting and useful life estimates), FFO provides a performance measure that, when compared period-over-period, reflects the impact to operations from trends in occupancy rates, rental rates, and operating costs, providing perspective not readily apparent from GAAP net income (loss). Management believes the use of FFO has been beneficial in improving the understanding of operating results of REITs among the investing public and making comparisons of REIT operating results more meaningful.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672465"/>
                <wp:effectExtent l="0" t="0" r="0" b="0"/>
                <wp:wrapNone/>
                <wp:docPr id="42" name="Frame41"/>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both"/>
        <w:rPr/>
      </w:pPr>
      <w:r>
        <w:rPr>
          <w:rFonts w:ascii="Times New Roman;serif" w:hAnsi="Times New Roman;serif"/>
          <w:b/>
          <w:color w:val="000000"/>
          <w:sz w:val="20"/>
        </w:rPr>
        <w:t>Core FFO</w:t>
      </w:r>
      <w:r>
        <w:rPr>
          <w:color w:val="000000"/>
        </w:rPr>
        <w:t xml:space="preserve"> </w:t>
      </w:r>
      <w:r>
        <w:rPr>
          <w:rFonts w:ascii="Times New Roman;serif" w:hAnsi="Times New Roman;serif"/>
          <w:b w:val="false"/>
          <w:color w:val="000000"/>
          <w:sz w:val="20"/>
        </w:rPr>
        <w:t>- In addition, we use FFO excluding certain gain and loss items that management considers unrelated to the operational and financial performance of our core business ("Core FFO"). These adjustments include acquisition and other transaction costs, gains and losses from the early extinguishment of debt, costs related to catastrophic weather events, net of insurance recoveries, gains and losses on foreign currency exchanges, and other miscellaneous non-comparable items.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that FFO and Core FFO provide enhanced comparability for investor evaluations of period-over-period results. We believe that GAAP net income (loss) is the most directly comparable measure to FFO. The principal limitation of FFO is that it does not replace GAAP net income (loss) as a financial performance measure or GAAP cash flow from operating activities as a measure of our liquidity. Because FFO excludes significant economic components of GAAP net income (loss) including depreciation and amortization, FFO should be used as a supplement to GAAP net income (loss) and not as an alternative to it. Furthermore, FFO is not intended as a measure of a REIT's ability to meet debt principal repayments and other cash requirements, nor as a measure of working capital. FFO is calculated in accordance with our interpretation of standards established by Nareit, which may not be comparable to FFO reported by other REITs that interpret the Nareit definition differently.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672465"/>
                <wp:effectExtent l="0" t="0" r="0" b="0"/>
                <wp:wrapNone/>
                <wp:docPr id="43" name="Frame42"/>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reconcile the Net income attributable to SUI common shareholders to NOI and summarize our consolidated financial results for the three and nine months ended September 30, 2025 and 2024 (in millions):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1459"/>
        <w:gridCol w:w="1201"/>
        <w:gridCol w:w="1209"/>
        <w:gridCol w:w="109"/>
        <w:gridCol w:w="109"/>
        <w:gridCol w:w="109"/>
        <w:gridCol w:w="279"/>
        <w:gridCol w:w="794"/>
        <w:gridCol w:w="156"/>
        <w:gridCol w:w="109"/>
        <w:gridCol w:w="109"/>
        <w:gridCol w:w="109"/>
        <w:gridCol w:w="279"/>
        <w:gridCol w:w="794"/>
        <w:gridCol w:w="156"/>
        <w:gridCol w:w="109"/>
        <w:gridCol w:w="109"/>
        <w:gridCol w:w="109"/>
        <w:gridCol w:w="253"/>
        <w:gridCol w:w="894"/>
        <w:gridCol w:w="141"/>
        <w:gridCol w:w="109"/>
        <w:gridCol w:w="109"/>
        <w:gridCol w:w="109"/>
        <w:gridCol w:w="275"/>
        <w:gridCol w:w="783"/>
        <w:gridCol w:w="224"/>
      </w:tblGrid>
      <w:tr>
        <w:trPr/>
        <w:tc>
          <w:tcPr>
            <w:tcW w:w="145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Nine Months Ended</w:t>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2024</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Net Income Attributable to SUI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288.7 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1,239.3 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313.4 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(15.0)</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Brokerage commissions and other 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(22.1)</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(19.0)</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174.0 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170.3 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Catastrophic event-related charges,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377.3 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368.1 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Asset impairments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356.0 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30.4 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181.8 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267.1 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(Gain) / loss on foreign currency exchanges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(Gain) / loss on disposition of properties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(178.7)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(186.6)</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Other (income) /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(56.7)</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(Gain) / loss on remeasurement of notes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Income from nonconsolidated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(Gain) / loss on remeasurement of investment in nonconsolidated affiliates (see Note 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Current tax (benefit) /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Deferred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(39.4)</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(16.5)</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Net income from discontinued operations,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(1,418.6)</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(63.7)</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Add: Preferred return to preferred OP units / equity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Less: Income /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15.1 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NOI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366.8 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353.6 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900.4 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889.4 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9062" w:type="dxa"/>
        <w:jc w:val="left"/>
        <w:tblInd w:w="0" w:type="dxa"/>
        <w:tblLayout w:type="fixed"/>
        <w:tblCellMar>
          <w:top w:w="28" w:type="dxa"/>
          <w:left w:w="28" w:type="dxa"/>
          <w:bottom w:w="28" w:type="dxa"/>
          <w:right w:w="28" w:type="dxa"/>
        </w:tblCellMar>
      </w:tblPr>
      <w:tblGrid>
        <w:gridCol w:w="554"/>
        <w:gridCol w:w="486"/>
        <w:gridCol w:w="490"/>
        <w:gridCol w:w="109"/>
        <w:gridCol w:w="109"/>
        <w:gridCol w:w="109"/>
        <w:gridCol w:w="351"/>
        <w:gridCol w:w="997"/>
        <w:gridCol w:w="197"/>
        <w:gridCol w:w="109"/>
        <w:gridCol w:w="109"/>
        <w:gridCol w:w="109"/>
        <w:gridCol w:w="351"/>
        <w:gridCol w:w="997"/>
        <w:gridCol w:w="197"/>
        <w:gridCol w:w="109"/>
        <w:gridCol w:w="109"/>
        <w:gridCol w:w="109"/>
        <w:gridCol w:w="351"/>
        <w:gridCol w:w="997"/>
        <w:gridCol w:w="197"/>
        <w:gridCol w:w="109"/>
        <w:gridCol w:w="109"/>
        <w:gridCol w:w="109"/>
        <w:gridCol w:w="343"/>
        <w:gridCol w:w="976"/>
        <w:gridCol w:w="270"/>
      </w:tblGrid>
      <w:tr>
        <w:trPr/>
        <w:tc>
          <w:tcPr>
            <w:tcW w:w="55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Nine Months Ended</w:t>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2024</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Real property NOI</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320.2 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304.1 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810.2 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786.7 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Home sales NOI</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78.7 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Ancillary NOI</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7"/>
              </w:rPr>
              <w:t>NOI</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366.8 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353.6 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900.4 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889.4 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Excludes properties classified as discontinued operations. During the three and nine months ended September 30, 2025, our marina properties generated total NOI of $1.5 million and $93.7 million, respectively. During the three and nine months ended September 30, 2024, our marina properties generated total NOI of $89.5 million and $243.3 million, respectively, which was recorded within Income from discontinued operations, net on the Consolidated Statements of Operations. Refer to Note 2, "Assets Held for Sale and Discontinued Operations," for additional information.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672465"/>
                <wp:effectExtent l="0" t="0" r="0" b="0"/>
                <wp:wrapNone/>
                <wp:docPr id="44" name="Frame43"/>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Seasonality of 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RV and UK segments are seasonal and the results of operations in any one period may not be indicative of results in future periods.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RV segment, certain properties maintain higher occupancy during the summer months, while other properties maintain higher occupancy during the winter months. Based on the location of our properties with transient RV sites, our portfolio generally produces higher revenues between April and September than between October and March. In the UK segment, vacation rental sites generally produce higher revenues between March and October. During the nine months ended September 30, 2025, we recognized aggregate Real property - transient revenue from our segments of $30.5 million in the first quarter, $81.4 million in the second quarter and $133.5 million in the third quarter.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2024, we recognized Real property - transient revenue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708"/>
        <w:gridCol w:w="2009"/>
        <w:gridCol w:w="393"/>
        <w:gridCol w:w="109"/>
        <w:gridCol w:w="109"/>
        <w:gridCol w:w="109"/>
        <w:gridCol w:w="233"/>
        <w:gridCol w:w="233"/>
        <w:gridCol w:w="411"/>
        <w:gridCol w:w="109"/>
        <w:gridCol w:w="109"/>
        <w:gridCol w:w="109"/>
        <w:gridCol w:w="233"/>
        <w:gridCol w:w="233"/>
        <w:gridCol w:w="339"/>
        <w:gridCol w:w="109"/>
        <w:gridCol w:w="109"/>
        <w:gridCol w:w="109"/>
        <w:gridCol w:w="259"/>
        <w:gridCol w:w="252"/>
        <w:gridCol w:w="562"/>
        <w:gridCol w:w="109"/>
        <w:gridCol w:w="109"/>
        <w:gridCol w:w="109"/>
        <w:gridCol w:w="249"/>
        <w:gridCol w:w="244"/>
        <w:gridCol w:w="537"/>
        <w:gridCol w:w="109"/>
        <w:gridCol w:w="109"/>
        <w:gridCol w:w="109"/>
        <w:gridCol w:w="278"/>
        <w:gridCol w:w="278"/>
        <w:gridCol w:w="311"/>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Real property - transient revenue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During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20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296.4 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27.6 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46.6 </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13.1 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672465"/>
                <wp:effectExtent l="0" t="0" r="0" b="0"/>
                <wp:wrapNone/>
                <wp:docPr id="45" name="Frame44"/>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Real Property Operations - Total Portfolio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reflect certain financial and other information for our real estate operations by segment as of and for the three and nine months ended September 30, 2025 and 2024 (in millions, except for statistical information).</w:t>
      </w:r>
    </w:p>
    <w:p>
      <w:pPr>
        <w:pStyle w:val="TextBody"/>
        <w:bidi w:val="0"/>
        <w:spacing w:before="0" w:after="0"/>
        <w:jc w:val="both"/>
        <w:rPr/>
      </w:pPr>
      <w:r>
        <w:rPr/>
      </w:r>
    </w:p>
    <w:tbl>
      <w:tblPr>
        <w:tblW w:w="10222" w:type="dxa"/>
        <w:jc w:val="left"/>
        <w:tblInd w:w="0" w:type="dxa"/>
        <w:tblLayout w:type="fixed"/>
        <w:tblCellMar>
          <w:top w:w="28" w:type="dxa"/>
          <w:left w:w="28" w:type="dxa"/>
          <w:bottom w:w="28" w:type="dxa"/>
          <w:right w:w="28" w:type="dxa"/>
        </w:tblCellMar>
      </w:tblPr>
      <w:tblGrid>
        <w:gridCol w:w="364"/>
        <w:gridCol w:w="320"/>
        <w:gridCol w:w="322"/>
        <w:gridCol w:w="257"/>
        <w:gridCol w:w="209"/>
        <w:gridCol w:w="352"/>
        <w:gridCol w:w="109"/>
        <w:gridCol w:w="109"/>
        <w:gridCol w:w="109"/>
        <w:gridCol w:w="306"/>
        <w:gridCol w:w="250"/>
        <w:gridCol w:w="352"/>
        <w:gridCol w:w="109"/>
        <w:gridCol w:w="109"/>
        <w:gridCol w:w="109"/>
        <w:gridCol w:w="279"/>
        <w:gridCol w:w="187"/>
        <w:gridCol w:w="290"/>
        <w:gridCol w:w="109"/>
        <w:gridCol w:w="109"/>
        <w:gridCol w:w="109"/>
        <w:gridCol w:w="230"/>
        <w:gridCol w:w="236"/>
        <w:gridCol w:w="445"/>
        <w:gridCol w:w="109"/>
        <w:gridCol w:w="109"/>
        <w:gridCol w:w="109"/>
        <w:gridCol w:w="257"/>
        <w:gridCol w:w="209"/>
        <w:gridCol w:w="352"/>
        <w:gridCol w:w="109"/>
        <w:gridCol w:w="109"/>
        <w:gridCol w:w="109"/>
        <w:gridCol w:w="196"/>
        <w:gridCol w:w="556"/>
        <w:gridCol w:w="241"/>
        <w:gridCol w:w="109"/>
        <w:gridCol w:w="109"/>
        <w:gridCol w:w="109"/>
        <w:gridCol w:w="279"/>
        <w:gridCol w:w="187"/>
        <w:gridCol w:w="290"/>
        <w:gridCol w:w="109"/>
        <w:gridCol w:w="109"/>
        <w:gridCol w:w="109"/>
        <w:gridCol w:w="236"/>
        <w:gridCol w:w="230"/>
        <w:gridCol w:w="501"/>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Three Months Ended September 30, 2024</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Financial Information</w:t>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Revenues</w:t>
            </w:r>
          </w:p>
        </w:tc>
        <w:tc>
          <w:tcPr>
            <w:tcW w:w="8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Real property (excluding transient)</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91.5 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364.1</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Real property - transient</w:t>
            </w:r>
          </w:p>
        </w:tc>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114.1 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138.1</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Total operating revenues</w:t>
            </w:r>
          </w:p>
        </w:tc>
        <w:tc>
          <w:tcPr>
            <w:tcW w:w="8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205.6 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502.2</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Expenses</w:t>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Property operating expenses</w:t>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198.1</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Real Property NOI</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117.0 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304.1</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Nine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Nine Months Ended September 30, 2024</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Financial Information</w:t>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Revenues</w:t>
            </w:r>
          </w:p>
        </w:tc>
        <w:tc>
          <w:tcPr>
            <w:tcW w:w="8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Real property (excluding transient)</w:t>
            </w:r>
            <w:r>
              <w:rPr>
                <w:rFonts w:ascii="Times New Roman;serif" w:hAnsi="Times New Roman;serif"/>
                <w:b w:val="false"/>
                <w:color w:val="000000"/>
                <w:sz w:val="11"/>
              </w:rPr>
              <w:t>(1)</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1,058.1</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Real property - transient</w:t>
            </w:r>
          </w:p>
        </w:tc>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216.3 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257.2</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Total operating revenues</w:t>
            </w:r>
          </w:p>
        </w:tc>
        <w:tc>
          <w:tcPr>
            <w:tcW w:w="8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1,352.3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458.4 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1,315.3</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Expenses</w:t>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Property operating expenses</w:t>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528.6</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Real Property NOI</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242.4 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786.7</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As of September 30, 2024</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Other Information</w:t>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UK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Number of Properties</w:t>
            </w:r>
          </w:p>
        </w:tc>
        <w:tc>
          <w:tcPr>
            <w:tcW w:w="8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521</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Sites</w:t>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Sites</w:t>
            </w:r>
            <w:r>
              <w:rPr>
                <w:rFonts w:ascii="Times New Roman;serif" w:hAnsi="Times New Roman;serif"/>
                <w:b w:val="false"/>
                <w:color w:val="000000"/>
                <w:sz w:val="11"/>
              </w:rPr>
              <w:t>(1)</w:t>
            </w:r>
          </w:p>
        </w:tc>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97,070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32,480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147,200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34,480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17,790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149,570</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Transient sites</w:t>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23,560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27,480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25,060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29,560</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w:t>
            </w:r>
          </w:p>
        </w:tc>
        <w:tc>
          <w:tcPr>
            <w:tcW w:w="8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97,070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56,040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21,570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174,680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59,540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22,290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179,130</w:t>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Occupancy</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97.9 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90.7 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97.5 </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96.9 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91.5 </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97.0 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bl>
    <w:p>
      <w:pPr>
        <w:pStyle w:val="TextBody"/>
        <w:bidi w:val="0"/>
        <w:spacing w:lineRule="auto" w:line="288" w:before="20" w:after="60"/>
        <w:ind w:left="0" w:right="0" w:hanging="18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N/M = Not meaningful. N/A = Not applicable.</w:t>
      </w:r>
    </w:p>
    <w:p>
      <w:pPr>
        <w:pStyle w:val="TextBody"/>
        <w:bidi w:val="0"/>
        <w:spacing w:lineRule="auto" w:line="288" w:before="0" w:after="0"/>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MH annual sites included 11,856 and 10,457 rental homes in our rental program as of September 30, 2025 and 2024, respectively. Our investment in occupied rental homes at September 30, 2025 was $863.4 million, an increase of 18.4% from $729.5 million at September 30, 2024.</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the $16.1 million, or 5.3% increase in Real Property NOI as compared to the same period in 2024, consists of an increase of $15.7 million from Same Property MH NOI and an increase of $1.7 million from Same Property UK NOI, partially offset by a decrease of $1.2 million from Same Property RV NOI and an NOI decrease of $0.1 million, net from other recently acquired or developed properties and other items.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the $23.5 million, or 3.0% increase in Real Property NOI as compared to the same period in 2024, consists of an increase of $41.8 million from Same Property MH NOI and an increase of $3.2 million from Same Property UK NOI, partially offset by an NOI decrease of $15.0 million, net from properties outside of the Same Property population due to portfolio disposition activity that took place in 2024, primarily driven by the disposition of 10 MH properties for total gross sales proceeds of $349.1 million, and a decrease of $6.5 million from Same Property RV NOI.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672465"/>
                <wp:effectExtent l="0" t="0" r="0" b="0"/>
                <wp:wrapNone/>
                <wp:docPr id="46" name="Frame45"/>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Real Property Operations - North America Same Property Portfolio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Same Property data includes all properties that we have owned and operated continuously since January 1, 2024, exclusive of properties recently completed or under construction, acquired properties, properties classified as discontinued operations, other properties as determined by management, and properties sold after December 31, 2023. The Same Property data may change from time-to-time depending on acquisitions, dispositions, management discretion, significant transactions, or unique situations. In order to evaluate the growth of the Same Property portfolio, management has classified certain items differently than our GAAP statement. The reclassification difference between our GAAP statements and our Same Property portfolio is the reclassification of utility revenues from real property revenue to operating expenses. Additionally, prior period Canadian currency figures have been translated at 2025 average exchange rates for constant currency comparability.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reflect certain financial and other information for our Same Property MH and RV portfolios as of and for the three and nine months ended September 30, 2025 and 2024 (in millions, except for statistical information):</w:t>
      </w:r>
    </w:p>
    <w:p>
      <w:pPr>
        <w:pStyle w:val="TextBody"/>
        <w:bidi w:val="0"/>
        <w:spacing w:before="0" w:after="0"/>
        <w:jc w:val="both"/>
        <w:rPr/>
      </w:pPr>
      <w:r>
        <w:rPr/>
      </w:r>
    </w:p>
    <w:tbl>
      <w:tblPr>
        <w:tblW w:w="13313" w:type="dxa"/>
        <w:jc w:val="left"/>
        <w:tblInd w:w="0" w:type="dxa"/>
        <w:tblLayout w:type="fixed"/>
        <w:tblCellMar>
          <w:top w:w="28" w:type="dxa"/>
          <w:left w:w="28" w:type="dxa"/>
          <w:bottom w:w="28" w:type="dxa"/>
          <w:right w:w="28" w:type="dxa"/>
        </w:tblCellMar>
      </w:tblPr>
      <w:tblGrid>
        <w:gridCol w:w="364"/>
        <w:gridCol w:w="320"/>
        <w:gridCol w:w="322"/>
        <w:gridCol w:w="196"/>
        <w:gridCol w:w="556"/>
        <w:gridCol w:w="109"/>
        <w:gridCol w:w="109"/>
        <w:gridCol w:w="109"/>
        <w:gridCol w:w="109"/>
        <w:gridCol w:w="196"/>
        <w:gridCol w:w="556"/>
        <w:gridCol w:w="109"/>
        <w:gridCol w:w="109"/>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661"/>
        <w:gridCol w:w="109"/>
        <w:gridCol w:w="196"/>
        <w:gridCol w:w="556"/>
        <w:gridCol w:w="109"/>
        <w:gridCol w:w="165"/>
        <w:gridCol w:w="165"/>
        <w:gridCol w:w="166"/>
        <w:gridCol w:w="196"/>
        <w:gridCol w:w="466"/>
        <w:gridCol w:w="109"/>
        <w:gridCol w:w="109"/>
        <w:gridCol w:w="109"/>
        <w:gridCol w:w="109"/>
        <w:gridCol w:w="240"/>
        <w:gridCol w:w="241"/>
        <w:gridCol w:w="241"/>
        <w:gridCol w:w="109"/>
        <w:gridCol w:w="109"/>
        <w:gridCol w:w="109"/>
        <w:gridCol w:w="195"/>
        <w:gridCol w:w="196"/>
        <w:gridCol w:w="241"/>
        <w:gridCol w:w="109"/>
        <w:gridCol w:w="109"/>
        <w:gridCol w:w="109"/>
        <w:gridCol w:w="109"/>
        <w:gridCol w:w="109"/>
        <w:gridCol w:w="391"/>
        <w:gridCol w:w="307"/>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5" w:type="dxa"/>
            <w:gridSpan w:val="4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2202" w:type="dxa"/>
            <w:gridSpan w:val="14"/>
            <w:tcBorders/>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 Change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 Change</w:t>
            </w:r>
            <w:r>
              <w:rPr>
                <w:rFonts w:ascii="Times New Roman;serif" w:hAnsi="Times New Roman;serif"/>
                <w:b/>
                <w:color w:val="000000"/>
                <w:sz w:val="11"/>
              </w:rPr>
              <w:t>(3)</w:t>
            </w:r>
          </w:p>
        </w:tc>
        <w:tc>
          <w:tcPr>
            <w:tcW w:w="2202" w:type="dxa"/>
            <w:gridSpan w:val="14"/>
            <w:tcBorders/>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MH</w:t>
            </w:r>
            <w:r>
              <w:rPr>
                <w:rFonts w:ascii="Times New Roman;serif" w:hAnsi="Times New Roman;serif"/>
                <w:b/>
                <w:color w:val="000000"/>
                <w:sz w:val="11"/>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RV</w:t>
            </w:r>
            <w:r>
              <w:rPr>
                <w:rFonts w:ascii="Times New Roman;serif" w:hAnsi="Times New Roman;serif"/>
                <w:b/>
                <w:color w:val="000000"/>
                <w:sz w:val="11"/>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MH</w:t>
            </w:r>
            <w:r>
              <w:rPr>
                <w:rFonts w:ascii="Times New Roman;serif" w:hAnsi="Times New Roman;serif"/>
                <w:b/>
                <w:color w:val="000000"/>
                <w:sz w:val="11"/>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RV</w:t>
            </w:r>
            <w:r>
              <w:rPr>
                <w:rFonts w:ascii="Times New Roman;serif" w:hAnsi="Times New Roman;serif"/>
                <w:b/>
                <w:color w:val="000000"/>
                <w:sz w:val="11"/>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Total</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Financial Information</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Same Property Revenues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Real property (excluding transient)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7.5 </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Real property - transient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(39.0)</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Same Property operating revenues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3.5 </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Same Property Expenses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Same Property operating expenses</w:t>
            </w:r>
            <w:r>
              <w:rPr>
                <w:rFonts w:ascii="Times New Roman;serif" w:hAnsi="Times New Roman;serif"/>
                <w:b w:val="false"/>
                <w:color w:val="000000"/>
                <w:sz w:val="11"/>
              </w:rPr>
              <w:t>(2)(4)</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7"/>
              </w:rPr>
              <w:t>Real Property NOI</w:t>
            </w:r>
            <w:r>
              <w:rPr>
                <w:rFonts w:ascii="Times New Roman;serif" w:hAnsi="Times New Roman;serif"/>
                <w:b/>
                <w:color w:val="000000"/>
                <w:sz w:val="11"/>
              </w:rPr>
              <w:t>(4)</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5.4 </w:t>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r>
    </w:tbl>
    <w:tbl>
      <w:tblPr>
        <w:tblW w:w="12156" w:type="dxa"/>
        <w:jc w:val="left"/>
        <w:tblInd w:w="0" w:type="dxa"/>
        <w:tblLayout w:type="fixed"/>
        <w:tblCellMar>
          <w:top w:w="28" w:type="dxa"/>
          <w:left w:w="28" w:type="dxa"/>
          <w:bottom w:w="28" w:type="dxa"/>
          <w:right w:w="28" w:type="dxa"/>
        </w:tblCellMar>
      </w:tblPr>
      <w:tblGrid>
        <w:gridCol w:w="364"/>
        <w:gridCol w:w="320"/>
        <w:gridCol w:w="322"/>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466"/>
        <w:gridCol w:w="109"/>
        <w:gridCol w:w="109"/>
        <w:gridCol w:w="109"/>
        <w:gridCol w:w="109"/>
        <w:gridCol w:w="240"/>
        <w:gridCol w:w="241"/>
        <w:gridCol w:w="241"/>
        <w:gridCol w:w="109"/>
        <w:gridCol w:w="109"/>
        <w:gridCol w:w="109"/>
        <w:gridCol w:w="195"/>
        <w:gridCol w:w="196"/>
        <w:gridCol w:w="241"/>
        <w:gridCol w:w="109"/>
        <w:gridCol w:w="109"/>
        <w:gridCol w:w="109"/>
        <w:gridCol w:w="195"/>
        <w:gridCol w:w="196"/>
        <w:gridCol w:w="262"/>
        <w:gridCol w:w="109"/>
        <w:gridCol w:w="154"/>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7" w:type="dxa"/>
            <w:gridSpan w:val="5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Nine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 Change</w:t>
            </w:r>
            <w:r>
              <w:rPr>
                <w:rFonts w:ascii="Times New Roman;serif" w:hAnsi="Times New Roman;serif"/>
                <w:b/>
                <w:color w:val="000000"/>
                <w:sz w:val="11"/>
              </w:rPr>
              <w:t>(3)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MH</w:t>
            </w:r>
            <w:r>
              <w:rPr>
                <w:rFonts w:ascii="Times New Roman;serif" w:hAnsi="Times New Roman;serif"/>
                <w:b/>
                <w:color w:val="000000"/>
                <w:sz w:val="11"/>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RV</w:t>
            </w:r>
            <w:r>
              <w:rPr>
                <w:rFonts w:ascii="Times New Roman;serif" w:hAnsi="Times New Roman;serif"/>
                <w:b/>
                <w:color w:val="000000"/>
                <w:sz w:val="11"/>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MH</w:t>
            </w:r>
            <w:r>
              <w:rPr>
                <w:rFonts w:ascii="Times New Roman;serif" w:hAnsi="Times New Roman;serif"/>
                <w:b/>
                <w:color w:val="000000"/>
                <w:sz w:val="11"/>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RV</w:t>
            </w:r>
            <w:r>
              <w:rPr>
                <w:rFonts w:ascii="Times New Roman;serif" w:hAnsi="Times New Roman;serif"/>
                <w:b/>
                <w:color w:val="000000"/>
                <w:sz w:val="11"/>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Financial Information</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Same Property Revenues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Real property (excluding transient)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Real property - transient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(11.6)</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Same Property operating revenues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Same Property Expenses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Same Property operating expenses</w:t>
            </w:r>
            <w:r>
              <w:rPr>
                <w:rFonts w:ascii="Times New Roman;serif" w:hAnsi="Times New Roman;serif"/>
                <w:b w:val="false"/>
                <w:color w:val="000000"/>
                <w:sz w:val="11"/>
              </w:rPr>
              <w:t>(2)(4)</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2.3 </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7"/>
              </w:rPr>
              <w:t>Real Property NOI</w:t>
            </w:r>
            <w:r>
              <w:rPr>
                <w:rFonts w:ascii="Times New Roman;serif" w:hAnsi="Times New Roman;serif"/>
                <w:b/>
                <w:color w:val="000000"/>
                <w:sz w:val="11"/>
              </w:rPr>
              <w:t>(4)</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5.0 </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Other Information</w:t>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Number of properties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Sites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149,620 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150,160 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Same Property results for our MH and RV properties reflect constant currency for comparative purposes. Canadian currency figures in the prior comparative period have been translated at the average exchange rate during the three and nine months ended September 30, 2025 of $0.6956 and $0.7102</w:t>
      </w:r>
      <w:r>
        <w:rPr>
          <w:color w:val="000000"/>
        </w:rPr>
        <w:t xml:space="preserve"> </w:t>
      </w:r>
      <w:r>
        <w:rPr>
          <w:rFonts w:ascii="Times New Roman;serif" w:hAnsi="Times New Roman;serif"/>
          <w:b w:val="false"/>
          <w:color w:val="000000"/>
          <w:sz w:val="16"/>
        </w:rPr>
        <w:t>USD per Canadian dollar, respectively.</w:t>
      </w:r>
    </w:p>
    <w:p>
      <w:pPr>
        <w:pStyle w:val="TextBody"/>
        <w:bidi w:val="0"/>
        <w:spacing w:lineRule="auto" w:line="288" w:before="0" w:after="0"/>
        <w:ind w:left="0" w:right="0" w:hanging="18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We net certain utilities revenues (which include utility reimbursement revenues from residents) against related utility expenses in property operating expenses as follows (in millions):</w:t>
      </w:r>
    </w:p>
    <w:p>
      <w:pPr>
        <w:pStyle w:val="TextBody"/>
        <w:bidi w:val="0"/>
        <w:spacing w:before="0" w:after="0"/>
        <w:ind w:left="0" w:right="0" w:hanging="180"/>
        <w:jc w:val="both"/>
        <w:rPr/>
      </w:pPr>
      <w:r>
        <w:rPr/>
      </w:r>
    </w:p>
    <w:tbl>
      <w:tblPr>
        <w:tblW w:w="10205" w:type="dxa"/>
        <w:jc w:val="left"/>
        <w:tblInd w:w="0" w:type="dxa"/>
        <w:tblLayout w:type="fixed"/>
        <w:tblCellMar>
          <w:top w:w="28" w:type="dxa"/>
          <w:left w:w="28" w:type="dxa"/>
          <w:bottom w:w="28" w:type="dxa"/>
          <w:right w:w="28" w:type="dxa"/>
        </w:tblCellMar>
      </w:tblPr>
      <w:tblGrid>
        <w:gridCol w:w="1037"/>
        <w:gridCol w:w="910"/>
        <w:gridCol w:w="914"/>
        <w:gridCol w:w="251"/>
        <w:gridCol w:w="598"/>
        <w:gridCol w:w="140"/>
        <w:gridCol w:w="140"/>
        <w:gridCol w:w="140"/>
        <w:gridCol w:w="140"/>
        <w:gridCol w:w="251"/>
        <w:gridCol w:w="482"/>
        <w:gridCol w:w="140"/>
        <w:gridCol w:w="140"/>
        <w:gridCol w:w="140"/>
        <w:gridCol w:w="140"/>
        <w:gridCol w:w="140"/>
        <w:gridCol w:w="109"/>
        <w:gridCol w:w="206"/>
        <w:gridCol w:w="490"/>
        <w:gridCol w:w="114"/>
        <w:gridCol w:w="114"/>
        <w:gridCol w:w="114"/>
        <w:gridCol w:w="114"/>
        <w:gridCol w:w="206"/>
        <w:gridCol w:w="490"/>
        <w:gridCol w:w="114"/>
        <w:gridCol w:w="114"/>
        <w:gridCol w:w="114"/>
        <w:gridCol w:w="114"/>
        <w:gridCol w:w="206"/>
        <w:gridCol w:w="395"/>
        <w:gridCol w:w="114"/>
        <w:gridCol w:w="109"/>
        <w:gridCol w:w="109"/>
        <w:gridCol w:w="109"/>
        <w:gridCol w:w="109"/>
        <w:gridCol w:w="109"/>
        <w:gridCol w:w="196"/>
        <w:gridCol w:w="466"/>
        <w:gridCol w:w="167"/>
      </w:tblGrid>
      <w:tr>
        <w:trPr/>
        <w:tc>
          <w:tcPr>
            <w:tcW w:w="103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2"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 September 30,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 September 30, 2024</w:t>
            </w:r>
          </w:p>
        </w:tc>
        <w:tc>
          <w:tcPr>
            <w:tcW w:w="1374" w:type="dxa"/>
            <w:gridSpan w:val="8"/>
            <w:tcBorders/>
          </w:tcPr>
          <w:p>
            <w:pPr>
              <w:pStyle w:val="TableContents"/>
              <w:bidi w:val="0"/>
              <w:spacing w:before="0" w:after="283"/>
              <w:jc w:val="left"/>
              <w:rPr>
                <w:sz w:val="4"/>
                <w:szCs w:val="4"/>
              </w:rPr>
            </w:pPr>
            <w:r>
              <w:rPr>
                <w:sz w:val="4"/>
                <w:szCs w:val="4"/>
              </w:rPr>
            </w:r>
          </w:p>
        </w:tc>
      </w:tr>
      <w:tr>
        <w:trPr/>
        <w:tc>
          <w:tcPr>
            <w:tcW w:w="2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r>
      <w:tr>
        <w:trPr/>
        <w:tc>
          <w:tcPr>
            <w:tcW w:w="2861" w:type="dxa"/>
            <w:gridSpan w:val="3"/>
            <w:tcBorders/>
            <w:shd w:fill="CCEEFF" w:val="clear"/>
            <w:tcMar>
              <w:top w:w="0" w:type="dxa"/>
              <w:left w:w="0" w:type="dxa"/>
              <w:bottom w:w="0" w:type="dxa"/>
              <w:right w:w="0" w:type="dxa"/>
            </w:tcMar>
            <w:vAlign w:val="center"/>
          </w:tcPr>
          <w:p>
            <w:pPr>
              <w:pStyle w:val="TableContents"/>
              <w:bidi w:val="0"/>
              <w:spacing w:lineRule="auto" w:line="240" w:before="0" w:after="160"/>
              <w:jc w:val="both"/>
              <w:rPr>
                <w:rFonts w:ascii="Times New Roman;serif" w:hAnsi="Times New Roman;serif"/>
                <w:b w:val="false"/>
                <w:color w:val="000000"/>
                <w:sz w:val="17"/>
              </w:rPr>
            </w:pPr>
            <w:r>
              <w:rPr>
                <w:rFonts w:ascii="Times New Roman;serif" w:hAnsi="Times New Roman;serif"/>
                <w:b w:val="false"/>
                <w:color w:val="000000"/>
                <w:sz w:val="17"/>
              </w:rPr>
              <w:t>Utility revenue netted against related utility expense</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20.0 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both"/>
        <w:rPr/>
      </w:pPr>
      <w:r>
        <w:rPr/>
      </w:r>
    </w:p>
    <w:tbl>
      <w:tblPr>
        <w:tblW w:w="10205" w:type="dxa"/>
        <w:jc w:val="left"/>
        <w:tblInd w:w="0" w:type="dxa"/>
        <w:tblLayout w:type="fixed"/>
        <w:tblCellMar>
          <w:top w:w="28" w:type="dxa"/>
          <w:left w:w="28" w:type="dxa"/>
          <w:bottom w:w="28" w:type="dxa"/>
          <w:right w:w="28" w:type="dxa"/>
        </w:tblCellMar>
      </w:tblPr>
      <w:tblGrid>
        <w:gridCol w:w="1062"/>
        <w:gridCol w:w="931"/>
        <w:gridCol w:w="936"/>
        <w:gridCol w:w="239"/>
        <w:gridCol w:w="570"/>
        <w:gridCol w:w="132"/>
        <w:gridCol w:w="132"/>
        <w:gridCol w:w="132"/>
        <w:gridCol w:w="132"/>
        <w:gridCol w:w="239"/>
        <w:gridCol w:w="570"/>
        <w:gridCol w:w="132"/>
        <w:gridCol w:w="132"/>
        <w:gridCol w:w="132"/>
        <w:gridCol w:w="132"/>
        <w:gridCol w:w="132"/>
        <w:gridCol w:w="109"/>
        <w:gridCol w:w="197"/>
        <w:gridCol w:w="469"/>
        <w:gridCol w:w="109"/>
        <w:gridCol w:w="109"/>
        <w:gridCol w:w="109"/>
        <w:gridCol w:w="109"/>
        <w:gridCol w:w="197"/>
        <w:gridCol w:w="469"/>
        <w:gridCol w:w="109"/>
        <w:gridCol w:w="109"/>
        <w:gridCol w:w="109"/>
        <w:gridCol w:w="109"/>
        <w:gridCol w:w="197"/>
        <w:gridCol w:w="469"/>
        <w:gridCol w:w="109"/>
        <w:gridCol w:w="109"/>
        <w:gridCol w:w="109"/>
        <w:gridCol w:w="109"/>
        <w:gridCol w:w="109"/>
        <w:gridCol w:w="109"/>
        <w:gridCol w:w="196"/>
        <w:gridCol w:w="466"/>
        <w:gridCol w:w="175"/>
      </w:tblGrid>
      <w:tr>
        <w:trPr/>
        <w:tc>
          <w:tcPr>
            <w:tcW w:w="1062"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Nine Months Ended September 30,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Nine Months Ended September 30, 2024</w:t>
            </w:r>
          </w:p>
        </w:tc>
        <w:tc>
          <w:tcPr>
            <w:tcW w:w="1382" w:type="dxa"/>
            <w:gridSpan w:val="8"/>
            <w:tcBorders/>
          </w:tcPr>
          <w:p>
            <w:pPr>
              <w:pStyle w:val="TableContents"/>
              <w:bidi w:val="0"/>
              <w:spacing w:before="0" w:after="283"/>
              <w:jc w:val="left"/>
              <w:rPr>
                <w:sz w:val="4"/>
                <w:szCs w:val="4"/>
              </w:rPr>
            </w:pPr>
            <w:r>
              <w:rPr>
                <w:sz w:val="4"/>
                <w:szCs w:val="4"/>
              </w:rPr>
            </w:r>
          </w:p>
        </w:tc>
      </w:tr>
      <w:tr>
        <w:trPr/>
        <w:tc>
          <w:tcPr>
            <w:tcW w:w="2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r>
      <w:tr>
        <w:trPr/>
        <w:tc>
          <w:tcPr>
            <w:tcW w:w="2929" w:type="dxa"/>
            <w:gridSpan w:val="3"/>
            <w:tcBorders/>
            <w:shd w:fill="CCEEFF" w:val="clear"/>
            <w:tcMar>
              <w:top w:w="0" w:type="dxa"/>
              <w:left w:w="0" w:type="dxa"/>
              <w:bottom w:w="0" w:type="dxa"/>
              <w:right w:w="0" w:type="dxa"/>
            </w:tcMar>
            <w:vAlign w:val="center"/>
          </w:tcPr>
          <w:p>
            <w:pPr>
              <w:pStyle w:val="TableContents"/>
              <w:bidi w:val="0"/>
              <w:spacing w:lineRule="auto" w:line="240" w:before="0" w:after="160"/>
              <w:jc w:val="both"/>
              <w:rPr>
                <w:rFonts w:ascii="Times New Roman;serif" w:hAnsi="Times New Roman;serif"/>
                <w:b w:val="false"/>
                <w:color w:val="000000"/>
                <w:sz w:val="17"/>
              </w:rPr>
            </w:pPr>
            <w:r>
              <w:rPr>
                <w:rFonts w:ascii="Times New Roman;serif" w:hAnsi="Times New Roman;serif"/>
                <w:b w:val="false"/>
                <w:color w:val="000000"/>
                <w:sz w:val="17"/>
              </w:rPr>
              <w:t>Utility revenue netted against related utility expense</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Percentages are calculated based on unrounded numbers.</w:t>
      </w:r>
    </w:p>
    <w:p>
      <w:pPr>
        <w:pStyle w:val="TextBody"/>
        <w:bidi w:val="0"/>
        <w:spacing w:before="0" w:after="0"/>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672465"/>
                <wp:effectExtent l="0" t="0" r="0" b="0"/>
                <wp:wrapNone/>
                <wp:docPr id="47" name="Frame46"/>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ind w:left="0" w:right="0" w:hanging="180"/>
        <w:jc w:val="both"/>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Total Same Property operating expenses consist of the following components for the periods shown (in millions), and exclude amounts invested into recently acquired properties to bring them up to our standards.</w:t>
      </w:r>
    </w:p>
    <w:p>
      <w:pPr>
        <w:pStyle w:val="TextBody"/>
        <w:bidi w:val="0"/>
        <w:spacing w:before="0" w:after="0"/>
        <w:ind w:left="0" w:right="0" w:hanging="180"/>
        <w:jc w:val="both"/>
        <w:rPr/>
      </w:pPr>
      <w:r>
        <w:rPr/>
      </w:r>
    </w:p>
    <w:tbl>
      <w:tblPr>
        <w:tblW w:w="10205" w:type="dxa"/>
        <w:jc w:val="left"/>
        <w:tblInd w:w="0" w:type="dxa"/>
        <w:tblLayout w:type="fixed"/>
        <w:tblCellMar>
          <w:top w:w="28" w:type="dxa"/>
          <w:left w:w="28" w:type="dxa"/>
          <w:bottom w:w="28" w:type="dxa"/>
          <w:right w:w="28" w:type="dxa"/>
        </w:tblCellMar>
      </w:tblPr>
      <w:tblGrid>
        <w:gridCol w:w="483"/>
        <w:gridCol w:w="249"/>
        <w:gridCol w:w="252"/>
        <w:gridCol w:w="205"/>
        <w:gridCol w:w="584"/>
        <w:gridCol w:w="115"/>
        <w:gridCol w:w="109"/>
        <w:gridCol w:w="109"/>
        <w:gridCol w:w="109"/>
        <w:gridCol w:w="205"/>
        <w:gridCol w:w="584"/>
        <w:gridCol w:w="115"/>
        <w:gridCol w:w="109"/>
        <w:gridCol w:w="109"/>
        <w:gridCol w:w="109"/>
        <w:gridCol w:w="196"/>
        <w:gridCol w:w="394"/>
        <w:gridCol w:w="109"/>
        <w:gridCol w:w="109"/>
        <w:gridCol w:w="109"/>
        <w:gridCol w:w="109"/>
        <w:gridCol w:w="242"/>
        <w:gridCol w:w="241"/>
        <w:gridCol w:w="477"/>
        <w:gridCol w:w="109"/>
        <w:gridCol w:w="109"/>
        <w:gridCol w:w="109"/>
        <w:gridCol w:w="205"/>
        <w:gridCol w:w="584"/>
        <w:gridCol w:w="115"/>
        <w:gridCol w:w="109"/>
        <w:gridCol w:w="109"/>
        <w:gridCol w:w="109"/>
        <w:gridCol w:w="205"/>
        <w:gridCol w:w="584"/>
        <w:gridCol w:w="115"/>
        <w:gridCol w:w="109"/>
        <w:gridCol w:w="109"/>
        <w:gridCol w:w="109"/>
        <w:gridCol w:w="196"/>
        <w:gridCol w:w="394"/>
        <w:gridCol w:w="109"/>
        <w:gridCol w:w="109"/>
        <w:gridCol w:w="109"/>
        <w:gridCol w:w="109"/>
        <w:gridCol w:w="205"/>
        <w:gridCol w:w="205"/>
        <w:gridCol w:w="548"/>
      </w:tblGrid>
      <w:tr>
        <w:trPr/>
        <w:tc>
          <w:tcPr>
            <w:tcW w:w="4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Nine Months Ended</w:t>
            </w:r>
          </w:p>
        </w:tc>
      </w:tr>
      <w:tr>
        <w:trPr/>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 Change</w:t>
            </w:r>
            <w:r>
              <w:rPr>
                <w:rFonts w:ascii="Times New Roman;serif" w:hAnsi="Times New Roman;serif"/>
                <w:b/>
                <w:color w:val="000000"/>
                <w:sz w:val="11"/>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 Change</w:t>
            </w:r>
            <w:r>
              <w:rPr>
                <w:rFonts w:ascii="Times New Roman;serif" w:hAnsi="Times New Roman;serif"/>
                <w:b/>
                <w:color w:val="000000"/>
                <w:sz w:val="11"/>
              </w:rPr>
              <w:t>(3)</w:t>
            </w:r>
          </w:p>
        </w:tc>
      </w:tr>
      <w:tr>
        <w:trPr/>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Payroll and benefits</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109.0 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Real estate taxes</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11.4 </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9.3 </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Supplies and repairs</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4.2 </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Utilities</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6.8 </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6.7 </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Legal, state / local taxes, and insurance</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16.4 </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w:t>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(15.5)</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Same Property Operating Expenses</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137.1 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137.6 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372.4 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364.0 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2.3 </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bl>
    <w:p>
      <w:pPr>
        <w:pStyle w:val="TextBody"/>
        <w:bidi w:val="0"/>
        <w:spacing w:before="0" w:after="0"/>
        <w:ind w:left="0" w:right="0" w:hanging="180"/>
        <w:jc w:val="both"/>
        <w:rPr/>
      </w:pPr>
      <w:r>
        <w:rPr/>
      </w:r>
    </w:p>
    <w:tbl>
      <w:tblPr>
        <w:tblW w:w="9367" w:type="dxa"/>
        <w:jc w:val="left"/>
        <w:tblInd w:w="0" w:type="dxa"/>
        <w:tblLayout w:type="fixed"/>
        <w:tblCellMar>
          <w:top w:w="28" w:type="dxa"/>
          <w:left w:w="28" w:type="dxa"/>
          <w:bottom w:w="28" w:type="dxa"/>
          <w:right w:w="28" w:type="dxa"/>
        </w:tblCellMar>
      </w:tblPr>
      <w:tblGrid>
        <w:gridCol w:w="1378"/>
        <w:gridCol w:w="1211"/>
        <w:gridCol w:w="1221"/>
        <w:gridCol w:w="109"/>
        <w:gridCol w:w="109"/>
        <w:gridCol w:w="109"/>
        <w:gridCol w:w="205"/>
        <w:gridCol w:w="441"/>
        <w:gridCol w:w="241"/>
        <w:gridCol w:w="109"/>
        <w:gridCol w:w="109"/>
        <w:gridCol w:w="109"/>
        <w:gridCol w:w="205"/>
        <w:gridCol w:w="441"/>
        <w:gridCol w:w="241"/>
        <w:gridCol w:w="109"/>
        <w:gridCol w:w="130"/>
        <w:gridCol w:w="130"/>
        <w:gridCol w:w="130"/>
        <w:gridCol w:w="130"/>
        <w:gridCol w:w="234"/>
        <w:gridCol w:w="502"/>
        <w:gridCol w:w="287"/>
        <w:gridCol w:w="109"/>
        <w:gridCol w:w="109"/>
        <w:gridCol w:w="109"/>
        <w:gridCol w:w="205"/>
        <w:gridCol w:w="441"/>
        <w:gridCol w:w="241"/>
        <w:gridCol w:w="109"/>
        <w:gridCol w:w="154"/>
      </w:tblGrid>
      <w:tr>
        <w:trPr/>
        <w:tc>
          <w:tcPr>
            <w:tcW w:w="1378"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3" w:type="dxa"/>
            <w:gridSpan w:val="1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As of</w:t>
            </w:r>
          </w:p>
        </w:tc>
        <w:tc>
          <w:tcPr>
            <w:tcW w:w="1477" w:type="dxa"/>
            <w:gridSpan w:val="8"/>
            <w:tcBorders/>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2024</w:t>
            </w:r>
          </w:p>
        </w:tc>
        <w:tc>
          <w:tcPr>
            <w:tcW w:w="1477" w:type="dxa"/>
            <w:gridSpan w:val="8"/>
            <w:tcBorders/>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RV</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Other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Number of properties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281 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Sites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MH and annual RV sites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96,580 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31,480 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96,670 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30,730 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Transient RV sites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21,560 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22,760 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96,580 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53,040 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96,670 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53,490 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MH and Annual RV Occupancy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Occupancy</w:t>
            </w:r>
            <w:r>
              <w:rPr>
                <w:rFonts w:ascii="Times New Roman;serif" w:hAnsi="Times New Roman;serif"/>
                <w:b w:val="false"/>
                <w:color w:val="000000"/>
                <w:sz w:val="11"/>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97.2 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Average monthly base rent per site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change in monthly base rent</w:t>
            </w:r>
            <w:r>
              <w:rPr>
                <w:rFonts w:ascii="Times New Roman;serif" w:hAnsi="Times New Roman;serif"/>
                <w:b w:val="false"/>
                <w:color w:val="000000"/>
                <w:sz w:val="11"/>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Rental Program Statistics included in MH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Number of occupied sites, end of period</w:t>
            </w:r>
            <w:r>
              <w:rPr>
                <w:rFonts w:ascii="Times New Roman;serif" w:hAnsi="Times New Roman;serif"/>
                <w:b w:val="false"/>
                <w:color w:val="000000"/>
                <w:sz w:val="11"/>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11,630 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10,340 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Monthly rent per home and site - MH rental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change</w:t>
            </w:r>
            <w:r>
              <w:rPr>
                <w:rFonts w:ascii="Times New Roman;serif" w:hAnsi="Times New Roman;serif"/>
                <w:b w:val="false"/>
                <w:color w:val="000000"/>
                <w:sz w:val="11"/>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N/A = Not applicable.</w:t>
      </w:r>
    </w:p>
    <w:p>
      <w:pPr>
        <w:pStyle w:val="TextBody"/>
        <w:bidi w:val="0"/>
        <w:spacing w:lineRule="auto" w:line="288" w:before="0" w:after="60"/>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Same Property adjusted blended occupancy for MH and RV combined increased to 99.2% at September 30, 2025, from 97.9% at September 30, 2024. The 130 basis point increase was driven by MH expansion fills and the conversion of transient RV sites to annual sites. Same Property blended occupancy for MH and RV was 98.5% at September 30, 2025, up 60 basis points from 97.9% at September 30, 2024.</w:t>
      </w:r>
    </w:p>
    <w:p>
      <w:pPr>
        <w:pStyle w:val="TextBody"/>
        <w:bidi w:val="0"/>
        <w:spacing w:lineRule="auto" w:line="288" w:before="0" w:after="60"/>
        <w:ind w:left="0" w:right="0" w:hanging="18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Calculated using actual results without rounding.</w:t>
      </w:r>
    </w:p>
    <w:p>
      <w:pPr>
        <w:pStyle w:val="TextBody"/>
        <w:bidi w:val="0"/>
        <w:spacing w:lineRule="auto" w:line="288" w:before="0" w:after="0"/>
        <w:ind w:left="0" w:right="0" w:hanging="180"/>
        <w:jc w:val="both"/>
        <w:rPr/>
      </w:pPr>
      <w:r>
        <w:rPr>
          <w:rFonts w:ascii="Times New Roman;serif" w:hAnsi="Times New Roman;serif"/>
          <w:b w:val="false"/>
          <w:color w:val="000000"/>
          <w:sz w:val="10"/>
        </w:rPr>
        <w:t xml:space="preserve">(3) </w:t>
      </w:r>
      <w:r>
        <w:rPr>
          <w:rFonts w:ascii="Times New Roman;serif" w:hAnsi="Times New Roman;serif"/>
          <w:b w:val="false"/>
          <w:color w:val="000000"/>
          <w:sz w:val="16"/>
        </w:rPr>
        <w:t>Occupied rental program sites in Same Property are included in total sites.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672465"/>
                <wp:effectExtent l="0" t="0" r="0" b="0"/>
                <wp:wrapNone/>
                <wp:docPr id="48" name="Frame47"/>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Real Property Operations - UK Same Property Portfolio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reflect certain financial and other information for our Same Property UK portfolio as of and for the three and nine months ended September 30, 2025 and 2024 (in millions, except for statistical information):</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89"/>
        <w:gridCol w:w="607"/>
        <w:gridCol w:w="608"/>
        <w:gridCol w:w="560"/>
        <w:gridCol w:w="311"/>
        <w:gridCol w:w="312"/>
        <w:gridCol w:w="109"/>
        <w:gridCol w:w="109"/>
        <w:gridCol w:w="109"/>
        <w:gridCol w:w="560"/>
        <w:gridCol w:w="311"/>
        <w:gridCol w:w="312"/>
        <w:gridCol w:w="109"/>
        <w:gridCol w:w="109"/>
        <w:gridCol w:w="109"/>
        <w:gridCol w:w="222"/>
        <w:gridCol w:w="222"/>
        <w:gridCol w:w="496"/>
        <w:gridCol w:w="109"/>
        <w:gridCol w:w="109"/>
        <w:gridCol w:w="109"/>
        <w:gridCol w:w="560"/>
        <w:gridCol w:w="311"/>
        <w:gridCol w:w="312"/>
        <w:gridCol w:w="109"/>
        <w:gridCol w:w="109"/>
        <w:gridCol w:w="109"/>
        <w:gridCol w:w="560"/>
        <w:gridCol w:w="311"/>
        <w:gridCol w:w="312"/>
        <w:gridCol w:w="109"/>
        <w:gridCol w:w="109"/>
        <w:gridCol w:w="109"/>
        <w:gridCol w:w="212"/>
        <w:gridCol w:w="212"/>
        <w:gridCol w:w="570"/>
      </w:tblGrid>
      <w:tr>
        <w:trPr/>
        <w:tc>
          <w:tcPr>
            <w:tcW w:w="68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Nine Months Ended</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 Change</w:t>
            </w:r>
            <w:r>
              <w:rPr>
                <w:rFonts w:ascii="Times New Roman;serif" w:hAnsi="Times New Roman;serif"/>
                <w:b/>
                <w:color w:val="000000"/>
                <w:sz w:val="11"/>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 Change</w:t>
            </w:r>
            <w:r>
              <w:rPr>
                <w:rFonts w:ascii="Times New Roman;serif" w:hAnsi="Times New Roman;serif"/>
                <w:b/>
                <w:color w:val="000000"/>
                <w:sz w:val="11"/>
              </w:rPr>
              <w:t>(2)</w:t>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7"/>
              </w:rPr>
              <w:t>Financial Information</w:t>
            </w:r>
            <w:r>
              <w:rPr>
                <w:rFonts w:ascii="Times New Roman;serif" w:hAnsi="Times New Roman;serif"/>
                <w:b/>
                <w:color w:val="000000"/>
                <w:sz w:val="11"/>
              </w:rPr>
              <w:t>(1)</w:t>
            </w:r>
          </w:p>
        </w:tc>
        <w:tc>
          <w:tcPr>
            <w:tcW w:w="11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Same Property Revenues</w:t>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Real property (excluding transient)</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4.1 </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Real property - transient</w:t>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7.7 </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Same Property operating revenues</w:t>
            </w:r>
          </w:p>
        </w:tc>
        <w:tc>
          <w:tcPr>
            <w:tcW w:w="11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5.4 </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Same Property Expenses</w:t>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Same Property operating expenses</w:t>
            </w:r>
            <w:r>
              <w:rPr>
                <w:rFonts w:ascii="Times New Roman;serif" w:hAnsi="Times New Roman;serif"/>
                <w:b w:val="false"/>
                <w:color w:val="000000"/>
                <w:sz w:val="11"/>
              </w:rPr>
              <w:t>(3)</w:t>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4.0 </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5.6 </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Real Property NOI</w:t>
            </w:r>
          </w:p>
        </w:tc>
        <w:tc>
          <w:tcPr>
            <w:tcW w:w="5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5.4 </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5.2 </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Other Information</w:t>
            </w:r>
          </w:p>
        </w:tc>
        <w:tc>
          <w:tcPr>
            <w:tcW w:w="11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Number of properties</w:t>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Same Property results for our UK properties reflect constant currency for comparative purposes. United Kingdom currency figures in the prior comparative period have been translated at the average exchange rate of $1.2400 and $1.2958 USD per pound sterling, during the three and nine months ended September 30, 2025, respectively.</w:t>
      </w:r>
    </w:p>
    <w:p>
      <w:pPr>
        <w:pStyle w:val="TextBody"/>
        <w:bidi w:val="0"/>
        <w:spacing w:lineRule="auto" w:line="288" w:before="0" w:after="60"/>
        <w:ind w:left="0" w:right="0" w:hanging="18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Percentages are calculated based on unrounded numbers.</w:t>
      </w:r>
    </w:p>
    <w:p>
      <w:pPr>
        <w:pStyle w:val="TextBody"/>
        <w:bidi w:val="0"/>
        <w:spacing w:lineRule="auto" w:line="288" w:before="0" w:after="60"/>
        <w:ind w:left="0" w:right="0" w:hanging="180"/>
        <w:jc w:val="both"/>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We net certain utility revenues (which include utility reimbursement revenues from residents) against related utility expenses in property operating expenses as follows (in millions):</w:t>
      </w:r>
    </w:p>
    <w:tbl>
      <w:tblPr>
        <w:tblW w:w="10205" w:type="dxa"/>
        <w:jc w:val="left"/>
        <w:tblInd w:w="0" w:type="dxa"/>
        <w:tblLayout w:type="fixed"/>
        <w:tblCellMar>
          <w:top w:w="28" w:type="dxa"/>
          <w:left w:w="28" w:type="dxa"/>
          <w:bottom w:w="28" w:type="dxa"/>
          <w:right w:w="28" w:type="dxa"/>
        </w:tblCellMar>
      </w:tblPr>
      <w:tblGrid>
        <w:gridCol w:w="1171"/>
        <w:gridCol w:w="1027"/>
        <w:gridCol w:w="1033"/>
        <w:gridCol w:w="681"/>
        <w:gridCol w:w="378"/>
        <w:gridCol w:w="380"/>
        <w:gridCol w:w="144"/>
        <w:gridCol w:w="144"/>
        <w:gridCol w:w="144"/>
        <w:gridCol w:w="681"/>
        <w:gridCol w:w="378"/>
        <w:gridCol w:w="380"/>
        <w:gridCol w:w="109"/>
        <w:gridCol w:w="109"/>
        <w:gridCol w:w="109"/>
        <w:gridCol w:w="681"/>
        <w:gridCol w:w="378"/>
        <w:gridCol w:w="380"/>
        <w:gridCol w:w="136"/>
        <w:gridCol w:w="136"/>
        <w:gridCol w:w="136"/>
        <w:gridCol w:w="634"/>
        <w:gridCol w:w="351"/>
        <w:gridCol w:w="505"/>
      </w:tblGrid>
      <w:tr>
        <w:trPr/>
        <w:tc>
          <w:tcPr>
            <w:tcW w:w="117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3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Nine Months Ended</w:t>
            </w:r>
          </w:p>
        </w:tc>
      </w:tr>
      <w:tr>
        <w:trPr/>
        <w:tc>
          <w:tcPr>
            <w:tcW w:w="3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September 30, 2024</w:t>
            </w:r>
          </w:p>
        </w:tc>
      </w:tr>
      <w:tr>
        <w:trPr/>
        <w:tc>
          <w:tcPr>
            <w:tcW w:w="3231" w:type="dxa"/>
            <w:gridSpan w:val="3"/>
            <w:tcBorders/>
            <w:shd w:fill="CCEEFF" w:val="clear"/>
            <w:tcMar>
              <w:top w:w="0" w:type="dxa"/>
              <w:left w:w="0" w:type="dxa"/>
              <w:bottom w:w="0" w:type="dxa"/>
              <w:right w:w="0" w:type="dxa"/>
            </w:tcMar>
            <w:vAlign w:val="center"/>
          </w:tcPr>
          <w:p>
            <w:pPr>
              <w:pStyle w:val="TableContents"/>
              <w:bidi w:val="0"/>
              <w:spacing w:lineRule="auto" w:line="240" w:before="0" w:after="160"/>
              <w:jc w:val="both"/>
              <w:rPr>
                <w:rFonts w:ascii="Times New Roman;serif" w:hAnsi="Times New Roman;serif"/>
                <w:b w:val="false"/>
                <w:color w:val="000000"/>
                <w:sz w:val="17"/>
              </w:rPr>
            </w:pPr>
            <w:r>
              <w:rPr>
                <w:rFonts w:ascii="Times New Roman;serif" w:hAnsi="Times New Roman;serif"/>
                <w:b w:val="false"/>
                <w:color w:val="000000"/>
                <w:sz w:val="17"/>
              </w:rPr>
              <w:t>Utility revenue netted against related utility expense</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14.9</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w:t>
            </w:r>
          </w:p>
        </w:tc>
      </w:tr>
    </w:tbl>
    <w:p>
      <w:pPr>
        <w:pStyle w:val="TextBody"/>
        <w:bidi w:val="0"/>
        <w:spacing w:before="0" w:after="0"/>
        <w:ind w:left="0" w:right="0" w:hanging="180"/>
        <w:jc w:val="both"/>
        <w:rPr/>
      </w:pPr>
      <w:r>
        <w:rPr/>
      </w:r>
    </w:p>
    <w:p>
      <w:pPr>
        <w:pStyle w:val="TextBody"/>
        <w:bidi w:val="0"/>
        <w:spacing w:lineRule="auto" w:line="288" w:before="0" w:after="0"/>
        <w:ind w:left="0" w:right="0" w:hanging="180"/>
        <w:jc w:val="both"/>
        <w:rPr>
          <w:rFonts w:ascii="Times New Roman;serif" w:hAnsi="Times New Roman;serif"/>
          <w:b w:val="false"/>
          <w:i/>
          <w:color w:val="000000"/>
          <w:sz w:val="20"/>
        </w:rPr>
      </w:pPr>
      <w:r>
        <w:rPr>
          <w:rFonts w:ascii="Times New Roman;serif" w:hAnsi="Times New Roman;serif"/>
          <w:b w:val="false"/>
          <w:i/>
          <w:color w:val="000000"/>
          <w:sz w:val="20"/>
        </w:rPr>
        <w:t>UK Same Property Summary</w:t>
      </w:r>
    </w:p>
    <w:p>
      <w:pPr>
        <w:pStyle w:val="TextBody"/>
        <w:bidi w:val="0"/>
        <w:spacing w:before="0" w:after="0"/>
        <w:ind w:left="0" w:right="0" w:hanging="180"/>
        <w:jc w:val="both"/>
        <w:rPr/>
      </w:pPr>
      <w:r>
        <w:rPr/>
      </w:r>
    </w:p>
    <w:tbl>
      <w:tblPr>
        <w:tblW w:w="7647" w:type="dxa"/>
        <w:jc w:val="left"/>
        <w:tblInd w:w="0" w:type="dxa"/>
        <w:tblLayout w:type="fixed"/>
        <w:tblCellMar>
          <w:top w:w="28" w:type="dxa"/>
          <w:left w:w="28" w:type="dxa"/>
          <w:bottom w:w="28" w:type="dxa"/>
          <w:right w:w="28" w:type="dxa"/>
        </w:tblCellMar>
      </w:tblPr>
      <w:tblGrid>
        <w:gridCol w:w="917"/>
        <w:gridCol w:w="806"/>
        <w:gridCol w:w="812"/>
        <w:gridCol w:w="109"/>
        <w:gridCol w:w="109"/>
        <w:gridCol w:w="109"/>
        <w:gridCol w:w="351"/>
        <w:gridCol w:w="757"/>
        <w:gridCol w:w="436"/>
        <w:gridCol w:w="109"/>
        <w:gridCol w:w="1546"/>
        <w:gridCol w:w="109"/>
        <w:gridCol w:w="109"/>
        <w:gridCol w:w="109"/>
        <w:gridCol w:w="205"/>
        <w:gridCol w:w="441"/>
        <w:gridCol w:w="241"/>
        <w:gridCol w:w="109"/>
        <w:gridCol w:w="109"/>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As of</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6"/>
            <w:tcBorders/>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September 30, 2024</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Other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Number of properties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Sites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UK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16,830 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16,840 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UK Transient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3,320 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Occupancy</w:t>
            </w:r>
            <w:r>
              <w:rPr>
                <w:rFonts w:ascii="Times New Roman;serif" w:hAnsi="Times New Roman;serif"/>
                <w:b w:val="false"/>
                <w:color w:val="000000"/>
                <w:sz w:val="11"/>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90.9 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91.9 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Average monthly base rent per site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601 </w:t>
            </w:r>
          </w:p>
        </w:tc>
        <w:tc>
          <w:tcPr>
            <w:tcW w:w="4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change in monthly base rent</w:t>
            </w:r>
            <w:r>
              <w:rPr>
                <w:rFonts w:ascii="Times New Roman;serif" w:hAnsi="Times New Roman;serif"/>
                <w:b w:val="false"/>
                <w:color w:val="000000"/>
                <w:sz w:val="11"/>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Adjusting for recently delivered and vacant expansion sites, Same Property adjusted occupancy decreased by 90 basis points year over year, to 91.3% at September 30, 2025, from 92.2% at September 30, 2024.</w:t>
      </w:r>
    </w:p>
    <w:p>
      <w:pPr>
        <w:pStyle w:val="TextBody"/>
        <w:bidi w:val="0"/>
        <w:spacing w:lineRule="auto" w:line="288" w:before="20" w:after="60"/>
        <w:ind w:left="0" w:right="0" w:hanging="18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Calculated using actual results without rounding.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672465"/>
                <wp:effectExtent l="0" t="0" r="0" b="0"/>
                <wp:wrapNone/>
                <wp:docPr id="49" name="Frame48"/>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and 2024:</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MH segment increase in NOI of $15.7 million, or 10.1%, when compared to the same period in 2024 is primarily due to an increase in Real property (excluding transient) revenue of $15.9 million, or 7.3%. Real property (excluding transient) revenue increased primarily due to a 5.3% increase in monthly base rent and occupancy gains on a year-over-year basis.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RV segment decrease in NOI of $1.2 million, or 1.1%, when compared to the same period in 2024 is primarily due to a decrease in Real property transient revenue of $8.3 million, or 7.8%, partially offset by an increase in Real property (excluding transient revenue) of $6.5 million, or 8.1% and a decrease in Same property operating expenses of $0.6 million, or 0.8%. The increase in Real property (excluding transient) revenue was primarily due to a 5.1% increase in monthly base rent and conversions of transient RV sites to annual RV sites.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UK segment increase in NOI of $1.7 million, or 5.4%, when compared to the same period in 2024 is primarily due to an increase in Real property (excluding transient) revenue of $1.1 million, or 4.1% and Real property transient revenue growth of $1.5 million, or 5.6%, partially offset by an increase in Same property operating expenses by $0.9 million, or 4.0%. The increase in Real property revenue was primarily due to a 7.2% increase in monthly base rent per site. The increase in Same Property operating expenses was due to increases in payroll wages, utilities and leasing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and 2024:</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MH segment increase in NOI of $41.8 million, or 8.9%, when compared to the same period in 2024 is primarily due to an increase in Real property (excluding transient) revenue of $46.3 million, or 7.2%. Real property (excluding transient) revenue increased primarily due to a 5.3% increase in monthly base rent and occupancy gains on a year-over-year basis.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RV segment decrease in NOI of $6.5 million, or 2.8%, when compared to the same period in 2024 is primarily due to a decrease in Real property transient revenue of $19.4 million, or 9.5%, and an increase in Same property operating expenses of $4.0 million, or 2.1%, partially offset by an increase in Real property (excluding transient) revenue of $16.9 million, or 7.9%. The decrease in Real property transient revenue was primarily due to transient to annual RV site conversions. The increase in Same Property operating expenses was primarily due to an increase in supplies and repairs expense and other expenses. The increase in Real property (excluding transient) revenue was primarily due to a 5.1% increase in monthly base rent and conversions of transient RV sites to annual RV sites.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UK segment increase in NOI of $3.2 million, or 5.2%, when compared to the same period in 2024 is primarily due to the $3.2 million, or 4.1%, increase in Real property (excluding transient) revenue and an increase in Real property transient revenue of $3.2 million, or 7.7%, partially offset by an increase of $3.2 million, or 5.6%, in Same property operating expenses. The increase in Real property (excluding transient) revenue was primarily due to a 7.2% increase in monthly base rent per site. The increase in Same property operating expenses was primarily due to increases in payroll wages, utilities and other expenses.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672465"/>
                <wp:effectExtent l="0" t="0" r="0" b="0"/>
                <wp:wrapNone/>
                <wp:docPr id="50" name="Frame49"/>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Home Sales Summary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sell new and pre-owned homes to current and prospective residents and customers in our communities. This inventory is purchased from manufacturers, lenders, dealers, former residents, or customers.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certain financial and statistical information for our home sales program for the three and nine months ended September 30, 2025 and 2024 (in millions, except for average selling price and statistical information):</w:t>
      </w:r>
    </w:p>
    <w:p>
      <w:pPr>
        <w:pStyle w:val="TextBody"/>
        <w:bidi w:val="0"/>
        <w:spacing w:before="0" w:after="0"/>
        <w:jc w:val="both"/>
        <w:rPr/>
      </w:pPr>
      <w:r>
        <w:rPr/>
      </w:r>
    </w:p>
    <w:tbl>
      <w:tblPr>
        <w:tblW w:w="11209" w:type="dxa"/>
        <w:jc w:val="left"/>
        <w:tblInd w:w="0" w:type="dxa"/>
        <w:tblLayout w:type="fixed"/>
        <w:tblCellMar>
          <w:top w:w="28" w:type="dxa"/>
          <w:left w:w="28" w:type="dxa"/>
          <w:bottom w:w="28" w:type="dxa"/>
          <w:right w:w="28" w:type="dxa"/>
        </w:tblCellMar>
      </w:tblPr>
      <w:tblGrid>
        <w:gridCol w:w="266"/>
        <w:gridCol w:w="234"/>
        <w:gridCol w:w="236"/>
        <w:gridCol w:w="196"/>
        <w:gridCol w:w="646"/>
        <w:gridCol w:w="241"/>
        <w:gridCol w:w="109"/>
        <w:gridCol w:w="109"/>
        <w:gridCol w:w="109"/>
        <w:gridCol w:w="196"/>
        <w:gridCol w:w="646"/>
        <w:gridCol w:w="241"/>
        <w:gridCol w:w="109"/>
        <w:gridCol w:w="109"/>
        <w:gridCol w:w="109"/>
        <w:gridCol w:w="196"/>
        <w:gridCol w:w="556"/>
        <w:gridCol w:w="241"/>
        <w:gridCol w:w="109"/>
        <w:gridCol w:w="109"/>
        <w:gridCol w:w="109"/>
        <w:gridCol w:w="240"/>
        <w:gridCol w:w="241"/>
        <w:gridCol w:w="459"/>
        <w:gridCol w:w="109"/>
        <w:gridCol w:w="109"/>
        <w:gridCol w:w="109"/>
        <w:gridCol w:w="196"/>
        <w:gridCol w:w="646"/>
        <w:gridCol w:w="241"/>
        <w:gridCol w:w="109"/>
        <w:gridCol w:w="109"/>
        <w:gridCol w:w="109"/>
        <w:gridCol w:w="196"/>
        <w:gridCol w:w="556"/>
        <w:gridCol w:w="241"/>
        <w:gridCol w:w="109"/>
        <w:gridCol w:w="109"/>
        <w:gridCol w:w="109"/>
        <w:gridCol w:w="196"/>
        <w:gridCol w:w="571"/>
        <w:gridCol w:w="241"/>
        <w:gridCol w:w="109"/>
        <w:gridCol w:w="109"/>
        <w:gridCol w:w="109"/>
        <w:gridCol w:w="240"/>
        <w:gridCol w:w="241"/>
        <w:gridCol w:w="520"/>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Nine Months Ended</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Change</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North America</w:t>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Home sales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(19.6)</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138.0 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(21.5)</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Home cost and selling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(19.4)</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109.4 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(17.5)</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NOI</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(20.5)</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(37.1)</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NOI margin %</w:t>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18.5 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18.7 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16.6 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20.7 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UK</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Home sales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(0.9)</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154.6 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Home cost and selling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11.6 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17.7 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NOI</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(21.2)</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(11.4)</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NOI margin %</w:t>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30.3 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38.1 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28.7 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34.9 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Home sales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Home cost and selling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200.5 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203.0 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NOI</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31.0 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(21.0)</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(20.7)</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NOI margin %</w:t>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25.6 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29.4 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23.7 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27.9 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Units Sold:</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North America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(27.5)</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(18.3)</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UK</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828 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(11.5)</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2,247 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home sales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1,493 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(261)</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(17.5)</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3,478 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(373)</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Average Selling Price:</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North America</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93,564 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84,381 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9,183 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10.9 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87,977 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91,573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(3,596)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UK</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69,807 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62,286 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12.1 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68,803 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61,305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7,498 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bl>
    <w:p>
      <w:pPr>
        <w:pStyle w:val="TextBody"/>
        <w:bidi w:val="0"/>
        <w:spacing w:before="20" w:after="283"/>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NOI - North America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the 20.5% decrease in NOI was primarily driven by a 27.5% decrease in units sold, primarily driven by fewer available sites in conjunction with reduced expansion and development activity.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the 37.1% decrease in NOI was primarily driven by an 18.3% decrease in units sold, primarily driven by fewer available sites in conjunction with reduced expansion and development activity, as well as a 3.9% decrease in average selling price.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NOI - UK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the 21.2% decrease in NOI was primarily driven by a 7.8% decrease in NOI margin and 11.5% decrease in units sold, partially offset by a 12.1% increase in average selling price.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the 11.4% decrease in NOI was primarily driven by a 6.2% decrease in NOI margin and a 4.1% decrease in units sold, partially offset by a 12.2% increase in average selling price.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672465"/>
                <wp:effectExtent l="0" t="0" r="0" b="0"/>
                <wp:wrapNone/>
                <wp:docPr id="51" name="Frame50"/>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both"/>
        <w:rPr/>
      </w:pPr>
      <w:r>
        <w:rPr>
          <w:rFonts w:ascii="Times New Roman;serif" w:hAnsi="Times New Roman;serif"/>
          <w:b w:val="false"/>
          <w:i/>
          <w:color w:val="000000"/>
          <w:sz w:val="20"/>
        </w:rPr>
        <w:t>Other Items - Statements of Operations</w:t>
      </w:r>
      <w:r>
        <w:rPr>
          <w:rFonts w:ascii="Times New Roman;serif" w:hAnsi="Times New Roman;serif"/>
          <w:b w:val="false"/>
          <w:color w:val="000000"/>
          <w:sz w:val="13"/>
        </w:rPr>
        <w:t>(1)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other income and expenses for the three and nine months ended September 30, 2025 and 2024 (in millions):</w:t>
      </w:r>
    </w:p>
    <w:p>
      <w:pPr>
        <w:pStyle w:val="TextBody"/>
        <w:bidi w:val="0"/>
        <w:spacing w:before="0" w:after="0"/>
        <w:jc w:val="both"/>
        <w:rPr/>
      </w:pPr>
      <w:r>
        <w:rPr/>
      </w:r>
    </w:p>
    <w:tbl>
      <w:tblPr>
        <w:tblW w:w="11137" w:type="dxa"/>
        <w:jc w:val="left"/>
        <w:tblInd w:w="0" w:type="dxa"/>
        <w:tblLayout w:type="fixed"/>
        <w:tblCellMar>
          <w:top w:w="28" w:type="dxa"/>
          <w:left w:w="28" w:type="dxa"/>
          <w:bottom w:w="28" w:type="dxa"/>
          <w:right w:w="28" w:type="dxa"/>
        </w:tblCellMar>
      </w:tblPr>
      <w:tblGrid>
        <w:gridCol w:w="683"/>
        <w:gridCol w:w="317"/>
        <w:gridCol w:w="261"/>
        <w:gridCol w:w="198"/>
        <w:gridCol w:w="562"/>
        <w:gridCol w:w="111"/>
        <w:gridCol w:w="109"/>
        <w:gridCol w:w="109"/>
        <w:gridCol w:w="109"/>
        <w:gridCol w:w="198"/>
        <w:gridCol w:w="562"/>
        <w:gridCol w:w="111"/>
        <w:gridCol w:w="109"/>
        <w:gridCol w:w="109"/>
        <w:gridCol w:w="109"/>
        <w:gridCol w:w="196"/>
        <w:gridCol w:w="571"/>
        <w:gridCol w:w="109"/>
        <w:gridCol w:w="109"/>
        <w:gridCol w:w="109"/>
        <w:gridCol w:w="109"/>
        <w:gridCol w:w="285"/>
        <w:gridCol w:w="286"/>
        <w:gridCol w:w="459"/>
        <w:gridCol w:w="109"/>
        <w:gridCol w:w="109"/>
        <w:gridCol w:w="109"/>
        <w:gridCol w:w="196"/>
        <w:gridCol w:w="691"/>
        <w:gridCol w:w="109"/>
        <w:gridCol w:w="109"/>
        <w:gridCol w:w="109"/>
        <w:gridCol w:w="109"/>
        <w:gridCol w:w="198"/>
        <w:gridCol w:w="562"/>
        <w:gridCol w:w="111"/>
        <w:gridCol w:w="109"/>
        <w:gridCol w:w="109"/>
        <w:gridCol w:w="109"/>
        <w:gridCol w:w="196"/>
        <w:gridCol w:w="691"/>
        <w:gridCol w:w="109"/>
        <w:gridCol w:w="109"/>
        <w:gridCol w:w="109"/>
        <w:gridCol w:w="109"/>
        <w:gridCol w:w="278"/>
        <w:gridCol w:w="278"/>
        <w:gridCol w:w="520"/>
      </w:tblGrid>
      <w:tr>
        <w:trPr/>
        <w:tc>
          <w:tcPr>
            <w:tcW w:w="68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Nine Months Ended</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 Change</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Revenues</w:t>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Ancillary, net</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19.5 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15.8 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Interest income</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226.4 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154.7 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Brokerage commissions and other, net</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(12.1)</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Expenses</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General and administrative expense</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Catastrophic event-related charges, net</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(89.3)</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368.1 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Asset impairments</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165.9 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Loss on extinguishment of debt</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Interest expense</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(52.6)</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267.1 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(31.9)</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Other Items</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Gain / (loss) on foreign currency exchanges</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Gain / (loss) on dispositions of properties</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178.7 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186.6 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Other income / (expense), net</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Gain / (loss) on remeasurement of notes receivable</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60.0 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Income from nonconsolidated affiliates</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104.8 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70.8 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Gain / (loss) on remeasurement of investment in nonconsolidated affiliates</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(66.7)</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Current tax benefit / (expense)</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96.7 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Deferred tax benefit</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138.8 </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Income from discontinued operations, net</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(45.5)</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N/M</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Preferred return to preferred OP units / equity interests</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Income / (loss) attributable to noncontrolling interests</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(106.0)</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236.4 </w:t>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bl>
    <w:p>
      <w:pPr>
        <w:pStyle w:val="TextBody"/>
        <w:bidi w:val="0"/>
        <w:spacing w:lineRule="auto" w:line="288" w:before="20" w:after="60"/>
        <w:ind w:left="0" w:right="0" w:hanging="180"/>
        <w:jc w:val="both"/>
        <w:rPr/>
      </w:pPr>
      <w:r>
        <w:rPr>
          <w:rFonts w:ascii="Times New Roman;serif" w:hAnsi="Times New Roman;serif"/>
          <w:b w:val="false"/>
          <w:color w:val="000000"/>
          <w:sz w:val="10"/>
        </w:rPr>
        <w:t>(1)</w:t>
      </w:r>
      <w:r>
        <w:rPr>
          <w:rFonts w:ascii="Times New Roman;serif" w:hAnsi="Times New Roman;serif"/>
          <w:b w:val="false"/>
          <w:color w:val="000000"/>
          <w:sz w:val="16"/>
        </w:rPr>
        <w:t>Only items determined by management to be material, of interest, or unique to the periods disclosed above are explained below.</w:t>
      </w:r>
    </w:p>
    <w:p>
      <w:pPr>
        <w:pStyle w:val="TextBody"/>
        <w:bidi w:val="0"/>
        <w:spacing w:lineRule="auto" w:line="288" w:before="0" w:after="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N/M = Percentage change is not meaningful. N/A = Not applicable.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Ancillary, net</w:t>
      </w:r>
      <w:r>
        <w:rPr>
          <w:color w:val="000000"/>
        </w:rPr>
        <w:t xml:space="preserve"> </w:t>
      </w:r>
      <w:r>
        <w:rPr>
          <w:rFonts w:ascii="Times New Roman;serif" w:hAnsi="Times New Roman;serif"/>
          <w:b w:val="false"/>
          <w:color w:val="000000"/>
          <w:sz w:val="20"/>
        </w:rPr>
        <w:t>- for the three months ended September 30, 2025, increased primarily due to an increased emphasis on expense management and cost saving initiatives.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Interest income</w:t>
      </w:r>
      <w:r>
        <w:rPr>
          <w:color w:val="000000"/>
        </w:rPr>
        <w:t xml:space="preserve"> </w:t>
      </w:r>
      <w:r>
        <w:rPr>
          <w:rFonts w:ascii="Times New Roman;serif" w:hAnsi="Times New Roman;serif"/>
          <w:b w:val="false"/>
          <w:color w:val="000000"/>
          <w:sz w:val="20"/>
        </w:rPr>
        <w:t>- for the three and nine months ended September 30, 2025, increased due to the interest earned on our increased cash balance from the Safe Harbor Sale.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Catastrophic event-related charges, net</w:t>
      </w:r>
      <w:r>
        <w:rPr>
          <w:color w:val="000000"/>
        </w:rPr>
        <w:t xml:space="preserve"> </w:t>
      </w:r>
      <w:r>
        <w:rPr>
          <w:rFonts w:ascii="Times New Roman;serif" w:hAnsi="Times New Roman;serif"/>
          <w:b w:val="false"/>
          <w:color w:val="000000"/>
          <w:sz w:val="20"/>
        </w:rPr>
        <w:t>- for the nine months ended September 30, 2025, decreased primarily due to asset impairment and debris removal charges, net of insurance recoveries, of $10.6 million in the prior period, driven by flooding at an RV community in New Hampshire.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Asset impairments</w:t>
      </w:r>
      <w:r>
        <w:rPr>
          <w:color w:val="000000"/>
        </w:rPr>
        <w:t xml:space="preserve"> </w:t>
      </w:r>
      <w:r>
        <w:rPr>
          <w:rFonts w:ascii="Times New Roman;serif" w:hAnsi="Times New Roman;serif"/>
          <w:b w:val="false"/>
          <w:color w:val="000000"/>
          <w:sz w:val="20"/>
        </w:rPr>
        <w:t>- for the three and nine months ended September 30, 2025, increased due to asset impairment charges at 19 properties in the U.S., Canada, and the UK, driven by, in certain cases, a change in strategic plan for the properties, and in other cases, a decrease in projected future cash flows for the properties. Refer to Note 17, "Fair Value Measurements," in our accompanying Consolidated Financial Statements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672465"/>
                <wp:effectExtent l="0" t="0" r="0" b="0"/>
                <wp:wrapNone/>
                <wp:docPr id="52" name="Frame51"/>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both"/>
        <w:rPr/>
      </w:pPr>
      <w:r>
        <w:rPr>
          <w:rFonts w:ascii="Times New Roman;serif" w:hAnsi="Times New Roman;serif"/>
          <w:b w:val="false"/>
          <w:i/>
          <w:color w:val="000000"/>
          <w:sz w:val="20"/>
        </w:rPr>
        <w:t xml:space="preserve">Loss on extinguishment of debt </w:t>
      </w:r>
      <w:r>
        <w:rPr>
          <w:rFonts w:ascii="Times New Roman;serif" w:hAnsi="Times New Roman;serif"/>
          <w:b w:val="false"/>
          <w:color w:val="000000"/>
          <w:sz w:val="20"/>
        </w:rPr>
        <w:t>- for the nine months ended September 30, 2025, increased primarily due to the recognition of early extinguishment premiums of $102.4 million, due to the settlement of $3.2 billion of debt obligations using proceeds generated from the Safe Harbor Sale. Refer to Note 10, "Debt and Line of Credit," in our accompanying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Interest expense </w:t>
      </w:r>
      <w:r>
        <w:rPr>
          <w:rFonts w:ascii="Times New Roman;serif" w:hAnsi="Times New Roman;serif"/>
          <w:b w:val="false"/>
          <w:color w:val="000000"/>
          <w:sz w:val="20"/>
        </w:rPr>
        <w:t>- for the three and nine months ended September 30, 2025, decreased primarily due to the settlement of $3.2 billion in debt obligations using proceeds generated from the Safe Harbor Sale. Refer to Note 10, "Debt and Line of Credit," in our accompanying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Gain / (loss) on foreign currency exchanges</w:t>
      </w:r>
      <w:r>
        <w:rPr>
          <w:color w:val="000000"/>
        </w:rPr>
        <w:t xml:space="preserve"> </w:t>
      </w:r>
      <w:r>
        <w:rPr>
          <w:rFonts w:ascii="Times New Roman;serif" w:hAnsi="Times New Roman;serif"/>
          <w:b w:val="false"/>
          <w:color w:val="000000"/>
          <w:sz w:val="20"/>
        </w:rPr>
        <w:t>- for the three and nine months ended September 30, 2025, was a loss of $22.6 million and gain of $25.5 million, respectively, as compared to a loss of $4.5 million and $6.2 million, respectively, during the same period in 2024 primarily due to the settlement of six foreign currency forward swaps, as well as the fluctuation of the U.S. dollar versus the pound sterling. Refer to Note 16, "Derivative Financial Instruments," in our accompanying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Gain / (loss) on dispositions of properties</w:t>
      </w:r>
      <w:r>
        <w:rPr>
          <w:color w:val="000000"/>
        </w:rPr>
        <w:t xml:space="preserve"> </w:t>
      </w:r>
      <w:r>
        <w:rPr>
          <w:rFonts w:ascii="Times New Roman;serif" w:hAnsi="Times New Roman;serif"/>
          <w:b w:val="false"/>
          <w:color w:val="000000"/>
          <w:sz w:val="20"/>
        </w:rPr>
        <w:t>- for the three and nine months ended September 30, 2025, was a loss of $1.3 million and $3.7 million, respectively, as compared to a gain of $178.7 million and $186.6 million, respectively, during the same periods in 2024, driven by property dispositions in each period. Refer to Note 5, "Real Estate Acquisitions and Dispositions," in our accompanying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Other income / (expense), net</w:t>
      </w:r>
      <w:r>
        <w:rPr>
          <w:color w:val="000000"/>
        </w:rPr>
        <w:t xml:space="preserve"> </w:t>
      </w:r>
      <w:r>
        <w:rPr>
          <w:rFonts w:ascii="Times New Roman;serif" w:hAnsi="Times New Roman;serif"/>
          <w:b w:val="false"/>
          <w:color w:val="000000"/>
          <w:sz w:val="20"/>
        </w:rPr>
        <w:t>- for the three and nine months ended September 30, 2025, was income of $19.1 million and $56.7 million, respectively, primarily due to long-term lease termination gains on the repurchase of titles to 27 UK properties previously controlled via ground leases, as compared to an expense of $0.8 million and $4.3 million, respectively, during the same periods in 2024. Refer to Note 19, "Leases," in our accompanying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Income from nonconsolidated affiliates</w:t>
      </w:r>
      <w:r>
        <w:rPr>
          <w:color w:val="000000"/>
        </w:rPr>
        <w:t xml:space="preserve"> </w:t>
      </w:r>
      <w:r>
        <w:rPr>
          <w:rFonts w:ascii="Times New Roman;serif" w:hAnsi="Times New Roman;serif"/>
          <w:b w:val="false"/>
          <w:color w:val="000000"/>
          <w:sz w:val="20"/>
        </w:rPr>
        <w:t>- for the three months ended September 30, 2025, was income of $4.3 million, as compared to income of $2.1 million during the same period in 2024 primarily due to the increased performance of our Sungenia joint venture in Australia. Refer to Note 9, "Investments in Nonconsolidated Affiliates," in our accompanying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Gain / (loss) on remeasurement of investment in nonconsolidated affiliates</w:t>
      </w:r>
      <w:r>
        <w:rPr>
          <w:color w:val="000000"/>
        </w:rPr>
        <w:t xml:space="preserve"> </w:t>
      </w:r>
      <w:r>
        <w:rPr>
          <w:rFonts w:ascii="Times New Roman;serif" w:hAnsi="Times New Roman;serif"/>
          <w:b w:val="false"/>
          <w:color w:val="000000"/>
          <w:sz w:val="20"/>
        </w:rPr>
        <w:t>- for the nine months ended September 30, 2025, was a loss of $1.1 million as compared to a gain of $6.5 million during the same period in 2024 due to the fluctuation in the fair value of a notes receivable portfolio held at our GTSC joint venture. Refer to Note 9, "Investments in Nonconsolidated Affiliates," in our accompanying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Current tax benefit / (expense)</w:t>
      </w:r>
      <w:r>
        <w:rPr>
          <w:color w:val="000000"/>
        </w:rPr>
        <w:t xml:space="preserve"> </w:t>
      </w:r>
      <w:r>
        <w:rPr>
          <w:rFonts w:ascii="Times New Roman;serif" w:hAnsi="Times New Roman;serif"/>
          <w:b w:val="false"/>
          <w:color w:val="000000"/>
          <w:sz w:val="20"/>
        </w:rPr>
        <w:t>- for the three months ended September 30, 2025, was an expense of $3.8 million, as compared to a benefit of $1.0 million during the same period in 2024 primarily due to improved performance at our UK properties as compared to 2024, and tax planning efforts at our UK operations in 2024.</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Deferred tax benefit</w:t>
      </w:r>
      <w:r>
        <w:rPr>
          <w:color w:val="000000"/>
        </w:rPr>
        <w:t xml:space="preserve"> </w:t>
      </w:r>
      <w:r>
        <w:rPr>
          <w:rFonts w:ascii="Times New Roman;serif" w:hAnsi="Times New Roman;serif"/>
          <w:b w:val="false"/>
          <w:color w:val="000000"/>
          <w:sz w:val="20"/>
        </w:rPr>
        <w:t>- for the nine months ended September 30, 2025, increased primarily due to the recognition of a deferred tax benefit of $29.0 million in conjunction with the impairment of three development properties in the UK. Refer to Note 17, "Fair Value Measurements," in our accompanying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 xml:space="preserve">Income from discontinued operations, net </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for the three and nine months ended September 30, 2025, was $14.6 million and $1.4 billion, as compared to $26.8 million and $63.7 million, respectively, in the same periods in 2024, primarily due to the gain recognized on the closing of the Safe Harbor Sale and subsequent closing of the Delayed Consent Subsidiaries in the current period.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672465"/>
                <wp:effectExtent l="0" t="0" r="0" b="0"/>
                <wp:wrapNone/>
                <wp:docPr id="53" name="Frame52"/>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RECONCILIATION OF NET INCOME ATTRIBUTABLE TO SUI COMMON SHAREHOLDERS TO FFO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Net income attributable to SUI common shareholders to FFO for the three and nine months ended September 30, 2025 and 2024 (in millions, except for per share amounts):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546"/>
        <w:gridCol w:w="1282"/>
        <w:gridCol w:w="1290"/>
        <w:gridCol w:w="284"/>
        <w:gridCol w:w="807"/>
        <w:gridCol w:w="159"/>
        <w:gridCol w:w="109"/>
        <w:gridCol w:w="109"/>
        <w:gridCol w:w="109"/>
        <w:gridCol w:w="284"/>
        <w:gridCol w:w="807"/>
        <w:gridCol w:w="159"/>
        <w:gridCol w:w="109"/>
        <w:gridCol w:w="109"/>
        <w:gridCol w:w="109"/>
        <w:gridCol w:w="256"/>
        <w:gridCol w:w="905"/>
        <w:gridCol w:w="142"/>
        <w:gridCol w:w="109"/>
        <w:gridCol w:w="109"/>
        <w:gridCol w:w="109"/>
        <w:gridCol w:w="279"/>
        <w:gridCol w:w="795"/>
        <w:gridCol w:w="229"/>
      </w:tblGrid>
      <w:tr>
        <w:trPr/>
        <w:tc>
          <w:tcPr>
            <w:tcW w:w="1546"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4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Nine Months Ended</w:t>
            </w:r>
          </w:p>
        </w:tc>
      </w:tr>
      <w:tr>
        <w:trPr/>
        <w:tc>
          <w:tcPr>
            <w:tcW w:w="41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2024</w:t>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7"/>
              </w:rPr>
            </w:pPr>
            <w:r>
              <w:rPr>
                <w:rFonts w:ascii="Times New Roman;serif" w:hAnsi="Times New Roman;serif"/>
                <w:b/>
                <w:color w:val="000000"/>
                <w:sz w:val="17"/>
              </w:rPr>
              <w:t>Net Income Attributable to SUI Common Shareholders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288.7 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1,239.3 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313.4 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Adjustments</w:t>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 - continuing operations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373.0 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366.0 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 - discontinued operations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142.1 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Depreciation on nonconsolidated affiliates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Asset impairments - continuing operations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165.9 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356.0 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Asset impairments - discontinued operations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4118"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41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(Gain) / loss on remeasurement of investment in nonconsolidated affiliates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(Gain) / loss on remeasurement of notes receivable</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41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(Gain) / loss on dispositions of properties, including tax effect - continuing operations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(181.4)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(188.5)</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Gain on dispositions of properties, including tax effect - discontinued operations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(1,458.8)</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Add: Returns on preferred OP units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Add: Income / (loss) attributable to noncontrolling interests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Gain on disposition of assets, net</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7"/>
              </w:rPr>
              <w:t>FFO Attributable to SUI Common Shareholders and Convertible Securities</w:t>
            </w:r>
            <w:r>
              <w:rPr>
                <w:rFonts w:ascii="Times New Roman;serif" w:hAnsi="Times New Roman;serif"/>
                <w:b w:val="false"/>
                <w:color w:val="000000"/>
                <w:sz w:val="11"/>
              </w:rPr>
              <w:t>(1)(5)(6)</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282.5 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287.3 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603.2 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663.8 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Adjustments</w:t>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Business combination expense - discontinued operations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Acquisition and other transaction costs - continuing operations</w:t>
            </w:r>
            <w:r>
              <w:rPr>
                <w:rFonts w:ascii="Times New Roman;serif" w:hAnsi="Times New Roman;serif"/>
                <w:b w:val="false"/>
                <w:color w:val="000000"/>
                <w:sz w:val="11"/>
              </w:rPr>
              <w:t>(2)</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Acquisition and other transaction costs - discontinued operations</w:t>
            </w:r>
            <w:r>
              <w:rPr>
                <w:rFonts w:ascii="Times New Roman;serif" w:hAnsi="Times New Roman;serif"/>
                <w:b w:val="false"/>
                <w:color w:val="000000"/>
                <w:sz w:val="11"/>
              </w:rPr>
              <w:t>(2)</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Loss on extinguishment of debt</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Catastrophic event-related charges, net - continuing operations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Catastrophic event-related charges, net - discontinued operations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Loss of earnings - catastrophic event-related charges, net</w:t>
            </w:r>
            <w:r>
              <w:rPr>
                <w:rFonts w:ascii="Times New Roman;serif" w:hAnsi="Times New Roman;serif"/>
                <w:b w:val="false"/>
                <w:color w:val="000000"/>
                <w:sz w:val="11"/>
              </w:rPr>
              <w:t>(3)</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(Gain) / loss on foreign currency exchanges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4118"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41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Other adjustments, net - continuing operations</w:t>
            </w:r>
            <w:r>
              <w:rPr>
                <w:rFonts w:ascii="Times New Roman;serif" w:hAnsi="Times New Roman;serif"/>
                <w:b w:val="false"/>
                <w:color w:val="000000"/>
                <w:sz w:val="11"/>
              </w:rPr>
              <w:t>(4)</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Other adjustments, net - discontinued operations</w:t>
            </w:r>
            <w:r>
              <w:rPr>
                <w:rFonts w:ascii="Times New Roman;serif" w:hAnsi="Times New Roman;serif"/>
                <w:b w:val="false"/>
                <w:color w:val="000000"/>
                <w:sz w:val="11"/>
              </w:rPr>
              <w:t>(4)</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4118"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4118"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4118"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r>
      <w:tr>
        <w:trPr/>
        <w:tc>
          <w:tcPr>
            <w:tcW w:w="41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7"/>
              </w:rPr>
              <w:t>Core FFO Attributable to SUI Common Shareholders and Convertible Securities</w:t>
            </w:r>
            <w:r>
              <w:rPr>
                <w:rFonts w:ascii="Times New Roman;serif" w:hAnsi="Times New Roman;serif"/>
                <w:b w:val="false"/>
                <w:color w:val="000000"/>
                <w:sz w:val="11"/>
              </w:rPr>
              <w:t>(1)(5)(6)</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294.4 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306.2 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693.3 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700.4 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7"/>
              </w:rPr>
              <w:t>Weighted Average Common Shares and OP Units Outstanding</w:t>
            </w:r>
            <w:r>
              <w:rPr>
                <w:rFonts w:ascii="Times New Roman;serif" w:hAnsi="Times New Roman;serif"/>
                <w:b w:val="false"/>
                <w:color w:val="000000"/>
                <w:sz w:val="11"/>
              </w:rPr>
              <w:t>(1)</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131.2 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7"/>
              </w:rPr>
              <w:t>FFO Attributable to SUI Common Shareholders and Convertible Securities</w:t>
            </w:r>
            <w:r>
              <w:rPr>
                <w:rFonts w:ascii="Times New Roman;serif" w:hAnsi="Times New Roman;serif"/>
                <w:b w:val="false"/>
                <w:color w:val="000000"/>
                <w:sz w:val="11"/>
              </w:rPr>
              <w:t>(1)(5)(6)</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7"/>
              </w:rPr>
              <w:t>Core FFO Attributable to SUI Common Shareholders and Convertible Securities</w:t>
            </w:r>
            <w:r>
              <w:rPr>
                <w:rFonts w:ascii="Times New Roman;serif" w:hAnsi="Times New Roman;serif"/>
                <w:b w:val="false"/>
                <w:color w:val="000000"/>
                <w:sz w:val="11"/>
              </w:rPr>
              <w:t>(1)(5)(6)</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erif" w:hAnsi="Times New Roman;serif"/>
          <w:b w:val="false"/>
          <w:color w:val="000000"/>
          <w:sz w:val="10"/>
        </w:rPr>
        <w:t>(1)</w:t>
      </w:r>
      <w:r>
        <w:rPr>
          <w:rFonts w:ascii="Times New Roman;serif" w:hAnsi="Times New Roman;serif"/>
          <w:b w:val="false"/>
          <w:color w:val="000000"/>
          <w:sz w:val="16"/>
        </w:rPr>
        <w:t>Assumes full conversion of all equity participating units, including common and preferred OP units, into our common stock, and has no material impact on previously reported results.</w:t>
      </w:r>
    </w:p>
    <w:p>
      <w:pPr>
        <w:pStyle w:val="TextBody"/>
        <w:bidi w:val="0"/>
        <w:spacing w:lineRule="auto" w:line="288" w:before="0" w:after="60"/>
        <w:ind w:left="0" w:right="0" w:hanging="180"/>
        <w:jc w:val="both"/>
        <w:rPr/>
      </w:pPr>
      <w:r>
        <w:rPr>
          <w:rFonts w:ascii="Times New Roman;serif" w:hAnsi="Times New Roman;serif"/>
          <w:b w:val="false"/>
          <w:color w:val="000000"/>
          <w:sz w:val="10"/>
        </w:rPr>
        <w:t>(2)</w:t>
      </w:r>
      <w:r>
        <w:rPr>
          <w:rFonts w:ascii="Times New Roman;serif" w:hAnsi="Times New Roman;serif"/>
          <w:b w:val="false"/>
          <w:color w:val="000000"/>
          <w:sz w:val="16"/>
        </w:rPr>
        <w:t>These costs represent (i) nonrecurring integration expenses associated with acquisitions during the three and nine months ended September 30, 2025 and 2024, (ii) costs associated with potential acquisitions that will not close, (iii) expenses incurred to bring recently acquired properties up to our operating standards, including items such as tree trimming and painting costs that do not meet our capitalization policy. Acquisition and other transaction costs - discontinued operations primarily represent non-recurring costs directly attributable to the Safe Harbor Sale.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672465"/>
                <wp:effectExtent l="0" t="0" r="0" b="0"/>
                <wp:wrapNone/>
                <wp:docPr id="54" name="Frame53"/>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60"/>
        <w:ind w:left="0" w:right="0" w:hanging="180"/>
        <w:jc w:val="both"/>
        <w:rPr/>
      </w:pPr>
      <w:r>
        <w:rPr>
          <w:rFonts w:ascii="Times New Roman;serif" w:hAnsi="Times New Roman;serif"/>
          <w:b w:val="false"/>
          <w:color w:val="000000"/>
          <w:sz w:val="10"/>
        </w:rPr>
        <w:t>(3)</w:t>
      </w:r>
      <w:r>
        <w:rPr>
          <w:rFonts w:ascii="Times New Roman;serif" w:hAnsi="Times New Roman;serif"/>
          <w:b w:val="false"/>
          <w:color w:val="000000"/>
          <w:sz w:val="16"/>
        </w:rPr>
        <w:t>Loss of earnings - catastrophic event-related charges, net include the following:</w:t>
      </w:r>
    </w:p>
    <w:tbl>
      <w:tblPr>
        <w:tblW w:w="10205" w:type="dxa"/>
        <w:jc w:val="left"/>
        <w:tblInd w:w="0" w:type="dxa"/>
        <w:tblLayout w:type="fixed"/>
        <w:tblCellMar>
          <w:top w:w="28" w:type="dxa"/>
          <w:left w:w="28" w:type="dxa"/>
          <w:bottom w:w="28" w:type="dxa"/>
          <w:right w:w="28" w:type="dxa"/>
        </w:tblCellMar>
      </w:tblPr>
      <w:tblGrid>
        <w:gridCol w:w="1636"/>
        <w:gridCol w:w="1360"/>
        <w:gridCol w:w="1369"/>
        <w:gridCol w:w="345"/>
        <w:gridCol w:w="663"/>
        <w:gridCol w:w="194"/>
        <w:gridCol w:w="109"/>
        <w:gridCol w:w="109"/>
        <w:gridCol w:w="109"/>
        <w:gridCol w:w="345"/>
        <w:gridCol w:w="663"/>
        <w:gridCol w:w="194"/>
        <w:gridCol w:w="109"/>
        <w:gridCol w:w="109"/>
        <w:gridCol w:w="109"/>
        <w:gridCol w:w="305"/>
        <w:gridCol w:w="726"/>
        <w:gridCol w:w="171"/>
        <w:gridCol w:w="109"/>
        <w:gridCol w:w="109"/>
        <w:gridCol w:w="109"/>
        <w:gridCol w:w="299"/>
        <w:gridCol w:w="712"/>
        <w:gridCol w:w="242"/>
      </w:tblGrid>
      <w:tr>
        <w:trPr/>
        <w:tc>
          <w:tcPr>
            <w:tcW w:w="1636"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4365"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60"/>
              <w:jc w:val="both"/>
              <w:rPr>
                <w:rFonts w:ascii="Times New Roman;serif" w:hAnsi="Times New Roman;serif"/>
                <w:b w:val="false"/>
                <w:color w:val="000000"/>
                <w:sz w:val="16"/>
              </w:rPr>
            </w:pPr>
            <w:r>
              <w:rPr>
                <w:rFonts w:ascii="Times New Roman;serif" w:hAnsi="Times New Roman;serif"/>
                <w:b w:val="false"/>
                <w:color w:val="000000"/>
                <w:sz w:val="16"/>
              </w:rPr>
              <w:t>Hurricane Ian - Estimated loss of earnings in excess of the applicable business interruption deductible</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both"/>
              <w:rPr>
                <w:rFonts w:ascii="Times New Roman;serif" w:hAnsi="Times New Roman;serif"/>
                <w:b w:val="false"/>
                <w:color w:val="000000"/>
                <w:sz w:val="16"/>
              </w:rPr>
            </w:pPr>
            <w:r>
              <w:rPr>
                <w:rFonts w:ascii="Times New Roman;serif" w:hAnsi="Times New Roman;serif"/>
                <w:b w:val="false"/>
                <w:color w:val="000000"/>
                <w:sz w:val="16"/>
              </w:rPr>
              <w:t>Hurricane Ian - Insurance recoveries realized for previously estimated loss of earnings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60"/>
              <w:jc w:val="both"/>
              <w:rPr>
                <w:rFonts w:ascii="Times New Roman;serif" w:hAnsi="Times New Roman;serif"/>
                <w:b w:val="false"/>
                <w:color w:val="000000"/>
                <w:sz w:val="16"/>
              </w:rPr>
            </w:pPr>
            <w:r>
              <w:rPr>
                <w:rFonts w:ascii="Times New Roman;serif" w:hAnsi="Times New Roman;serif"/>
                <w:b w:val="false"/>
                <w:color w:val="000000"/>
                <w:sz w:val="16"/>
              </w:rPr>
              <w:t>Hurricane Helene - Estimated loss of earnings in excess of the applicable business interruption deductible, net</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Flooding event - estimated loss of earnings at one New Hampshire RV community</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Loss of earnings - catastrophic event-related charges, net</w:t>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both"/>
        <w:rPr/>
      </w:pPr>
      <w:r>
        <w:rPr>
          <w:rFonts w:ascii="Times New Roman;serif" w:hAnsi="Times New Roman;serif"/>
          <w:b w:val="false"/>
          <w:color w:val="000000"/>
          <w:sz w:val="10"/>
        </w:rPr>
        <w:t>(4)</w:t>
      </w:r>
      <w:r>
        <w:rPr>
          <w:rFonts w:ascii="Times New Roman;serif" w:hAnsi="Times New Roman;serif"/>
          <w:b w:val="false"/>
          <w:color w:val="000000"/>
          <w:sz w:val="16"/>
        </w:rPr>
        <w:t>Other adjustments, net - continuing operations relates primarily to deferred tax benefits and long-term lease termination gains during the three and nine months ended September 30, 2025 and 2024, and Other adjustments, net - discontinued operations relates primarily to a contingent consideration expense during the nine months ended September 30, 2025 and litigation settlement gains during the nine months ended September 30, 2024.</w:t>
      </w:r>
    </w:p>
    <w:p>
      <w:pPr>
        <w:pStyle w:val="TextBody"/>
        <w:bidi w:val="0"/>
        <w:spacing w:lineRule="auto" w:line="288" w:before="0" w:after="60"/>
        <w:ind w:left="0" w:right="0" w:hanging="180"/>
        <w:jc w:val="both"/>
        <w:rPr/>
      </w:pPr>
      <w:r>
        <w:rPr>
          <w:rFonts w:ascii="Times New Roman;serif" w:hAnsi="Times New Roman;serif"/>
          <w:b w:val="false"/>
          <w:color w:val="000000"/>
          <w:sz w:val="10"/>
        </w:rPr>
        <w:t>(5)</w:t>
      </w:r>
      <w:r>
        <w:rPr>
          <w:rFonts w:ascii="Times New Roman;serif" w:hAnsi="Times New Roman;serif"/>
          <w:b w:val="false"/>
          <w:color w:val="000000"/>
          <w:sz w:val="16"/>
        </w:rPr>
        <w:t>FFO and Core FFO includes discontinued operations activity of $1.0 million or $0.01 per Share, and $1.5 million or $0.01 per Share, respectively, during the three months ended September 30, 2025, and $75.1 million or $0.58 per Share, and $75.8 million or $0.59 per Share, respectively, during the three months ended September 30, 2024.</w:t>
      </w:r>
    </w:p>
    <w:p>
      <w:pPr>
        <w:pStyle w:val="TextBody"/>
        <w:bidi w:val="0"/>
        <w:spacing w:lineRule="auto" w:line="288" w:before="0" w:after="0"/>
        <w:ind w:left="0" w:right="0" w:hanging="180"/>
        <w:jc w:val="both"/>
        <w:rPr/>
      </w:pPr>
      <w:r>
        <w:rPr>
          <w:rFonts w:ascii="Times New Roman;serif" w:hAnsi="Times New Roman;serif"/>
          <w:b w:val="false"/>
          <w:color w:val="000000"/>
          <w:sz w:val="10"/>
        </w:rPr>
        <w:t>(6)</w:t>
      </w:r>
      <w:r>
        <w:rPr>
          <w:rFonts w:ascii="Times New Roman;serif" w:hAnsi="Times New Roman;serif"/>
          <w:b w:val="false"/>
          <w:color w:val="000000"/>
          <w:sz w:val="16"/>
        </w:rPr>
        <w:t>FFO and Core FFO include discontinued operations activity of $(1.8) million or $(0.01) per Share, and $76.7 million or $0.58 per Share, respectively, during the nine months ended September 30, 2025, and $208.0 million or $1.61 per Share, and $201.4 million or $1.56 per Share, respectively, during the nine months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672465"/>
                <wp:effectExtent l="0" t="0" r="0" b="0"/>
                <wp:wrapNone/>
                <wp:docPr id="55" name="Frame54"/>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Short-term Liquidity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principal short-term liquidity demands are expected to consist of distributions to our shareholders and the unit holders of the Operating Partnership through cash distributions and share repurchases, property acquisitions, development and expansion of our properties, capital improvement of our properties, and the purchase of new and pre-owned homes. We intend to meet our short-term liquidity requirements through available cash balances, cash flow generated from operations, cash generated from the Safe Harbor Sale, draws on our senior credit facility, and the use of debt and equity offerings under our shelf registration statement.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take a disciplined approach to selecting the optimal mix of financing sources to meet our liquidity demands and minimize our overall cost of capital. During the three months ended June 30, 2025, we completed the initial closing of the Safe Harbor Sale, which generated pre-tax cash proceeds of approximately $5.25 billion, net of transaction costs. Subsequent to the initial closing through August 29, 2025, we completed the sale of 15 Delayed Consent Subsidiaries for $254.2 million and fully divested our investment in the Safe Harbor business. The Safe Harbor Sale advances our strategy of focusing on our core MH and RV segments and enhances our leverage profile and financial flexibility. We have deployed the cash proceeds from the Safe Harbor Sale to implement a capital allocation plan that reflects a balanced, tax-efficient approach to optimize shareholder value through significantly lower leverage, greater financial flexibility to drive sustainable cash flow growth, and a thoughtful capital return strategy. We intend to maintain our strong financial position and lower leverage profile by focusing on our core fundamentals, which are generating positive cash flows from operations, maintaining appropriate debt levels and leverage ratios, and controlling overhead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Since our initial public offering in 1993, we have demonstrated operational reliability and cash flow strength throughout economic cycles. Our current objectives include streamlining our operations with an emphasis on our reliable real property income. We recognize the headwinds we are facing from a challenging macroeconomic environment and are re-aligning our strategy to focus on our proven, durable income streams. We are positioned for ongoing organic growth with expected rental rate increases, occupancy gains, and expense management. For the remainder of 2025, we continue to expect rental rate growth that exceeds headline inflation with ongoing focus on expense management to continue generating strong organic cash flow growth.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cash proceeds generated from the Safe Harbor Sale, through September 30, 2025, we initiated the following capital allocation decisions:</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Repaid approximately $3.3 billion of debt, including $1.6 billion of outstanding borrowings under our senior credit facility, as well as $737.7 million in secured mortgage debt, and $956.5 million in unsecured notes, inclusive of prepayment costs.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Returned capital to shareholders, including the payment of a special cash distribution of $4.00 per share, totaling $521.3 million, and the initiation of our Stock Repurchase Program.</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Repurchased 4.0 million shares of our common stock at an average cost of $125.74 per share for a total of $500.3 million.</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Targeted reinvestment in strategic growth by allocating $629.5 million into 1031 exchange escrow accounts to fund potential future MH and RV acquisitions. Refer to the "Acquisitions, Dispositions, Development, and Expansion Activities" section below for acquisitions that closed subsequent to September 30, 2025.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Initiated other opportunistic financial enhancements, including deploying cash of $323.6 million to repurchase the titles to 28 UK properties that were previously controlled via ground leases through October 30, 2025. We have also contractually agreed to repurchase the titles to an additional five UK properties for approximately $63.0 million, which we expect to close by the end of the first quarter of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Refer to Note 1, "Basis of Presentation," and Note 2, "Assets Held for Sale and Discontinued Operations," for additional details related to the Safe Harbor Sale. Refer to Note 19, "Leases," for additional details related to the UK long-term lease terminations. Refer to Note 21, "Subsequent Events," for additional details related to acquisitions that closed subsequent to September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Acquisitions, Dispositions, Development, and Expansion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Subject to market conditions, we intend to selectively identify opportunities to expand our development pipeline and acquire existing properties. We finance acquisitions through available cash, secured financing, draws on our senior credit facility, the assumption of existing debt on properties, and the issuance of debt and equity securities. As of September 30, 2025, we had allocated restricted cash of $629.5 million into 1031 exchange escrow accounts to fund potential future MH and RV acquisitions. In October 2025, we acquired 11 MH and three RV properties for total cash consideration of $457.0 million. Given the higher interest rate environment, we continue to selectively pursue acquisition and development opportunities that meet our underwriting criteria.</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672465"/>
                <wp:effectExtent l="0" t="0" r="0" b="0"/>
                <wp:wrapNone/>
                <wp:docPr id="56" name="Frame55"/>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continued a targeted disposition program to divest non-strategic assets in an effort to simplify management and maintain financial flexibility. During the nine months ended September 30, 2025, we sold three MH properties, three RV properties, and one MH and one RV development land parcel for a gross sale price of approximately $182.2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plan to selectively expand our properties utilizing our inventory of owned and entitled land. We have 15,860 MH and RV sites suitable for future development. Refer to Note 5, "Real Estate Acquisitions and Dispositions," in our accompanying Consolidated Financial Statements for additional details on acquisitions and dispositions completed to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Capital Expenditures (excluding Acquisition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capital expenditure activity is summarized as follows (in millions):</w:t>
      </w:r>
    </w:p>
    <w:p>
      <w:pPr>
        <w:pStyle w:val="TextBody"/>
        <w:bidi w:val="0"/>
        <w:spacing w:before="0" w:after="0"/>
        <w:jc w:val="both"/>
        <w:rPr/>
      </w:pPr>
      <w:r>
        <w:rPr/>
      </w:r>
    </w:p>
    <w:tbl>
      <w:tblPr>
        <w:tblW w:w="8006" w:type="dxa"/>
        <w:jc w:val="left"/>
        <w:tblInd w:w="0" w:type="dxa"/>
        <w:tblLayout w:type="fixed"/>
        <w:tblCellMar>
          <w:top w:w="28" w:type="dxa"/>
          <w:left w:w="28" w:type="dxa"/>
          <w:bottom w:w="28" w:type="dxa"/>
          <w:right w:w="28" w:type="dxa"/>
        </w:tblCellMar>
      </w:tblPr>
      <w:tblGrid>
        <w:gridCol w:w="1646"/>
        <w:gridCol w:w="1448"/>
        <w:gridCol w:w="1451"/>
        <w:gridCol w:w="351"/>
        <w:gridCol w:w="997"/>
        <w:gridCol w:w="197"/>
        <w:gridCol w:w="109"/>
        <w:gridCol w:w="109"/>
        <w:gridCol w:w="109"/>
        <w:gridCol w:w="343"/>
        <w:gridCol w:w="976"/>
        <w:gridCol w:w="270"/>
      </w:tblGrid>
      <w:tr>
        <w:trPr/>
        <w:tc>
          <w:tcPr>
            <w:tcW w:w="1646"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Nine Months Ended</w:t>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2024</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Recurring Capital Expenditures</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43.9 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54.9 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Non-Recurring Capital Expenditures and Related Activities</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Lot modifications</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Growth projects</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10.9 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Rebranding</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Capital improvements to recent acquisitions</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17.7 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Expansion and development</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98.3 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Rental program</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154.2 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121.3 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Non-Recurring Capital Expenditure and Related Activities</w:t>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284.0 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288.6 </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Capital Expenditure and Related Activities</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327.9 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343.5 </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Refer to the "Liquidity and Capital Resources" section in Part II, Item 7 of our 2024 Annual Report for capital expenditure activity definitions and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Cash Flow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cash flow activities from continuing operations are summarized as follows (in millions):</w:t>
      </w:r>
    </w:p>
    <w:p>
      <w:pPr>
        <w:pStyle w:val="TextBody"/>
        <w:bidi w:val="0"/>
        <w:spacing w:before="0" w:after="0"/>
        <w:jc w:val="both"/>
        <w:rPr/>
      </w:pPr>
      <w:r>
        <w:rPr/>
      </w:r>
    </w:p>
    <w:tbl>
      <w:tblPr>
        <w:tblW w:w="7421" w:type="dxa"/>
        <w:jc w:val="left"/>
        <w:tblInd w:w="0" w:type="dxa"/>
        <w:tblLayout w:type="fixed"/>
        <w:tblCellMar>
          <w:top w:w="28" w:type="dxa"/>
          <w:left w:w="28" w:type="dxa"/>
          <w:bottom w:w="28" w:type="dxa"/>
          <w:right w:w="28" w:type="dxa"/>
        </w:tblCellMar>
      </w:tblPr>
      <w:tblGrid>
        <w:gridCol w:w="1436"/>
        <w:gridCol w:w="1259"/>
        <w:gridCol w:w="1265"/>
        <w:gridCol w:w="323"/>
        <w:gridCol w:w="1042"/>
        <w:gridCol w:w="180"/>
        <w:gridCol w:w="109"/>
        <w:gridCol w:w="109"/>
        <w:gridCol w:w="109"/>
        <w:gridCol w:w="317"/>
        <w:gridCol w:w="1023"/>
        <w:gridCol w:w="249"/>
      </w:tblGrid>
      <w:tr>
        <w:trPr/>
        <w:tc>
          <w:tcPr>
            <w:tcW w:w="1436"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Nine Months Ended</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2024</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Provided By Operating Activities</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641.3 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550.0 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Provided By / (Used For) Investing Activities</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22.8 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Provided By / (Used For) Financing Activities</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606.4 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(542.7)</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increased by $1.1 billion from $57.1 million as of December 31, 2024, to $1.2 billion as of September 30,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Operating activities</w:t>
      </w:r>
      <w:r>
        <w:rPr>
          <w:color w:val="000000"/>
        </w:rPr>
        <w:t xml:space="preserve"> </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Net cash provided by operating activities increased by $91.3 million to $641.3 million for the nine months ended September 30, 2025, compared to $550.0 million for the nine months ended September 30, 2024. The increase in operating cash flow was primarily due to growth in Same Property operating performance at our MH and UK properties, partially offset by the timing of changes in inventory, other assets, and other liabilities, and reduced operating performance at our RV properties during the nine months ended September 30, 2025 as compared to the corresponding period in 2024.</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672465"/>
                <wp:effectExtent l="0" t="0" r="0" b="0"/>
                <wp:wrapNone/>
                <wp:docPr id="57" name="Frame56"/>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net cash flows provided by operating activities from continuing operations may be adversely impacted by, among other things:</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the market and economic conditions in our current markets generally, and specifically in the metropolitan areas of our current markets;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lower occupancy and rental rates of our properties;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increases in other operating costs, such as wage and benefit costs, supplies and repairs, real estate taxes, and utilities;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substantial increases in insurance premiums;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decreased sales of manufactured homes;</w:t>
      </w:r>
    </w:p>
    <w:p>
      <w:pPr>
        <w:pStyle w:val="TextBody"/>
        <w:bidi w:val="0"/>
        <w:spacing w:lineRule="auto" w:line="288" w:before="0" w:after="60"/>
        <w:ind w:left="0" w:right="0" w:hanging="360"/>
        <w:jc w:val="both"/>
        <w:rPr/>
      </w:pPr>
      <w:r>
        <w:rPr>
          <w:color w:val="000000"/>
        </w:rPr>
        <w:t>•</w:t>
      </w:r>
      <w:r>
        <w:rPr>
          <w:rFonts w:ascii="Times New Roman;serif" w:hAnsi="Times New Roman;serif"/>
          <w:b w:val="false"/>
          <w:color w:val="000000"/>
          <w:sz w:val="20"/>
        </w:rPr>
        <w:t>current volatility in economic conditions and the financial markets;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effects of outbreaks of disease and related restrictions on business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"Risk Factors" in Part I, Item 1A of our 2024 Annual Report, and Part II, Item 1A of our Quarterly Report on Form 10-Q for the three months ended March 31,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Investing activities</w:t>
      </w:r>
      <w:r>
        <w:rPr>
          <w:color w:val="000000"/>
        </w:rPr>
        <w:t xml:space="preserve"> </w:t>
      </w:r>
      <w:r>
        <w:rPr>
          <w:rFonts w:ascii="Times New Roman;serif" w:hAnsi="Times New Roman;serif"/>
          <w:b w:val="false"/>
          <w:color w:val="000000"/>
          <w:sz w:val="20"/>
        </w:rPr>
        <w:t>- Net cash used for investing activities was $127.9 million for the nine months ended September 30, 2025, compared to net cash provided by investing activities of $22.8 million for the nine months ended September 30, 2024. The change in Net cash provided by / (used for) investing activities was primarily driven by a decrease in proceeds received from the disposition of MH and RV properties, and partially offset by the settlements of notes receivable from real estate developers during the nine months ended September 30, 2025 as compared to the corresponding period in 2024.</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Financing activities</w:t>
      </w:r>
      <w:r>
        <w:rPr>
          <w:color w:val="000000"/>
        </w:rPr>
        <w:t xml:space="preserve"> </w:t>
      </w:r>
      <w:r>
        <w:rPr>
          <w:rFonts w:ascii="Times New Roman;serif" w:hAnsi="Times New Roman;serif"/>
          <w:b w:val="false"/>
          <w:color w:val="000000"/>
          <w:sz w:val="20"/>
        </w:rPr>
        <w:t>- Net cash provided by financing activities was $606.4 million for the nine months ended September 30, 2025, compared to net cash used for financing activities of $542.7 million for the nine months ended September 30, 2024. The change in Net cash provided by / (used for) financing activities was primarily driven by a net capital transfer of $5.5 billion from Safe Harbor to the Company in conjunction with the Safe Harbor Sale, partially offset by an increase in cash deployed to settle debt obligations and distribute cash to shareholders through share repurchases and a special cash dividend paid in May 2025 during the nine months ended September 30, 2025 as compared to the corresponding period in 2024. Refer to Note 10, "Debt and Line of Credit," and Note 11, "Equity and Temporary Equity," in our accompanying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cash flow from discontinued activities are summarized as follows (in millions):</w:t>
      </w:r>
    </w:p>
    <w:p>
      <w:pPr>
        <w:pStyle w:val="TextBody"/>
        <w:bidi w:val="0"/>
        <w:spacing w:before="0" w:after="0"/>
        <w:jc w:val="both"/>
        <w:rPr/>
      </w:pPr>
      <w:r>
        <w:rPr/>
      </w:r>
    </w:p>
    <w:tbl>
      <w:tblPr>
        <w:tblW w:w="9040" w:type="dxa"/>
        <w:jc w:val="left"/>
        <w:tblInd w:w="0" w:type="dxa"/>
        <w:tblLayout w:type="fixed"/>
        <w:tblCellMar>
          <w:top w:w="28" w:type="dxa"/>
          <w:left w:w="28" w:type="dxa"/>
          <w:bottom w:w="28" w:type="dxa"/>
          <w:right w:w="28" w:type="dxa"/>
        </w:tblCellMar>
      </w:tblPr>
      <w:tblGrid>
        <w:gridCol w:w="2019"/>
        <w:gridCol w:w="1778"/>
        <w:gridCol w:w="1783"/>
        <w:gridCol w:w="282"/>
        <w:gridCol w:w="1105"/>
        <w:gridCol w:w="157"/>
        <w:gridCol w:w="109"/>
        <w:gridCol w:w="109"/>
        <w:gridCol w:w="109"/>
        <w:gridCol w:w="317"/>
        <w:gridCol w:w="1023"/>
        <w:gridCol w:w="249"/>
      </w:tblGrid>
      <w:tr>
        <w:trPr/>
        <w:tc>
          <w:tcPr>
            <w:tcW w:w="2019"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Nine Months Ended</w:t>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2024</w:t>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provided by operating activities - discontinued operations</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193.0 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provided by / (used for) investing activities - discontinued operations</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5,511.9 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(188.4)</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provided by / (used for) financing activities - discontinued operations</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(5,573.5)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for discontinued operations decreased by $6.8 million from $6.8 million as of December 31, 2024, to zero as of September 30,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Operating activities</w:t>
      </w:r>
      <w:r>
        <w:rPr>
          <w:color w:val="000000"/>
        </w:rPr>
        <w:t xml:space="preserve"> </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Net cash provided by operating activities for discontinued operations decreased by $136.6 million to $56.4 million for the nine months ended September 30, 2025, compared to $193.0 million for the nine months ended September 30, 2024. The decrease in net cash provided by operating activities for discontinued operations was due to a reduction in owned marinas, due to the closing of the Safe Harbor Sale during the nine months ended September 30, 2025 as compared to the corresponding period in 2024.</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Investing activities</w:t>
      </w:r>
      <w:r>
        <w:rPr>
          <w:color w:val="000000"/>
        </w:rPr>
        <w:t xml:space="preserve"> </w:t>
      </w:r>
      <w:r>
        <w:rPr>
          <w:rFonts w:ascii="Times New Roman;serif" w:hAnsi="Times New Roman;serif"/>
          <w:b w:val="false"/>
          <w:color w:val="000000"/>
          <w:sz w:val="20"/>
        </w:rPr>
        <w:t>- Net cash provided by investing activities for discontinued operations was $5.5 billion for the nine months ended September 30, 2025, compared to net cash used for investing activities for discontinued operations of $188.4 million for the nine months ended September 30, 2024. The change in net cash provided by / (used for) investing activities for discontinued operations is driven by cash proceeds received from the closing of the Safe Harbor Sale.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Financing activities</w:t>
      </w:r>
      <w:r>
        <w:rPr>
          <w:color w:val="000000"/>
        </w:rPr>
        <w:t xml:space="preserve"> </w:t>
      </w:r>
      <w:r>
        <w:rPr>
          <w:rFonts w:ascii="Times New Roman;serif" w:hAnsi="Times New Roman;serif"/>
          <w:b w:val="false"/>
          <w:color w:val="000000"/>
          <w:sz w:val="20"/>
        </w:rPr>
        <w:t>- Net cash used for financing activities for discontinued operations was $5.6 billion for the nine months ended September 30, 2025, compared to net cash provided by financing activities for discontinued operations of $3.8 million for the nine months ended September 30, 2024. The change in net cash provided by / (used for) financing activities for discontinued operations is driven by the net capital transfer of $5.5 billion from Safe Harbor to the Company in conjunction with the Safe Harbor Sale.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672465"/>
                <wp:effectExtent l="0" t="0" r="0" b="0"/>
                <wp:wrapNone/>
                <wp:docPr id="58" name="Frame57"/>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Refer to the Consolidated Statements of Cash Flows for detail on the net cash used for financing activities for discontinued operations during the nine months ended September 30, 2025 and 2024. Refer to Note 2, "Assets Held for Sale and Discontinued Operations," in our accompanying Consolidated Financial Statements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absence of future cash flows from discontinued operations is not expected to significantly impact our liquidity, as the cash proceeds from the Safe Harbor Sale have been allocated to pay down debt, which will generate annualized interest expense savings, and to reinvest in our core MH and RV segments by means of a $629.5 million cash allocation to 1031 exchange escrow accounts as of September 30, 2025. Subsequent to the nine months ended September 30, 2025, we allocated $399.0 million of restricted cash from the 1031 exchange escrow account and $58.0 million of unrestricted cash to acquire 11 MH and three RV communities. Refer to Note 21, "Subsequent Events," for more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exposed to interest rate variability associated with potential floating rate debt and any maturing debt that has to be refinanced. Interest rate movements impact our borrowing costs and, while as of September 30, 2025, approximately 100% of our total debt was fixed rate financing, increases in interest costs have the potential to adversely affect our financial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Equity and Debt Activity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At the Market Offering Sales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entered into the ATM program with certain sales agents and forward sellers pursuant to which we may sell, from time to time, up to an aggregate gross sales price of $1.25 billion of our common stock. Through September 30, 2025, we had entered into and settled forward sales agreements under the ATM for an aggregate gross sales price of $524.8 million, leaving $725.2 million available for sale under the ATM.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Stock Repurchase Program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May 2025, our Board of Directors authorized a stock repurchase program under which we may repurchase up to $1.0 billion in shares of our outstanding common stock through April 30, 2026. Under the Stock Repurchase Program, we may repurchase shares of our common stock in open market transactions, through privately negotiated transactions, through one or more accelerated repurchases, or otherwise, in accordance with the terms set forth in Rule 10b5-1 and Rule 10b-18 of the Exchange Act and other applicable legal requirements. The Stock Repurchase Program does not obligate us to repurchase any specific number of shares, and we may initiate, suspend, or discontinue purchases under the Stock Repurchase Program at any time.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repurchased shares are retired and returned to authorized but unissued status upon settlement. Through September 30, 2025, we repurchased and retired 4.0 million shares of our outstanding common stock for $500.3 million. As of September 30, 2025, we had $499.7 million remaining authorized for purchase under this program.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Senior Unsecured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regarding our senior unsecured notes (in millions, except for statistical information). All senior unsecured notes include interest payments on a semi-annual basis in arrears.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810"/>
        <w:gridCol w:w="1565"/>
        <w:gridCol w:w="1579"/>
        <w:gridCol w:w="109"/>
        <w:gridCol w:w="109"/>
        <w:gridCol w:w="109"/>
        <w:gridCol w:w="262"/>
        <w:gridCol w:w="926"/>
        <w:gridCol w:w="145"/>
        <w:gridCol w:w="109"/>
        <w:gridCol w:w="109"/>
        <w:gridCol w:w="109"/>
        <w:gridCol w:w="287"/>
        <w:gridCol w:w="1015"/>
        <w:gridCol w:w="160"/>
        <w:gridCol w:w="109"/>
        <w:gridCol w:w="109"/>
        <w:gridCol w:w="109"/>
        <w:gridCol w:w="276"/>
        <w:gridCol w:w="976"/>
        <w:gridCol w:w="223"/>
      </w:tblGrid>
      <w:tr>
        <w:trPr/>
        <w:tc>
          <w:tcPr>
            <w:tcW w:w="1810"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4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Carrying Amount</w:t>
            </w:r>
          </w:p>
        </w:tc>
      </w:tr>
      <w:tr>
        <w:trPr/>
        <w:tc>
          <w:tcPr>
            <w:tcW w:w="4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2024</w:t>
            </w:r>
          </w:p>
        </w:tc>
      </w:tr>
      <w:tr>
        <w:trPr/>
        <w:tc>
          <w:tcPr>
            <w:tcW w:w="4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5.5% notes, issued in January 2024 and due in January 2029 (the "2029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500.0 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496.2 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5.7% notes, issued in January 2023 and due in January 2033 (the "2033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400.0 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396.1</w:t>
            </w:r>
          </w:p>
        </w:tc>
      </w:tr>
      <w:tr>
        <w:trPr/>
        <w:tc>
          <w:tcPr>
            <w:tcW w:w="4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4.2% notes, issued in April 2022 and due in April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600.0 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593.9 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593.2 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2.3% notes, issued in October 2021 and due in November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450.0 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447.9 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447.4 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2.7% notes, issued in June 2021 and October 2021, and due in July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750.0 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744.1 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743.4 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2,700.0 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1,785.9 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2,676.3 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we redeemed the aggregate principal amount of $900.0 million on the 2029 Notes and the 2033 Notes using cash proceeds generated from the Safe Harbor Sale. In accordance with the terms of each series of Notes, the redemption price was inclusive of a customary make-whole premium and accrued and unpaid interest. As a result, during the three months ended June 30, 2025, we recorded charges of $56.5 million to Loss on extinguishment of debt on the Consolidated Statements of Operations in connection with early extinguishment premiums on the 2029 and 2033 Note Redemptions. Refer to Note 16, "Derivative Financial Instruments," for cash flow hedge activity resulting from the redemptions.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672465"/>
                <wp:effectExtent l="0" t="0" r="0" b="0"/>
                <wp:wrapNone/>
                <wp:docPr id="59" name="Frame58"/>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obligations of the Operating Partnership to pay principal, premiums, if any, and interest on our senior unsecured notes are guaranteed on a senior basis by Sun Communities, Inc. The guarantee is full and unconditional, and the Operating Partnership is a consolidated subsidiary of the Company. Under Rule 3-10 of Regulation S-X, as amended, subsidiary issuers of obligations guaranteed by its parent company are not required to provide separate financial statements, provided that the subsidiary obligor is consolidated into the parent company's consolidated financial statements, the parent guarantee is "full and unconditional" and, subject to certain exceptions, the alternative disclosure required by Rule 13-01 is provided, which includes narrative disclosure and summarized financial information. Accordingly, separate consolidated financial statements of the Operating Partnership have not been presented. Furthermore, as permitted under Rule 13-01(a)(4)(vi), we have excluded the summarized financial information for the Operating Partnership as the assets, liabilities, and results of operations of the Operating Partnership are not materially different from the corresponding amounts presented in our consolidated financial statements and management believes such summarized financial information would be repetitive and not provide incremental value to investors.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New Credit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17, 2025, we entered into the New Credit Agreement, which replaced our previous $3.05 billion senior credit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New Credit Agreement, we may borrow up to $2.0 billion under the New Credit Facility. The New Credit Agreement also permits, subject to the satisfaction of certain conditions, additional borrowings of $1.0 billion. The New Credit Facility's maturity date is January 31, 2030, and, at our option, may be extended for two additional six-month periods subject to the satisfaction of certain conditions.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New Credit Facility offers various interest rates for borrowings under U.S. dollars (at the ABR, Term SOFR, and Daily Effective SOFR), euros (at the Adjusted EURIBOR), pound sterling (at the Daily Simple SONIA Rate), Canadian dollars (at the Term CORRA) and the Daily Simple CORRA), and Australian dollars (at the Australian BBSY Rate,) plus a margin which can range from 0.725% to 1.40% for all interest rates except ABR loans, which can range from 0.000% to 0.400%. As of September 30, 2025, there were no borrowings under the New Credit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we recorded charges of $1.6 million to Loss on extinguishment of debt on the Consolidated Statements of Operations related to the write off of deferred financing costs in connection with the termination of our previous senior credit facility. As of September 30, 2025, we also recorded deferred financing costs of $11.4 million in connection with the New Credit Facility, which was recorded within Other assets, net on the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New Credit Facility provides us with the ability to issue up to $100.0 million of letters of credit. We had $10.3 million and $11.5 million of outstanding letters of credit at September 30, 2025 and December 31, 2024,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Financial Covenants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senior credit facility, we are subject to various financial and other covenants. The most restrictive financial covenants for the senior credit facility are as follows:</w:t>
      </w:r>
    </w:p>
    <w:p>
      <w:pPr>
        <w:pStyle w:val="TextBody"/>
        <w:bidi w:val="0"/>
        <w:spacing w:before="0" w:after="0"/>
        <w:jc w:val="both"/>
        <w:rPr/>
      </w:pPr>
      <w:r>
        <w:rPr/>
      </w:r>
    </w:p>
    <w:tbl>
      <w:tblPr>
        <w:tblW w:w="6460" w:type="dxa"/>
        <w:jc w:val="left"/>
        <w:tblInd w:w="0" w:type="dxa"/>
        <w:tblLayout w:type="fixed"/>
        <w:tblCellMar>
          <w:top w:w="28" w:type="dxa"/>
          <w:left w:w="28" w:type="dxa"/>
          <w:bottom w:w="28" w:type="dxa"/>
          <w:right w:w="28" w:type="dxa"/>
        </w:tblCellMar>
      </w:tblPr>
      <w:tblGrid>
        <w:gridCol w:w="1000"/>
        <w:gridCol w:w="877"/>
        <w:gridCol w:w="883"/>
        <w:gridCol w:w="109"/>
        <w:gridCol w:w="109"/>
        <w:gridCol w:w="109"/>
        <w:gridCol w:w="345"/>
        <w:gridCol w:w="345"/>
        <w:gridCol w:w="346"/>
        <w:gridCol w:w="109"/>
        <w:gridCol w:w="109"/>
        <w:gridCol w:w="109"/>
        <w:gridCol w:w="588"/>
        <w:gridCol w:w="588"/>
        <w:gridCol w:w="834"/>
      </w:tblGrid>
      <w:tr>
        <w:trPr/>
        <w:tc>
          <w:tcPr>
            <w:tcW w:w="100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Covenant</w:t>
            </w:r>
            <w:r>
              <w:rPr>
                <w:rFonts w:ascii="Times New Roman;serif" w:hAnsi="Times New Roman;serif"/>
                <w:b/>
                <w:color w:val="000000"/>
                <w:sz w:val="11"/>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Requirement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As of September 30, 2025</w:t>
            </w:r>
          </w:p>
        </w:tc>
      </w:tr>
      <w:tr>
        <w:trPr/>
        <w:tc>
          <w:tcPr>
            <w:tcW w:w="27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Maximum leverage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&lt;65.0%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20.5%</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Minimum fixed charge coverage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&gt;1.40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3.69</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Maximum secured leverage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&lt;40.0%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10.9%</w:t>
            </w:r>
          </w:p>
        </w:tc>
      </w:tr>
    </w:tbl>
    <w:p>
      <w:pPr>
        <w:pStyle w:val="TextBody"/>
        <w:bidi w:val="0"/>
        <w:spacing w:lineRule="auto" w:line="288" w:before="20" w:after="283"/>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As of September 30, 2025, we did not have any borrowings outstanding under the senior credit facility.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we are required to maintain the following covenants with respect to the senior unsecured notes payable:</w:t>
      </w:r>
    </w:p>
    <w:p>
      <w:pPr>
        <w:pStyle w:val="TextBody"/>
        <w:bidi w:val="0"/>
        <w:spacing w:before="0" w:after="0"/>
        <w:jc w:val="both"/>
        <w:rPr/>
      </w:pPr>
      <w:r>
        <w:rPr/>
      </w:r>
    </w:p>
    <w:tbl>
      <w:tblPr>
        <w:tblW w:w="8109" w:type="dxa"/>
        <w:jc w:val="left"/>
        <w:tblInd w:w="0" w:type="dxa"/>
        <w:tblLayout w:type="fixed"/>
        <w:tblCellMar>
          <w:top w:w="28" w:type="dxa"/>
          <w:left w:w="28" w:type="dxa"/>
          <w:bottom w:w="28" w:type="dxa"/>
          <w:right w:w="28" w:type="dxa"/>
        </w:tblCellMar>
      </w:tblPr>
      <w:tblGrid>
        <w:gridCol w:w="1596"/>
        <w:gridCol w:w="1403"/>
        <w:gridCol w:w="1410"/>
        <w:gridCol w:w="109"/>
        <w:gridCol w:w="109"/>
        <w:gridCol w:w="109"/>
        <w:gridCol w:w="345"/>
        <w:gridCol w:w="345"/>
        <w:gridCol w:w="346"/>
        <w:gridCol w:w="109"/>
        <w:gridCol w:w="109"/>
        <w:gridCol w:w="109"/>
        <w:gridCol w:w="588"/>
        <w:gridCol w:w="588"/>
        <w:gridCol w:w="834"/>
      </w:tblGrid>
      <w:tr>
        <w:trPr/>
        <w:tc>
          <w:tcPr>
            <w:tcW w:w="1596"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Covenant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Requirement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As of September 30, 2025</w:t>
            </w:r>
          </w:p>
        </w:tc>
      </w:tr>
      <w:tr>
        <w:trPr/>
        <w:tc>
          <w:tcPr>
            <w:tcW w:w="4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debt to 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7"/>
              </w:rPr>
              <w:t>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26.8%</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Secured debt to 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7"/>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15.6%</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Consolidated income available for debt service to debt 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7"/>
              </w:rPr>
              <w:t>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11.63</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Unencumbered total asset value to total unsecured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7"/>
              </w:rPr>
              <w:t>150.0%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709.3%</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September 30, 2025, we were in compliance with the above covenants and do not anticipate that we will be unable to meet these covenants in the near term.</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672465"/>
                <wp:effectExtent l="0" t="0" r="0" b="0"/>
                <wp:wrapNone/>
                <wp:docPr id="60" name="Frame59"/>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Long-term Financing and Capital Requirements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Long-term Financing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anticipate meeting our long-term liquidity requirements, such as scheduled debt maturities, large property acquisitions, expansion and development of properties, other nonrecurring capital improvements, and Operating Partnership unit redemptions through long-term unsecured and secured debt, and the issuance of certain debt or equity securities, subject to market conditions. If current market and economic conditions, including relating to, among other things, interest rates, currency fluctuations, equity valuations, and inflation, continue or worsen, our ability to obtain debt and equity capital in the long term on attractive terms may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September 30, 2025 we had unrestricted cash on hand of $542.7 million, $2.0 billion of remaining capacity on the senior credit facility, and a total of 391 unencumbered MH, RV, and UK properties.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we may also issue shares of our capital stock, issue equity units in our Operating Partnership, issue unsecured notes, obtain other debt financing, or sell selected assets. Our ability to finance our long-term liquidity requirements in such a manner will be affected by numerous economic factors affecting the MH and RV industries at the time, including the availability and cost of mortgage debt, our financial condition, the operating history of the properties, the state of the debt and equity markets, and the general national, regional, and local economic conditions. When it becomes necessary for us to approach the credit markets, the volatility in those markets could make borrowing more difficult to secure, more expensive, or effectively unavailable. In the event our current credit ratings are downgraded, it may become difficult or more expensive to obtain additional financing or refinance existing unsecured debt as maturities become due. See "Risk Factors" in Part I, Item 1A of our 2024 Annual Report. If we are unable to obtain additional debt or equity financing on acceptable terms, our business, results of operations and financial condition would be adversely impacted.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September 30, 2025, our net debt to enterprise value was 18.3% (assuming conversion of all common and preferred OP units to shares of common stock). Our debt has a weighted average interest rate of 3.38% and a weighted average maturity of 7.4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Capital Requirements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of our nonconsolidated affiliates, which are accounted for under the equity-method of accounting, have incurred debt. We have not guaranteed the debt of our nonconsolidated affiliates in the arrangements referenced below, nor do we have any obligations to fund this debt should the nonconsolidated affiliates be unable to do so. Refer to Note 9, "Investments in Nonconsolidated Affiliates," in the accompanying Consolidated Financial Statements for additional information about these entities.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GTSC</w:t>
      </w:r>
      <w:r>
        <w:rPr>
          <w:color w:val="000000"/>
        </w:rPr>
        <w:t xml:space="preserve"> </w:t>
      </w:r>
      <w:r>
        <w:rPr>
          <w:rFonts w:ascii="Times New Roman;serif" w:hAnsi="Times New Roman;serif"/>
          <w:b w:val="false"/>
          <w:color w:val="000000"/>
          <w:sz w:val="20"/>
        </w:rPr>
        <w:t>- GTSC maintains a warehouse line of credit with a maximum borrowing capacity of $275.0 million. As of September 30, 2025 and December 31, 2024, the aggregate carrying amount of debt, including both our and our partner's share, incurred by GTSC was $220.0 million (of which our proportionate share is $88.0 million), and $242.9 million (of which our proportionate share is $97.1 million), respectively. The debt bears interest at a variable rate based on a Commercial Paper or adjusted SOFR plus a margin ranging from 1.65% to 2.5% per annum and matures on December 15, 2026.</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Sungenia JV</w:t>
      </w:r>
      <w:r>
        <w:rPr>
          <w:color w:val="000000"/>
        </w:rPr>
        <w:t xml:space="preserve"> </w:t>
      </w:r>
      <w:r>
        <w:rPr>
          <w:rFonts w:ascii="Times New Roman;serif" w:hAnsi="Times New Roman;serif"/>
          <w:b w:val="false"/>
          <w:color w:val="000000"/>
          <w:sz w:val="20"/>
        </w:rPr>
        <w:t>- Sungenia maintains a debt facility agreement with a maximum borrowing capacity of $54.1 million Australian dollars, or $35.8 million converted at the September 30, 2025 exchange rate. As of September 30, 2025 and December 31, 2024, the aggregate carrying amount of the debt, including both our and our partners' share, incurred by Sungenia JV was $24.6 million (of which our proportionate share is approximately $12.3 million), and $25.0 million (of which our proportionate share is $12.5 million), respectively. The debt bears interest at a variable rate based on the Australian BBSY rate plus a margin ranging from 0.95% to 1.4%, subject to adjustment for additional future commitments, per annum and matures on June 30, 2027.</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672465"/>
                <wp:effectExtent l="0" t="0" r="0" b="0"/>
                <wp:wrapNone/>
                <wp:docPr id="61" name="Frame60"/>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report contains various "forward-looking statements" within the meaning of the Securities Act of 1933, as amended (the "Securities Act"), and the Exchange Act, and we intend that such forward-looking statements will be subject to the safe harbors created thereby. For this purpose, any statements contained in this document that relate to expectations, beliefs, projections, future plans and strategies, trends or prospective events, or developments and similar expressions concerning matters that are not historical facts are deemed to be forward-looking statements. Words such as "forecasts," "intend," "goal," "estimate," "expect," "project," "projections," "plans," "predicts," "potential," "seeks," "anticipates," "should," "could," "may," "will," "designed to," "foreseeable future," "believe," "scheduled," "guidance," "target," and similar expressions are intended to identify forward-looking statements, although not all forward-looking statements contain these words. These forward-looking statements reflect our current views with respect to future events and financial performance, but involve known and unknown risks, uncertainties, and other factors, both general and specific to the matters discussed in this document, some of which are beyond our control. These risks, uncertainties, and other factors may cause our actual results to be materially different from any future results expressed or implied by such forward-looking statements. In addition to the risks disclosed under "Risk Factors" in our 2024 Annual Report, in Part II, Item 1A of our Quarterly Report on Form 10-Q for the three months ended March 31, 2025, and in our other filings with the SEC, from time to time, such risks, uncertainties and other factors include, but are not limited to:</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952"/>
        <w:gridCol w:w="2853"/>
        <w:gridCol w:w="40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2"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40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9"/>
              </w:rPr>
            </w:pPr>
            <w:r>
              <w:rPr>
                <w:rFonts w:ascii="Times New Roman;serif" w:hAnsi="Times New Roman;serif"/>
                <w:b w:val="false"/>
                <w:color w:val="000000"/>
                <w:sz w:val="19"/>
              </w:rPr>
              <w:t>Our liquidity and refinancing demands;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9"/>
              </w:rPr>
            </w:pPr>
            <w:r>
              <w:rPr>
                <w:rFonts w:ascii="Times New Roman;serif" w:hAnsi="Times New Roman;serif"/>
                <w:b w:val="false"/>
                <w:color w:val="000000"/>
                <w:sz w:val="19"/>
              </w:rPr>
              <w:t>Our ability to obtain or refinance maturing debt;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9"/>
              </w:rPr>
            </w:pPr>
            <w:r>
              <w:rPr>
                <w:rFonts w:ascii="Times New Roman;serif" w:hAnsi="Times New Roman;serif"/>
                <w:b w:val="false"/>
                <w:color w:val="000000"/>
                <w:sz w:val="19"/>
              </w:rPr>
              <w:t>Our ability to maintain compliance with covenants contained in our debt facilities and our unsecured notes;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Availability of capital;</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9"/>
              </w:rPr>
            </w:pPr>
            <w:r>
              <w:rPr>
                <w:rFonts w:ascii="Times New Roman;serif" w:hAnsi="Times New Roman;serif"/>
                <w:b w:val="false"/>
                <w:color w:val="000000"/>
                <w:sz w:val="19"/>
              </w:rPr>
              <w:t>General volatility of the capital markets and the market price of shares of our capital stock;</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9"/>
              </w:rPr>
            </w:pPr>
            <w:r>
              <w:rPr>
                <w:rFonts w:ascii="Times New Roman;serif" w:hAnsi="Times New Roman;serif"/>
                <w:b w:val="false"/>
                <w:color w:val="000000"/>
                <w:sz w:val="19"/>
              </w:rPr>
              <w:t>Increases in interest rates and operating costs, including insurance premiums and real estate taxes;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Difficulties in our ability to evaluate, finance, complete, and integrate acquisitions, developments, and expansions successfully;</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Our ability to realize the anticipated benefits of the Safe Harbor Sale, including with respect to tax strategies, or at all;</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417" w:before="0" w:after="0"/>
              <w:jc w:val="both"/>
              <w:rPr>
                <w:rFonts w:ascii="Times New Roman;serif" w:hAnsi="Times New Roman;serif"/>
                <w:b w:val="false"/>
                <w:color w:val="000000"/>
                <w:sz w:val="19"/>
              </w:rPr>
            </w:pPr>
            <w:r>
              <w:rPr>
                <w:rFonts w:ascii="Times New Roman;serif" w:hAnsi="Times New Roman;serif"/>
                <w:b w:val="false"/>
                <w:color w:val="000000"/>
                <w:sz w:val="19"/>
              </w:rPr>
              <w:t>Competitive market forces;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417" w:before="0" w:after="0"/>
              <w:jc w:val="both"/>
              <w:rPr>
                <w:rFonts w:ascii="Times New Roman;serif" w:hAnsi="Times New Roman;serif"/>
                <w:b w:val="false"/>
                <w:color w:val="000000"/>
                <w:sz w:val="19"/>
              </w:rPr>
            </w:pPr>
            <w:r>
              <w:rPr>
                <w:rFonts w:ascii="Times New Roman;serif" w:hAnsi="Times New Roman;serif"/>
                <w:b w:val="false"/>
                <w:color w:val="000000"/>
                <w:sz w:val="19"/>
              </w:rPr>
              <w:t>The ability of purchasers of manufactured homes to obtain financing;</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The level of repossessions of manufactured homes;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Our ability to maintain effective internal control over financial reporting and disclosure controls and procedures;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Our remediation plan and our ability to remediate the material weakness in our internal control over financial reporting;</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Expectations regarding the amount or frequency of impairment losses;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Changes in general economic conditions, including inflation, deflation, energy costs, the real estate industry, the effects of tariffs or threats of tariffs, trade wars, immigration issues, supply chain disruptions, and the markets within which we operate;</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Changes in foreign currency exchange rates, including between the U.S. dollar and each of the pound sterling, Canadian dollar, and Australian dollar;</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417" w:before="0" w:after="283"/>
              <w:jc w:val="both"/>
              <w:rPr>
                <w:rFonts w:ascii="Times New Roman;serif" w:hAnsi="Times New Roman;serif"/>
                <w:b w:val="false"/>
                <w:color w:val="000000"/>
                <w:sz w:val="19"/>
              </w:rPr>
            </w:pPr>
            <w:r>
              <w:rPr>
                <w:rFonts w:ascii="Times New Roman;serif" w:hAnsi="Times New Roman;serif"/>
                <w:b w:val="false"/>
                <w:color w:val="000000"/>
                <w:sz w:val="19"/>
              </w:rPr>
              <w:t>Our ability to maintain our status as a REIT;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417" w:before="0" w:after="0"/>
              <w:jc w:val="both"/>
              <w:rPr>
                <w:rFonts w:ascii="Times New Roman;serif" w:hAnsi="Times New Roman;serif"/>
                <w:b w:val="false"/>
                <w:color w:val="000000"/>
                <w:sz w:val="19"/>
              </w:rPr>
            </w:pPr>
            <w:r>
              <w:rPr>
                <w:rFonts w:ascii="Times New Roman;serif" w:hAnsi="Times New Roman;serif"/>
                <w:b w:val="false"/>
                <w:color w:val="000000"/>
                <w:sz w:val="19"/>
              </w:rPr>
              <w:t>Changes in real estate and zoning laws and regulations;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417" w:before="0" w:after="283"/>
              <w:jc w:val="both"/>
              <w:rPr>
                <w:rFonts w:ascii="Times New Roman;serif" w:hAnsi="Times New Roman;serif"/>
                <w:b w:val="false"/>
                <w:color w:val="000000"/>
                <w:sz w:val="19"/>
              </w:rPr>
            </w:pPr>
            <w:r>
              <w:rPr>
                <w:rFonts w:ascii="Times New Roman;serif" w:hAnsi="Times New Roman;serif"/>
                <w:b w:val="false"/>
                <w:color w:val="000000"/>
                <w:sz w:val="19"/>
              </w:rPr>
              <w:t>Our ability to maintain rental rates and occupancy levels;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Legislative or regulatory changes, including changes to laws governing the taxation of REITs;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417" w:before="0" w:after="0"/>
              <w:jc w:val="both"/>
              <w:rPr>
                <w:rFonts w:ascii="Times New Roman;serif" w:hAnsi="Times New Roman;serif"/>
                <w:b w:val="false"/>
                <w:color w:val="000000"/>
                <w:sz w:val="19"/>
              </w:rPr>
            </w:pPr>
            <w:r>
              <w:rPr>
                <w:rFonts w:ascii="Times New Roman;serif" w:hAnsi="Times New Roman;serif"/>
                <w:b w:val="false"/>
                <w:color w:val="000000"/>
                <w:sz w:val="19"/>
              </w:rPr>
              <w:t>Outbreaks of disease and related restrictions on business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417" w:before="0" w:after="0"/>
              <w:jc w:val="both"/>
              <w:rPr>
                <w:rFonts w:ascii="Times New Roman;serif" w:hAnsi="Times New Roman;serif"/>
                <w:b w:val="false"/>
                <w:color w:val="000000"/>
                <w:sz w:val="19"/>
              </w:rPr>
            </w:pPr>
            <w:r>
              <w:rPr>
                <w:rFonts w:ascii="Times New Roman;serif" w:hAnsi="Times New Roman;serif"/>
                <w:b w:val="false"/>
                <w:color w:val="000000"/>
                <w:sz w:val="19"/>
              </w:rPr>
              <w:t>Risks related to natural disasters such as hurricanes, earthquakes, floods, droughts, and wildfires;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Litigation, judgments or settlements, including costs associated with prosecuting or defending claims and any adverse outcomes;</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Readers are cautioned not to place undue reliance on these forward-looking statements, which speak only as of the date the statement was made. We undertake no obligation to publicly update or revise any forward-looking statements included or incorporated by reference into this document, whether as a result of new information, future events, changes in our expectations or otherwise, except as required by law.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Although we believe that the expectations reflected in the forward-looking statements are reasonable, we cannot guarantee future results, levels of activity, performance, or achievements. All written and oral forward-looking statements attributable to us or persons acting on our behalf are qualified in their entirety by these cautionary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672465"/>
                <wp:effectExtent l="0" t="0" r="0" b="0"/>
                <wp:wrapNone/>
                <wp:docPr id="62" name="Frame61"/>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left"/>
        <w:rPr/>
      </w:pPr>
      <w:r>
        <w:rPr>
          <w:rFonts w:ascii="Times New Roman;serif" w:hAnsi="Times New Roman;serif"/>
          <w:b/>
          <w:color w:val="000000"/>
          <w:sz w:val="20"/>
        </w:rPr>
        <w:t>ITEM 3.</w:t>
      </w:r>
      <w:r>
        <w:rPr>
          <w:color w:val="000000"/>
        </w:rPr>
        <w:t xml:space="preserve">  </w:t>
      </w:r>
      <w:r>
        <w:rPr>
          <w:rFonts w:ascii="Times New Roman;serif" w:hAnsi="Times New Roman;serif"/>
          <w:b/>
          <w:color w:val="000000"/>
          <w:sz w:val="20"/>
        </w:rPr>
        <w:t>QUANTITATIVE AND QUALITATIVE DISCLOSURES ABOUT MARKET RISK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Market risk is the exposure to loss resulting from changes in market factors such as interest rates, foreign currency exchange rates, commodity prices, and equity prices.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Interest Rate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principal market risk exposure is interest rate risk. We mitigate this risk by maintaining prudent amounts of leverage, minimizing capital costs, and interest expense while continuously evaluating all available debt and equity resources and following established risk management policies and procedures, which include the periodic use of derivatives. Our primary strategy in entering into derivative contracts is to minimize the variability that interest rate changes could have on our future cash flows. From time to time, we employ derivative instruments that effectively convert a portion of our variable rate debt to fixed rate debt. We do not enter into derivative instruments for speculative purposes. As of September 30, 2025, all of our outstanding debt obligations bore interest at fixed rates, which minimizes the impact of interest rate variability on our results of operations and cash flows in the near term. Additionally, we have exposure to long-term interest rates, which could affect the cost of refinancing existing debt or incurring additional debt in the future.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Foreign Currency Exchange Rate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Foreign currency exchange rate risk is the risk that fluctuations in currencies against the U.S. dollar will negatively impact our results of operations. We are exposed to foreign currency exchange rate risk as a result of remeasurement and translation of the assets and liabilities of our properties in the United Kingdom and Canada, and our joint venture in Australia, into U.S. dollars. Fluctuations in foreign currency exchange rates can therefore create volatility in our results of operations and may adversely affect our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September 30, 2025 and December 31, 2024, our shareholder's equity included $1.0 billion and $672.3 million from our investments and operations in the United Kingdom, Canada, and Australia which collectively represented 14.2% and 9.3% of total shareholder's equity, respectively. Based on our sensitivity analysis, a 10.0% strengthening of the U.S. dollar against the pound sterling, Canadian dollar, and Australian dollar would have caused a reduction of $103.2 million and $67.2 million to our total shareholder's equity at September 30, 2025 and December 31, 2024,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Capital Market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exposed to risks related to the equity capital markets, and our related ability to raise capital through the issuance of our common stock or other equity instruments. We are also exposed to risks related to the debt capital markets, and our related ability to finance our business through borrowings under other financing arrangements. As a REIT, we are required to distribute a significant portion of our taxable income annually, which constrains our ability to accumulate operating cash flow and therefore requires us to utilize debt or equity capital to finance our business. We seek to mitigate these risks by monitoring the debt and equity capital markets to inform our decisions on the amount, timing and terms of capital we raise.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672465"/>
                <wp:effectExtent l="0" t="0" r="0" b="0"/>
                <wp:wrapNone/>
                <wp:docPr id="63" name="Frame62"/>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designed to ensure that information required to be disclosed in reports filed under the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 An evaluation of the effectiveness of the design and operation of our disclosure controls and procedures as of the end of the period was made under the supervision and with the participation of our management, including our principal executive officer and principal financial officer.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upon this evaluation, our principal executive officer and principal financial officer have concluded that, as of September 30, 2025, our disclosure controls and procedures were not effective as of that date due to a material weakness in internal control over financial reporting relating to our risk assessment process, as described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Material Weaknesses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described in Part II, Item 9A "Controls and Procedures" of our 2024 Annual Report, as of December 31, 2024, management identified a material weakness because we did not have an effective risk assessment and response process ("risk assessment") that defined clear financial reporting objectives, that identified and evaluated risks of misstatement due to errors over certain financial reporting processes, or that developed internal controls to mitigate those risks.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Remediation of Material Weaknesses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invested considerable time and resources to undertake a number of actions related to the material weakness relating to our risk assessment process and we are in the process of developing and implementing additional actions as part of a detailed plan for remediation. The Audit Committee has continued to actively oversee these remediation plans, monitoring plan progression, and ensuring appropriate resources are allocated and implemented to effectively execute management's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While we believe our remediation efforts will improve the effectiveness of our internal control over financial reporting, we cannot assure that the measures will be sufficient to remediate the material weakness we have identified or will prevent potential future material weaknesses. In addition, many of the improvements have not operated for a sufficient period of time to be able to conclude on the effectiveness of relevant internal controls. Accordingly, we will continue to monitor, with oversight from our Board of Directors, and evaluate the effectiveness of our internal control over financial reporting and further enhance our plan for remediation as necessary.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Except as discussed in the preceding paragraph, there were no changes in internal control over financial reporting during the three months ended September 30,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672465"/>
                <wp:effectExtent l="0" t="0" r="0" b="0"/>
                <wp:wrapNone/>
                <wp:docPr id="64" name="Frame63"/>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Legal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involved in various legal proceedings. Refer to "Legal Proceedings - Class Action Litigation" and "Other Legal Proceedings" in Part I - Item 1 - Note 18, "Commitments and Contingencies," in our accompanying Notes to the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Environmental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Item 103 of Regulation S-K requires disclosure of certain environmental matters when a governmental authority is a party to the proceedings and such proceedings involve potential monetary sanctions that we reasonably believe will exceed an applied threshold not to exceed $1.0 million. Applying this threshold, there are no environmental matters to disclose for the three months ended September 30,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the other information set forth in this report, you should carefully consider the risk factors described in Part 1, Item 1A., "Risk Factors," in our 2024 Annual Report and Part II, Item 1A., "Risk Factors," in our Quarterly Report on Form 10-Q for the three months ended March 31, 2025, which could materially affect our business, financial condition, or future results. There have been no material changes to the disclosure on these matters as set forth in such report.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Holders of our OP units have converted the following units during the three months ended September 30, 2025:</w:t>
      </w:r>
    </w:p>
    <w:p>
      <w:pPr>
        <w:pStyle w:val="TextBody"/>
        <w:bidi w:val="0"/>
        <w:spacing w:before="0" w:after="0"/>
        <w:jc w:val="left"/>
        <w:rPr/>
      </w:pPr>
      <w:r>
        <w:rPr/>
      </w:r>
    </w:p>
    <w:tbl>
      <w:tblPr>
        <w:tblW w:w="8168" w:type="dxa"/>
        <w:jc w:val="left"/>
        <w:tblInd w:w="0" w:type="dxa"/>
        <w:tblLayout w:type="fixed"/>
        <w:tblCellMar>
          <w:top w:w="28" w:type="dxa"/>
          <w:left w:w="28" w:type="dxa"/>
          <w:bottom w:w="28" w:type="dxa"/>
          <w:right w:w="28" w:type="dxa"/>
        </w:tblCellMar>
      </w:tblPr>
      <w:tblGrid>
        <w:gridCol w:w="781"/>
        <w:gridCol w:w="685"/>
        <w:gridCol w:w="694"/>
        <w:gridCol w:w="109"/>
        <w:gridCol w:w="109"/>
        <w:gridCol w:w="109"/>
        <w:gridCol w:w="439"/>
        <w:gridCol w:w="439"/>
        <w:gridCol w:w="441"/>
        <w:gridCol w:w="109"/>
        <w:gridCol w:w="109"/>
        <w:gridCol w:w="109"/>
        <w:gridCol w:w="634"/>
        <w:gridCol w:w="634"/>
        <w:gridCol w:w="636"/>
        <w:gridCol w:w="178"/>
        <w:gridCol w:w="178"/>
        <w:gridCol w:w="178"/>
        <w:gridCol w:w="444"/>
        <w:gridCol w:w="444"/>
        <w:gridCol w:w="446"/>
        <w:gridCol w:w="109"/>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c>
          <w:tcPr>
            <w:tcW w:w="263" w:type="dxa"/>
            <w:gridSpan w:val="2"/>
            <w:tcBorders/>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c>
          <w:tcPr>
            <w:tcW w:w="263" w:type="dxa"/>
            <w:gridSpan w:val="2"/>
            <w:tcBorders/>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Series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Conversion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Units / Shares Converted</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Common Stock</w:t>
            </w:r>
            <w:r>
              <w:rPr>
                <w:rFonts w:ascii="Times New Roman;serif" w:hAnsi="Times New Roman;serif"/>
                <w:b/>
                <w:color w:val="000000"/>
                <w:sz w:val="11"/>
              </w:rPr>
              <w:t>(1)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Common OP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1.0000 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26,215 </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26,215 </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Series A-1 preferred OP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2.4390 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392 </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956 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both"/>
        <w:rPr/>
      </w:pPr>
      <w:r>
        <w:rPr>
          <w:rFonts w:ascii="Times New Roman;serif" w:hAnsi="Times New Roman;serif"/>
          <w:b w:val="false"/>
          <w:color w:val="000000"/>
          <w:sz w:val="10"/>
        </w:rPr>
        <w:t>(1)</w:t>
      </w:r>
      <w:r>
        <w:rPr>
          <w:rFonts w:ascii="Times New Roman;serif" w:hAnsi="Times New Roman;serif"/>
          <w:b w:val="false"/>
          <w:color w:val="000000"/>
          <w:sz w:val="16"/>
        </w:rPr>
        <w:t>Calculation may yield minor differences due to rounding incorporated in the above numbers.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of the securities described above were issued in private placements in reliance on Section 4(a)(2) of the Securities Act, including Regulation D promulgated thereunder. No underwriters were used in connection with any of such issuances.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Purchases of Equity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common stock repurchases during the three months ended September 30, 2025 (in millions, except for number of shares and per share amounts):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81"/>
        <w:gridCol w:w="348"/>
        <w:gridCol w:w="352"/>
        <w:gridCol w:w="109"/>
        <w:gridCol w:w="109"/>
        <w:gridCol w:w="109"/>
        <w:gridCol w:w="645"/>
        <w:gridCol w:w="414"/>
        <w:gridCol w:w="416"/>
        <w:gridCol w:w="109"/>
        <w:gridCol w:w="109"/>
        <w:gridCol w:w="109"/>
        <w:gridCol w:w="249"/>
        <w:gridCol w:w="822"/>
        <w:gridCol w:w="138"/>
        <w:gridCol w:w="109"/>
        <w:gridCol w:w="109"/>
        <w:gridCol w:w="109"/>
        <w:gridCol w:w="879"/>
        <w:gridCol w:w="656"/>
        <w:gridCol w:w="658"/>
        <w:gridCol w:w="109"/>
        <w:gridCol w:w="109"/>
        <w:gridCol w:w="109"/>
        <w:gridCol w:w="567"/>
        <w:gridCol w:w="1615"/>
        <w:gridCol w:w="457"/>
      </w:tblGrid>
      <w:tr>
        <w:trPr/>
        <w:tc>
          <w:tcPr>
            <w:tcW w:w="68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Total number of shares purchased</w:t>
            </w:r>
            <w:r>
              <w:rPr>
                <w:rFonts w:ascii="Times New Roman;serif" w:hAnsi="Times New Roman;serif"/>
                <w:b/>
                <w:color w:val="000000"/>
                <w:sz w:val="11"/>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7"/>
              </w:rPr>
              <w:t>Maximum number (or approximate dollar value) of shares that may yet be purchased under the plans or programs</w:t>
            </w:r>
            <w:r>
              <w:rPr>
                <w:rFonts w:ascii="Times New Roman;serif" w:hAnsi="Times New Roman;serif"/>
                <w:b/>
                <w:color w:val="000000"/>
                <w:sz w:val="11"/>
              </w:rPr>
              <w:t>(2)</w:t>
            </w:r>
          </w:p>
        </w:tc>
      </w:tr>
      <w:tr>
        <w:trPr/>
        <w:tc>
          <w:tcPr>
            <w:tcW w:w="13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July 1, 2025 - July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772,456 </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126.19 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772,177 </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699.7 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August 1, 2025 - August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794,391 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125.93 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794,230 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599.7 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September 1, 2025 -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777,465 </w:t>
            </w:r>
          </w:p>
        </w:tc>
        <w:tc>
          <w:tcPr>
            <w:tcW w:w="4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128.64 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777,456 </w:t>
            </w:r>
          </w:p>
        </w:tc>
        <w:tc>
          <w:tcPr>
            <w:tcW w:w="6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499.7 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2,344,312 </w:t>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126.92 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2,343,863 </w:t>
            </w:r>
          </w:p>
        </w:tc>
        <w:tc>
          <w:tcPr>
            <w:tcW w:w="6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hanging="18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During the three months ended September 30, 2025, we withheld 449 shares from employees to satisfy estimated statutory income tax obligations related to vesting of restricted stock awards. The value of the common stock withheld was based on the closing price of our common stock on the applicable vesting date.</w:t>
      </w:r>
    </w:p>
    <w:p>
      <w:pPr>
        <w:pStyle w:val="TextBody"/>
        <w:bidi w:val="0"/>
        <w:spacing w:lineRule="auto" w:line="288" w:before="0" w:after="0"/>
        <w:ind w:left="0" w:right="0" w:hanging="180"/>
        <w:jc w:val="both"/>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In April 2025, we announced by press release that our Board of Directors authorized a Stock Repurchase Program under which we may repurchase up to $1.0 billion in shares of our outstanding common stock through April 30, 2026. Under the Stock Repurchase Program, we may repurchase shares of our common stock in open market transactions, through privately negotiated transactions, through one or more accelerated repurchases, or otherwise, in accordance with the terms set forth in Rule 10b5-1 and Rule 10b-18 of the Exchange Act and other applicable legal requirements. The Stock Repurchase Program does not obligate us to repurchase any specific number of shares, and we may initiate, suspend, or discontinue purchases under the Stock Repurchase Program at any time. Refer to Note 11, "Equity and Temporary Equity," for additional information regarding our Stock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672465"/>
                <wp:effectExtent l="0" t="0" r="0" b="0"/>
                <wp:wrapNone/>
                <wp:docPr id="65" name="Frame64"/>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none of our officers or directors, as defined in Rule 16a-1(f) of the Securities Exchange Act of 1934, adopted, modified, or terminated a Rule 10b5-1 trading arrangement or a non-Rule 10b5-1 trading arrangement, as defined in Item 408 of Regulation 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signed into law. The OBBBA made significant changes to the U.S. federal income tax laws in various areas. Among the notable changes, the OBBBA permanently extended certain provisions that were enacted in the Tax Cuts and Jobs Act of 2017, most of which were set to expire after December 31, 2025. As a result of such extensions, individuals and other non-corporate taxpayers will continue to be entitled to a 20% deduction for certain "qualified REIT dividends" for taxable years after 2025, subject to certain requirements, and the maximum U.S. federal income tax rate on ordinary income for individuals and other non-corporate taxpayers will continue to be 37% after 2025 (before application of the 3.8% Medicare tax on "net investment income"). In addition, the OBBBA also increased the percentage limit under the REIT asset test applicable to securities of one or more taxable REIT subsidiaries from 20% to 25% for 2026 and subsequent taxable years. You are urged to consult with your own tax advisor to determine the effects of the OBBBA and the ownership and disposition of our securities or debt securities of the Operating Partnership on your individual tax situation, including any state, local, or non-U.S. tax consequences.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672465"/>
                <wp:effectExtent l="0" t="0" r="0" b="0"/>
                <wp:wrapNone/>
                <wp:docPr id="66" name="Frame65"/>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1"/>
        <w:gridCol w:w="247"/>
        <w:gridCol w:w="248"/>
        <w:gridCol w:w="2699"/>
        <w:gridCol w:w="2312"/>
        <w:gridCol w:w="2334"/>
        <w:gridCol w:w="681"/>
        <w:gridCol w:w="681"/>
        <w:gridCol w:w="722"/>
      </w:tblGrid>
      <w:tr>
        <w:trPr/>
        <w:tc>
          <w:tcPr>
            <w:tcW w:w="28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7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73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20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Method of Filing</w:t>
            </w:r>
          </w:p>
        </w:tc>
      </w:tr>
      <w:tr>
        <w:trPr/>
        <w:tc>
          <w:tcPr>
            <w:tcW w:w="776" w:type="dxa"/>
            <w:gridSpan w:val="3"/>
            <w:tcBorders/>
            <w:vAlign w:val="center"/>
          </w:tcPr>
          <w:p>
            <w:pPr>
              <w:pStyle w:val="TableContents"/>
              <w:bidi w:val="0"/>
              <w:spacing w:before="0" w:after="283"/>
              <w:jc w:val="left"/>
              <w:rPr>
                <w:sz w:val="4"/>
                <w:szCs w:val="4"/>
              </w:rPr>
            </w:pPr>
            <w:r>
              <w:rPr>
                <w:sz w:val="4"/>
                <w:szCs w:val="4"/>
              </w:rPr>
            </w:r>
          </w:p>
        </w:tc>
        <w:tc>
          <w:tcPr>
            <w:tcW w:w="7345" w:type="dxa"/>
            <w:gridSpan w:val="3"/>
            <w:tcBorders/>
            <w:vAlign w:val="center"/>
          </w:tcPr>
          <w:p>
            <w:pPr>
              <w:pStyle w:val="TableContents"/>
              <w:bidi w:val="0"/>
              <w:spacing w:before="0" w:after="283"/>
              <w:jc w:val="left"/>
              <w:rPr>
                <w:sz w:val="4"/>
                <w:szCs w:val="4"/>
              </w:rPr>
            </w:pPr>
            <w:r>
              <w:rPr>
                <w:sz w:val="4"/>
                <w:szCs w:val="4"/>
              </w:rPr>
            </w:r>
          </w:p>
        </w:tc>
        <w:tc>
          <w:tcPr>
            <w:tcW w:w="2084" w:type="dxa"/>
            <w:gridSpan w:val="3"/>
            <w:tcBorders/>
            <w:vAlign w:val="center"/>
          </w:tcPr>
          <w:p>
            <w:pPr>
              <w:pStyle w:val="TableContents"/>
              <w:bidi w:val="0"/>
              <w:spacing w:before="0" w:after="283"/>
              <w:jc w:val="left"/>
              <w:rPr>
                <w:sz w:val="4"/>
                <w:szCs w:val="4"/>
              </w:rPr>
            </w:pPr>
            <w:r>
              <w:rPr>
                <w:sz w:val="4"/>
                <w:szCs w:val="4"/>
              </w:rPr>
            </w:r>
          </w:p>
        </w:tc>
      </w:tr>
      <w:tr>
        <w:trPr/>
        <w:tc>
          <w:tcPr>
            <w:tcW w:w="776" w:type="dxa"/>
            <w:gridSpan w:val="3"/>
            <w:tcBorders>
              <w:top w:val="single" w:sz="8" w:space="0" w:color="000000"/>
              <w:left w:val="single" w:sz="8" w:space="0" w:color="000000"/>
            </w:tcBorders>
            <w:shd w:fill="CCEEFF" w:val="clear"/>
            <w:tcMar>
              <w:top w:w="30" w:type="dxa"/>
              <w:left w:w="14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734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Sun Communities, Inc. Articles of Restatement</w:t>
              </w:r>
            </w:hyperlink>
          </w:p>
        </w:tc>
        <w:tc>
          <w:tcPr>
            <w:tcW w:w="208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3.1 to Sun Communities, Inc.'s Annual Report on Form 10-K filed on February 22, 2018</w:t>
            </w:r>
          </w:p>
        </w:tc>
      </w:tr>
      <w:tr>
        <w:trPr/>
        <w:tc>
          <w:tcPr>
            <w:tcW w:w="776" w:type="dxa"/>
            <w:gridSpan w:val="3"/>
            <w:tcBorders>
              <w:top w:val="single" w:sz="8" w:space="0" w:color="000000"/>
              <w:left w:val="single" w:sz="8" w:space="0" w:color="000000"/>
            </w:tcBorders>
            <w:shd w:fill="FFFFFF" w:val="clear"/>
            <w:tcMar>
              <w:top w:w="30" w:type="dxa"/>
              <w:left w:w="14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734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both"/>
              <w:rPr/>
            </w:pPr>
            <w:hyperlink r:id="rId4">
              <w:r>
                <w:rPr>
                  <w:rStyle w:val="InternetLink"/>
                  <w:rFonts w:ascii="Times New Roman;serif" w:hAnsi="Times New Roman;serif"/>
                  <w:b w:val="false"/>
                  <w:color w:val="0000FF"/>
                  <w:sz w:val="20"/>
                  <w:u w:val="single"/>
                </w:rPr>
                <w:t>Sun Communities, Inc. Articles of Amendment effective May 18, 2023</w:t>
              </w:r>
            </w:hyperlink>
          </w:p>
        </w:tc>
        <w:tc>
          <w:tcPr>
            <w:tcW w:w="208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3.1 to Sun Communities, Inc.'s Current Report on Form 8-K filed on May 19, 2023</w:t>
            </w:r>
          </w:p>
        </w:tc>
      </w:tr>
      <w:tr>
        <w:trPr/>
        <w:tc>
          <w:tcPr>
            <w:tcW w:w="776" w:type="dxa"/>
            <w:gridSpan w:val="3"/>
            <w:tcBorders>
              <w:top w:val="single" w:sz="8" w:space="0" w:color="000000"/>
              <w:left w:val="single" w:sz="8" w:space="0" w:color="000000"/>
            </w:tcBorders>
            <w:shd w:fill="CCEEFF" w:val="clear"/>
            <w:tcMar>
              <w:top w:w="30" w:type="dxa"/>
              <w:left w:w="14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734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68" w:before="0" w:after="0"/>
              <w:jc w:val="both"/>
              <w:rPr/>
            </w:pPr>
            <w:hyperlink r:id="rId5">
              <w:r>
                <w:rPr>
                  <w:rStyle w:val="InternetLink"/>
                  <w:rFonts w:ascii="Times New Roman;serif" w:hAnsi="Times New Roman;serif"/>
                  <w:b w:val="false"/>
                  <w:color w:val="0000FF"/>
                  <w:sz w:val="20"/>
                  <w:u w:val="single"/>
                </w:rPr>
                <w:t>Fifth Amended and Restated Bylaws</w:t>
              </w:r>
            </w:hyperlink>
          </w:p>
        </w:tc>
        <w:tc>
          <w:tcPr>
            <w:tcW w:w="208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3.1 to Sun Communities, Inc.'s Current Report on Form 8-K filed on May 15, 2025</w:t>
            </w:r>
          </w:p>
        </w:tc>
      </w:tr>
      <w:tr>
        <w:trPr/>
        <w:tc>
          <w:tcPr>
            <w:tcW w:w="776" w:type="dxa"/>
            <w:gridSpan w:val="3"/>
            <w:tcBorders>
              <w:top w:val="single" w:sz="8" w:space="0" w:color="000000"/>
              <w:left w:val="single" w:sz="8" w:space="0" w:color="000000"/>
            </w:tcBorders>
            <w:shd w:fill="FFFFFF" w:val="clear"/>
            <w:tcMar>
              <w:top w:w="30" w:type="dxa"/>
              <w:left w:w="14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734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both"/>
              <w:rPr/>
            </w:pPr>
            <w:hyperlink r:id="rId6">
              <w:r>
                <w:rPr>
                  <w:rStyle w:val="InternetLink"/>
                  <w:rFonts w:ascii="Times New Roman;serif" w:hAnsi="Times New Roman;serif"/>
                  <w:b w:val="false"/>
                  <w:color w:val="000080"/>
                  <w:sz w:val="20"/>
                  <w:u w:val="single"/>
                </w:rPr>
                <w:t xml:space="preserve">Employment Agreement among Sun Communities, Inc., Sun Communities Operating Limited Partnership and Charles D. Young dated </w:t>
              </w:r>
            </w:hyperlink>
            <w:hyperlink r:id="rId7">
              <w:r>
                <w:rPr>
                  <w:rStyle w:val="InternetLink"/>
                  <w:rFonts w:ascii="Times New Roman;serif" w:hAnsi="Times New Roman;serif"/>
                  <w:b w:val="false"/>
                  <w:color w:val="000080"/>
                  <w:sz w:val="20"/>
                  <w:u w:val="single"/>
                </w:rPr>
                <w:t>July 20</w:t>
              </w:r>
            </w:hyperlink>
            <w:hyperlink r:id="rId8">
              <w:r>
                <w:rPr>
                  <w:rStyle w:val="InternetLink"/>
                  <w:rFonts w:ascii="Times New Roman;serif" w:hAnsi="Times New Roman;serif"/>
                  <w:b w:val="false"/>
                  <w:color w:val="000080"/>
                  <w:sz w:val="20"/>
                  <w:u w:val="single"/>
                </w:rPr>
                <w:t>, 2025</w:t>
              </w:r>
            </w:hyperlink>
          </w:p>
        </w:tc>
        <w:tc>
          <w:tcPr>
            <w:tcW w:w="208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10.1 to Sun Communities, Inc.'s Current Report on Form 8-K filed on July 23, 2025</w:t>
            </w:r>
          </w:p>
        </w:tc>
      </w:tr>
      <w:tr>
        <w:trPr/>
        <w:tc>
          <w:tcPr>
            <w:tcW w:w="776" w:type="dxa"/>
            <w:gridSpan w:val="3"/>
            <w:tcBorders>
              <w:top w:val="single" w:sz="8" w:space="0" w:color="000000"/>
              <w:left w:val="single" w:sz="8" w:space="0" w:color="000000"/>
            </w:tcBorders>
            <w:shd w:fill="CCEEFF" w:val="clear"/>
            <w:tcMar>
              <w:top w:w="30" w:type="dxa"/>
              <w:left w:w="14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734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68" w:before="0" w:after="0"/>
              <w:jc w:val="both"/>
              <w:rPr/>
            </w:pPr>
            <w:hyperlink r:id="rId9">
              <w:r>
                <w:rPr>
                  <w:rStyle w:val="InternetLink"/>
                  <w:rFonts w:ascii="Times New Roman;serif" w:hAnsi="Times New Roman;serif"/>
                  <w:b w:val="false"/>
                  <w:color w:val="0000FF"/>
                  <w:sz w:val="20"/>
                  <w:u w:val="single"/>
                </w:rPr>
                <w:t>Credit Agreement dated September 17, 2025, among Sun Communities Operating Limited Partnership, as borrower; Sun Communities, Inc., as parent guarantor; J.P.Morgan, as Administrative Agent; Bank of America, N.A., BMO Bank, N.A., Citibank, N.A., Fifth Third Bank, National Association and Wells Fargo Bank, National Association, as Syndication Agents; PNC Bank, National Association, Regions Bank, Royal Bank of Canada, Truist Bank and US Bank National Association, as Co-Documentation Agents; JPMorgan Chase Bank, N.A., BOFA Securities, Inc., BMO Capital Markets Corp., Citibank, N.A., Fifth Third Bank, National Association and Wells Fargo Securities LLC, as Joint Bookrunners and Joint Lead Arrangers and PNC Capital Markets LLC, Regions Capital Markets, RBC Capital Markets, Truist Securities, Inc., and U.S. Bank National Association, as Joint Lead Arrangers and certain other lenders</w:t>
              </w:r>
            </w:hyperlink>
          </w:p>
        </w:tc>
        <w:tc>
          <w:tcPr>
            <w:tcW w:w="208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Incorporated by reference to Exhibit 10.1 to Sun Communities, Inc.'s Current Report on Form 8-K filed on September 22, 2025</w:t>
            </w:r>
          </w:p>
        </w:tc>
      </w:tr>
      <w:tr>
        <w:trPr/>
        <w:tc>
          <w:tcPr>
            <w:tcW w:w="776" w:type="dxa"/>
            <w:gridSpan w:val="3"/>
            <w:tcBorders>
              <w:top w:val="single" w:sz="8" w:space="0" w:color="000000"/>
              <w:left w:val="single" w:sz="8" w:space="0" w:color="000000"/>
            </w:tcBorders>
            <w:shd w:fill="FFFFFF" w:val="clear"/>
            <w:tcMar>
              <w:top w:w="30" w:type="dxa"/>
              <w:left w:w="14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22.1</w:t>
            </w:r>
          </w:p>
        </w:tc>
        <w:tc>
          <w:tcPr>
            <w:tcW w:w="734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w:anchor="exhibit221-2025930listofis.htm">
              <w:r>
                <w:rPr>
                  <w:rStyle w:val="InternetLink"/>
                  <w:rFonts w:ascii="Times New Roman;serif" w:hAnsi="Times New Roman;serif"/>
                  <w:b w:val="false"/>
                  <w:color w:val="0000FF"/>
                  <w:sz w:val="20"/>
                  <w:u w:val="single"/>
                </w:rPr>
                <w:t>List of issuers of guaranteed securities</w:t>
              </w:r>
            </w:hyperlink>
          </w:p>
        </w:tc>
        <w:tc>
          <w:tcPr>
            <w:tcW w:w="208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76" w:type="dxa"/>
            <w:gridSpan w:val="3"/>
            <w:tcBorders>
              <w:top w:val="single" w:sz="8" w:space="0" w:color="000000"/>
              <w:left w:val="single" w:sz="8" w:space="0" w:color="000000"/>
            </w:tcBorders>
            <w:shd w:fill="CCEEFF" w:val="clear"/>
            <w:tcMar>
              <w:top w:w="30" w:type="dxa"/>
              <w:left w:w="14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734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hyperlink w:anchor="exhibit311-2025930ceocerti.htm">
              <w:r>
                <w:rPr>
                  <w:rStyle w:val="InternetLink"/>
                  <w:rFonts w:ascii="Times New Roman;serif" w:hAnsi="Times New Roman;serif"/>
                  <w:b w:val="false"/>
                  <w:color w:val="0000FF"/>
                  <w:sz w:val="20"/>
                  <w:u w:val="single"/>
                </w:rPr>
                <w:t>Certification of Chief Executive Officer pursuant to Securities Exchange Act Rules 13a-14(a)/15(d)-14(a), as adopted pursuant to Section 302 of the Sarbanes-Oxley Act of 2002.</w:t>
              </w:r>
            </w:hyperlink>
          </w:p>
        </w:tc>
        <w:tc>
          <w:tcPr>
            <w:tcW w:w="208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76" w:type="dxa"/>
            <w:gridSpan w:val="3"/>
            <w:tcBorders>
              <w:top w:val="single" w:sz="8" w:space="0" w:color="000000"/>
              <w:left w:val="single" w:sz="8" w:space="0" w:color="000000"/>
            </w:tcBorders>
            <w:shd w:fill="FFFFFF" w:val="clear"/>
            <w:tcMar>
              <w:top w:w="30" w:type="dxa"/>
              <w:left w:w="14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734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left"/>
              <w:rPr/>
            </w:pPr>
            <w:hyperlink w:anchor="exhibit312-2025930cfocerti.htm">
              <w:r>
                <w:rPr>
                  <w:rStyle w:val="InternetLink"/>
                  <w:rFonts w:ascii="Times New Roman;serif" w:hAnsi="Times New Roman;serif"/>
                  <w:b w:val="false"/>
                  <w:color w:val="0000FF"/>
                  <w:sz w:val="20"/>
                  <w:u w:val="single"/>
                </w:rPr>
                <w:t>Certification of Chief Financial Officer pursuant to Securities Exchange Act Rules 13a-14(a)/15(d)-14(a), as adopted pursuant to Section 302 of the Sarbanes-Oxley Act of 2002.</w:t>
              </w:r>
            </w:hyperlink>
          </w:p>
        </w:tc>
        <w:tc>
          <w:tcPr>
            <w:tcW w:w="208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76" w:type="dxa"/>
            <w:gridSpan w:val="3"/>
            <w:tcBorders>
              <w:top w:val="single" w:sz="8" w:space="0" w:color="000000"/>
              <w:left w:val="single" w:sz="8" w:space="0" w:color="000000"/>
            </w:tcBorders>
            <w:shd w:fill="CCEEFF" w:val="clear"/>
            <w:tcMar>
              <w:top w:w="30" w:type="dxa"/>
              <w:left w:w="14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734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both"/>
              <w:rPr/>
            </w:pPr>
            <w:hyperlink w:anchor="exhibit321-2025930ceoandcf.htm">
              <w:r>
                <w:rPr>
                  <w:rStyle w:val="InternetLink"/>
                  <w:rFonts w:ascii="Times New Roman;serif" w:hAnsi="Times New Roman;serif"/>
                  <w:b w:val="false"/>
                  <w:color w:val="0000FF"/>
                  <w:sz w:val="20"/>
                  <w:u w:val="single"/>
                </w:rPr>
                <w:t>Certification pursuant to 18 U.S.C. Section 1350, as adopted pursuant to Section 906 of the Sarbanes-Oxley Act of 2002.</w:t>
              </w:r>
            </w:hyperlink>
          </w:p>
        </w:tc>
        <w:tc>
          <w:tcPr>
            <w:tcW w:w="208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76" w:type="dxa"/>
            <w:gridSpan w:val="3"/>
            <w:tcBorders>
              <w:top w:val="single" w:sz="8" w:space="0" w:color="000000"/>
              <w:left w:val="single" w:sz="8" w:space="0" w:color="000000"/>
            </w:tcBorders>
            <w:shd w:fill="FFFFFF" w:val="clear"/>
            <w:tcMar>
              <w:top w:w="30" w:type="dxa"/>
              <w:left w:w="14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734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Instance Document</w:t>
            </w:r>
          </w:p>
        </w:tc>
        <w:tc>
          <w:tcPr>
            <w:tcW w:w="208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The instance document does not appear in the Interactive Data File because its XBRL tags are embedded within the Inline XBRL document.</w:t>
            </w:r>
          </w:p>
        </w:tc>
      </w:tr>
      <w:tr>
        <w:trPr/>
        <w:tc>
          <w:tcPr>
            <w:tcW w:w="776" w:type="dxa"/>
            <w:gridSpan w:val="3"/>
            <w:tcBorders>
              <w:top w:val="single" w:sz="8" w:space="0" w:color="000000"/>
              <w:left w:val="single" w:sz="8" w:space="0" w:color="000000"/>
            </w:tcBorders>
            <w:shd w:fill="CCEEFF" w:val="clear"/>
            <w:tcMar>
              <w:top w:w="30" w:type="dxa"/>
              <w:left w:w="14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734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c>
          <w:tcPr>
            <w:tcW w:w="208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76" w:type="dxa"/>
            <w:gridSpan w:val="3"/>
            <w:tcBorders>
              <w:top w:val="single" w:sz="8" w:space="0" w:color="000000"/>
              <w:left w:val="single" w:sz="8" w:space="0" w:color="000000"/>
            </w:tcBorders>
            <w:shd w:fill="FFFFFF" w:val="clear"/>
            <w:tcMar>
              <w:top w:w="30" w:type="dxa"/>
              <w:left w:w="14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734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c>
          <w:tcPr>
            <w:tcW w:w="208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76" w:type="dxa"/>
            <w:gridSpan w:val="3"/>
            <w:tcBorders>
              <w:top w:val="single" w:sz="8" w:space="0" w:color="000000"/>
              <w:left w:val="single" w:sz="8" w:space="0" w:color="000000"/>
            </w:tcBorders>
            <w:shd w:fill="CCEEFF" w:val="clear"/>
            <w:tcMar>
              <w:top w:w="30" w:type="dxa"/>
              <w:left w:w="14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734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c>
          <w:tcPr>
            <w:tcW w:w="208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76" w:type="dxa"/>
            <w:gridSpan w:val="3"/>
            <w:tcBorders>
              <w:top w:val="single" w:sz="8" w:space="0" w:color="000000"/>
              <w:left w:val="single" w:sz="8" w:space="0" w:color="000000"/>
            </w:tcBorders>
            <w:shd w:fill="FFFFFF" w:val="clear"/>
            <w:tcMar>
              <w:top w:w="30" w:type="dxa"/>
              <w:left w:w="14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734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c>
          <w:tcPr>
            <w:tcW w:w="2084"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76" w:type="dxa"/>
            <w:gridSpan w:val="3"/>
            <w:tcBorders>
              <w:top w:val="single" w:sz="8" w:space="0" w:color="000000"/>
              <w:left w:val="single" w:sz="8" w:space="0" w:color="000000"/>
            </w:tcBorders>
            <w:shd w:fill="CCEEFF" w:val="clear"/>
            <w:tcMar>
              <w:top w:w="30" w:type="dxa"/>
              <w:left w:w="14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734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c>
          <w:tcPr>
            <w:tcW w:w="208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76" w:type="dxa"/>
            <w:gridSpan w:val="3"/>
            <w:tcBorders>
              <w:top w:val="single" w:sz="8" w:space="0" w:color="000000"/>
              <w:left w:val="single" w:sz="8" w:space="0" w:color="000000"/>
            </w:tcBorders>
            <w:shd w:fill="FFFFFF" w:val="clear"/>
            <w:tcMar>
              <w:top w:w="30" w:type="dxa"/>
              <w:left w:w="14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7345"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 contained in Exhibit 101)</w:t>
            </w:r>
          </w:p>
        </w:tc>
        <w:tc>
          <w:tcPr>
            <w:tcW w:w="2084"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10205" w:type="dxa"/>
            <w:gridSpan w:val="9"/>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Management contract or compensatory plan or arrangement.</w:t>
            </w:r>
          </w:p>
        </w:tc>
      </w:tr>
      <w:tr>
        <w:trPr/>
        <w:tc>
          <w:tcPr>
            <w:tcW w:w="10205" w:type="dxa"/>
            <w:gridSpan w:val="9"/>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*Certain schedules and exhibits have been omitted pursuant to Item 601(a)(5) of Regulation S-K because such schedules and exhibits do not contain information which is material to an investment decision, or which is not otherwise disclosed in the filed agreements. The Company will furnish the omitted schedules and exhibits to the SEC upon request by the SEC.</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672465"/>
                <wp:effectExtent l="0" t="0" r="0" b="0"/>
                <wp:wrapNone/>
                <wp:docPr id="67" name="Frame66"/>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9358" w:type="dxa"/>
        <w:jc w:val="left"/>
        <w:tblInd w:w="0" w:type="dxa"/>
        <w:tblLayout w:type="fixed"/>
        <w:tblCellMar>
          <w:top w:w="28" w:type="dxa"/>
          <w:left w:w="28" w:type="dxa"/>
          <w:bottom w:w="28" w:type="dxa"/>
          <w:right w:w="28" w:type="dxa"/>
        </w:tblCellMar>
      </w:tblPr>
      <w:tblGrid>
        <w:gridCol w:w="765"/>
        <w:gridCol w:w="672"/>
        <w:gridCol w:w="678"/>
        <w:gridCol w:w="134"/>
        <w:gridCol w:w="134"/>
        <w:gridCol w:w="136"/>
        <w:gridCol w:w="2003"/>
        <w:gridCol w:w="2003"/>
        <w:gridCol w:w="2833"/>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833"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October 30,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Brian Loftus</w:t>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Senior Vice President and Chief Accounting Officer (Principal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672465"/>
                <wp:effectExtent l="0" t="0" r="0" b="0"/>
                <wp:wrapNone/>
                <wp:docPr id="68" name="Frame67"/>
                <a:graphic xmlns:a="http://schemas.openxmlformats.org/drawingml/2006/main">
                  <a:graphicData uri="http://schemas.microsoft.com/office/word/2010/wordprocessingShape">
                    <wps:wsp>
                      <wps:cNvSpPr txBox="1"/>
                      <wps:spPr>
                        <a:xfrm>
                          <a:off x="0" y="0"/>
                          <a:ext cx="6480175" cy="67246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List of Issuers of Guaranteed Securities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October 30, 2025, the debt instruments indicated below are fully and unconditionally guaranteed by Sun Communities, Inc.</w:t>
      </w:r>
    </w:p>
    <w:p>
      <w:pPr>
        <w:pStyle w:val="TextBody"/>
        <w:bidi w:val="0"/>
        <w:spacing w:before="0" w:after="0"/>
        <w:jc w:val="left"/>
        <w:rPr/>
      </w:pPr>
      <w:r>
        <w:rPr/>
      </w:r>
    </w:p>
    <w:tbl>
      <w:tblPr>
        <w:tblW w:w="9712" w:type="dxa"/>
        <w:jc w:val="left"/>
        <w:tblInd w:w="0" w:type="dxa"/>
        <w:tblLayout w:type="fixed"/>
        <w:tblCellMar>
          <w:top w:w="28" w:type="dxa"/>
          <w:left w:w="28" w:type="dxa"/>
          <w:bottom w:w="28" w:type="dxa"/>
          <w:right w:w="28" w:type="dxa"/>
        </w:tblCellMar>
      </w:tblPr>
      <w:tblGrid>
        <w:gridCol w:w="880"/>
        <w:gridCol w:w="772"/>
        <w:gridCol w:w="777"/>
        <w:gridCol w:w="109"/>
        <w:gridCol w:w="109"/>
        <w:gridCol w:w="109"/>
        <w:gridCol w:w="1350"/>
        <w:gridCol w:w="1350"/>
        <w:gridCol w:w="1364"/>
        <w:gridCol w:w="109"/>
        <w:gridCol w:w="109"/>
        <w:gridCol w:w="109"/>
        <w:gridCol w:w="751"/>
        <w:gridCol w:w="751"/>
        <w:gridCol w:w="1063"/>
      </w:tblGrid>
      <w:tr>
        <w:trPr/>
        <w:tc>
          <w:tcPr>
            <w:tcW w:w="88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Debt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Issuer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Jurisdiction of Organization</w:t>
            </w:r>
          </w:p>
        </w:tc>
      </w:tr>
      <w:tr>
        <w:trPr/>
        <w:tc>
          <w:tcPr>
            <w:tcW w:w="2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 Senior Notes due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Sun Communities Operating Limited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2.7% Senior Notes due 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Sun Communities Operating Limited Partnership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 Senior Notes due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Sun Communities Operating Limited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Michigan</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CERTIFICATIONS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Under Section 302 of the Sarbanes-Oxley Act of 2002)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Charles D. Young, certify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Sun Communities,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both"/>
        <w:rPr/>
      </w:pPr>
      <w:r>
        <w:rPr/>
      </w:r>
    </w:p>
    <w:tbl>
      <w:tblPr>
        <w:tblW w:w="6041" w:type="dxa"/>
        <w:jc w:val="center"/>
        <w:tblInd w:w="0" w:type="dxa"/>
        <w:tblLayout w:type="fixed"/>
        <w:tblCellMar>
          <w:top w:w="28" w:type="dxa"/>
          <w:left w:w="28" w:type="dxa"/>
          <w:bottom w:w="28" w:type="dxa"/>
          <w:right w:w="28" w:type="dxa"/>
        </w:tblCellMar>
      </w:tblPr>
      <w:tblGrid>
        <w:gridCol w:w="765"/>
        <w:gridCol w:w="672"/>
        <w:gridCol w:w="678"/>
        <w:gridCol w:w="109"/>
        <w:gridCol w:w="109"/>
        <w:gridCol w:w="109"/>
        <w:gridCol w:w="1050"/>
        <w:gridCol w:w="1050"/>
        <w:gridCol w:w="1499"/>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October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Charles D. Young</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 D. Young,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CERTIFICATIONS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Under Section 302 of the Sarbanes-Oxley Act of 2002)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Fernando Castro-Caratini, certify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Sun Communities,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72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both"/>
        <w:rPr/>
      </w:pPr>
      <w:r>
        <w:rPr/>
      </w:r>
    </w:p>
    <w:tbl>
      <w:tblPr>
        <w:tblW w:w="6269" w:type="dxa"/>
        <w:jc w:val="left"/>
        <w:tblInd w:w="0" w:type="dxa"/>
        <w:tblLayout w:type="fixed"/>
        <w:tblCellMar>
          <w:top w:w="28" w:type="dxa"/>
          <w:left w:w="28" w:type="dxa"/>
          <w:bottom w:w="28" w:type="dxa"/>
          <w:right w:w="28" w:type="dxa"/>
        </w:tblCellMar>
      </w:tblPr>
      <w:tblGrid>
        <w:gridCol w:w="765"/>
        <w:gridCol w:w="672"/>
        <w:gridCol w:w="678"/>
        <w:gridCol w:w="1217"/>
        <w:gridCol w:w="1217"/>
        <w:gridCol w:w="1720"/>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October 30, 2025</w:t>
            </w:r>
          </w:p>
        </w:tc>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Fernando Castro-Caratini</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Fernando Castro-Caratini,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PURSUANT TO 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(Adopted Under 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undersigned officers, Charles D. Young and Fernando Castro-Caratini, hereby certify that to the best of their knowledge: (a) this Quarterly Report on Form 10-Q of Sun Communities, Inc., for the period ended September 30, 2025, fully complies with the requirements of Section 13(a) or 15(d) of the Securities Exchange Act of 1934, as amended; and (b) the information contained in this Form 10-Q fairly presents, in all material respects, the financial condition and results of operations of the Company.</w:t>
      </w:r>
    </w:p>
    <w:p>
      <w:pPr>
        <w:pStyle w:val="TextBody"/>
        <w:bidi w:val="0"/>
        <w:spacing w:before="0" w:after="0"/>
        <w:jc w:val="both"/>
        <w:rPr/>
      </w:pPr>
      <w:r>
        <w:rPr/>
      </w:r>
    </w:p>
    <w:tbl>
      <w:tblPr>
        <w:tblW w:w="5684" w:type="dxa"/>
        <w:jc w:val="left"/>
        <w:tblInd w:w="0" w:type="dxa"/>
        <w:tblLayout w:type="fixed"/>
        <w:tblCellMar>
          <w:top w:w="28" w:type="dxa"/>
          <w:left w:w="28" w:type="dxa"/>
          <w:bottom w:w="28" w:type="dxa"/>
          <w:right w:w="28" w:type="dxa"/>
        </w:tblCellMar>
      </w:tblPr>
      <w:tblGrid>
        <w:gridCol w:w="1492"/>
        <w:gridCol w:w="1313"/>
        <w:gridCol w:w="1320"/>
        <w:gridCol w:w="454"/>
        <w:gridCol w:w="454"/>
        <w:gridCol w:w="651"/>
      </w:tblGrid>
      <w:tr>
        <w:trPr/>
        <w:tc>
          <w:tcPr>
            <w:tcW w:w="1492"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Signature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Date</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Charles D. Young</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30, 2025</w:t>
            </w:r>
          </w:p>
        </w:tc>
      </w:tr>
      <w:tr>
        <w:trPr/>
        <w:tc>
          <w:tcPr>
            <w:tcW w:w="4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 D. Young, Chief Executive Officer</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Fernando Castro-Caratini</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30, 2025</w:t>
            </w:r>
          </w:p>
        </w:tc>
      </w:tr>
      <w:tr>
        <w:trPr/>
        <w:tc>
          <w:tcPr>
            <w:tcW w:w="4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Fernando Castro-Caratini, Chief Financial Officer</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Sun Communities, Inc. and will be retained by Sun Communities, Inc. and furnished to the Securities and Exchange Commission or its staff upon request.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912593/000091259318000049/exhibit31-suncommunitiesin.htm" TargetMode="External"/><Relationship Id="rId4" Type="http://schemas.openxmlformats.org/officeDocument/2006/relationships/hyperlink" Target="https://www.sec.gov/Archives/edgar/data/912593/000091259323000182/articlesofamendment-increa.htm" TargetMode="External"/><Relationship Id="rId5" Type="http://schemas.openxmlformats.org/officeDocument/2006/relationships/hyperlink" Target="https://www.sec.gov/Archives/edgar/data/912593/000091259325000176/suncommunitiesfifthamended.htm" TargetMode="External"/><Relationship Id="rId6" Type="http://schemas.openxmlformats.org/officeDocument/2006/relationships/hyperlink" Target="https://www.sec.gov/Archives/edgar/data/912593/000091259325000199/employmentagreement.htm" TargetMode="External"/><Relationship Id="rId7" Type="http://schemas.openxmlformats.org/officeDocument/2006/relationships/hyperlink" Target="https://www.sec.gov/Archives/edgar/data/912593/000091259325000199/employmentagreement.htm" TargetMode="External"/><Relationship Id="rId8" Type="http://schemas.openxmlformats.org/officeDocument/2006/relationships/hyperlink" Target="https://www.sec.gov/Archives/edgar/data/912593/000091259325000199/employmentagreement.htm" TargetMode="External"/><Relationship Id="rId9" Type="http://schemas.openxmlformats.org/officeDocument/2006/relationships/hyperlink" Target="https://www.sec.gov/Archives/edgar/data/912593/000091259325000243/suncommunities-creditagree.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33507</Words>
  <Characters>181896</Characters>
  <CharactersWithSpaces>211699</CharactersWithSpaces>
  <Paragraphs>6927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