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0" w:hanging="221"/>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w:t>
      </w:r>
    </w:p>
    <w:p>
      <w:pPr>
        <w:spacing w:after="0" w:line="40" w:lineRule="exact"/>
        <w:rPr>
          <w:rFonts w:ascii="MS PGothic" w:cs="MS PGothic" w:eastAsia="MS PGothic" w:hAnsi="MS PGothic"/>
          <w:sz w:val="17"/>
          <w:szCs w:val="17"/>
          <w:color w:val="auto"/>
        </w:rPr>
      </w:pPr>
    </w:p>
    <w:p>
      <w:pPr>
        <w:ind w:left="45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period ended June 30, 2021.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63" w:right="339" w:bottom="1440" w:gutter="0" w:footer="0" w:header="0"/>
        </w:sectPr>
      </w:pPr>
    </w:p>
    <w:p>
      <w:pPr>
        <w:spacing w:after="0" w:line="273"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50" w:lineRule="exact"/>
        <w:rPr>
          <w:sz w:val="24"/>
          <w:szCs w:val="24"/>
          <w:color w:val="auto"/>
        </w:rPr>
      </w:pPr>
    </w:p>
    <w:p>
      <w:pPr>
        <w:sectPr>
          <w:pgSz w:w="11900" w:h="16838" w:orient="portrait"/>
          <w:cols w:equalWidth="0" w:num="3">
            <w:col w:w="4600" w:space="720"/>
            <w:col w:w="2700" w:space="720"/>
            <w:col w:w="2500"/>
          </w:cols>
          <w:pgMar w:left="320" w:top="1363" w:right="33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3">
            <w:col w:w="4000" w:space="720"/>
            <w:col w:w="2420" w:space="720"/>
            <w:col w:w="3380"/>
          </w:cols>
          <w:pgMar w:left="320" w:top="1363"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49" w:lineRule="exact"/>
        <w:rPr>
          <w:sz w:val="24"/>
          <w:szCs w:val="24"/>
          <w:color w:val="auto"/>
        </w:rPr>
      </w:pPr>
    </w:p>
    <w:p>
      <w:pPr>
        <w:sectPr>
          <w:pgSz w:w="11900" w:h="16838" w:orient="portrait"/>
          <w:cols w:equalWidth="0" w:num="2">
            <w:col w:w="8220" w:space="720"/>
            <w:col w:w="2300"/>
          </w:cols>
          <w:pgMar w:left="320" w:top="1363"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8060" w:space="720"/>
            <w:col w:w="2460"/>
          </w:cols>
          <w:pgMar w:left="320" w:top="136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63" w:right="33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363" w:right="339" w:bottom="1440" w:gutter="0" w:footer="0" w:header="0"/>
          <w:type w:val="continuous"/>
        </w:sectPr>
      </w:pPr>
    </w:p>
    <w:p>
      <w:pPr>
        <w:spacing w:after="0" w:line="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46" w:lineRule="exact"/>
        <w:rPr>
          <w:sz w:val="24"/>
          <w:szCs w:val="24"/>
          <w:color w:val="auto"/>
        </w:rPr>
      </w:pPr>
    </w:p>
    <w:p>
      <w:pPr>
        <w:sectPr>
          <w:pgSz w:w="11900" w:h="16838" w:orient="portrait"/>
          <w:cols w:equalWidth="0" w:num="5">
            <w:col w:w="1960" w:space="500"/>
            <w:col w:w="1200" w:space="620"/>
            <w:col w:w="1520" w:space="600"/>
            <w:col w:w="1960" w:space="540"/>
            <w:col w:w="2340"/>
          </w:cols>
          <w:pgMar w:left="320" w:top="1363"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260" w:space="720"/>
            <w:col w:w="1260" w:space="720"/>
            <w:col w:w="1620" w:space="720"/>
            <w:col w:w="1780" w:space="720"/>
            <w:col w:w="1440"/>
          </w:cols>
          <w:pgMar w:left="320" w:top="1363"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July 20, 2021: 115,903,246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Consolidated Balance Sheets as of June 30, 2021 (Unaudited) and December 31, 2020</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and Six Months Ended June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Three and Six Months Ended June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 of Equity for the Three Months Ended June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Six Months Ended June 30, 2021 and 2020 (Unaudited)</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59</w:t>
              </w:r>
            </w:hyperlink>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60</w:t>
              </w:r>
            </w:hyperlink>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61</w:t>
              </w:r>
            </w:hyperlink>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65</w:t>
              </w:r>
            </w:hyperlink>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4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(Unaudited)</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0"/>
              </w:rPr>
              <w:t>June 30, 2021</w:t>
            </w:r>
          </w:p>
        </w:tc>
        <w:tc>
          <w:tcPr>
            <w:tcW w:w="18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b w:val="1"/>
                <w:bCs w:val="1"/>
                <w:color w:val="auto"/>
                <w:w w:val="93"/>
              </w:rPr>
              <w:t>December 31, 2020</w:t>
            </w:r>
          </w:p>
        </w:tc>
        <w:tc>
          <w:tcPr>
            <w:tcW w:w="0" w:type="dxa"/>
            <w:vAlign w:val="bottom"/>
          </w:tcPr>
          <w:p>
            <w:pPr>
              <w:spacing w:after="0"/>
              <w:rPr>
                <w:sz w:val="1"/>
                <w:szCs w:val="1"/>
                <w:color w:val="auto"/>
              </w:rPr>
            </w:pPr>
          </w:p>
        </w:tc>
      </w:tr>
      <w:tr>
        <w:trPr>
          <w:trHeight w:val="198"/>
        </w:trPr>
        <w:tc>
          <w:tcPr>
            <w:tcW w:w="774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Land</w:t>
            </w:r>
          </w:p>
        </w:tc>
        <w:tc>
          <w:tcPr>
            <w:tcW w:w="2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2,412,629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2,119,364</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Land improvements and buildings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8,995,041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8,480,597</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Rental homes and improvements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622,397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637,603</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Furniture, fixtures and equipment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529,549</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447,039</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Investment property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12,559,616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11,684,603</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Accumulated depreciation</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(2,165,564)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(1,968,812)</w:t>
            </w:r>
          </w:p>
        </w:tc>
        <w:tc>
          <w:tcPr>
            <w:tcW w:w="0" w:type="dxa"/>
            <w:vAlign w:val="bottom"/>
          </w:tcPr>
          <w:p>
            <w:pPr>
              <w:spacing w:after="0"/>
              <w:rPr>
                <w:sz w:val="1"/>
                <w:szCs w:val="1"/>
                <w:color w:val="auto"/>
              </w:rPr>
            </w:pPr>
          </w:p>
        </w:tc>
      </w:tr>
      <w:tr>
        <w:trPr>
          <w:trHeight w:val="133"/>
        </w:trPr>
        <w:tc>
          <w:tcPr>
            <w:tcW w:w="7740" w:type="dxa"/>
            <w:vAlign w:val="bottom"/>
            <w:shd w:val="clear" w:color="auto" w:fill="CCEEFF"/>
          </w:tcPr>
          <w:p>
            <w:pPr>
              <w:ind w:left="260"/>
              <w:spacing w:after="0" w:line="133" w:lineRule="exact"/>
              <w:rPr>
                <w:sz w:val="20"/>
                <w:szCs w:val="20"/>
                <w:color w:val="auto"/>
              </w:rPr>
            </w:pPr>
            <w:r>
              <w:rPr>
                <w:rFonts w:ascii="Arial" w:cs="Arial" w:eastAsia="Arial" w:hAnsi="Arial"/>
                <w:sz w:val="15"/>
                <w:szCs w:val="15"/>
                <w:color w:val="auto"/>
                <w:w w:val="95"/>
              </w:rPr>
              <w:t>Investment property, net (including $508,055 and $438,918 for consolidated VIEs at June 30, 2021 and December 31,</w:t>
            </w:r>
          </w:p>
        </w:tc>
        <w:tc>
          <w:tcPr>
            <w:tcW w:w="26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10,394,052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2020; see Note 7)</w:t>
            </w:r>
          </w:p>
        </w:tc>
        <w:tc>
          <w:tcPr>
            <w:tcW w:w="2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Cash, cash equivalents and restricted cash</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119,612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Marketable securities (see Note 14)</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153,049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Inventory of manufactured homes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43,686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Notes and other receivables, net</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262,333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448,317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Other intangible assets, net</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295,663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148"/>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4"/>
              </w:rPr>
              <w:t>Other assets, net (including $32,817 and $24,554 for consolidated VIEs at June 30, 2021 and December 31, 2020; see</w:t>
            </w:r>
          </w:p>
        </w:tc>
        <w:tc>
          <w:tcPr>
            <w:tcW w:w="26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324,278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Note 7</w:t>
            </w: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12,040,990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5"/>
                <w:szCs w:val="15"/>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CEEFF"/>
          </w:tcPr>
          <w:p>
            <w:pPr>
              <w:ind w:left="260"/>
              <w:spacing w:after="0" w:line="149" w:lineRule="exact"/>
              <w:rPr>
                <w:sz w:val="20"/>
                <w:szCs w:val="20"/>
                <w:color w:val="auto"/>
              </w:rPr>
            </w:pPr>
            <w:r>
              <w:rPr>
                <w:rFonts w:ascii="Arial" w:cs="Arial" w:eastAsia="Arial" w:hAnsi="Arial"/>
                <w:sz w:val="15"/>
                <w:szCs w:val="15"/>
                <w:color w:val="auto"/>
                <w:w w:val="95"/>
              </w:rPr>
              <w:t>Secured debt (see Note 8) (including $74,571 and $47,706 for consolidated VIEs at June 30, 2021 and December 31,</w:t>
            </w:r>
          </w:p>
        </w:tc>
        <w:tc>
          <w:tcPr>
            <w:tcW w:w="2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3,457,734</w:t>
            </w:r>
          </w:p>
        </w:tc>
        <w:tc>
          <w:tcPr>
            <w:tcW w:w="2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3,489,983</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2020; see Note 7)</w:t>
            </w:r>
          </w:p>
        </w:tc>
        <w:tc>
          <w:tcPr>
            <w:tcW w:w="26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4"/>
              </w:rPr>
              <w:t>Unsecured debt (see Note 8) (including $35,249 and $35,249 for consolidated VIE at June 30, 2021 and December 31,</w:t>
            </w:r>
          </w:p>
        </w:tc>
        <w:tc>
          <w:tcPr>
            <w:tcW w:w="26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853,441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198"/>
        </w:trPr>
        <w:tc>
          <w:tcPr>
            <w:tcW w:w="7740" w:type="dxa"/>
            <w:vAlign w:val="bottom"/>
          </w:tcPr>
          <w:p>
            <w:pPr>
              <w:ind w:left="220"/>
              <w:spacing w:after="0"/>
              <w:rPr>
                <w:sz w:val="20"/>
                <w:szCs w:val="20"/>
                <w:color w:val="auto"/>
              </w:rPr>
            </w:pPr>
            <w:r>
              <w:rPr>
                <w:rFonts w:ascii="Arial" w:cs="Arial" w:eastAsia="Arial" w:hAnsi="Arial"/>
                <w:sz w:val="15"/>
                <w:szCs w:val="15"/>
                <w:color w:val="auto"/>
              </w:rPr>
              <w:t>2020; see Note 7)</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Distributions payable</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86,988</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Advanced reservation deposits and rent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290,913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187,730</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expenses and accounts payable</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214,200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148,435</w:t>
            </w:r>
          </w:p>
        </w:tc>
        <w:tc>
          <w:tcPr>
            <w:tcW w:w="0" w:type="dxa"/>
            <w:vAlign w:val="bottom"/>
          </w:tcPr>
          <w:p>
            <w:pPr>
              <w:spacing w:after="0"/>
              <w:rPr>
                <w:sz w:val="1"/>
                <w:szCs w:val="1"/>
                <w:color w:val="auto"/>
              </w:rPr>
            </w:pPr>
          </w:p>
        </w:tc>
      </w:tr>
      <w:tr>
        <w:trPr>
          <w:trHeight w:val="149"/>
        </w:trPr>
        <w:tc>
          <w:tcPr>
            <w:tcW w:w="7740" w:type="dxa"/>
            <w:vAlign w:val="bottom"/>
          </w:tcPr>
          <w:p>
            <w:pPr>
              <w:ind w:left="260"/>
              <w:spacing w:after="0" w:line="149" w:lineRule="exact"/>
              <w:rPr>
                <w:sz w:val="20"/>
                <w:szCs w:val="20"/>
                <w:color w:val="auto"/>
              </w:rPr>
            </w:pPr>
            <w:r>
              <w:rPr>
                <w:rFonts w:ascii="Arial" w:cs="Arial" w:eastAsia="Arial" w:hAnsi="Arial"/>
                <w:sz w:val="15"/>
                <w:szCs w:val="15"/>
                <w:color w:val="auto"/>
                <w:w w:val="96"/>
              </w:rPr>
              <w:t>Other liabilities (including $44,944 and $21,957 for consolidated VIEs at June 30, 2021 and December 31, 2020; see</w:t>
            </w:r>
          </w:p>
        </w:tc>
        <w:tc>
          <w:tcPr>
            <w:tcW w:w="26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184,846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134,650</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Note 7)</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520"/>
              <w:spacing w:after="0"/>
              <w:rPr>
                <w:sz w:val="20"/>
                <w:szCs w:val="20"/>
                <w:color w:val="auto"/>
              </w:rPr>
            </w:pPr>
            <w:r>
              <w:rPr>
                <w:rFonts w:ascii="Arial" w:cs="Arial" w:eastAsia="Arial" w:hAnsi="Arial"/>
                <w:sz w:val="15"/>
                <w:szCs w:val="15"/>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5,099,563</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5,314,879</w:t>
            </w:r>
          </w:p>
        </w:tc>
        <w:tc>
          <w:tcPr>
            <w:tcW w:w="0" w:type="dxa"/>
            <w:vAlign w:val="bottom"/>
          </w:tcPr>
          <w:p>
            <w:pPr>
              <w:spacing w:after="0"/>
              <w:rPr>
                <w:sz w:val="1"/>
                <w:szCs w:val="1"/>
                <w:color w:val="auto"/>
              </w:rPr>
            </w:pPr>
          </w:p>
        </w:tc>
      </w:tr>
      <w:tr>
        <w:trPr>
          <w:trHeight w:val="178"/>
        </w:trPr>
        <w:tc>
          <w:tcPr>
            <w:tcW w:w="7740" w:type="dxa"/>
            <w:vAlign w:val="bottom"/>
          </w:tcPr>
          <w:p>
            <w:pPr>
              <w:ind w:left="260"/>
              <w:spacing w:after="0"/>
              <w:rPr>
                <w:sz w:val="20"/>
                <w:szCs w:val="20"/>
                <w:color w:val="auto"/>
              </w:rPr>
            </w:pPr>
            <w:r>
              <w:rPr>
                <w:rFonts w:ascii="Arial" w:cs="Arial" w:eastAsia="Arial" w:hAnsi="Arial"/>
                <w:sz w:val="15"/>
                <w:szCs w:val="15"/>
                <w:color w:val="auto"/>
              </w:rPr>
              <w:t>Commitments and contingencies (see Note 15)</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260"/>
              <w:spacing w:after="0" w:line="153" w:lineRule="exact"/>
              <w:rPr>
                <w:sz w:val="20"/>
                <w:szCs w:val="20"/>
                <w:color w:val="auto"/>
              </w:rPr>
            </w:pPr>
            <w:r>
              <w:rPr>
                <w:rFonts w:ascii="Arial" w:cs="Arial" w:eastAsia="Arial" w:hAnsi="Arial"/>
                <w:sz w:val="15"/>
                <w:szCs w:val="15"/>
                <w:color w:val="auto"/>
                <w:w w:val="92"/>
              </w:rPr>
              <w:t>Temporary equity (see Note 9) (including $27,491 and $28,469 for consolidated VIEs at June 30, 2021 and December 31,</w:t>
            </w: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285,603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264,379</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2020; see Note 7)</w:t>
            </w:r>
          </w:p>
        </w:tc>
        <w:tc>
          <w:tcPr>
            <w:tcW w:w="2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6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740" w:type="dxa"/>
            <w:vAlign w:val="bottom"/>
            <w:shd w:val="clear" w:color="auto" w:fill="CCEEFF"/>
          </w:tcPr>
          <w:p>
            <w:pPr>
              <w:ind w:left="260"/>
              <w:spacing w:after="0" w:line="151" w:lineRule="exact"/>
              <w:rPr>
                <w:sz w:val="20"/>
                <w:szCs w:val="20"/>
                <w:color w:val="auto"/>
              </w:rPr>
            </w:pPr>
            <w:r>
              <w:rPr>
                <w:rFonts w:ascii="Arial" w:cs="Arial" w:eastAsia="Arial" w:hAnsi="Arial"/>
                <w:sz w:val="15"/>
                <w:szCs w:val="15"/>
                <w:color w:val="auto"/>
                <w:w w:val="98"/>
              </w:rPr>
              <w:t>Common stock, $0.01 par value. Authorized: 180,000 shares; Issued and outstanding: 115,889 June 30, 2021 and</w:t>
            </w: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107,626 December 31, 2020</w:t>
            </w:r>
          </w:p>
        </w:tc>
        <w:tc>
          <w:tcPr>
            <w:tcW w:w="2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8,163,095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7,087,658</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Distributions in excess of accumulated earnings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(1,614,243)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(1,566,636)</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Sun Communities, Inc. stockholders' equity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6,555,208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5,525,276</w:t>
            </w:r>
          </w:p>
        </w:tc>
        <w:tc>
          <w:tcPr>
            <w:tcW w:w="0" w:type="dxa"/>
            <w:vAlign w:val="bottom"/>
          </w:tcPr>
          <w:p>
            <w:pPr>
              <w:spacing w:after="0"/>
              <w:rPr>
                <w:sz w:val="1"/>
                <w:szCs w:val="1"/>
                <w:color w:val="auto"/>
              </w:rPr>
            </w:pPr>
          </w:p>
        </w:tc>
      </w:tr>
      <w:tr>
        <w:trPr>
          <w:trHeight w:val="198"/>
        </w:trPr>
        <w:tc>
          <w:tcPr>
            <w:tcW w:w="7740" w:type="dxa"/>
            <w:vAlign w:val="bottom"/>
          </w:tcPr>
          <w:p>
            <w:pPr>
              <w:ind w:left="260"/>
              <w:spacing w:after="0"/>
              <w:rPr>
                <w:sz w:val="20"/>
                <w:szCs w:val="20"/>
                <w:color w:val="auto"/>
              </w:rPr>
            </w:pPr>
            <w:r>
              <w:rPr>
                <w:rFonts w:ascii="Arial" w:cs="Arial" w:eastAsia="Arial" w:hAnsi="Arial"/>
                <w:sz w:val="15"/>
                <w:szCs w:val="15"/>
                <w:color w:val="auto"/>
              </w:rPr>
              <w:t>Noncontrolling interests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Common and preferred OP units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85,968</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Consolidated VIEs (fully attributable to consolidated VIEs; see Note 7)</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17,751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16,084</w:t>
            </w: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100,616</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102,052</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5"/>
                <w:szCs w:val="15"/>
                <w:b w:val="1"/>
                <w:bCs w:val="1"/>
                <w:color w:val="auto"/>
              </w:rPr>
              <w:t>Total Stockholders' Equity</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6,655,824</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5,627,328</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12,040,990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80"/>
          </w:cols>
          <w:pgMar w:left="320" w:top="36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ind w:left="56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7"/>
                <w:szCs w:val="17"/>
                <w:color w:val="auto"/>
              </w:rPr>
            </w:pPr>
          </w:p>
        </w:tc>
        <w:tc>
          <w:tcPr>
            <w:tcW w:w="2680" w:type="dxa"/>
            <w:vAlign w:val="bottom"/>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2020</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2020</w:t>
            </w: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405,905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251,127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736,518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509,476</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81,848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38,530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134,047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79,117</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157,064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12,803</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Interest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net</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12,899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Revenues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603,863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303,266</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1,045,878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613,568</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129,961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70,804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233,514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140,638</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estate tax</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17,723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34,899</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Home costs and selling</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58,763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32,051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100,353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66,090</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124,016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13,924</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45,127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26,527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83,330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51,876</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Business combination, net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249,727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170,954</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31,428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63,844</w:t>
            </w:r>
          </w:p>
        </w:tc>
        <w:tc>
          <w:tcPr>
            <w:tcW w:w="0" w:type="dxa"/>
            <w:vAlign w:val="bottom"/>
          </w:tcPr>
          <w:p>
            <w:pPr>
              <w:spacing w:after="0"/>
              <w:rPr>
                <w:sz w:val="1"/>
                <w:szCs w:val="1"/>
                <w:color w:val="auto"/>
              </w:rPr>
            </w:pPr>
          </w:p>
        </w:tc>
      </w:tr>
      <w:tr>
        <w:trPr>
          <w:trHeight w:val="199"/>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2,083</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Expenses</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509,045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275,446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927,733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549,557</w:t>
            </w:r>
          </w:p>
        </w:tc>
        <w:tc>
          <w:tcPr>
            <w:tcW w:w="0" w:type="dxa"/>
            <w:vAlign w:val="bottom"/>
          </w:tcPr>
          <w:p>
            <w:pPr>
              <w:spacing w:after="0"/>
              <w:rPr>
                <w:sz w:val="1"/>
                <w:szCs w:val="1"/>
                <w:color w:val="auto"/>
              </w:rPr>
            </w:pPr>
          </w:p>
        </w:tc>
      </w:tr>
      <w:tr>
        <w:trPr>
          <w:trHeight w:val="192"/>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94,818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27,820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118,145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64,011</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24,519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(4,128)</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10,374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(7,105)</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49"/>
        </w:trPr>
        <w:tc>
          <w:tcPr>
            <w:tcW w:w="5320" w:type="dxa"/>
            <w:vAlign w:val="bottom"/>
          </w:tcPr>
          <w:p>
            <w:pPr>
              <w:ind w:left="220"/>
              <w:spacing w:after="0" w:line="149" w:lineRule="exact"/>
              <w:rPr>
                <w:sz w:val="20"/>
                <w:szCs w:val="20"/>
                <w:color w:val="auto"/>
              </w:rPr>
            </w:pPr>
            <w:r>
              <w:rPr>
                <w:rFonts w:ascii="Arial" w:cs="Arial" w:eastAsia="Arial" w:hAnsi="Arial"/>
                <w:sz w:val="15"/>
                <w:szCs w:val="15"/>
                <w:color w:val="auto"/>
                <w:w w:val="96"/>
              </w:rPr>
              <w:t>Gain / (loss) on remeasurement of investment in nonconsolidated affiliates (see</w:t>
            </w: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1,132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Note 6)</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expense (see Note 12)</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198"/>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47,877</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Less: Preferred return to preferred OP units / equity</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1,584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5,899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3,154</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Income attributable to 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1,899</w:t>
            </w:r>
          </w:p>
        </w:tc>
        <w:tc>
          <w:tcPr>
            <w:tcW w:w="0" w:type="dxa"/>
            <w:vAlign w:val="bottom"/>
          </w:tcPr>
          <w:p>
            <w:pPr>
              <w:spacing w:after="0"/>
              <w:rPr>
                <w:sz w:val="1"/>
                <w:szCs w:val="1"/>
                <w:color w:val="auto"/>
              </w:rPr>
            </w:pPr>
          </w:p>
        </w:tc>
      </w:tr>
      <w:tr>
        <w:trPr>
          <w:trHeight w:val="200"/>
        </w:trPr>
        <w:tc>
          <w:tcPr>
            <w:tcW w:w="5320" w:type="dxa"/>
            <w:vAlign w:val="bottom"/>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110,770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58,910</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135,552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32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112,082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95,859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110,007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94,134</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95,860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94,525</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earnings per share (see Note 13)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194"/>
        </w:trPr>
        <w:tc>
          <w:tcPr>
            <w:tcW w:w="5320" w:type="dxa"/>
            <w:vAlign w:val="bottom"/>
          </w:tcPr>
          <w:p>
            <w:pPr>
              <w:ind w:left="20"/>
              <w:spacing w:after="0"/>
              <w:rPr>
                <w:sz w:val="20"/>
                <w:szCs w:val="20"/>
                <w:color w:val="auto"/>
              </w:rPr>
            </w:pPr>
            <w:r>
              <w:rPr>
                <w:rFonts w:ascii="Arial" w:cs="Arial" w:eastAsia="Arial" w:hAnsi="Arial"/>
                <w:sz w:val="15"/>
                <w:szCs w:val="15"/>
                <w:color w:val="auto"/>
              </w:rPr>
              <w:t>Diluted earnings per share (see Note 13)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0.98</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0.61</w:t>
            </w:r>
          </w:p>
        </w:tc>
        <w:tc>
          <w:tcPr>
            <w:tcW w:w="20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50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520" w:type="dxa"/>
            <w:vAlign w:val="bottom"/>
            <w:gridSpan w:val="4"/>
          </w:tcPr>
          <w:p>
            <w:pPr>
              <w:ind w:left="580"/>
              <w:spacing w:after="0"/>
              <w:rPr>
                <w:sz w:val="20"/>
                <w:szCs w:val="20"/>
                <w:color w:val="auto"/>
              </w:rPr>
            </w:pPr>
            <w:r>
              <w:rPr>
                <w:rFonts w:ascii="Arial" w:cs="Arial" w:eastAsia="Arial" w:hAnsi="Arial"/>
                <w:sz w:val="15"/>
                <w:szCs w:val="15"/>
                <w:b w:val="1"/>
                <w:bCs w:val="1"/>
                <w:color w:val="auto"/>
              </w:rPr>
              <w:t>Six Months Ended</w:t>
            </w:r>
          </w:p>
        </w:tc>
      </w:tr>
      <w:tr>
        <w:trPr>
          <w:trHeight w:val="198"/>
        </w:trPr>
        <w:tc>
          <w:tcPr>
            <w:tcW w:w="5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4"/>
              </w:rPr>
              <w:t>June 30, 2020</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ind w:left="40"/>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120,849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63,355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148,790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47,877</w:t>
            </w:r>
          </w:p>
        </w:tc>
      </w:tr>
      <w:tr>
        <w:trPr>
          <w:trHeight w:val="198"/>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6"/>
              </w:rPr>
              <w:t>(3,428)</w:t>
            </w:r>
          </w:p>
        </w:tc>
      </w:tr>
      <w:tr>
        <w:trPr>
          <w:trHeight w:val="200"/>
        </w:trPr>
        <w:tc>
          <w:tcPr>
            <w:tcW w:w="5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122,069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44,449</w:t>
            </w:r>
          </w:p>
        </w:tc>
      </w:tr>
      <w:tr>
        <w:trPr>
          <w:trHeight w:val="198"/>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6"/>
              </w:rPr>
              <w:t>(1,615)</w:t>
            </w:r>
          </w:p>
        </w:tc>
      </w:tr>
      <w:tr>
        <w:trPr>
          <w:trHeight w:val="22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 attributable to Sun Communities,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114,969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64,344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143,470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42,834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5"/>
                <w:szCs w:val="15"/>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right"/>
              <w:ind w:right="64"/>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1"/>
                <w:szCs w:val="11"/>
                <w:color w:val="auto"/>
              </w:rPr>
            </w:pPr>
          </w:p>
        </w:tc>
        <w:tc>
          <w:tcPr>
            <w:tcW w:w="8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760" w:type="dxa"/>
            <w:vAlign w:val="bottom"/>
          </w:tcPr>
          <w:p>
            <w:pPr>
              <w:jc w:val="right"/>
              <w:ind w:right="1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264,379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7,087,658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(1,566,636)</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102,052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5,627,328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5,891,707</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522,222</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522,264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522,264</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7,118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7,180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7,180</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855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895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27,647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27,941</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(92,823)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(3,260)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(96,083)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(97,887)</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261,059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7,618,128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(1,631,044)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4,033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99,403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6,091,638</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6,352,697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Issuance of common stock and common OP</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537,557</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537,597</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537,597</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(297)</w:t>
            </w: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7,099</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7,173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7,173</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J preferred OP units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0" w:type="dxa"/>
            <w:vAlign w:val="bottom"/>
          </w:tcPr>
          <w:p>
            <w:pPr>
              <w:spacing w:after="0"/>
              <w:rPr>
                <w:sz w:val="1"/>
                <w:szCs w:val="1"/>
                <w:color w:val="auto"/>
              </w:rPr>
            </w:pPr>
          </w:p>
        </w:tc>
      </w:tr>
      <w:tr>
        <w:trPr>
          <w:trHeight w:val="199"/>
        </w:trPr>
        <w:tc>
          <w:tcPr>
            <w:tcW w:w="300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113,804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118,401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120,849</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(96,188)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(3,143)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(99,331)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(101,288)</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285,603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8,163,095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(1,614,243)</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5,197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100,616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6,655,824</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6,941,427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Distributions in</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1"/>
                <w:szCs w:val="11"/>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1"/>
                <w:szCs w:val="11"/>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5"/>
              </w:rPr>
              <w:t>Excess of</w:t>
            </w: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1140" w:type="dxa"/>
            <w:vAlign w:val="bottom"/>
          </w:tcPr>
          <w:p>
            <w:pPr>
              <w:jc w:val="right"/>
              <w:ind w:right="64"/>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1"/>
                <w:szCs w:val="11"/>
                <w:color w:val="auto"/>
              </w:rPr>
            </w:pPr>
          </w:p>
        </w:tc>
        <w:tc>
          <w:tcPr>
            <w:tcW w:w="8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92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78,004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5,213,264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56,228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3,875,952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3,953,956</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(7,141)</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5,021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Issuance of Series E preferred OP units</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8,819</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4"/>
              </w:rPr>
              <w:t>Remeasurement of notes receivable and equity</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method investment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76,450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5,211,678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3,786,470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3,862,920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Arial" w:cs="Arial" w:eastAsia="Arial" w:hAnsi="Arial"/>
                <w:sz w:val="15"/>
                <w:szCs w:val="15"/>
                <w:color w:val="auto"/>
              </w:rPr>
              <w:t>Issuance of common stock and common OP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628,506</w:t>
            </w:r>
          </w:p>
        </w:tc>
        <w:tc>
          <w:tcPr>
            <w:tcW w:w="12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10,114</w:t>
            </w:r>
          </w:p>
        </w:tc>
        <w:tc>
          <w:tcPr>
            <w:tcW w:w="120" w:type="dxa"/>
            <w:vAlign w:val="bottom"/>
          </w:tcPr>
          <w:p>
            <w:pPr>
              <w:spacing w:after="0"/>
              <w:rPr>
                <w:sz w:val="8"/>
                <w:szCs w:val="8"/>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638,669</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638,669</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F preferred OP units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8,965</w:t>
            </w:r>
          </w:p>
        </w:tc>
        <w:tc>
          <w:tcPr>
            <w:tcW w:w="0" w:type="dxa"/>
            <w:vAlign w:val="bottom"/>
          </w:tcPr>
          <w:p>
            <w:pPr>
              <w:spacing w:after="0"/>
              <w:rPr>
                <w:sz w:val="1"/>
                <w:szCs w:val="1"/>
                <w:color w:val="auto"/>
              </w:rPr>
            </w:pPr>
          </w:p>
        </w:tc>
      </w:tr>
      <w:tr>
        <w:trPr>
          <w:trHeight w:val="149"/>
        </w:trPr>
        <w:tc>
          <w:tcPr>
            <w:tcW w:w="3000" w:type="dxa"/>
            <w:vAlign w:val="bottom"/>
          </w:tcPr>
          <w:p>
            <w:pPr>
              <w:ind w:left="20"/>
              <w:spacing w:after="0" w:line="149" w:lineRule="exact"/>
              <w:rPr>
                <w:sz w:val="20"/>
                <w:szCs w:val="20"/>
                <w:color w:val="auto"/>
              </w:rPr>
            </w:pPr>
            <w:r>
              <w:rPr>
                <w:rFonts w:ascii="Arial" w:cs="Arial" w:eastAsia="Arial" w:hAnsi="Arial"/>
                <w:sz w:val="15"/>
                <w:szCs w:val="15"/>
                <w:color w:val="auto"/>
                <w:w w:val="96"/>
              </w:rPr>
              <w:t>Share-based compensation - amortization and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7,284</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5"/>
                <w:szCs w:val="15"/>
                <w:color w:val="auto"/>
              </w:rPr>
              <w:t>7,376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7,376</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w:t>
            </w:r>
          </w:p>
        </w:tc>
        <w:tc>
          <w:tcPr>
            <w:tcW w:w="0" w:type="dxa"/>
            <w:vAlign w:val="bottom"/>
          </w:tcPr>
          <w:p>
            <w:pPr>
              <w:spacing w:after="0"/>
              <w:rPr>
                <w:sz w:val="1"/>
                <w:szCs w:val="1"/>
                <w:color w:val="auto"/>
              </w:rPr>
            </w:pPr>
          </w:p>
        </w:tc>
      </w:tr>
      <w:tr>
        <w:trPr>
          <w:trHeight w:val="198"/>
        </w:trPr>
        <w:tc>
          <w:tcPr>
            <w:tcW w:w="3000" w:type="dxa"/>
            <w:vAlign w:val="bottom"/>
          </w:tcPr>
          <w:p>
            <w:pPr>
              <w:ind w:left="20"/>
              <w:spacing w:after="0"/>
              <w:rPr>
                <w:sz w:val="20"/>
                <w:szCs w:val="20"/>
                <w:color w:val="auto"/>
              </w:rPr>
            </w:pPr>
            <w:r>
              <w:rPr>
                <w:rFonts w:ascii="Arial" w:cs="Arial" w:eastAsia="Arial" w:hAnsi="Arial"/>
                <w:sz w:val="15"/>
                <w:szCs w:val="15"/>
                <w:color w:val="auto"/>
              </w:rPr>
              <w:t>Net income / (loss)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60,492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3,163</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63,655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63,355</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(77,635)</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(80,606)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(81,098)</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83,982</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5,847,598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(1,496,542)</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4,419,369</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4,503,351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Six Months Ended</w:t>
            </w:r>
          </w:p>
        </w:tc>
      </w:tr>
      <w:tr>
        <w:trPr>
          <w:trHeight w:val="196"/>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470,708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302,027</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(300,430)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(268,708)</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(593,336)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(78,869)</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dispositions of assets and depreciated homes, net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(12,773)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(25,044)</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(11,200)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(23,743)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from nonconsolidated affiliates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2,070</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(865,486)</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(368,116)</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Issuance of common stock, OP units and preferred OP units, net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1,059,861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621,415</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on lines of credit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1,797,612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1,217,289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lines of credit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(2,801,742)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(1,279,468)</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issuance of other debt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598,990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230,000</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other debt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(34,911)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(208,592)</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Fees paid in connection with extinguishment of debt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(6,226)</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(187,795)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(150,422)</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(10,338)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(3,331)</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421,482</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420,665</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26,971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354,384</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34,830</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119,612</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389,214</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Six Months Ended</w:t>
            </w:r>
          </w:p>
        </w:tc>
      </w:tr>
      <w:tr>
        <w:trPr>
          <w:trHeight w:val="196"/>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$2,392 and $4,561 respectively)</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65,822</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2,077</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2,083</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5"/>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7,781</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1,447</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577</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Asset held for sale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5,770</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 at the date of acquisition</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5"/>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10,114</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Series E preferred interest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6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9,000</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F preferred interest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r>
      <w:tr>
        <w:trPr>
          <w:trHeight w:val="199"/>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Series J preferred interest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24,000</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Contingent consideration liability</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Sun Home Services, Inc. ("SHS") and Safe Harbor Marinas, LLC ("Safe Harbor") are referred to herein as the "Company," "us," "we," and "our."</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2021, we changed our organizational structure from a two-segment to a three-segment structure as a result of the recent acquisition of Safe Harbor and its internal organization. The new structure reflects how the chief operating decision maker manages the business, makes operating decisions, allocates resources and evaluates operating performance. Beginning with the three months ended March 31, 2021, we report our financial results consistent with our newly realigned operating segments. All prior period amounts are recast to conform to the way we internally manage our business and monitor segment performance. Certain reclassifications have been made to the prior period financial statements and related notes in order to conform to the current period presentation. The most significant changes were the combining of rental home revenue with real property revenue, the combining of rental home operating and maintenance expenses with property operating expenses, and the combining of home selling expenses with cost of home sales. Vacation rental home rent has been reclassified from ancillary income into real property. In addition, ancillary revenues and expenses have been renamed service, retail, dining &amp; entertainment. There was no impact to prior period net income, stockholders equity or cash flows for any of the reclassifications.</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2020 as filed with the SEC on February 18, 2021 (our "2020 Annual Report"). These statements have been prepared on a basis that is substantially consistent with the accounting principles applied in our 2020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three reportable segments are: (i) Manufactured home ("MH") communities, (ii) Recreational vehicle ("RV") resorts and (iii) Marinas.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revenue by major source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380"/>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780" w:type="dxa"/>
            <w:vAlign w:val="bottom"/>
          </w:tcPr>
          <w:p>
            <w:pPr>
              <w:ind w:left="280"/>
              <w:spacing w:after="0"/>
              <w:rPr>
                <w:sz w:val="20"/>
                <w:szCs w:val="20"/>
                <w:color w:val="auto"/>
              </w:rPr>
            </w:pPr>
            <w:r>
              <w:rPr>
                <w:rFonts w:ascii="Arial" w:cs="Arial" w:eastAsia="Arial" w:hAnsi="Arial"/>
                <w:sz w:val="15"/>
                <w:szCs w:val="15"/>
                <w:b w:val="1"/>
                <w:bCs w:val="1"/>
                <w:color w:val="auto"/>
                <w:w w:val="99"/>
              </w:rPr>
              <w:t>Marina</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2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199,948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73,494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405,905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69,414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251,127</w:t>
            </w: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69,922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11,926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81,848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35,074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3,456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38,530</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Service, retail, dining</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22,364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82,238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106,452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6,626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7,700</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entertainment</w:t>
            </w: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2,084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621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2,635</w:t>
            </w:r>
          </w:p>
        </w:tc>
        <w:tc>
          <w:tcPr>
            <w:tcW w:w="0" w:type="dxa"/>
            <w:vAlign w:val="bottom"/>
          </w:tcPr>
          <w:p>
            <w:pPr>
              <w:spacing w:after="0"/>
              <w:rPr>
                <w:sz w:val="1"/>
                <w:szCs w:val="1"/>
                <w:color w:val="auto"/>
              </w:rPr>
            </w:pPr>
          </w:p>
        </w:tc>
      </w:tr>
      <w:tr>
        <w:trPr>
          <w:trHeight w:val="153"/>
        </w:trPr>
        <w:tc>
          <w:tcPr>
            <w:tcW w:w="18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8"/>
              </w:rPr>
              <w:t>Brokerage commissions</w:t>
            </w: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3,338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3,600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1,669</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N/A</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3,274</w:t>
            </w: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277,142</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170,974</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155,747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603,863</w:t>
            </w:r>
          </w:p>
        </w:tc>
        <w:tc>
          <w:tcPr>
            <w:tcW w:w="2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221,606</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81,660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303,266</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b w:val="1"/>
                <w:bCs w:val="1"/>
                <w:color w:val="auto"/>
              </w:rPr>
              <w:t>Six Months Ended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380"/>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0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760" w:type="dxa"/>
            <w:vAlign w:val="bottom"/>
          </w:tcPr>
          <w:p>
            <w:pPr>
              <w:ind w:left="280"/>
              <w:spacing w:after="0"/>
              <w:rPr>
                <w:sz w:val="20"/>
                <w:szCs w:val="20"/>
                <w:color w:val="auto"/>
              </w:rPr>
            </w:pPr>
            <w:r>
              <w:rPr>
                <w:rFonts w:ascii="Arial" w:cs="Arial" w:eastAsia="Arial" w:hAnsi="Arial"/>
                <w:sz w:val="15"/>
                <w:szCs w:val="15"/>
                <w:b w:val="1"/>
                <w:bCs w:val="1"/>
                <w:color w:val="auto"/>
                <w:w w:val="95"/>
              </w:rPr>
              <w:t>Marina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213,068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124,728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736,518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365,039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144,437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509,476</w:t>
            </w: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115,254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18,793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134,047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70,857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8,260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79,117</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Service, retail, dining and</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3,714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26,758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126,592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157,064</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9,677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12,803</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entertainment</w:t>
            </w: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4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1,158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847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9"/>
              </w:rPr>
              <w:t>Brokerage commissions</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6,151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6,202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12,899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3,457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N/A</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528,011</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265,979</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251,888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1,045,878</w:t>
            </w:r>
          </w:p>
        </w:tc>
        <w:tc>
          <w:tcPr>
            <w:tcW w:w="2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446,890</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166,678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613,568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Recast to reflect segment changes.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is derived from site and home leases, and wet slip and dry storage space leases that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We account for all revenue from contracts with customers following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except for those that are within the scope of other topics in the FASB ASC. For additional information, refer to Note 1, "Significant Accounting Policies," in our 2020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acquired the following communities,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vMerge w:val="restart"/>
          </w:tcPr>
          <w:p>
            <w:pPr>
              <w:ind w:left="94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vMerge w:val="restart"/>
          </w:tcPr>
          <w:p>
            <w:pPr>
              <w:spacing w:after="0"/>
              <w:rPr>
                <w:sz w:val="14"/>
                <w:szCs w:val="14"/>
                <w:color w:val="auto"/>
              </w:rPr>
            </w:pPr>
          </w:p>
        </w:tc>
        <w:tc>
          <w:tcPr>
            <w:tcW w:w="1920" w:type="dxa"/>
            <w:vAlign w:val="bottom"/>
            <w:vMerge w:val="restart"/>
          </w:tcPr>
          <w:p>
            <w:pPr>
              <w:ind w:left="80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4"/>
                <w:szCs w:val="14"/>
                <w:color w:val="auto"/>
              </w:rPr>
            </w:pPr>
          </w:p>
        </w:tc>
        <w:tc>
          <w:tcPr>
            <w:tcW w:w="2540" w:type="dxa"/>
            <w:vAlign w:val="bottom"/>
          </w:tcPr>
          <w:p>
            <w:pPr>
              <w:jc w:val="right"/>
              <w:ind w:right="564"/>
              <w:spacing w:after="0"/>
              <w:rPr>
                <w:sz w:val="20"/>
                <w:szCs w:val="20"/>
                <w:color w:val="auto"/>
              </w:rPr>
            </w:pPr>
            <w:r>
              <w:rPr>
                <w:rFonts w:ascii="Arial" w:cs="Arial" w:eastAsia="Arial" w:hAnsi="Arial"/>
                <w:sz w:val="15"/>
                <w:szCs w:val="15"/>
                <w:b w:val="1"/>
                <w:bCs w:val="1"/>
                <w:color w:val="auto"/>
              </w:rPr>
              <w:t>Sites, Wet Slips and</w:t>
            </w:r>
          </w:p>
        </w:tc>
        <w:tc>
          <w:tcPr>
            <w:tcW w:w="100" w:type="dxa"/>
            <w:vAlign w:val="bottom"/>
          </w:tcPr>
          <w:p>
            <w:pPr>
              <w:spacing w:after="0"/>
              <w:rPr>
                <w:sz w:val="14"/>
                <w:szCs w:val="14"/>
                <w:color w:val="auto"/>
              </w:rPr>
            </w:pPr>
          </w:p>
        </w:tc>
        <w:tc>
          <w:tcPr>
            <w:tcW w:w="16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State / Province</w:t>
            </w:r>
          </w:p>
        </w:tc>
        <w:tc>
          <w:tcPr>
            <w:tcW w:w="100" w:type="dxa"/>
            <w:vAlign w:val="bottom"/>
            <w:vMerge w:val="restart"/>
          </w:tcPr>
          <w:p>
            <w:pPr>
              <w:spacing w:after="0"/>
              <w:rPr>
                <w:sz w:val="14"/>
                <w:szCs w:val="14"/>
                <w:color w:val="auto"/>
              </w:rPr>
            </w:pPr>
          </w:p>
        </w:tc>
        <w:tc>
          <w:tcPr>
            <w:tcW w:w="164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3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5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Dry Storage Spaces</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Sun Outdoors Association Island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Blue Water Beach Resort</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64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Tranquility MHC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2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Islamorada and Angler House</w:t>
            </w:r>
            <w:r>
              <w:rPr>
                <w:rFonts w:ascii="Arial" w:cs="Arial" w:eastAsia="Arial" w:hAnsi="Arial"/>
                <w:sz w:val="19"/>
                <w:szCs w:val="19"/>
                <w:color w:val="auto"/>
                <w:vertAlign w:val="superscript"/>
              </w:rPr>
              <w:t>(1)</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64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Prime Martha's Vineyard</w:t>
            </w:r>
            <w:r>
              <w:rPr>
                <w:rFonts w:ascii="Arial" w:cs="Arial" w:eastAsia="Arial" w:hAnsi="Arial"/>
                <w:sz w:val="19"/>
                <w:szCs w:val="19"/>
                <w:color w:val="auto"/>
                <w:vertAlign w:val="superscript"/>
              </w:rPr>
              <w:t>(1)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Pleasant Beach Campground</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ON, Canada</w:t>
            </w:r>
          </w:p>
        </w:tc>
        <w:tc>
          <w:tcPr>
            <w:tcW w:w="164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Cherrystone Family Camping Resort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Beachwood Resort</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64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ThemeWorld RV Resort</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203"/>
        </w:trPr>
        <w:tc>
          <w:tcPr>
            <w:tcW w:w="32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Sylvan Glen Estates</w:t>
            </w:r>
            <w:r>
              <w:rPr>
                <w:rFonts w:ascii="Arial" w:cs="Arial" w:eastAsia="Arial" w:hAnsi="Arial"/>
                <w:sz w:val="19"/>
                <w:szCs w:val="19"/>
                <w:color w:val="auto"/>
                <w:vertAlign w:val="superscript"/>
              </w:rPr>
              <w:t>(2)</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476</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640" w:type="dxa"/>
            <w:vAlign w:val="bottom"/>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Shelter Island Boatyard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Lauderdale Marine Center</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640" w:type="dxa"/>
            <w:vAlign w:val="bottom"/>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Apponaug Harbor</w:t>
            </w:r>
            <w:r>
              <w:rPr>
                <w:rFonts w:ascii="Arial" w:cs="Arial" w:eastAsia="Arial" w:hAnsi="Arial"/>
                <w:sz w:val="19"/>
                <w:szCs w:val="19"/>
                <w:color w:val="auto"/>
                <w:vertAlign w:val="superscript"/>
              </w:rPr>
              <w:t>(3)</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3"/>
        </w:trPr>
        <w:tc>
          <w:tcPr>
            <w:tcW w:w="32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Cabrillo Isle</w:t>
            </w:r>
            <w:r>
              <w:rPr>
                <w:rFonts w:ascii="Arial" w:cs="Arial" w:eastAsia="Arial" w:hAnsi="Arial"/>
                <w:sz w:val="19"/>
                <w:szCs w:val="19"/>
                <w:color w:val="auto"/>
                <w:vertAlign w:val="superscript"/>
              </w:rPr>
              <w:t>(4)</w:t>
            </w:r>
          </w:p>
        </w:tc>
        <w:tc>
          <w:tcPr>
            <w:tcW w:w="2020" w:type="dxa"/>
            <w:vAlign w:val="bottom"/>
            <w:gridSpan w:val="2"/>
          </w:tcPr>
          <w:p>
            <w:pPr>
              <w:ind w:left="20"/>
              <w:spacing w:after="0"/>
              <w:rPr>
                <w:sz w:val="20"/>
                <w:szCs w:val="20"/>
                <w:color w:val="auto"/>
              </w:rPr>
            </w:pPr>
            <w:r>
              <w:rPr>
                <w:rFonts w:ascii="Arial" w:cs="Arial" w:eastAsia="Arial" w:hAnsi="Arial"/>
                <w:sz w:val="15"/>
                <w:szCs w:val="15"/>
                <w:color w:val="auto"/>
                <w:w w:val="99"/>
              </w:rPr>
              <w:t>Marina: business combination</w:t>
            </w:r>
          </w:p>
        </w:tc>
        <w:tc>
          <w:tcPr>
            <w:tcW w:w="2540" w:type="dxa"/>
            <w:vAlign w:val="bottom"/>
          </w:tcPr>
          <w:p>
            <w:pPr>
              <w:jc w:val="right"/>
              <w:spacing w:after="0"/>
              <w:rPr>
                <w:sz w:val="20"/>
                <w:szCs w:val="20"/>
                <w:color w:val="auto"/>
              </w:rPr>
            </w:pPr>
            <w:r>
              <w:rPr>
                <w:rFonts w:ascii="Arial" w:cs="Arial" w:eastAsia="Arial" w:hAnsi="Arial"/>
                <w:sz w:val="15"/>
                <w:szCs w:val="15"/>
                <w:color w:val="auto"/>
              </w:rPr>
              <w:t>483</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64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Marathon Marina</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4,469</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 conjunction with the acquisition, we issued 240,000 Series J preferred OP units. As of June 30, 2021, 240,000 Series J preferred OP units were outstanding.</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Combined with an existing adjacent marina.</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Acquired in connection with Safe Harbor Marinas acquisition. Transfer of the marinas was contingent on receiving third party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 of assets acquired, net of liabilities assumed at the acquisition date and the consideration paid for the MH community, RV resort and marina acquisitions completed during the six months ended June 30,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w w:val="96"/>
              </w:rPr>
              <w:t>At Acquisition Date</w:t>
            </w: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9"/>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2"/>
              </w:rPr>
              <w:t>Total identifiable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3"/>
              </w:rPr>
              <w:t>manufactured</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9"/>
              </w:rPr>
              <w:t>In-place leases,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5"/>
                <w:szCs w:val="15"/>
                <w:color w:val="auto"/>
              </w:rPr>
              <w:t>Temporary and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8"/>
              </w:rPr>
              <w:t>homes, boat parts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5"/>
                <w:szCs w:val="15"/>
                <w:color w:val="auto"/>
                <w:w w:val="87"/>
              </w:rPr>
              <w:t>Other assets /</w:t>
            </w: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7"/>
              </w:rPr>
              <w:t>Cash and</w:t>
            </w: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3"/>
              </w:rPr>
              <w:t>and retail</w:t>
            </w:r>
          </w:p>
        </w:tc>
        <w:tc>
          <w:tcPr>
            <w:tcW w:w="1320" w:type="dxa"/>
            <w:vAlign w:val="bottom"/>
            <w:gridSpan w:val="3"/>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related items</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color w:val="auto"/>
                <w:w w:val="89"/>
              </w:rPr>
              <w:t>intangible assets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w w:val="98"/>
              </w:rPr>
              <w:t>(liabilities), net</w:t>
            </w:r>
          </w:p>
        </w:tc>
        <w:tc>
          <w:tcPr>
            <w:tcW w:w="18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assumed</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escrow</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color w:val="auto"/>
                <w:w w:val="99"/>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5"/>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5"/>
                <w:szCs w:val="15"/>
                <w:color w:val="auto"/>
                <w:w w:val="95"/>
              </w:rPr>
              <w:t>Sun Outdoors Association</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14,965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12"/>
                <w:szCs w:val="12"/>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14,758</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Island</w:t>
            </w: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Blue Water Beach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8,849</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Tranquility MHC</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Islamorada and Angler</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18,001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17,975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House</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Arial" w:cs="Arial" w:eastAsia="Arial" w:hAnsi="Arial"/>
                <w:sz w:val="15"/>
                <w:szCs w:val="15"/>
                <w:color w:val="auto"/>
                <w:w w:val="92"/>
              </w:rPr>
              <w:t>Prime Martha's Vineyard</w:t>
            </w:r>
            <w:r>
              <w:rPr>
                <w:rFonts w:ascii="Arial" w:cs="Arial" w:eastAsia="Arial" w:hAnsi="Arial"/>
                <w:sz w:val="19"/>
                <w:szCs w:val="19"/>
                <w:color w:val="auto"/>
                <w:w w:val="92"/>
                <w:vertAlign w:val="superscript"/>
              </w:rPr>
              <w:t>(1)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22,258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21,950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21,950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21,950</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Pleasant Beach</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Campground</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5"/>
                <w:szCs w:val="15"/>
                <w:color w:val="auto"/>
              </w:rPr>
              <w:t>Cherrystone Family</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59,669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(2,029)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57,871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Camping Resort</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Beachwood Resort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6,599</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ThemeWorld RV Resort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24,896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24,896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24,896</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Sylvan Glen Estates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23,751</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Shelter Island Boatyard</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9,969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9,969</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Lauderdale Marine Center</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341,232</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Arial" w:cs="Arial" w:eastAsia="Arial" w:hAnsi="Arial"/>
                <w:sz w:val="15"/>
                <w:szCs w:val="15"/>
                <w:color w:val="auto"/>
              </w:rPr>
              <w:t>Apponaug Harbor</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5,940</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Marathon Marina</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19,182</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Arial" w:cs="Arial" w:eastAsia="Arial" w:hAnsi="Arial"/>
                <w:sz w:val="15"/>
                <w:szCs w:val="15"/>
                <w:b w:val="1"/>
                <w:bCs w:val="1"/>
                <w:color w:val="auto"/>
                <w:w w:val="93"/>
              </w:rPr>
              <w:t>Business Combination</w:t>
            </w:r>
            <w:r>
              <w:rPr>
                <w:rFonts w:ascii="Arial" w:cs="Arial" w:eastAsia="Arial" w:hAnsi="Arial"/>
                <w:sz w:val="19"/>
                <w:szCs w:val="19"/>
                <w:color w:val="auto"/>
                <w:w w:val="93"/>
                <w:vertAlign w:val="superscript"/>
              </w:rPr>
              <w:t>(2)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Cabrillo Isle</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47,017</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598,975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15,574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(12,053)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602,827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578,827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24,000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602,827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have incurred and capitalized $5.6 million of transaction costs which have been capitalized and allocated among the various fixed asset categories for purchases that meet the asset acquisition criteria. As of June 30, 2021, we also incurred $1.0 million of business combination expenses which are expensed for purchases deemed to be business combinations.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unaudited pro forma financial information presents the results of our operations for the three and six months ended June 30, 2021 and 2020, as if the properties combined in 2021 had been acquired on January 1, 2020. The unaudited pro forma results reflect certain adjustments for items that are not expected to have a continuing impact, such as adjustments for transaction costs incurred, management fees and purchase accounting.</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2020 (in thousands, except per-share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60" w:type="dxa"/>
            <w:vAlign w:val="bottom"/>
            <w:gridSpan w:val="4"/>
          </w:tcPr>
          <w:p>
            <w:pPr>
              <w:jc w:val="right"/>
              <w:ind w:right="72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6"/>
              </w:rPr>
              <w:t>June 30, 2020</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4"/>
              </w:rPr>
              <w:t>June 30, 2020</w:t>
            </w:r>
          </w:p>
        </w:tc>
        <w:tc>
          <w:tcPr>
            <w:tcW w:w="0" w:type="dxa"/>
            <w:vAlign w:val="bottom"/>
          </w:tcPr>
          <w:p>
            <w:pPr>
              <w:spacing w:after="0"/>
              <w:rPr>
                <w:sz w:val="1"/>
                <w:szCs w:val="1"/>
                <w:color w:val="auto"/>
              </w:rPr>
            </w:pPr>
          </w:p>
        </w:tc>
      </w:tr>
      <w:tr>
        <w:trPr>
          <w:trHeight w:val="198"/>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605,163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304,552</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1,048,426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616,121</w:t>
            </w:r>
          </w:p>
        </w:tc>
        <w:tc>
          <w:tcPr>
            <w:tcW w:w="0" w:type="dxa"/>
            <w:vAlign w:val="bottom"/>
          </w:tcPr>
          <w:p>
            <w:pPr>
              <w:spacing w:after="0"/>
              <w:rPr>
                <w:sz w:val="1"/>
                <w:szCs w:val="1"/>
                <w:color w:val="auto"/>
              </w:rPr>
            </w:pPr>
          </w:p>
        </w:tc>
      </w:tr>
      <w:tr>
        <w:trPr>
          <w:trHeight w:val="198"/>
        </w:trPr>
        <w:tc>
          <w:tcPr>
            <w:tcW w:w="538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111,075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59,421</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136,258</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43,782</w:t>
            </w:r>
          </w:p>
        </w:tc>
        <w:tc>
          <w:tcPr>
            <w:tcW w:w="0" w:type="dxa"/>
            <w:vAlign w:val="bottom"/>
          </w:tcPr>
          <w:p>
            <w:pPr>
              <w:spacing w:after="0"/>
              <w:rPr>
                <w:sz w:val="1"/>
                <w:szCs w:val="1"/>
                <w:color w:val="auto"/>
              </w:rPr>
            </w:pPr>
          </w:p>
        </w:tc>
      </w:tr>
      <w:tr>
        <w:trPr>
          <w:trHeight w:val="153"/>
        </w:trPr>
        <w:tc>
          <w:tcPr>
            <w:tcW w:w="5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Net income per share attributable to Sun Communities, Inc. common stockholders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0.99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2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16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20"/>
              <w:spacing w:after="0" w:line="149" w:lineRule="exact"/>
              <w:rPr>
                <w:sz w:val="20"/>
                <w:szCs w:val="20"/>
                <w:color w:val="auto"/>
              </w:rPr>
            </w:pPr>
            <w:r>
              <w:rPr>
                <w:rFonts w:ascii="Arial" w:cs="Arial" w:eastAsia="Arial" w:hAnsi="Arial"/>
                <w:sz w:val="15"/>
                <w:szCs w:val="15"/>
                <w:color w:val="auto"/>
                <w:w w:val="96"/>
              </w:rPr>
              <w:t>Net income per share attributable to Sun Communities, Inc. common stockholders -</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ind w:right="4"/>
              <w:spacing w:after="0"/>
              <w:rPr>
                <w:sz w:val="20"/>
                <w:szCs w:val="20"/>
                <w:color w:val="auto"/>
              </w:rPr>
            </w:pPr>
            <w:r>
              <w:rPr>
                <w:rFonts w:ascii="Arial" w:cs="Arial" w:eastAsia="Arial" w:hAnsi="Arial"/>
                <w:sz w:val="15"/>
                <w:szCs w:val="15"/>
                <w:color w:val="auto"/>
              </w:rPr>
              <w:t>0.99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0.62</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2"/>
                <w:szCs w:val="12"/>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194"/>
        </w:trPr>
        <w:tc>
          <w:tcPr>
            <w:tcW w:w="5380" w:type="dxa"/>
            <w:vAlign w:val="bottom"/>
          </w:tcPr>
          <w:p>
            <w:pPr>
              <w:ind w:left="20"/>
              <w:spacing w:after="0"/>
              <w:rPr>
                <w:sz w:val="20"/>
                <w:szCs w:val="20"/>
                <w:color w:val="auto"/>
              </w:rPr>
            </w:pPr>
            <w:r>
              <w:rPr>
                <w:rFonts w:ascii="Arial" w:cs="Arial" w:eastAsia="Arial" w:hAnsi="Arial"/>
                <w:sz w:val="15"/>
                <w:szCs w:val="15"/>
                <w:color w:val="auto"/>
              </w:rPr>
              <w:t>diluted</w:t>
            </w:r>
          </w:p>
        </w:tc>
        <w:tc>
          <w:tcPr>
            <w:tcW w:w="1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Held-For-Sale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periodically classify real estate assets as "held-for-sale." An asset is classified as held-for-sale after an active program to sell an asset has commenced and when the sale is probable. Within "Other Assets, net" on the Consolidated Balance Sheets is approximately $14.9 million of real estate held-for-sale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"Subsequent Events," for information regarding real estate acquisitions and dispositions completed after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we acquired the following communities,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vMerge w:val="restart"/>
          </w:tcPr>
          <w:p>
            <w:pPr>
              <w:spacing w:after="0"/>
              <w:rPr>
                <w:sz w:val="14"/>
                <w:szCs w:val="14"/>
                <w:color w:val="auto"/>
              </w:rPr>
            </w:pPr>
          </w:p>
        </w:tc>
        <w:tc>
          <w:tcPr>
            <w:tcW w:w="2300" w:type="dxa"/>
            <w:vAlign w:val="bottom"/>
            <w:vMerge w:val="restart"/>
          </w:tcPr>
          <w:p>
            <w:pPr>
              <w:ind w:left="98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Sites, Wet Slips and</w:t>
            </w:r>
          </w:p>
        </w:tc>
        <w:tc>
          <w:tcPr>
            <w:tcW w:w="15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Pr>
          <w:p>
            <w:pPr>
              <w:spacing w:after="0"/>
              <w:rPr>
                <w:sz w:val="14"/>
                <w:szCs w:val="14"/>
                <w:color w:val="auto"/>
              </w:rPr>
            </w:pPr>
          </w:p>
        </w:tc>
        <w:tc>
          <w:tcPr>
            <w:tcW w:w="100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State</w:t>
            </w:r>
          </w:p>
        </w:tc>
        <w:tc>
          <w:tcPr>
            <w:tcW w:w="120" w:type="dxa"/>
            <w:vAlign w:val="bottom"/>
            <w:vMerge w:val="restart"/>
          </w:tcPr>
          <w:p>
            <w:pPr>
              <w:spacing w:after="0"/>
              <w:rPr>
                <w:sz w:val="14"/>
                <w:szCs w:val="14"/>
                <w:color w:val="auto"/>
              </w:rPr>
            </w:pPr>
          </w:p>
        </w:tc>
        <w:tc>
          <w:tcPr>
            <w:tcW w:w="15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2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Cape Cod</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Natural Bridge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56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Forest Springs</w:t>
            </w:r>
            <w:r>
              <w:rPr>
                <w:rFonts w:ascii="Arial" w:cs="Arial" w:eastAsia="Arial" w:hAnsi="Arial"/>
                <w:sz w:val="19"/>
                <w:szCs w:val="19"/>
                <w:color w:val="auto"/>
                <w:vertAlign w:val="superscript"/>
              </w:rPr>
              <w:t>(2)</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Crown Villa</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156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Flamingo Lake</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Woodsmoke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300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Lone Star</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El Capitan &amp; Ocean Mesa</w:t>
            </w:r>
            <w:r>
              <w:rPr>
                <w:rFonts w:ascii="Arial" w:cs="Arial" w:eastAsia="Arial" w:hAnsi="Arial"/>
                <w:sz w:val="19"/>
                <w:szCs w:val="19"/>
                <w:color w:val="auto"/>
                <w:vertAlign w:val="superscript"/>
              </w:rPr>
              <w:t>(3)(4)</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Highland Green Estates &amp; Troy Villa</w:t>
            </w:r>
            <w:r>
              <w:rPr>
                <w:rFonts w:ascii="Arial" w:cs="Arial" w:eastAsia="Arial" w:hAnsi="Arial"/>
                <w:sz w:val="19"/>
                <w:szCs w:val="19"/>
                <w:color w:val="auto"/>
                <w:vertAlign w:val="superscript"/>
              </w:rPr>
              <w:t>(5)</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 Marinas</w:t>
            </w:r>
            <w:r>
              <w:rPr>
                <w:rFonts w:ascii="Arial" w:cs="Arial" w:eastAsia="Arial" w:hAnsi="Arial"/>
                <w:sz w:val="19"/>
                <w:szCs w:val="19"/>
                <w:color w:val="auto"/>
                <w:vertAlign w:val="superscript"/>
              </w:rPr>
              <w:t>(6)</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37,305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Various</w:t>
            </w:r>
          </w:p>
        </w:tc>
        <w:tc>
          <w:tcPr>
            <w:tcW w:w="1560" w:type="dxa"/>
            <w:vAlign w:val="bottom"/>
          </w:tcPr>
          <w:p>
            <w:pPr>
              <w:ind w:left="20"/>
              <w:spacing w:after="0"/>
              <w:rPr>
                <w:sz w:val="20"/>
                <w:szCs w:val="20"/>
                <w:color w:val="auto"/>
              </w:rPr>
            </w:pPr>
            <w:r>
              <w:rPr>
                <w:rFonts w:ascii="Arial" w:cs="Arial" w:eastAsia="Arial" w:hAnsi="Arial"/>
                <w:sz w:val="15"/>
                <w:szCs w:val="15"/>
                <w:color w:val="auto"/>
              </w:rPr>
              <w:t>October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Safe Harbor Hideaway Bay</w:t>
            </w:r>
            <w:r>
              <w:rPr>
                <w:rFonts w:ascii="Arial" w:cs="Arial" w:eastAsia="Arial" w:hAnsi="Arial"/>
                <w:sz w:val="19"/>
                <w:szCs w:val="19"/>
                <w:color w:val="auto"/>
                <w:vertAlign w:val="superscript"/>
              </w:rPr>
              <w:t>(7)</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Gig Harbor</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560" w:type="dxa"/>
            <w:vAlign w:val="bottom"/>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7"/>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Maine MH Portfolio</w:t>
            </w:r>
            <w:r>
              <w:rPr>
                <w:rFonts w:ascii="Arial" w:cs="Arial" w:eastAsia="Arial" w:hAnsi="Arial"/>
                <w:sz w:val="19"/>
                <w:szCs w:val="19"/>
                <w:color w:val="auto"/>
                <w:vertAlign w:val="superscript"/>
              </w:rPr>
              <w:t>(8)</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3"/>
        </w:trPr>
        <w:tc>
          <w:tcPr>
            <w:tcW w:w="29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Safe Harbor Anacapa Isle</w:t>
            </w:r>
            <w:r>
              <w:rPr>
                <w:rFonts w:ascii="Arial" w:cs="Arial" w:eastAsia="Arial" w:hAnsi="Arial"/>
                <w:sz w:val="19"/>
                <w:szCs w:val="19"/>
                <w:color w:val="auto"/>
                <w:vertAlign w:val="superscript"/>
              </w:rPr>
              <w:t>(7)</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Wickford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RI</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(9)</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Rockland</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acquisitions</w:t>
            </w:r>
          </w:p>
        </w:tc>
        <w:tc>
          <w:tcPr>
            <w:tcW w:w="1440" w:type="dxa"/>
            <w:vAlign w:val="bottom"/>
          </w:tcPr>
          <w:p>
            <w:pPr>
              <w:jc w:val="right"/>
              <w:ind w:right="5"/>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ME</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Mouse Mountain</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Lakeview Mobile Estates</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Shenandoah Acres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9"/>
        </w:trPr>
        <w:tc>
          <w:tcPr>
            <w:tcW w:w="2940" w:type="dxa"/>
            <w:vAlign w:val="bottom"/>
            <w:gridSpan w:val="2"/>
          </w:tcPr>
          <w:p>
            <w:pPr>
              <w:ind w:left="20"/>
              <w:spacing w:after="0"/>
              <w:rPr>
                <w:sz w:val="20"/>
                <w:szCs w:val="20"/>
                <w:color w:val="auto"/>
              </w:rPr>
            </w:pPr>
            <w:r>
              <w:rPr>
                <w:rFonts w:ascii="Arial" w:cs="Arial" w:eastAsia="Arial" w:hAnsi="Arial"/>
                <w:sz w:val="15"/>
                <w:szCs w:val="15"/>
                <w:color w:val="auto"/>
              </w:rPr>
              <w:t>Jellystone at Barton Lake</w:t>
            </w:r>
          </w:p>
        </w:tc>
        <w:tc>
          <w:tcPr>
            <w:tcW w:w="240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555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w:t>
            </w:r>
          </w:p>
        </w:tc>
        <w:tc>
          <w:tcPr>
            <w:tcW w:w="156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Kittatinny Portfolio</w:t>
            </w:r>
            <w:r>
              <w:rPr>
                <w:rFonts w:ascii="Arial" w:cs="Arial" w:eastAsia="Arial" w:hAnsi="Arial"/>
                <w:sz w:val="19"/>
                <w:szCs w:val="19"/>
                <w:color w:val="auto"/>
                <w:vertAlign w:val="superscript"/>
              </w:rPr>
              <w:t>(4)</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527</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 &amp; PA</w:t>
            </w:r>
          </w:p>
        </w:tc>
        <w:tc>
          <w:tcPr>
            <w:tcW w:w="1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45,800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 conjunction with the acquisition, we issued Series E preferred OP units. As of December 31, 2020, 90,000 Series E preferred OP units were outstanding.</w:t>
      </w:r>
    </w:p>
    <w:p>
      <w:pPr>
        <w:spacing w:after="0" w:line="45" w:lineRule="exact"/>
        <w:rPr>
          <w:rFonts w:ascii="Arial" w:cs="Arial" w:eastAsia="Arial" w:hAnsi="Arial"/>
          <w:sz w:val="16"/>
          <w:szCs w:val="16"/>
          <w:color w:val="auto"/>
          <w:vertAlign w:val="superscript"/>
        </w:rPr>
      </w:pPr>
    </w:p>
    <w:p>
      <w:pPr>
        <w:ind w:left="180" w:hanging="172"/>
        <w:spacing w:after="0" w:line="231" w:lineRule="auto"/>
        <w:tabs>
          <w:tab w:leader="none" w:pos="15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 conjunction with the acquisition, we issued Series F preferred OP units and common OP units. As of December 31, 2020, 90,000 Series F preferred OP units, specific to this acquisition, were outstanding.</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acquisition, we issued Series G preferred OP units. As of December 31, 2020, 240,710 Series G preferred OP units were outstanding.</w:t>
      </w:r>
    </w:p>
    <w:p>
      <w:pPr>
        <w:spacing w:after="0" w:line="36" w:lineRule="exact"/>
        <w:rPr>
          <w:rFonts w:ascii="Arial" w:cs="Arial" w:eastAsia="Arial" w:hAnsi="Arial"/>
          <w:sz w:val="18"/>
          <w:szCs w:val="18"/>
          <w:color w:val="auto"/>
          <w:vertAlign w:val="superscript"/>
        </w:rPr>
      </w:pPr>
    </w:p>
    <w:p>
      <w:pPr>
        <w:ind w:left="160" w:hanging="152"/>
        <w:spacing w:after="0" w:line="20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two RV resorts.</w:t>
      </w:r>
    </w:p>
    <w:p>
      <w:pPr>
        <w:spacing w:after="0" w:line="46"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two communities.</w:t>
      </w:r>
    </w:p>
    <w:p>
      <w:pPr>
        <w:spacing w:after="0" w:line="45" w:lineRule="exact"/>
        <w:rPr>
          <w:rFonts w:ascii="Arial" w:cs="Arial" w:eastAsia="Arial" w:hAnsi="Arial"/>
          <w:sz w:val="16"/>
          <w:szCs w:val="16"/>
          <w:color w:val="auto"/>
          <w:vertAlign w:val="superscript"/>
        </w:rPr>
      </w:pPr>
    </w:p>
    <w:p>
      <w:pPr>
        <w:ind w:left="180" w:right="20" w:hanging="172"/>
        <w:spacing w:after="0" w:line="231" w:lineRule="auto"/>
        <w:tabs>
          <w:tab w:leader="none" w:pos="15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Includes 99 owned marinas located in 22 states. In conjunction with the acquisition, we issued Series H preferred OP units. As of December 31, 2020, 581,407 Series H preferred OP units were outstanding.</w:t>
      </w:r>
    </w:p>
    <w:p>
      <w:pPr>
        <w:spacing w:after="0" w:line="32"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Acquired in connection with Safe Harbor Marinas acquisition. Transfer of marinas was contingent on receiving third party consents.</w:t>
      </w:r>
    </w:p>
    <w:p>
      <w:pPr>
        <w:spacing w:after="0" w:line="45" w:lineRule="exact"/>
        <w:rPr>
          <w:rFonts w:ascii="Arial" w:cs="Arial" w:eastAsia="Arial" w:hAnsi="Arial"/>
          <w:sz w:val="16"/>
          <w:szCs w:val="16"/>
          <w:color w:val="auto"/>
          <w:vertAlign w:val="superscript"/>
        </w:rPr>
      </w:pPr>
    </w:p>
    <w:p>
      <w:pPr>
        <w:ind w:left="160" w:hanging="152"/>
        <w:spacing w:after="0" w:line="19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six communities.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two marinas. In conjunction with the acquisition, we issued Series I preferred OP units. As of December 31, 2020, 922,000 Series I preferred OP units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5"/>
                <w:szCs w:val="15"/>
                <w:b w:val="1"/>
                <w:bCs w:val="1"/>
                <w:color w:val="auto"/>
              </w:rPr>
              <w:t>At Acquisition Date</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6"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rPr>
              <w:t>Goodwill,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
              <w:spacing w:after="0" w:line="149"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2"/>
              </w:rPr>
              <w:t>Total identifiable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homes, boat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5"/>
                <w:szCs w:val="15"/>
                <w:color w:val="auto"/>
                <w:w w:val="86"/>
              </w:rPr>
              <w:t>place leases</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w w:val="92"/>
              </w:rPr>
              <w:t>Other assets /</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5"/>
                <w:szCs w:val="15"/>
                <w:color w:val="auto"/>
                <w:w w:val="94"/>
              </w:rPr>
              <w:t>Investment in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89"/>
              </w:rPr>
              <w:t>parts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and other</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5"/>
                <w:szCs w:val="15"/>
                <w:b w:val="1"/>
                <w:bCs w:val="1"/>
                <w:color w:val="auto"/>
                <w:w w:val="86"/>
              </w:rPr>
              <w:t>assets acquired</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94"/>
              </w:rPr>
              <w:t>Debt</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20" w:type="dxa"/>
            <w:vAlign w:val="bottom"/>
          </w:tcPr>
          <w:p>
            <w:pPr>
              <w:spacing w:after="0"/>
              <w:rPr>
                <w:sz w:val="12"/>
                <w:szCs w:val="12"/>
                <w:color w:val="auto"/>
              </w:rPr>
            </w:pPr>
          </w:p>
        </w:tc>
        <w:tc>
          <w:tcPr>
            <w:tcW w:w="1040" w:type="dxa"/>
            <w:vAlign w:val="bottom"/>
            <w:vMerge w:val="restart"/>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5"/>
                <w:szCs w:val="15"/>
                <w:color w:val="auto"/>
                <w:w w:val="93"/>
              </w:rPr>
              <w:t>and retail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6"/>
              </w:rPr>
              <w:t>intangible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8"/>
              </w:rPr>
              <w:t>(liabilities),</w:t>
            </w: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w w:val="91"/>
              </w:rPr>
              <w:t>net of liabilities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permanent</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property</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w w:val="90"/>
              </w:rPr>
              <w:t>related items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5"/>
                <w:szCs w:val="15"/>
                <w:color w:val="auto"/>
                <w:w w:val="82"/>
              </w:rPr>
              <w:t>assets</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net</w:t>
            </w:r>
          </w:p>
        </w:tc>
        <w:tc>
          <w:tcPr>
            <w:tcW w:w="12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assumed</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2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8"/>
        </w:trPr>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Cape Cod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13,350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13,205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4,205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13,205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Jellystone Natural Bridge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Forest Springs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55,339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36,260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19,079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55,339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Crown Villa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Flamingo Lake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33,845</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Woodsmoke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25,539</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Jellystone Lone Star</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20,297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20,297</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El Capitan &amp; Ocean Mesa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59,369</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5"/>
                <w:szCs w:val="15"/>
                <w:color w:val="auto"/>
                <w:w w:val="93"/>
              </w:rPr>
              <w:t>Highland Green Estates &amp;</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60,988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2,030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64,682</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Troy Villa</w:t>
            </w: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Gig Harbor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15,228</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Maine MH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79,890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72,479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8,800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81,279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Mears Annapolis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30,730</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Wickford</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3,389</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Rockland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15,163</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Mouse Mountain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15,221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15,496</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Lakeview Mobile Estates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23,678</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Shenandoah Acres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16,166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16,803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16,803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16,803</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Jellystone at Barton Lake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23,603</w:t>
            </w: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Kittatinny Portfolio</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16,279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16,279</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b w:val="1"/>
                <w:bCs w:val="1"/>
                <w:color w:val="auto"/>
                <w:w w:val="90"/>
              </w:rPr>
              <w:t>Business Combination</w:t>
            </w:r>
            <w:r>
              <w:rPr>
                <w:rFonts w:ascii="Arial" w:cs="Arial" w:eastAsia="Arial" w:hAnsi="Arial"/>
                <w:sz w:val="19"/>
                <w:szCs w:val="19"/>
                <w:b w:val="1"/>
                <w:bCs w:val="1"/>
                <w:color w:val="auto"/>
                <w:w w:val="90"/>
                <w:vertAlign w:val="superscript"/>
              </w:rPr>
              <w:t>(1)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rPr>
                <w:sz w:val="20"/>
                <w:szCs w:val="20"/>
                <w:color w:val="auto"/>
              </w:rPr>
            </w:pPr>
            <w:r>
              <w:rPr>
                <w:rFonts w:ascii="Arial" w:cs="Arial" w:eastAsia="Arial" w:hAnsi="Arial"/>
                <w:sz w:val="15"/>
                <w:szCs w:val="15"/>
                <w:color w:val="auto"/>
              </w:rPr>
              <w:t>Safe Harbor Marinas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1,643,879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418,033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(26,831)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2,040,781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1,141,797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829,000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69,984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2,040,781</w:t>
            </w:r>
          </w:p>
        </w:tc>
        <w:tc>
          <w:tcPr>
            <w:tcW w:w="0" w:type="dxa"/>
            <w:vAlign w:val="bottom"/>
          </w:tcPr>
          <w:p>
            <w:pPr>
              <w:spacing w:after="0"/>
              <w:rPr>
                <w:sz w:val="1"/>
                <w:szCs w:val="1"/>
                <w:color w:val="auto"/>
              </w:rPr>
            </w:pPr>
          </w:p>
        </w:tc>
      </w:tr>
      <w:tr>
        <w:trPr>
          <w:trHeight w:val="206"/>
        </w:trPr>
        <w:tc>
          <w:tcPr>
            <w:tcW w:w="1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Hideaway Bay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32,406</w:t>
            </w:r>
          </w:p>
        </w:tc>
        <w:tc>
          <w:tcPr>
            <w:tcW w:w="0" w:type="dxa"/>
            <w:vAlign w:val="bottom"/>
          </w:tcPr>
          <w:p>
            <w:pPr>
              <w:spacing w:after="0"/>
              <w:rPr>
                <w:sz w:val="1"/>
                <w:szCs w:val="1"/>
                <w:color w:val="auto"/>
              </w:rPr>
            </w:pPr>
          </w:p>
        </w:tc>
      </w:tr>
      <w:tr>
        <w:trPr>
          <w:trHeight w:val="198"/>
        </w:trPr>
        <w:tc>
          <w:tcPr>
            <w:tcW w:w="1660" w:type="dxa"/>
            <w:vAlign w:val="bottom"/>
          </w:tcPr>
          <w:p>
            <w:pPr>
              <w:ind w:left="20"/>
              <w:spacing w:after="0"/>
              <w:rPr>
                <w:sz w:val="20"/>
                <w:szCs w:val="20"/>
                <w:color w:val="auto"/>
              </w:rPr>
            </w:pPr>
            <w:r>
              <w:rPr>
                <w:rFonts w:ascii="Arial" w:cs="Arial" w:eastAsia="Arial" w:hAnsi="Arial"/>
                <w:sz w:val="15"/>
                <w:szCs w:val="15"/>
                <w:color w:val="auto"/>
              </w:rPr>
              <w:t>Anacapa Isle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3,146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14,130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14,130</w:t>
            </w:r>
          </w:p>
        </w:tc>
        <w:tc>
          <w:tcPr>
            <w:tcW w:w="0" w:type="dxa"/>
            <w:vAlign w:val="bottom"/>
          </w:tcPr>
          <w:p>
            <w:pPr>
              <w:spacing w:after="0"/>
              <w:rPr>
                <w:sz w:val="1"/>
                <w:szCs w:val="1"/>
                <w:color w:val="auto"/>
              </w:rPr>
            </w:pPr>
          </w:p>
        </w:tc>
      </w:tr>
      <w:tr>
        <w:trPr>
          <w:trHeight w:val="207"/>
        </w:trPr>
        <w:tc>
          <w:tcPr>
            <w:tcW w:w="166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Rybovich Portfolio</w:t>
            </w:r>
            <w:r>
              <w:rPr>
                <w:rFonts w:ascii="Arial" w:cs="Arial" w:eastAsia="Arial" w:hAnsi="Arial"/>
                <w:sz w:val="19"/>
                <w:szCs w:val="19"/>
                <w:color w:val="auto"/>
                <w:vertAlign w:val="superscript"/>
              </w:rPr>
              <w:t>(2)</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122,064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249,840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258,123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372,487</w:t>
            </w:r>
          </w:p>
        </w:tc>
        <w:tc>
          <w:tcPr>
            <w:tcW w:w="0" w:type="dxa"/>
            <w:vAlign w:val="bottom"/>
          </w:tcPr>
          <w:p>
            <w:pPr>
              <w:spacing w:after="0"/>
              <w:rPr>
                <w:sz w:val="1"/>
                <w:szCs w:val="1"/>
                <w:color w:val="auto"/>
              </w:rPr>
            </w:pPr>
          </w:p>
        </w:tc>
      </w:tr>
      <w:tr>
        <w:trPr>
          <w:trHeight w:val="196"/>
        </w:trPr>
        <w:tc>
          <w:tcPr>
            <w:tcW w:w="1660" w:type="dxa"/>
            <w:vAlign w:val="bottom"/>
          </w:tcPr>
          <w:p>
            <w:pPr>
              <w:ind w:left="2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2,339,368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9,942</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694,264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(42,231)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3,001,343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1,923,855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837,800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239,688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3,001,343</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Purchase price allocations were preliminary as of December 31, 2020 and were adjusted as of March 31, 2021 based on revised purchase price allocations.</w:t>
      </w:r>
    </w:p>
    <w:p>
      <w:pPr>
        <w:spacing w:after="0" w:line="2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have incurred $23.0 million of expensed business combination transaction costs (in relation to the acquisition Safe Harbor, Hideaway Bay, Anacapa Isle, and the Rybovich Portfolio, as each such acquisition meets the criteria to be accounted for as business combination), and $13.4 million of capitalized transaction costs for asset acquisitions which have been allocated among the various categories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we acquired eight land parcels which are located in Orange Beach, Alabama; Jensen Beach, Florida; Citra Lakes, Florida; Comal County, Texas; and Menifee, California for total consideration of $9.7 million. Seven of the land parcels are adjacent to existing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Real estate held-for-sale of $32.1 million as of December 31, 2020, was reclassified from Other assets, net to various line items on the Consolidated Balance Sheets during the three months ended March 31, 2021, as the sale of those assets was no longer probable. As of March 31, 2021, the primary reclassifications were $34.5 million of assets within Investment property, net and $3.8 million within Other liabilities on the Consolidated Balance Sheets.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2020, we sold a manufactured housing community located in Montana, containing 226 sites, for $12.6 million. The gain from the sale of the property was approximately $5.6 million.</w:t>
      </w:r>
    </w:p>
    <w:p>
      <w:pPr>
        <w:spacing w:after="0" w:line="193"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82,506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85,866</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61,955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52,638</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3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117,872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83,146</w:t>
            </w:r>
          </w:p>
        </w:tc>
      </w:tr>
      <w:tr>
        <w:trPr>
          <w:trHeight w:val="200"/>
        </w:trPr>
        <w:tc>
          <w:tcPr>
            <w:tcW w:w="7400" w:type="dxa"/>
            <w:vAlign w:val="bottom"/>
          </w:tcPr>
          <w:p>
            <w:pPr>
              <w:ind w:left="240"/>
              <w:spacing w:after="0"/>
              <w:rPr>
                <w:sz w:val="20"/>
                <w:szCs w:val="20"/>
                <w:color w:val="auto"/>
              </w:rPr>
            </w:pPr>
            <w:r>
              <w:rPr>
                <w:rFonts w:ascii="Arial" w:cs="Arial" w:eastAsia="Arial" w:hAnsi="Arial"/>
                <w:sz w:val="15"/>
                <w:szCs w:val="15"/>
                <w:b w:val="1"/>
                <w:bCs w:val="1"/>
                <w:color w:val="auto"/>
              </w:rPr>
              <w:t>Total Notes and Other Receivables, net</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221,650</w:t>
            </w: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Installment notes receivable are measured at fair value, using indicative pricing models from third party valuation specialists, in accordance with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balances of installment notes receivable of $82.5 million (net of fair value adjustment of $0.8 million) and $85.9 million (net of fair value adjustment of $1.3 million) as of June 30, 2021 and December 31, 2020,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7.7 percent and 14.9 years as of June 30, 2021, and 7.8 percent and 15.2 years as of December 31, 2020, respectively. Refer to Note 14, "Fair Value of Financial Instruments," for additional detail.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Six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0"/>
              </w:rPr>
              <w:t>June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87,142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96,225</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3,933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5,014</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(6,177)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(8,977)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(1,627)</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(4,643)</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83,316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87,142</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2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(645)</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220" w:type="dxa"/>
            <w:vAlign w:val="bottom"/>
          </w:tcPr>
          <w:p>
            <w:pPr>
              <w:spacing w:after="0"/>
              <w:rPr>
                <w:sz w:val="16"/>
                <w:szCs w:val="16"/>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Beginning balance of fair value adjustments on gross installment notes receivable</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(2,274)</w:t>
            </w:r>
          </w:p>
        </w:tc>
      </w:tr>
      <w:tr>
        <w:trPr>
          <w:trHeight w:val="192"/>
        </w:trPr>
        <w:tc>
          <w:tcPr>
            <w:tcW w:w="7280" w:type="dxa"/>
            <w:vAlign w:val="bottom"/>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(1,276)</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r>
      <w:tr>
        <w:trPr>
          <w:trHeight w:val="196"/>
        </w:trPr>
        <w:tc>
          <w:tcPr>
            <w:tcW w:w="7280" w:type="dxa"/>
            <w:vAlign w:val="bottom"/>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82,506</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85,866</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Notes receivable from real estate developers are measured at fair value, using indicative pricing models from third party valuation specialists, in accordance with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 of June 30, 2021 and December 31, 2020, the notes receivable balances of $62.0 million and $52.6 million, respectively are primarily comprised of construction loans provided to real estate developers. The notes receivable from real estate developers have a net weighted average interest rate and maturity of 6.3 percent and 1.4 years as of June 30, 2021, and 6.2 percent and 1.8 years as of December 31, 2020, respectively. As of June 30, 2021, real estate developers collectively have $11.6 million of undrawn funds on their loans. There were no material adjustments to the fair value of notes receivable from the real estate developers for the six months ended June 30, 2021 and 2020. Refer to Note 14, "Fair Value of 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other receivables were comprised of amounts due from: home sale proceeds of $47.8 million, marina customers for storage service and lease payments of $28.3 million (net of allowance of $1.7 million), insurance receivables of $11.2 million, residents for rent, utility charges, fees and other pass through charges of $10.1 million (net of allowance of $5.8 million) and other receivables of $20.5 million. As of December 31, 2020, other receivables were comprised of amounts due from: home sale proceeds of $23.6 million, marina customers for storage services and lease payments of $19.2 million (net of allowance of $1.4 million), insurance receivables of $13.6 million, residents for rent, utility charges, fees and other pass through charges of $7.1 million (net of allowance of $7.2 million) and other receivables of $19.6 million.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2020, we made a convertible secured loan to Rezplot Systems LLC, a nonconsolidated affiliate in which we have a 50 percent ownership interest. The note allows for a principal amount of up to $10.0 million to be drawn down over a period of three years, bears an interest rate of 3.0 percent and is secured by all the assets of Rezplot Systems LLC. The outstanding balances were $5.6 million and $2.0 million as of June 30, 2021 and December 31, 2020, respectively, and are included in the Notes and other receivables, net line item on the Consolidated Balance Sheets. Refer to Note 6, "Investment in Nonconsolidated Affiliates," for additional information on Rezplot Systems LLC.</w:t>
      </w:r>
    </w:p>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Intangibles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goodwill, in-place leases, non-competition agreements, trademarks and trade names, customer relationships, and franchise agreements and other intangible assets. These intangible assets are recorded in Goodwill, and Other intangible assets, net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our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780"/>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17"/>
                <w:szCs w:val="17"/>
                <w:color w:val="auto"/>
              </w:rPr>
            </w:pPr>
          </w:p>
        </w:tc>
        <w:tc>
          <w:tcPr>
            <w:tcW w:w="258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w:t>
            </w:r>
          </w:p>
        </w:tc>
        <w:tc>
          <w:tcPr>
            <w:tcW w:w="164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Useful Life</w:t>
            </w:r>
          </w:p>
        </w:tc>
        <w:tc>
          <w:tcPr>
            <w:tcW w:w="1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0" w:type="dxa"/>
            <w:vAlign w:val="bottom"/>
          </w:tcPr>
          <w:p>
            <w:pPr>
              <w:spacing w:after="0"/>
              <w:rPr>
                <w:sz w:val="1"/>
                <w:szCs w:val="1"/>
                <w:color w:val="auto"/>
              </w:rPr>
            </w:pPr>
          </w:p>
        </w:tc>
      </w:tr>
      <w:tr>
        <w:trPr>
          <w:trHeight w:val="200"/>
        </w:trPr>
        <w:tc>
          <w:tcPr>
            <w:tcW w:w="388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Amortization</w:t>
            </w:r>
          </w:p>
        </w:tc>
        <w:tc>
          <w:tcPr>
            <w:tcW w:w="0" w:type="dxa"/>
            <w:vAlign w:val="bottom"/>
          </w:tcPr>
          <w:p>
            <w:pPr>
              <w:spacing w:after="0"/>
              <w:rPr>
                <w:sz w:val="1"/>
                <w:szCs w:val="1"/>
                <w:color w:val="auto"/>
              </w:rPr>
            </w:pPr>
          </w:p>
        </w:tc>
      </w:tr>
      <w:tr>
        <w:trPr>
          <w:trHeight w:val="198"/>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Indefinite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448,317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line="203" w:lineRule="exact"/>
              <w:rPr>
                <w:sz w:val="20"/>
                <w:szCs w:val="20"/>
                <w:color w:val="auto"/>
              </w:rPr>
            </w:pPr>
            <w:r>
              <w:rPr>
                <w:rFonts w:ascii="Arial" w:cs="Arial" w:eastAsia="Arial" w:hAnsi="Arial"/>
                <w:sz w:val="15"/>
                <w:szCs w:val="15"/>
                <w:color w:val="auto"/>
              </w:rPr>
              <w:t>In-place leases</w:t>
            </w:r>
            <w:r>
              <w:rPr>
                <w:rFonts w:ascii="Arial" w:cs="Arial" w:eastAsia="Arial" w:hAnsi="Arial"/>
                <w:sz w:val="19"/>
                <w:szCs w:val="19"/>
                <w:color w:val="auto"/>
                <w:vertAlign w:val="superscript"/>
              </w:rPr>
              <w:t>(1)</w:t>
            </w:r>
          </w:p>
        </w:tc>
        <w:tc>
          <w:tcPr>
            <w:tcW w:w="1760" w:type="dxa"/>
            <w:vAlign w:val="bottom"/>
            <w:gridSpan w:val="2"/>
          </w:tcPr>
          <w:p>
            <w:pPr>
              <w:ind w:left="120"/>
              <w:spacing w:after="0"/>
              <w:rPr>
                <w:sz w:val="20"/>
                <w:szCs w:val="20"/>
                <w:color w:val="auto"/>
              </w:rPr>
            </w:pPr>
            <w:r>
              <w:rPr>
                <w:rFonts w:ascii="Arial" w:cs="Arial" w:eastAsia="Arial" w:hAnsi="Arial"/>
                <w:sz w:val="15"/>
                <w:szCs w:val="15"/>
                <w:color w:val="auto"/>
              </w:rPr>
              <w:t>Expected term</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155,075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(109,559)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145,531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(92,327)</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Non-competition agreements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Arial" w:cs="Arial" w:eastAsia="Arial" w:hAnsi="Arial"/>
                <w:sz w:val="15"/>
                <w:szCs w:val="15"/>
                <w:color w:val="auto"/>
              </w:rPr>
              <w:t>Trademarks and trade names</w:t>
            </w:r>
          </w:p>
        </w:tc>
        <w:tc>
          <w:tcPr>
            <w:tcW w:w="1760" w:type="dxa"/>
            <w:vAlign w:val="bottom"/>
            <w:gridSpan w:val="2"/>
          </w:tcPr>
          <w:p>
            <w:pPr>
              <w:ind w:left="120"/>
              <w:spacing w:after="0" w:line="203" w:lineRule="exact"/>
              <w:rPr>
                <w:sz w:val="20"/>
                <w:szCs w:val="20"/>
                <w:color w:val="auto"/>
              </w:rPr>
            </w:pPr>
            <w:r>
              <w:rPr>
                <w:rFonts w:ascii="Arial" w:cs="Arial" w:eastAsia="Arial" w:hAnsi="Arial"/>
                <w:sz w:val="15"/>
                <w:szCs w:val="15"/>
                <w:color w:val="auto"/>
              </w:rPr>
              <w:t>Various</w:t>
            </w:r>
            <w:r>
              <w:rPr>
                <w:rFonts w:ascii="Arial" w:cs="Arial" w:eastAsia="Arial" w:hAnsi="Arial"/>
                <w:sz w:val="19"/>
                <w:szCs w:val="19"/>
                <w:color w:val="auto"/>
                <w:vertAlign w:val="superscript"/>
              </w:rPr>
              <w:t>(2)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116,500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7 - 10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(2,371)</w:t>
            </w:r>
          </w:p>
        </w:tc>
        <w:tc>
          <w:tcPr>
            <w:tcW w:w="0" w:type="dxa"/>
            <w:vAlign w:val="bottom"/>
          </w:tcPr>
          <w:p>
            <w:pPr>
              <w:spacing w:after="0"/>
              <w:rPr>
                <w:sz w:val="1"/>
                <w:szCs w:val="1"/>
                <w:color w:val="auto"/>
              </w:rPr>
            </w:pPr>
          </w:p>
        </w:tc>
      </w:tr>
      <w:tr>
        <w:trPr>
          <w:trHeight w:val="198"/>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5.5 - 20 years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(3,578)</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866,205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(122,225)</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832,720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17" w:lineRule="auto"/>
        <w:tabs>
          <w:tab w:leader="none" w:pos="167"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In-place leases as of June 30, 2021 include amounts related to certain assets previously held-for-sale, and included in Other assets, net, as of year ended December 31, 2020. Assets previously classified as held-for-sale were reclassified to held for investment as of January 1, 2021.</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All trademarks and trade names have an indefinite useful life except for one that has a three year useful life as of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Upon review of the qualitative factors in accordance with ASC 350-20, "</w:t>
      </w:r>
      <w:r>
        <w:rPr>
          <w:rFonts w:ascii="Arial" w:cs="Arial" w:eastAsia="Arial" w:hAnsi="Arial"/>
          <w:sz w:val="17"/>
          <w:szCs w:val="17"/>
          <w:i w:val="1"/>
          <w:iCs w:val="1"/>
          <w:color w:val="auto"/>
        </w:rPr>
        <w:t>Goodwill and Other</w:t>
      </w:r>
      <w:r>
        <w:rPr>
          <w:rFonts w:ascii="Arial" w:cs="Arial" w:eastAsia="Arial" w:hAnsi="Arial"/>
          <w:sz w:val="17"/>
          <w:szCs w:val="17"/>
          <w:color w:val="auto"/>
        </w:rPr>
        <w:t>," we determined that no impairment indicators existed as of June 30, 2021 and December 31, 2020. As a result, there was no impairment of goodwill during the six months ended June 30,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Goodwill was preliminary as of December 31, 2020, subject to revisions based on purchase price allocations for the Safe Harbor and Rybovich business combination acquisitions which are reflected in the revised goodwill balance at June 30, 2021. There was an incremental acquisition during the quarter ended June 30, 2021 which resulted in additional goodwill.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related to the Other intangible assets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5"/>
          </w:tcPr>
          <w:p>
            <w:pPr>
              <w:ind w:left="7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3180" w:type="dxa"/>
            <w:vAlign w:val="bottom"/>
            <w:gridSpan w:val="4"/>
          </w:tcPr>
          <w:p>
            <w:pPr>
              <w:jc w:val="right"/>
              <w:ind w:right="104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Intangible Asset Amortization Expense</w:t>
            </w: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June 30, 2020</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4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6,977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16,793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7,031</w:t>
            </w:r>
          </w:p>
        </w:tc>
      </w:tr>
      <w:tr>
        <w:trPr>
          <w:trHeight w:val="198"/>
        </w:trPr>
        <w:tc>
          <w:tcPr>
            <w:tcW w:w="416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416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2,709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4,320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fees and other intangible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w:t>
            </w:r>
          </w:p>
        </w:tc>
      </w:tr>
      <w:tr>
        <w:trPr>
          <w:trHeight w:val="200"/>
        </w:trPr>
        <w:tc>
          <w:tcPr>
            <w:tcW w:w="416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10,887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3,784</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23,512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7,440</w:t>
            </w: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Other intangible assets to be as follows for the next five years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2021</w:t>
            </w: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In-place leases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10,418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12,216</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8,730</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5,836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4,996</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Non-competition agreements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Trademarks and trade names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5,418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10,837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10,837</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Franchise agreements and other</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1,893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1,872</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18,246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27,872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24,357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20,566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19,705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joint ventures that are not consolidated, nor recorded at cost, are accounted for using the equity method of accounting as prescribed in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June 30, 2021 and December 31, 2020, we had a 50 percent ownership interest in RezPlot, a RV reservation software technology company, which interest we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June 30, 2021 and December 31, 2020, we had a 50 percent ownership interest in Sungenia JV, a joint venture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June 30, 2021 and December 31, 2020,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June 30, 2021 and December 31, 2020, we had a 22.9 percent ownership interest in OFS,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and December 31, 2020, we had a 50 percent ownership interest in SV Lift, which owns, operates and leases an aircraft.</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b w:val="1"/>
                <w:bCs w:val="1"/>
                <w:color w:val="auto"/>
              </w:rPr>
              <w:t>Six Months Ended</w:t>
            </w:r>
          </w:p>
        </w:tc>
        <w:tc>
          <w:tcPr>
            <w:tcW w:w="140" w:type="dxa"/>
            <w:vAlign w:val="bottom"/>
          </w:tcPr>
          <w:p>
            <w:pPr>
              <w:spacing w:after="0"/>
              <w:rPr>
                <w:sz w:val="17"/>
                <w:szCs w:val="17"/>
                <w:color w:val="auto"/>
              </w:rPr>
            </w:pPr>
          </w:p>
        </w:tc>
        <w:tc>
          <w:tcPr>
            <w:tcW w:w="1460" w:type="dxa"/>
            <w:vAlign w:val="bottom"/>
          </w:tcPr>
          <w:p>
            <w:pPr>
              <w:jc w:val="right"/>
              <w:ind w:right="34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3"/>
              </w:rPr>
              <w:t>December 31, 2020</w:t>
            </w:r>
          </w:p>
        </w:tc>
      </w:tr>
      <w:tr>
        <w:trPr>
          <w:trHeight w:val="20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3,047</w:t>
            </w: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27,071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26,890</w:t>
            </w:r>
          </w:p>
        </w:tc>
      </w:tr>
      <w:tr>
        <w:trPr>
          <w:trHeight w:val="20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29,677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25,495</w:t>
            </w:r>
          </w:p>
        </w:tc>
      </w:tr>
      <w:tr>
        <w:trPr>
          <w:trHeight w:val="198"/>
        </w:trPr>
        <w:tc>
          <w:tcPr>
            <w:tcW w:w="7800" w:type="dxa"/>
            <w:vAlign w:val="bottom"/>
            <w:gridSpan w:val="2"/>
          </w:tcPr>
          <w:p>
            <w:pPr>
              <w:ind w:left="20"/>
              <w:spacing w:after="0"/>
              <w:rPr>
                <w:sz w:val="20"/>
                <w:szCs w:val="20"/>
                <w:color w:val="auto"/>
              </w:rPr>
            </w:pPr>
            <w:r>
              <w:rPr>
                <w:rFonts w:ascii="Arial" w:cs="Arial" w:eastAsia="Arial" w:hAnsi="Arial"/>
                <w:sz w:val="15"/>
                <w:szCs w:val="15"/>
                <w:color w:val="auto"/>
              </w:rPr>
              <w:t>Investment in OFS</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3,490</w:t>
            </w:r>
          </w:p>
        </w:tc>
      </w:tr>
      <w:tr>
        <w:trPr>
          <w:trHeight w:val="200"/>
        </w:trPr>
        <w:tc>
          <w:tcPr>
            <w:tcW w:w="780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62,320</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59,074</w:t>
            </w:r>
          </w:p>
        </w:tc>
      </w:tr>
      <w:tr>
        <w:trPr>
          <w:trHeight w:val="21"/>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5"/>
          </w:tcPr>
          <w:p>
            <w:pPr>
              <w:ind w:left="80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3080" w:type="dxa"/>
            <w:vAlign w:val="bottom"/>
            <w:gridSpan w:val="4"/>
          </w:tcPr>
          <w:p>
            <w:pPr>
              <w:jc w:val="right"/>
              <w:ind w:right="96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2020</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loss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w:t>
            </w:r>
          </w:p>
        </w:tc>
      </w:tr>
      <w:tr>
        <w:trPr>
          <w:trHeight w:val="199"/>
        </w:trPr>
        <w:tc>
          <w:tcPr>
            <w:tcW w:w="430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w:t>
            </w:r>
          </w:p>
        </w:tc>
        <w:tc>
          <w:tcPr>
            <w:tcW w:w="22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20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1,460</w:t>
            </w:r>
          </w:p>
        </w:tc>
      </w:tr>
      <w:tr>
        <w:trPr>
          <w:trHeight w:val="198"/>
        </w:trPr>
        <w:tc>
          <w:tcPr>
            <w:tcW w:w="4300" w:type="dxa"/>
            <w:vAlign w:val="bottom"/>
            <w:gridSpan w:val="2"/>
          </w:tcPr>
          <w:p>
            <w:pPr>
              <w:ind w:left="20"/>
              <w:spacing w:after="0"/>
              <w:rPr>
                <w:sz w:val="20"/>
                <w:szCs w:val="20"/>
                <w:color w:val="auto"/>
              </w:rPr>
            </w:pPr>
            <w:r>
              <w:rPr>
                <w:rFonts w:ascii="Arial" w:cs="Arial" w:eastAsia="Arial" w:hAnsi="Arial"/>
                <w:sz w:val="15"/>
                <w:szCs w:val="15"/>
                <w:color w:val="auto"/>
              </w:rPr>
              <w:t>OFS equity income</w:t>
            </w:r>
          </w:p>
        </w:tc>
        <w:tc>
          <w:tcPr>
            <w:tcW w:w="22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w:t>
            </w:r>
          </w:p>
        </w:tc>
      </w:tr>
      <w:tr>
        <w:trPr>
          <w:trHeight w:val="200"/>
        </w:trPr>
        <w:tc>
          <w:tcPr>
            <w:tcW w:w="430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794</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r>
        <w:trPr>
          <w:trHeight w:val="21"/>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Six Months Ended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64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June 30, 2021</w:t>
            </w: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2020</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780" w:type="dxa"/>
            <w:vAlign w:val="bottom"/>
            <w:shd w:val="clear" w:color="auto" w:fill="CCEEFF"/>
          </w:tcPr>
          <w:p>
            <w:pPr>
              <w:jc w:val="right"/>
              <w:ind w:right="162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25,495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18,488</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Initial fair value option adjustment</w:t>
            </w:r>
          </w:p>
        </w:tc>
        <w:tc>
          <w:tcPr>
            <w:tcW w:w="178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317</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1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10,876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19,030</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1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(9,280)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(14,676)</w:t>
            </w: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earnings</w:t>
            </w:r>
          </w:p>
        </w:tc>
        <w:tc>
          <w:tcPr>
            <w:tcW w:w="1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3,944</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adjustment</w:t>
            </w:r>
          </w:p>
        </w:tc>
        <w:tc>
          <w:tcPr>
            <w:tcW w:w="1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w:t>
            </w:r>
          </w:p>
        </w:tc>
      </w:tr>
      <w:tr>
        <w:trPr>
          <w:trHeight w:val="225"/>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1780" w:type="dxa"/>
            <w:vAlign w:val="bottom"/>
            <w:tcBorders>
              <w:bottom w:val="single" w:sz="8" w:color="auto"/>
            </w:tcBorders>
            <w:shd w:val="clear" w:color="auto" w:fill="CCEEFF"/>
          </w:tcPr>
          <w:p>
            <w:pPr>
              <w:jc w:val="right"/>
              <w:ind w:right="16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29,677</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Sungenia JV investment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Six Months Ended</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64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June 30, 2021</w:t>
            </w: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2020</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780" w:type="dxa"/>
            <w:vAlign w:val="bottom"/>
            <w:shd w:val="clear" w:color="auto" w:fill="CCEEFF"/>
          </w:tcPr>
          <w:p>
            <w:pPr>
              <w:jc w:val="right"/>
              <w:ind w:right="162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26,890</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11,995</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Cumulative translation adjustment</w:t>
            </w:r>
          </w:p>
        </w:tc>
        <w:tc>
          <w:tcPr>
            <w:tcW w:w="17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2,180</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17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12,377</w:t>
            </w:r>
          </w:p>
        </w:tc>
      </w:tr>
      <w:tr>
        <w:trPr>
          <w:trHeight w:val="198"/>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earnings</w:t>
            </w:r>
          </w:p>
        </w:tc>
        <w:tc>
          <w:tcPr>
            <w:tcW w:w="1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r>
      <w:tr>
        <w:trPr>
          <w:trHeight w:val="225"/>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1780" w:type="dxa"/>
            <w:vAlign w:val="bottom"/>
            <w:tcBorders>
              <w:bottom w:val="single" w:sz="8" w:color="auto"/>
            </w:tcBorders>
            <w:shd w:val="clear" w:color="auto" w:fill="CCEEFF"/>
          </w:tcPr>
          <w:p>
            <w:pPr>
              <w:jc w:val="right"/>
              <w:ind w:right="162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27,071</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consolidate the Operating Partnership under the guidance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We evaluated whether Operating Partnership met the criteria for classification as variable interest entity ("VIE") or, alternatively,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0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Sun NG RV Resorts LLC ("Sun NG Resorts"); Rudgate Village SPE, LLC, Rudgate Clinton SPE, LLC, and Rudgate Clinton Estates SPE, LLC (collectively, "Rudgate"); Sun NG Whitewater RV Resorts LLC; FPG Sun Menifee 80 LLC, SHM South Fork JV, LLC</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consolidate Sun NG Resorts, Rudgate, Sun NG Whitewater RV Resorts LLC, FPG Sun Menifee 80 LLC and SHM South Fork JV, LLC under the guidance set forth in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for additional information on Sun NG Resorts and Note 9, "Equity and Temporary Equity," for additional information on Sun NG Resorts, Sun NG Whitewater RV Resorts LLC, FPG Sun Menifee 80 LLC and SHM South Fork JV, LLC.</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assets and liabilities of Sun NG Resorts, Rudgate, Sun NG Whitewater RV Resorts LLC, FPG Sun Menifee 80 LLC and SHM South Fork JV, LLC included in our Consolidated Balance Sheets after eliminations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185"/>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508,055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438,918</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32,817</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24,554</w:t>
            </w:r>
          </w:p>
        </w:tc>
      </w:tr>
      <w:tr>
        <w:trPr>
          <w:trHeight w:val="225"/>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540,872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463,472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Secured debt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74,571</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47,706</w:t>
            </w: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Unsecured debt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44,944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21,957</w:t>
            </w:r>
          </w:p>
        </w:tc>
      </w:tr>
      <w:tr>
        <w:trPr>
          <w:trHeight w:val="200"/>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104,912</w:t>
            </w: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Temporary equity</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27,491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28,469</w:t>
            </w: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 (including SHM South Fork JV, LLC)</w:t>
            </w: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17,751</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16,084</w:t>
            </w:r>
          </w:p>
        </w:tc>
      </w:tr>
      <w:tr>
        <w:trPr>
          <w:trHeight w:val="200"/>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200,006</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149,465</w:t>
            </w:r>
          </w:p>
        </w:tc>
      </w:tr>
      <w:tr>
        <w:trPr>
          <w:trHeight w:val="21"/>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with the exception of the Operating Partnership, comprised approximately 4.5 percent and 4.1 percent of our consolidated total assets at June 30, 2021 and December 31, 2020, respectively. Secured debt, Unsecured debt and Other liabilities comprised 3.0 percent and 2.0 percent of our consolidated total liabilities at June 30, 2021 and December 31, 2020, respectively. Equity Interests and Noncontrolling interests related to the consolidated VIEs, on an absolute basis, comprised less than 1.0 percent of our consolidated total equity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vMerge w:val="restart"/>
          </w:tcPr>
          <w:p>
            <w:pPr>
              <w:jc w:val="right"/>
              <w:ind w:right="504"/>
              <w:spacing w:after="0"/>
              <w:rPr>
                <w:sz w:val="20"/>
                <w:szCs w:val="20"/>
                <w:color w:val="auto"/>
              </w:rPr>
            </w:pPr>
            <w:r>
              <w:rPr>
                <w:rFonts w:ascii="Arial" w:cs="Arial" w:eastAsia="Arial" w:hAnsi="Arial"/>
                <w:sz w:val="15"/>
                <w:szCs w:val="15"/>
                <w:b w:val="1"/>
                <w:bCs w:val="1"/>
                <w:color w:val="auto"/>
              </w:rPr>
              <w:t>Carrying Amount</w:t>
            </w:r>
          </w:p>
        </w:tc>
        <w:tc>
          <w:tcPr>
            <w:tcW w:w="100" w:type="dxa"/>
            <w:vAlign w:val="bottom"/>
          </w:tcPr>
          <w:p>
            <w:pPr>
              <w:spacing w:after="0"/>
              <w:rPr>
                <w:sz w:val="14"/>
                <w:szCs w:val="14"/>
                <w:color w:val="auto"/>
              </w:rPr>
            </w:pPr>
          </w:p>
        </w:tc>
        <w:tc>
          <w:tcPr>
            <w:tcW w:w="2440" w:type="dxa"/>
            <w:vAlign w:val="bottom"/>
            <w:gridSpan w:val="4"/>
          </w:tcPr>
          <w:p>
            <w:pPr>
              <w:ind w:left="580"/>
              <w:spacing w:after="0"/>
              <w:rPr>
                <w:sz w:val="20"/>
                <w:szCs w:val="20"/>
                <w:color w:val="auto"/>
              </w:rPr>
            </w:pPr>
            <w:r>
              <w:rPr>
                <w:rFonts w:ascii="Arial" w:cs="Arial" w:eastAsia="Arial" w:hAnsi="Arial"/>
                <w:sz w:val="15"/>
                <w:szCs w:val="15"/>
                <w:b w:val="1"/>
                <w:bCs w:val="1"/>
                <w:color w:val="auto"/>
              </w:rPr>
              <w:t>Weighted Average</w:t>
            </w:r>
          </w:p>
        </w:tc>
        <w:tc>
          <w:tcPr>
            <w:tcW w:w="2560" w:type="dxa"/>
            <w:vAlign w:val="bottom"/>
            <w:gridSpan w:val="3"/>
          </w:tcPr>
          <w:p>
            <w:pPr>
              <w:ind w:left="680"/>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ind w:left="580"/>
              <w:spacing w:after="0"/>
              <w:rPr>
                <w:sz w:val="20"/>
                <w:szCs w:val="20"/>
                <w:color w:val="auto"/>
              </w:rPr>
            </w:pPr>
            <w:r>
              <w:rPr>
                <w:rFonts w:ascii="Arial" w:cs="Arial" w:eastAsia="Arial" w:hAnsi="Arial"/>
                <w:sz w:val="15"/>
                <w:szCs w:val="15"/>
                <w:b w:val="1"/>
                <w:bCs w:val="1"/>
                <w:color w:val="auto"/>
              </w:rPr>
              <w:t>Years to Maturity</w:t>
            </w:r>
          </w:p>
        </w:tc>
        <w:tc>
          <w:tcPr>
            <w:tcW w:w="2560" w:type="dxa"/>
            <w:vAlign w:val="bottom"/>
            <w:gridSpan w:val="3"/>
          </w:tcPr>
          <w:p>
            <w:pPr>
              <w:jc w:val="right"/>
              <w:ind w:right="744"/>
              <w:spacing w:after="0"/>
              <w:rPr>
                <w:sz w:val="20"/>
                <w:szCs w:val="20"/>
                <w:color w:val="auto"/>
              </w:rPr>
            </w:pPr>
            <w:r>
              <w:rPr>
                <w:rFonts w:ascii="Arial" w:cs="Arial" w:eastAsia="Arial" w:hAnsi="Arial"/>
                <w:sz w:val="15"/>
                <w:szCs w:val="15"/>
                <w:b w:val="1"/>
                <w:bCs w:val="1"/>
                <w:color w:val="auto"/>
              </w:rPr>
              <w:t>Interest Rates</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2"/>
                <w:szCs w:val="12"/>
                <w:color w:val="auto"/>
              </w:rPr>
            </w:pPr>
          </w:p>
        </w:tc>
        <w:tc>
          <w:tcPr>
            <w:tcW w:w="11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June 30, 2021</w:t>
            </w:r>
          </w:p>
        </w:tc>
        <w:tc>
          <w:tcPr>
            <w:tcW w:w="1140" w:type="dxa"/>
            <w:vAlign w:val="bottom"/>
            <w:tcBorders>
              <w:top w:val="single" w:sz="8" w:color="auto"/>
            </w:tcBorders>
          </w:tcPr>
          <w:p>
            <w:pPr>
              <w:jc w:val="right"/>
              <w:ind w:right="44"/>
              <w:spacing w:after="0" w:line="144"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2"/>
                <w:szCs w:val="12"/>
                <w:color w:val="auto"/>
              </w:rPr>
            </w:pPr>
          </w:p>
        </w:tc>
        <w:tc>
          <w:tcPr>
            <w:tcW w:w="13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b w:val="1"/>
                <w:bCs w:val="1"/>
                <w:color w:val="auto"/>
              </w:rPr>
              <w:t>June 30, 2021</w:t>
            </w:r>
          </w:p>
        </w:tc>
        <w:tc>
          <w:tcPr>
            <w:tcW w:w="1260" w:type="dxa"/>
            <w:vAlign w:val="bottom"/>
            <w:tcBorders>
              <w:top w:val="single" w:sz="8" w:color="auto"/>
            </w:tcBorders>
          </w:tcPr>
          <w:p>
            <w:pPr>
              <w:jc w:val="right"/>
              <w:ind w:right="104"/>
              <w:spacing w:after="0" w:line="144"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0"/>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60" w:type="dxa"/>
            <w:vAlign w:val="bottom"/>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5"/>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Secured Debt</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Mortgage term loans - Life Companies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1,642,185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1,658,239</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17"/>
                <w:szCs w:val="17"/>
                <w:color w:val="auto"/>
              </w:rPr>
            </w:pPr>
          </w:p>
        </w:tc>
        <w:tc>
          <w:tcPr>
            <w:tcW w:w="1200" w:type="dxa"/>
            <w:vAlign w:val="bottom"/>
          </w:tcPr>
          <w:p>
            <w:pPr>
              <w:ind w:left="680"/>
              <w:spacing w:after="0"/>
              <w:rPr>
                <w:sz w:val="20"/>
                <w:szCs w:val="20"/>
                <w:color w:val="auto"/>
              </w:rPr>
            </w:pPr>
            <w:r>
              <w:rPr>
                <w:rFonts w:ascii="Arial" w:cs="Arial" w:eastAsia="Arial" w:hAnsi="Arial"/>
                <w:sz w:val="15"/>
                <w:szCs w:val="15"/>
                <w:color w:val="auto"/>
                <w:w w:val="90"/>
              </w:rPr>
              <w:t>3.991 %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3.990 %</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term loans - FNMA</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1,146,146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1,150,924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5"/>
                <w:szCs w:val="15"/>
                <w:color w:val="auto"/>
                <w:w w:val="90"/>
              </w:rPr>
              <w:t>3.226 %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3.230 %</w:t>
            </w:r>
          </w:p>
        </w:tc>
        <w:tc>
          <w:tcPr>
            <w:tcW w:w="0" w:type="dxa"/>
            <w:vAlign w:val="bottom"/>
          </w:tcPr>
          <w:p>
            <w:pPr>
              <w:spacing w:after="0"/>
              <w:rPr>
                <w:sz w:val="1"/>
                <w:szCs w:val="1"/>
                <w:color w:val="auto"/>
              </w:rPr>
            </w:pP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Mortgage term loans - CMBS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264,364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267,205</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7"/>
                <w:szCs w:val="17"/>
                <w:color w:val="auto"/>
              </w:rPr>
            </w:pPr>
          </w:p>
        </w:tc>
        <w:tc>
          <w:tcPr>
            <w:tcW w:w="1200" w:type="dxa"/>
            <w:vAlign w:val="bottom"/>
          </w:tcPr>
          <w:p>
            <w:pPr>
              <w:ind w:left="680"/>
              <w:spacing w:after="0"/>
              <w:rPr>
                <w:sz w:val="20"/>
                <w:szCs w:val="20"/>
                <w:color w:val="auto"/>
              </w:rPr>
            </w:pPr>
            <w:r>
              <w:rPr>
                <w:rFonts w:ascii="Arial" w:cs="Arial" w:eastAsia="Arial" w:hAnsi="Arial"/>
                <w:sz w:val="15"/>
                <w:szCs w:val="15"/>
                <w:color w:val="auto"/>
                <w:w w:val="90"/>
              </w:rPr>
              <w:t>4.789 %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4.789 %</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term loans - FMCC</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365,402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368,599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5"/>
                <w:szCs w:val="15"/>
                <w:color w:val="auto"/>
                <w:w w:val="90"/>
              </w:rPr>
              <w:t>3.853 %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3.854 %</w:t>
            </w:r>
          </w:p>
        </w:tc>
        <w:tc>
          <w:tcPr>
            <w:tcW w:w="0" w:type="dxa"/>
            <w:vAlign w:val="bottom"/>
          </w:tcPr>
          <w:p>
            <w:pPr>
              <w:spacing w:after="0"/>
              <w:rPr>
                <w:sz w:val="1"/>
                <w:szCs w:val="1"/>
                <w:color w:val="auto"/>
              </w:rPr>
            </w:pPr>
          </w:p>
        </w:tc>
      </w:tr>
      <w:tr>
        <w:trPr>
          <w:trHeight w:val="192"/>
        </w:trPr>
        <w:tc>
          <w:tcPr>
            <w:tcW w:w="3780" w:type="dxa"/>
            <w:vAlign w:val="bottom"/>
          </w:tcPr>
          <w:p>
            <w:pPr>
              <w:ind w:left="140"/>
              <w:spacing w:after="0"/>
              <w:rPr>
                <w:sz w:val="20"/>
                <w:szCs w:val="20"/>
                <w:color w:val="auto"/>
              </w:rPr>
            </w:pPr>
            <w:r>
              <w:rPr>
                <w:rFonts w:ascii="Arial" w:cs="Arial" w:eastAsia="Arial" w:hAnsi="Arial"/>
                <w:sz w:val="15"/>
                <w:szCs w:val="15"/>
                <w:b w:val="1"/>
                <w:bCs w:val="1"/>
                <w:color w:val="auto"/>
              </w:rPr>
              <w:t>Total Mortgage Term Loans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3,418,097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3,444,967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Collateralized term loan</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5"/>
                <w:szCs w:val="15"/>
                <w:color w:val="auto"/>
                <w:w w:val="90"/>
              </w:rPr>
              <w:t>1.300 %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1.310 %</w:t>
            </w:r>
          </w:p>
        </w:tc>
        <w:tc>
          <w:tcPr>
            <w:tcW w:w="0" w:type="dxa"/>
            <w:vAlign w:val="bottom"/>
          </w:tcPr>
          <w:p>
            <w:pPr>
              <w:spacing w:after="0"/>
              <w:rPr>
                <w:sz w:val="1"/>
                <w:szCs w:val="1"/>
                <w:color w:val="auto"/>
              </w:rPr>
            </w:pPr>
          </w:p>
        </w:tc>
      </w:tr>
      <w:tr>
        <w:trPr>
          <w:trHeight w:val="192"/>
        </w:trPr>
        <w:tc>
          <w:tcPr>
            <w:tcW w:w="3780" w:type="dxa"/>
            <w:vAlign w:val="bottom"/>
          </w:tcPr>
          <w:p>
            <w:pPr>
              <w:ind w:left="120"/>
              <w:spacing w:after="0"/>
              <w:rPr>
                <w:sz w:val="20"/>
                <w:szCs w:val="20"/>
                <w:color w:val="auto"/>
              </w:rPr>
            </w:pPr>
            <w:r>
              <w:rPr>
                <w:rFonts w:ascii="Arial" w:cs="Arial" w:eastAsia="Arial" w:hAnsi="Arial"/>
                <w:sz w:val="15"/>
                <w:szCs w:val="15"/>
                <w:b w:val="1"/>
                <w:bCs w:val="1"/>
                <w:color w:val="auto"/>
              </w:rPr>
              <w:t>Total Secured Debt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3,457,734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3,489,983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20"/>
              <w:spacing w:after="0"/>
              <w:rPr>
                <w:sz w:val="20"/>
                <w:szCs w:val="20"/>
                <w:color w:val="auto"/>
              </w:rPr>
            </w:pPr>
            <w:r>
              <w:rPr>
                <w:rFonts w:ascii="Arial" w:cs="Arial" w:eastAsia="Arial" w:hAnsi="Arial"/>
                <w:sz w:val="15"/>
                <w:szCs w:val="15"/>
                <w:b w:val="1"/>
                <w:bCs w:val="1"/>
                <w:color w:val="auto"/>
              </w:rPr>
              <w:t>Unsecured Debt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unsecured notes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591,688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5"/>
                <w:szCs w:val="15"/>
                <w:color w:val="auto"/>
                <w:w w:val="90"/>
              </w:rPr>
              <w:t>2.700 %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Line of credit and other debt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191,841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1,197,181</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7"/>
                <w:szCs w:val="17"/>
                <w:color w:val="auto"/>
              </w:rPr>
            </w:pPr>
          </w:p>
        </w:tc>
        <w:tc>
          <w:tcPr>
            <w:tcW w:w="1200" w:type="dxa"/>
            <w:vAlign w:val="bottom"/>
          </w:tcPr>
          <w:p>
            <w:pPr>
              <w:ind w:left="680"/>
              <w:spacing w:after="0"/>
              <w:rPr>
                <w:sz w:val="20"/>
                <w:szCs w:val="20"/>
                <w:color w:val="auto"/>
              </w:rPr>
            </w:pPr>
            <w:r>
              <w:rPr>
                <w:rFonts w:ascii="Arial" w:cs="Arial" w:eastAsia="Arial" w:hAnsi="Arial"/>
                <w:sz w:val="15"/>
                <w:szCs w:val="15"/>
                <w:color w:val="auto"/>
                <w:w w:val="90"/>
              </w:rPr>
              <w:t>0.928 %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2.107 %</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Preferred equity - Sun NG Resorts - mandatorily redeemable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680"/>
              <w:spacing w:after="0"/>
              <w:rPr>
                <w:sz w:val="20"/>
                <w:szCs w:val="20"/>
                <w:color w:val="auto"/>
              </w:rPr>
            </w:pPr>
            <w:r>
              <w:rPr>
                <w:rFonts w:ascii="Arial" w:cs="Arial" w:eastAsia="Arial" w:hAnsi="Arial"/>
                <w:sz w:val="15"/>
                <w:szCs w:val="15"/>
                <w:color w:val="auto"/>
                <w:w w:val="90"/>
              </w:rPr>
              <w:t>6.000 %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6.000 %</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Preferred OP units - mandatorily redeemable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34,663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4.6</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w w:val="90"/>
              </w:rPr>
              <w:t>5.932 %</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5.932 %</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Unsecured Debt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853,441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120"/>
              <w:spacing w:after="0"/>
              <w:rPr>
                <w:sz w:val="20"/>
                <w:szCs w:val="20"/>
                <w:color w:val="auto"/>
              </w:rPr>
            </w:pPr>
            <w:r>
              <w:rPr>
                <w:rFonts w:ascii="Arial" w:cs="Arial" w:eastAsia="Arial" w:hAnsi="Arial"/>
                <w:sz w:val="15"/>
                <w:szCs w:val="15"/>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4,311,175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4,757,076</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7"/>
                <w:szCs w:val="17"/>
                <w:color w:val="auto"/>
              </w:rPr>
            </w:pPr>
          </w:p>
        </w:tc>
        <w:tc>
          <w:tcPr>
            <w:tcW w:w="1200" w:type="dxa"/>
            <w:vAlign w:val="bottom"/>
          </w:tcPr>
          <w:p>
            <w:pPr>
              <w:ind w:left="680"/>
              <w:spacing w:after="0"/>
              <w:rPr>
                <w:sz w:val="20"/>
                <w:szCs w:val="20"/>
                <w:color w:val="auto"/>
              </w:rPr>
            </w:pPr>
            <w:r>
              <w:rPr>
                <w:rFonts w:ascii="Arial" w:cs="Arial" w:eastAsia="Arial" w:hAnsi="Arial"/>
                <w:sz w:val="15"/>
                <w:szCs w:val="15"/>
                <w:color w:val="auto"/>
                <w:w w:val="90"/>
              </w:rPr>
              <w:t>3.519 %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3.370 %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Term Loans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no mortgage term loans were paid off. During the year ended December 31, 2020, we paid off the following mortgage term loans (in thousands except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(Gain) / Loss on</w:t>
            </w:r>
          </w:p>
        </w:tc>
        <w:tc>
          <w:tcPr>
            <w:tcW w:w="0" w:type="dxa"/>
            <w:vAlign w:val="bottom"/>
          </w:tcPr>
          <w:p>
            <w:pPr>
              <w:spacing w:after="0"/>
              <w:rPr>
                <w:sz w:val="1"/>
                <w:szCs w:val="1"/>
                <w:color w:val="auto"/>
              </w:rPr>
            </w:pPr>
          </w:p>
        </w:tc>
      </w:tr>
      <w:tr>
        <w:trPr>
          <w:trHeight w:val="149"/>
        </w:trPr>
        <w:tc>
          <w:tcPr>
            <w:tcW w:w="4160" w:type="dxa"/>
            <w:vAlign w:val="bottom"/>
            <w:vMerge w:val="restart"/>
          </w:tcPr>
          <w:p>
            <w:pPr>
              <w:ind w:left="138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Repayment Amount</w:t>
            </w:r>
          </w:p>
        </w:tc>
        <w:tc>
          <w:tcPr>
            <w:tcW w:w="280" w:type="dxa"/>
            <w:vAlign w:val="bottom"/>
          </w:tcPr>
          <w:p>
            <w:pPr>
              <w:spacing w:after="0"/>
              <w:rPr>
                <w:sz w:val="12"/>
                <w:szCs w:val="12"/>
                <w:color w:val="auto"/>
              </w:rPr>
            </w:pPr>
          </w:p>
        </w:tc>
        <w:tc>
          <w:tcPr>
            <w:tcW w:w="15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Fixed Interest Rate</w:t>
            </w:r>
          </w:p>
        </w:tc>
        <w:tc>
          <w:tcPr>
            <w:tcW w:w="280" w:type="dxa"/>
            <w:vAlign w:val="bottom"/>
            <w:vMerge w:val="restart"/>
          </w:tcPr>
          <w:p>
            <w:pPr>
              <w:spacing w:after="0"/>
              <w:rPr>
                <w:sz w:val="12"/>
                <w:szCs w:val="12"/>
                <w:color w:val="auto"/>
              </w:rPr>
            </w:pPr>
          </w:p>
        </w:tc>
        <w:tc>
          <w:tcPr>
            <w:tcW w:w="188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Maturity Date</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Extinguishment of</w:t>
            </w:r>
          </w:p>
        </w:tc>
        <w:tc>
          <w:tcPr>
            <w:tcW w:w="0" w:type="dxa"/>
            <w:vAlign w:val="bottom"/>
          </w:tcPr>
          <w:p>
            <w:pPr>
              <w:spacing w:after="0"/>
              <w:rPr>
                <w:sz w:val="1"/>
                <w:szCs w:val="1"/>
                <w:color w:val="auto"/>
              </w:rPr>
            </w:pPr>
          </w:p>
        </w:tc>
      </w:tr>
      <w:tr>
        <w:trPr>
          <w:trHeight w:val="200"/>
        </w:trPr>
        <w:tc>
          <w:tcPr>
            <w:tcW w:w="4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Debt</w:t>
            </w: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right"/>
              <w:ind w:right="120"/>
              <w:spacing w:after="0" w:line="144" w:lineRule="exact"/>
              <w:rPr>
                <w:sz w:val="20"/>
                <w:szCs w:val="20"/>
                <w:color w:val="auto"/>
              </w:rPr>
            </w:pPr>
            <w:r>
              <w:rPr>
                <w:rFonts w:ascii="Arial" w:cs="Arial" w:eastAsia="Arial" w:hAnsi="Arial"/>
                <w:sz w:val="15"/>
                <w:szCs w:val="15"/>
                <w:color w:val="auto"/>
              </w:rPr>
              <w:t>March 1, 2021</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20"/>
              <w:spacing w:after="0"/>
              <w:rPr>
                <w:sz w:val="20"/>
                <w:szCs w:val="20"/>
                <w:color w:val="auto"/>
              </w:rPr>
            </w:pPr>
            <w:r>
              <w:rPr>
                <w:rFonts w:ascii="Arial" w:cs="Arial" w:eastAsia="Arial" w:hAnsi="Arial"/>
                <w:sz w:val="15"/>
                <w:szCs w:val="15"/>
                <w:color w:val="auto"/>
              </w:rPr>
              <w:t>June 30, 2020</w:t>
            </w:r>
          </w:p>
        </w:tc>
        <w:tc>
          <w:tcPr>
            <w:tcW w:w="620" w:type="dxa"/>
            <w:vAlign w:val="bottom"/>
            <w:gridSpan w:val="2"/>
            <w:vMerge w:val="restart"/>
          </w:tcPr>
          <w:p>
            <w:pPr>
              <w:jc w:val="right"/>
              <w:ind w:right="3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52,710</w:t>
            </w:r>
          </w:p>
        </w:tc>
        <w:tc>
          <w:tcPr>
            <w:tcW w:w="280" w:type="dxa"/>
            <w:vAlign w:val="bottom"/>
          </w:tcPr>
          <w:p>
            <w:pPr>
              <w:spacing w:after="0"/>
              <w:rPr>
                <w:sz w:val="12"/>
                <w:szCs w:val="12"/>
                <w:color w:val="auto"/>
              </w:rPr>
            </w:pPr>
          </w:p>
        </w:tc>
        <w:tc>
          <w:tcPr>
            <w:tcW w:w="1820" w:type="dxa"/>
            <w:vAlign w:val="bottom"/>
            <w:gridSpan w:val="2"/>
            <w:vMerge w:val="restart"/>
          </w:tcPr>
          <w:p>
            <w:pPr>
              <w:ind w:left="1020"/>
              <w:spacing w:after="0"/>
              <w:rPr>
                <w:sz w:val="20"/>
                <w:szCs w:val="20"/>
                <w:color w:val="auto"/>
              </w:rPr>
            </w:pPr>
            <w:r>
              <w:rPr>
                <w:rFonts w:ascii="Arial" w:cs="Arial" w:eastAsia="Arial" w:hAnsi="Arial"/>
                <w:sz w:val="15"/>
                <w:szCs w:val="15"/>
                <w:color w:val="auto"/>
              </w:rPr>
              <w:t xml:space="preserve">5.980 % </w:t>
            </w:r>
            <w:r>
              <w:rPr>
                <w:rFonts w:ascii="Arial" w:cs="Arial" w:eastAsia="Arial" w:hAnsi="Arial"/>
                <w:sz w:val="9"/>
                <w:szCs w:val="9"/>
                <w:color w:val="auto"/>
              </w:rPr>
              <w:t>(3)</w:t>
            </w:r>
          </w:p>
        </w:tc>
        <w:tc>
          <w:tcPr>
            <w:tcW w:w="1980" w:type="dxa"/>
            <w:vAlign w:val="bottom"/>
            <w:gridSpan w:val="2"/>
          </w:tcPr>
          <w:p>
            <w:pPr>
              <w:jc w:val="right"/>
              <w:ind w:right="120"/>
              <w:spacing w:after="0" w:line="149" w:lineRule="exact"/>
              <w:rPr>
                <w:sz w:val="20"/>
                <w:szCs w:val="20"/>
                <w:color w:val="auto"/>
              </w:rPr>
            </w:pPr>
            <w:r>
              <w:rPr>
                <w:rFonts w:ascii="Arial" w:cs="Arial" w:eastAsia="Arial" w:hAnsi="Arial"/>
                <w:sz w:val="15"/>
                <w:szCs w:val="15"/>
                <w:color w:val="auto"/>
              </w:rPr>
              <w:t>July 11, 2021</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98"/>
        </w:trPr>
        <w:tc>
          <w:tcPr>
            <w:tcW w:w="416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(1)</w:t>
            </w:r>
          </w:p>
        </w:tc>
        <w:tc>
          <w:tcPr>
            <w:tcW w:w="1820" w:type="dxa"/>
            <w:vAlign w:val="bottom"/>
            <w:gridSpan w:val="2"/>
            <w:vMerge w:val="continue"/>
          </w:tcPr>
          <w:p>
            <w:pPr>
              <w:spacing w:after="0"/>
              <w:rPr>
                <w:sz w:val="17"/>
                <w:szCs w:val="17"/>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5"/>
                <w:szCs w:val="15"/>
                <w:color w:val="auto"/>
              </w:rPr>
              <w:t>December 1, 2021</w:t>
            </w:r>
          </w:p>
        </w:tc>
        <w:tc>
          <w:tcPr>
            <w:tcW w:w="1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99,607</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5.837 %</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March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3,403</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(2)</w:t>
            </w:r>
          </w:p>
        </w:tc>
        <w:tc>
          <w:tcPr>
            <w:tcW w:w="18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 xml:space="preserve">5.830 % </w:t>
            </w:r>
            <w:r>
              <w:rPr>
                <w:rFonts w:ascii="Arial" w:cs="Arial" w:eastAsia="Arial" w:hAnsi="Arial"/>
                <w:sz w:val="9"/>
                <w:szCs w:val="9"/>
                <w:color w:val="auto"/>
              </w:rPr>
              <w:t>(3)</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July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Includes four mortgage term loans, two due to mature on March 1, 2021, one due to mature on July 11, 2021 and the other due to mature on December 1, 2021.</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Includes four mortgage term loans due to mature on July 1, 2020.</w:t>
      </w:r>
    </w:p>
    <w:p>
      <w:pPr>
        <w:spacing w:after="0" w:line="55" w:lineRule="exact"/>
        <w:rPr>
          <w:rFonts w:ascii="Arial" w:cs="Arial" w:eastAsia="Arial" w:hAnsi="Arial"/>
          <w:sz w:val="9"/>
          <w:szCs w:val="9"/>
          <w:color w:val="auto"/>
        </w:rPr>
      </w:pPr>
    </w:p>
    <w:p>
      <w:pPr>
        <w:ind w:left="160" w:hanging="152"/>
        <w:spacing w:after="0"/>
        <w:tabs>
          <w:tab w:leader="none" w:pos="16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interest rate represents the weighted average interest rate on mortgage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2021, we did not enter into any new mortgage term loans. During the year ended December 31, 2020, we entered into the following mortgage term loans (in thousands except statistical information):</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80" w:type="dxa"/>
            <w:vAlign w:val="bottom"/>
            <w:vMerge w:val="restart"/>
          </w:tcPr>
          <w:p>
            <w:pPr>
              <w:ind w:left="17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7"/>
              </w:rPr>
              <w:t>Loan Amount</w:t>
            </w:r>
          </w:p>
        </w:tc>
        <w:tc>
          <w:tcPr>
            <w:tcW w:w="280" w:type="dxa"/>
            <w:vAlign w:val="bottom"/>
          </w:tcPr>
          <w:p>
            <w:pPr>
              <w:spacing w:after="0"/>
              <w:rPr>
                <w:sz w:val="14"/>
                <w:szCs w:val="14"/>
                <w:color w:val="auto"/>
              </w:rPr>
            </w:pPr>
          </w:p>
        </w:tc>
        <w:tc>
          <w:tcPr>
            <w:tcW w:w="1340" w:type="dxa"/>
            <w:vAlign w:val="bottom"/>
            <w:gridSpan w:val="2"/>
          </w:tcPr>
          <w:p>
            <w:pPr>
              <w:ind w:left="360"/>
              <w:spacing w:after="0"/>
              <w:rPr>
                <w:sz w:val="20"/>
                <w:szCs w:val="20"/>
                <w:color w:val="auto"/>
              </w:rPr>
            </w:pPr>
            <w:r>
              <w:rPr>
                <w:rFonts w:ascii="Arial" w:cs="Arial" w:eastAsia="Arial" w:hAnsi="Arial"/>
                <w:sz w:val="15"/>
                <w:szCs w:val="15"/>
                <w:b w:val="1"/>
                <w:bCs w:val="1"/>
                <w:color w:val="auto"/>
              </w:rPr>
              <w:t>Term</w:t>
            </w:r>
          </w:p>
        </w:tc>
        <w:tc>
          <w:tcPr>
            <w:tcW w:w="16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Interest</w:t>
            </w:r>
          </w:p>
        </w:tc>
        <w:tc>
          <w:tcPr>
            <w:tcW w:w="1540" w:type="dxa"/>
            <w:vAlign w:val="bottom"/>
          </w:tcPr>
          <w:p>
            <w:pPr>
              <w:jc w:val="right"/>
              <w:ind w:right="404"/>
              <w:spacing w:after="0"/>
              <w:rPr>
                <w:sz w:val="20"/>
                <w:szCs w:val="20"/>
                <w:color w:val="auto"/>
              </w:rPr>
            </w:pPr>
            <w:r>
              <w:rPr>
                <w:rFonts w:ascii="Arial" w:cs="Arial" w:eastAsia="Arial" w:hAnsi="Arial"/>
                <w:sz w:val="15"/>
                <w:szCs w:val="15"/>
                <w:b w:val="1"/>
                <w:bCs w:val="1"/>
                <w:color w:val="auto"/>
              </w:rPr>
              <w:t>Maturity</w:t>
            </w:r>
          </w:p>
        </w:tc>
        <w:tc>
          <w:tcPr>
            <w:tcW w:w="0" w:type="dxa"/>
            <w:vAlign w:val="bottom"/>
          </w:tcPr>
          <w:p>
            <w:pPr>
              <w:spacing w:after="0"/>
              <w:rPr>
                <w:sz w:val="1"/>
                <w:szCs w:val="1"/>
                <w:color w:val="auto"/>
              </w:rPr>
            </w:pPr>
          </w:p>
        </w:tc>
      </w:tr>
      <w:tr>
        <w:trPr>
          <w:trHeight w:val="200"/>
        </w:trPr>
        <w:tc>
          <w:tcPr>
            <w:tcW w:w="48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(in years)</w:t>
            </w:r>
          </w:p>
        </w:tc>
        <w:tc>
          <w:tcPr>
            <w:tcW w:w="2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Rate</w:t>
            </w: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144"/>
        </w:trPr>
        <w:tc>
          <w:tcPr>
            <w:tcW w:w="51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December 31, 2020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268,800</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ind w:left="840"/>
              <w:spacing w:after="0"/>
              <w:rPr>
                <w:sz w:val="20"/>
                <w:szCs w:val="20"/>
                <w:color w:val="auto"/>
              </w:rPr>
            </w:pPr>
            <w:r>
              <w:rPr>
                <w:rFonts w:ascii="Arial" w:cs="Arial" w:eastAsia="Arial" w:hAnsi="Arial"/>
                <w:sz w:val="15"/>
                <w:szCs w:val="15"/>
                <w:color w:val="auto"/>
              </w:rPr>
              <w:t xml:space="preserve">2.662 % </w:t>
            </w:r>
            <w:r>
              <w:rPr>
                <w:rFonts w:ascii="Arial" w:cs="Arial" w:eastAsia="Arial" w:hAnsi="Arial"/>
                <w:sz w:val="9"/>
                <w:szCs w:val="9"/>
                <w:color w:val="auto"/>
              </w:rPr>
              <w:t>(2)</w:t>
            </w:r>
          </w:p>
        </w:tc>
        <w:tc>
          <w:tcPr>
            <w:tcW w:w="15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May 1, 2030</w:t>
            </w:r>
          </w:p>
        </w:tc>
        <w:tc>
          <w:tcPr>
            <w:tcW w:w="0" w:type="dxa"/>
            <w:vAlign w:val="bottom"/>
          </w:tcPr>
          <w:p>
            <w:pPr>
              <w:spacing w:after="0"/>
              <w:rPr>
                <w:sz w:val="1"/>
                <w:szCs w:val="1"/>
                <w:color w:val="auto"/>
              </w:rPr>
            </w:pPr>
          </w:p>
        </w:tc>
      </w:tr>
      <w:tr>
        <w:trPr>
          <w:trHeight w:val="202"/>
        </w:trPr>
        <w:tc>
          <w:tcPr>
            <w:tcW w:w="51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c>
          <w:tcPr>
            <w:tcW w:w="10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November 1, 2032</w:t>
            </w:r>
          </w:p>
        </w:tc>
        <w:tc>
          <w:tcPr>
            <w:tcW w:w="0" w:type="dxa"/>
            <w:vAlign w:val="bottom"/>
          </w:tcPr>
          <w:p>
            <w:pPr>
              <w:spacing w:after="0"/>
              <w:rPr>
                <w:sz w:val="1"/>
                <w:szCs w:val="1"/>
                <w:color w:val="auto"/>
              </w:rPr>
            </w:pPr>
          </w:p>
        </w:tc>
      </w:tr>
      <w:tr>
        <w:trPr>
          <w:trHeight w:val="194"/>
        </w:trPr>
        <w:tc>
          <w:tcPr>
            <w:tcW w:w="5160" w:type="dxa"/>
            <w:vAlign w:val="bottom"/>
            <w:gridSpan w:val="2"/>
          </w:tcPr>
          <w:p>
            <w:pPr>
              <w:ind w:left="20"/>
              <w:spacing w:after="0"/>
              <w:rPr>
                <w:sz w:val="20"/>
                <w:szCs w:val="20"/>
                <w:color w:val="auto"/>
              </w:rPr>
            </w:pPr>
            <w:r>
              <w:rPr>
                <w:rFonts w:ascii="Arial" w:cs="Arial" w:eastAsia="Arial" w:hAnsi="Arial"/>
                <w:sz w:val="15"/>
                <w:szCs w:val="15"/>
                <w:color w:val="auto"/>
              </w:rPr>
              <w:t>March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230,000</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w:t>
            </w:r>
          </w:p>
        </w:tc>
        <w:tc>
          <w:tcPr>
            <w:tcW w:w="280" w:type="dxa"/>
            <w:vAlign w:val="bottom"/>
          </w:tcPr>
          <w:p>
            <w:pPr>
              <w:spacing w:after="0"/>
              <w:rPr>
                <w:sz w:val="16"/>
                <w:szCs w:val="16"/>
                <w:color w:val="auto"/>
              </w:rPr>
            </w:pPr>
          </w:p>
        </w:tc>
        <w:tc>
          <w:tcPr>
            <w:tcW w:w="1360" w:type="dxa"/>
            <w:vAlign w:val="bottom"/>
          </w:tcPr>
          <w:p>
            <w:pPr>
              <w:ind w:left="840"/>
              <w:spacing w:after="0"/>
              <w:rPr>
                <w:sz w:val="20"/>
                <w:szCs w:val="20"/>
                <w:color w:val="auto"/>
              </w:rPr>
            </w:pPr>
            <w:r>
              <w:rPr>
                <w:rFonts w:ascii="Arial" w:cs="Arial" w:eastAsia="Arial" w:hAnsi="Arial"/>
                <w:sz w:val="15"/>
                <w:szCs w:val="15"/>
                <w:color w:val="auto"/>
                <w:w w:val="90"/>
              </w:rPr>
              <w:t>2.995 %</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April 1, 2035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three mortgage term loans, one for $8.8 million due to mature on May 1, 2030 and two for $39.5 million and $220.5 million, due to mature on November 1, 2032.</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interest rate represents the weighted average interest rate on mortgage term loans.</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mortgage term loans totaling $3.4 billion as of June 30, 2021, are secured by 192 properties comprised of 76,408 sites representing approximately $3.2 billion of net book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October 2019, we assumed a term loan facility, in the amount of $58.0 million in relation to an acquisition. The term loan has a four-year term ending October 29, 2023, and bears interest at a floating rate based on the Eurodollar rate or Prime rate plus a margin ranging from 1.20 percent to 2.05 percent. As of June 30, 2021, the margin based on our leverage ratio was 1.20 percent. The outstanding balance was $39.6 million at June 30, 2021 and $45.0 million at December 31, 2020. These balances are recorded in the Secured debt line item on the Consolidated Balance Sheets. The collateralized term loan balance as of June 30, 2021, is secured by 31 properties comprised of 5,165 sites representing approximately $375.2 million of net book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2021, we issued $600.0 million of senior unsecured notes with an interest rate of 2.70 percent and a ten-year term, due 2031 (the "2031 Notes"). Interest on the senior unsecured notes is payable semi-annually in arrears on January 15 and July 15 of each year, beginning on January 15, 2022. The net proceeds from the offering were approximately $592.4 million, after deducting underwriters' discounts and estimated offering expenses. The proceeds were used to pay down borrowings under our line of credit. The outstanding balance was $591.7 million at June 30, 2021. This balance is recorded in the Unsecured debt line item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14, 2021, we entered into a new credit agreement (the "New Credit Agreement") with certain lenders. The New Credit Agreement combined and replaced our prior $750.0 million credit facility, which was scheduled to mature on May 21, 2023, (the "A&amp;R Facility"), and the $1.8 billion credit facility between Safe Harbor and certain lenders, which was scheduled to mature on October 11, 2024 (the "Safe Harbor Facility"). The Safe Harbor Facility was terminated in connection with the execution of the New Credit Agreement. We repaid all amounts due and outstanding under the Safe Harbor Facility on or prior to such effective date. We recognized a Loss on extinguishment of debt in our Consolidated Statement of Operations related to the termination of the A&amp;R Facility and the Safe Harbor Facility of $0.2 million and $7.9 million,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New Credit Agreement, we may borrow up to $2.0 billion under a revolving loan (the "New Credit Facility"). The New Credit Facility is available to fund all of the Company's business, including its marina business conducted by Safe Harbor. The New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New Credit Facility is October 11, 2024, which, under the terms of the New Credit Agreement, may not be extended. The New Credit Facility bears interest at a floating rate based on the Adjusted Eurocurrency Rate or Australian Bank Bill Swap Bid Rate (BBSY), plus a margin that is determined based on the Company's credit ratings calculated in accordance with the New Credit Agreement, which can range from 0.725 percent to 1.400 percent. As of June 30, 2021, the margin based on our credit ratings was 0.850 percent on the New Credit Facility.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lenders' option, the New Credit Facility will become immediately due and payable upon an event of default under the New Credit Agreement. We had $190.3 million of borrowings on the New Credit Facility as of June 30, 2021, all scheduled to mature June 14, 2025. As of December 31, 2020, we had $40.4 million of borrowings on the revolving loan and no borrowings on the term loan under our A&amp;R Facility, respectively. As of December 31, 2020, we had $652.0 million and $500.0 million of borrowings under the revolving loan and term loan under Safe Harbor Facility, respectively. These balances are recorded in the Unsecured debt line item on the Consolidated Balance Sheets.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New Credit Facility provides us with the ability to issue letters of credit. Our issuance of letters of credit does not increase our borrowings outstanding under the New Credit Facility, but does reduce the borrowing amount available. At June 30, 2021 and December 31, 2020, we had approximately $3.2 million and $2.4 million (including none and $0.3 million associated with Safe Harbor's prior credit facility) of outstanding letters of credit,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Floor Plan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 $12.0 million manufactured home floor plan facility renewable indefinitely until our lender provides us at least a 12-month notice of their intent to terminate the agreement. The interest rate is 100 basis points over the greater of the prime rate as quoted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first business day of each month or 6.0 percent. At June 30, 2021, the effective interest rate was 7.0 percent. The outstanding balance was $1.5 million as of June 30, 2021 and $4.8 million as of December 31, 2020. These balances are recorded within the Unsecured debt line item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$33.4 million can be redeemed in the fourth quarter of 2024 at the holders' option. The Preferred Equity - Sun NG Resorts as of June 30, 2021 was $35.2 million. These balances are recorded within the Unsecured debt line item on the Consolidated Balance Sheets. Refer to Note 7, "Consolidated Variable Interest Entities," and Note 9, "Equity and Temporary Equity,"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OP units at June 30, 2021 and December 31, 2020 include $34.7 million of Aspen preferred OP units issued by the Operating Partnership. As of June 30, 2021, these units are convertible indirectly into 394,814 shares of our common stock.</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June 30, 2021, 270,000 of the Extended Units and 1,013,819 other Aspen preferred units were outstanding. These balances are recorded within the Unsecured debt line item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mortgage term loans, collateralized term loans, senior unsecured notes, New Credit Facility and floor plan are subject to various financial and other covenants. The most restrictive covenants are pursuant to (a) the terms of the New Credit Facility, which contains minimum fixed charge coverage ratio, maximum leverage, distribution ratios and variable rate indebtedness and (b) senior unsecured notes, which contain a total debt to total assets, secured debt to total assets, consolidated income available for debt service to debt service and unencumbered total asset value to unsecured debt covenants. At June 30, 2021, we were in compliance with all covenants.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a nonconsolidated affiliate in which we have a 40 percent ownership interest, entered into a warehouse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with a maximum loan amount of $125.0 million. During September 2020 and May 2021, the maximum amount was increased to $180.0 million and $230.0 million, respectively with an option to increase to $255.0 million subject to lender's consent. As of June 30, 2021, the aggregate carrying amount of debt, including both our and our partner's share, incurred by GTSC was $201.9 million (of which our proportionate share is $80.8 million). As of December 31, 2020, the aggregate carrying amount of debt, including both our and our partner's share, incurred by GTSC was $167.7 million (of which our proportionate share is $67.1 million). The debt bears interest at a variable rate based on LIBOR plus 1.65 percent per annum and matures on September 15, 2023.</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Sungenia JV </w:t>
      </w:r>
      <w:r>
        <w:rPr>
          <w:rFonts w:ascii="Arial" w:cs="Arial" w:eastAsia="Arial" w:hAnsi="Arial"/>
          <w:sz w:val="18"/>
          <w:szCs w:val="18"/>
          <w:color w:val="auto"/>
        </w:rPr>
        <w:t>- During May 2020, Sungenia JV, a nonconsolidated affiliate in which we have a 50 percent ownership interest, entered into a debt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maximum loan amount of 27.0 million Australian dollars, or $20.3 million converted at the June 30, 2021 exchange rate. As of June 30, 2021, the aggregate carrying amount of debt, including both our and our partners' share, incurred by Sungenia JV was $6.5 million (of which our proportionate share is $3.2 million). As of December 31, 2020, the aggregate carrying amount of debt, including both our and our partners' share, incurred by Sungenia JV was $6.7 million (of which our proportionate share is $3.3 million). The debt bears interest at a variable rate based on the BBSY rate plus 2.05 percent per annum and is available for a minimum of three years.</w:t>
      </w:r>
    </w:p>
    <w:p>
      <w:pPr>
        <w:spacing w:after="0" w:line="21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Permanent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Shelf Registration Statement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5, 2021, in connection with the expiration of our universal shelf registration statement on Form S-3, that was filed with the SEC on April 6, 2018, we filed a new universal shelf registration statement on Form S-3 with the SEC. The new universal shelf registration statement was deemed automatically effective and provides for the registration of unspecified amounts of equity and debt securities. We have the authority to issue 200,000,000 shares of capital stock, of which 180,000,000 shares are common stock, par value $0.01 per share, and 20,000,000 are shares of preferred stock, par value $0.01 per share. As of June 30, 2021, we had 115,889,185 shares of common stock issued and outstanding and no shares of preferred stock were issued and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(the "March 2021 Forward Equity Offering"). We sold the 4,000,000 shares on March 9, 2021 and received net proceeds of $537.6 million after deducting expenses related to the offering. In May and June 2021, we completed the physical settlement of the remaining 4,050,000 shares and received net proceeds of $539.7 million after deducting expenses related to the offering. Proceeds from the offering were used to acquire assets and pay down the Safe Harbor Facility.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30, 2020 and October 1, 2020, we entered into two forward sale agreements (the "September 2020 Forward Equity Offerings") relating to an underwritten registered public offering of 9,200,000 shares of our common stock at a public offering price of $139.50 per share. The offering closed on October 5, 2020. On October 26, 2020, we physically settled the September 2020 Forward Equity Offering (by the delivery of shares of our common stock). Proceeds from the offering were approximately $1.23 billion after deducting expenses related to the offering. We used the net proceeds of this offering to fund the cash portion of the acquisition of Safe Harbor, and for working capital and general corporate purposes.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4, 2021, we entered into an At the Market Offering Sales Agreement (the "Sales Agreement") with certain sales agents, and forward sellers pursuant to which we may sell, from time to time, up to an aggregate gross sales price of $500.0 million of our common stock,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There were no issuances of common stock under the new Sales Agreement during the six months ended June 30, 2021.</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entering into the Sales Agreement, we simultaneously terminated our previous At the Market Offering Sales Agreement entered into in July 2017. There were no issuances of common stock under the prior sales agreement during the six months ended June 30, 2021 or during the year ended December 31, 2020. From inception through termination of the prior sales agreement, we sold shares of our common stock for gross proceeds of $163.8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 in Connection with the Acquisition of Certain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in connection with the acquisition of the Rybovich Portfolio, we issued 130,475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in connection with the acquisition of Safe Harbor, we issued 55,403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May 2020, in connection with the acquisition of the Forest Springs community, we issued 82,420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 - SHM South Fork JV, LLC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in conjunction with the acquisition of Safe Harbor, we indirectly acquired $4.3 million of Safe Harbor's equity interest in SHM South Fork JV, LLC, a joint venture created for the purpose of acquiring land and constructing a marina in Fort Lauderdale, Florida. The Safe Harbor Equity Interests - SHM South Fork JV, LLC balance was $4.1 million and $4.3 million at the six months ended June 30, 2021 and the year December 31, 2020, respectively. Refer to Note 7, "Consolidated Variable Interest Entities,"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E Preferred OP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2020, we issued 90,000 Series E preferred OP units in connection with the acquisition of Cape Cod 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the first anniversary of the issuance date, subject to certain limitations, each Series E Preferred OP Unit can be exchanged for our common stock equal to the quotient obtained by dividing $100.00 by $145.00 (as such ratio is subject to adjustments for certain capital events). As of June 30, 2021, 90,000 Series E preferred OP Units were outstanding. Refer to Note 3, "Real Estate Acquisitions and Dispositions,"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Temporary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Preferred OP Units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J Preferred OP Units </w:t>
      </w:r>
      <w:r>
        <w:rPr>
          <w:rFonts w:ascii="Arial" w:cs="Arial" w:eastAsia="Arial" w:hAnsi="Arial"/>
          <w:sz w:val="18"/>
          <w:szCs w:val="18"/>
          <w:color w:val="auto"/>
        </w:rPr>
        <w:t>- In April 2021, we issued 240,000 Series J preferred OP units in connection with the acquisition of the Sylvan</w:t>
      </w:r>
      <w:r>
        <w:rPr>
          <w:rFonts w:ascii="Arial" w:cs="Arial" w:eastAsia="Arial" w:hAnsi="Arial"/>
          <w:sz w:val="18"/>
          <w:szCs w:val="18"/>
          <w:i w:val="1"/>
          <w:iCs w:val="1"/>
          <w:color w:val="auto"/>
        </w:rPr>
        <w:t xml:space="preserve"> </w:t>
      </w:r>
      <w:r>
        <w:rPr>
          <w:rFonts w:ascii="Arial" w:cs="Arial" w:eastAsia="Arial" w:hAnsi="Arial"/>
          <w:sz w:val="18"/>
          <w:szCs w:val="18"/>
          <w:color w:val="auto"/>
        </w:rPr>
        <w:t>Glen. The Series J preferred OP units have a stated issuance price of $100.00 per OP unit and carry a preferred return of 2.85 percent. Subject to certain limitations, at any time after the Series J issuance date, each Series J preferred OP unit can be exchanged for a number of shares of our common stock equal to the quotient obtained by dividing $100.00 by $165.00 (as such ratio is subject to adjustments for certain capital events) at the holder's option. Each holder may require redemption in cash (i) during the 30-day period following a change of control of the Company or (ii) any time after the fifth anniversary of the Series J issuance date. As of June 30, 2021, 240,000 Series J preferred OP units were outstanding. Refer to Note 3, "Real Estate Acquisitions and Dispositions," for additional information.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I Preferred OP Units </w:t>
      </w:r>
      <w:r>
        <w:rPr>
          <w:rFonts w:ascii="Arial" w:cs="Arial" w:eastAsia="Arial" w:hAnsi="Arial"/>
          <w:sz w:val="16"/>
          <w:szCs w:val="16"/>
          <w:color w:val="auto"/>
        </w:rPr>
        <w:t>- In December 2020, we issued 922,000 Series I preferred OP units in connection with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Rybovich Portfolio. The Series I preferred OP units have a stated issuance price of $100.00 per OP unit and carry a preferred return of 3.0 percent. Subject to certain limitations, at any time after the Series I issuance date, each Series I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I issuance date or upon the holder's death. As of June 30, 2021, 922,000 Series I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H Preferred OP Units </w:t>
      </w:r>
      <w:r>
        <w:rPr>
          <w:rFonts w:ascii="Arial" w:cs="Arial" w:eastAsia="Arial" w:hAnsi="Arial"/>
          <w:sz w:val="16"/>
          <w:szCs w:val="16"/>
          <w:color w:val="auto"/>
        </w:rPr>
        <w:t>- In October 2020, we issued 581,407 Series H preferred OP units in connection with the acquisition of Safe</w:t>
      </w:r>
      <w:r>
        <w:rPr>
          <w:rFonts w:ascii="Arial" w:cs="Arial" w:eastAsia="Arial" w:hAnsi="Arial"/>
          <w:sz w:val="16"/>
          <w:szCs w:val="16"/>
          <w:i w:val="1"/>
          <w:iCs w:val="1"/>
          <w:color w:val="auto"/>
        </w:rPr>
        <w:t xml:space="preserve"> </w:t>
      </w:r>
      <w:r>
        <w:rPr>
          <w:rFonts w:ascii="Arial" w:cs="Arial" w:eastAsia="Arial" w:hAnsi="Arial"/>
          <w:sz w:val="16"/>
          <w:szCs w:val="16"/>
          <w:color w:val="auto"/>
        </w:rPr>
        <w:t>Harbor. The Series H preferred OP units have a stated issuance price of $100.00 per OP unit and carry a preferred return of 3.0 percent. Subject to certain limitations, at any time after the Series H issuance date, each Series H preferred OP unit can be exchanged for a number of shares of our common stock equal to the quotient obtained by dividing $100.00 by $164.00 (as such ratio is subject to adjustments for certain capital events) at the holder's option. Each holder may require redemption in cash after the fifth anniversary of the Series H issuance date or upon the holder's death. As of June 30, 2021, 581,407 Series H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Issuance of Series G Preferred OP Units </w:t>
      </w:r>
      <w:r>
        <w:rPr>
          <w:rFonts w:ascii="Arial" w:cs="Arial" w:eastAsia="Arial" w:hAnsi="Arial"/>
          <w:sz w:val="18"/>
          <w:szCs w:val="18"/>
          <w:color w:val="auto"/>
        </w:rPr>
        <w:t>- In September 2020, we issued 260,710 Series G preferred OP units in connection with the acquisition of El</w:t>
      </w:r>
      <w:r>
        <w:rPr>
          <w:rFonts w:ascii="Arial" w:cs="Arial" w:eastAsia="Arial" w:hAnsi="Arial"/>
          <w:sz w:val="18"/>
          <w:szCs w:val="18"/>
          <w:i w:val="1"/>
          <w:iCs w:val="1"/>
          <w:color w:val="auto"/>
        </w:rPr>
        <w:t xml:space="preserve"> </w:t>
      </w:r>
      <w:r>
        <w:rPr>
          <w:rFonts w:ascii="Arial" w:cs="Arial" w:eastAsia="Arial" w:hAnsi="Arial"/>
          <w:sz w:val="18"/>
          <w:szCs w:val="18"/>
          <w:color w:val="auto"/>
        </w:rPr>
        <w:t>Capitan &amp; Ocean Mesa Resorts. The Series G preferred OP units have a stated issuance price of $100.00 per OP unit and carry a preferred return of 3.2 percent. Subject to certain limitations, at any time after the Series G issuance date, each Series G preferred OP unit can be exchanged for a number of shares of our common stock equal to the quotient obtained by dividing $100.00 by $155.00 (as such ratio is subject to adjustments for certain capital events) at the holder's option. Each holder may require redemption in cash after the fifth anniversary of the Series G issuance date or upon the holder's death. As of June 30, 2021, 240,710 Series G preferred OP units were outstanding. Refer to Note 3, "Real Estate Acquisitions and Dispositions," for additional information.</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Issuance of Series F Preferred OP Units </w:t>
      </w:r>
      <w:r>
        <w:rPr>
          <w:rFonts w:ascii="Arial" w:cs="Arial" w:eastAsia="Arial" w:hAnsi="Arial"/>
          <w:sz w:val="16"/>
          <w:szCs w:val="16"/>
          <w:color w:val="auto"/>
        </w:rPr>
        <w:t>- In May 2020, we issued 90,000 Series F preferred OP units in connection with the acquisition of Forest Springs.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F preferred OP units have a stated issuance price of $100.00 per OP unit and carry a preferred return of 3.0 percent. Subject to certain limitations, at any time after the Series F issuance date, each Series F preferred OP unit can be exchanged for a number of shares of our common stock equal to the quotient obtained by dividing $100.00 by $160.00 (as such ratio is subject to adjustments for certain capital events) at the holder's option. Each holder may require redemption in cash after the fifth anniversary of the Series F issuance date or upon the holder's death. As of June 30, 2021, 90,000 Series F preferred OP units were outstanding. Refer to Note 3, "Real Estate Acquisitions and Dispositions," for additional information.</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Issuance of Series D Preferred OP Units </w:t>
      </w:r>
      <w:r>
        <w:rPr>
          <w:rFonts w:ascii="Arial" w:cs="Arial" w:eastAsia="Arial" w:hAnsi="Arial"/>
          <w:sz w:val="16"/>
          <w:szCs w:val="16"/>
          <w:color w:val="auto"/>
        </w:rPr>
        <w:t>- In February 2019, we issued 488,958 Series D preferred OP units in connection with the acquisition of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June 30, 2021, 488,958 Series D preferred OP units were outstanding. Refer to Note 3, "Real Estate Acquisitions and Dispositions,"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Equity Interest - FPG Sun Menifee 80 LLC </w:t>
      </w:r>
      <w:r>
        <w:rPr>
          <w:rFonts w:ascii="Arial" w:cs="Arial" w:eastAsia="Arial" w:hAnsi="Arial"/>
          <w:sz w:val="16"/>
          <w:szCs w:val="16"/>
          <w:color w:val="auto"/>
        </w:rPr>
        <w:t>- In October 2020, in connection with the investment in land for future development in the city of Menifee in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at the property known as FPG Sun Menifee 80, LLC, Foremost Pacific Group, LLC, "FPG," purchased $0.1 million of common equity interest in the land (referred to as "Equity Interest - FPG Sun Menifee 80 LLC"). The Equity Interest - FPG Sun Menifee 80 LLC does not have a fixed maturity date. Upon the occurrence of certain events, either FPG or Sun FPG Venture LLC, our subsidiary, can trigger a process under which we may be required to purchase the Equity Interests - FPG Sun Menifee 80 LLC from FPG. The Equity Interest - FPG Sun Menifee 80 LLC balance was $0.1 million at the six months ended June 30, 2021 and December 31, 2020. Refer to Note 7, "Consolidated Variable Interest Entities," for additional information.</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Equity Interest - NG Sun Whitewater LLC </w:t>
      </w:r>
      <w:r>
        <w:rPr>
          <w:rFonts w:ascii="Arial" w:cs="Arial" w:eastAsia="Arial" w:hAnsi="Arial"/>
          <w:sz w:val="17"/>
          <w:szCs w:val="17"/>
          <w:color w:val="auto"/>
        </w:rPr>
        <w:t>- In August 2019, in connection with the investment in land at the property known as Whitewater, NG Sun</w:t>
      </w:r>
      <w:r>
        <w:rPr>
          <w:rFonts w:ascii="Arial" w:cs="Arial" w:eastAsia="Arial" w:hAnsi="Arial"/>
          <w:sz w:val="17"/>
          <w:szCs w:val="17"/>
          <w:i w:val="1"/>
          <w:iCs w:val="1"/>
          <w:color w:val="auto"/>
        </w:rPr>
        <w:t xml:space="preserve"> </w:t>
      </w:r>
      <w:r>
        <w:rPr>
          <w:rFonts w:ascii="Arial" w:cs="Arial" w:eastAsia="Arial" w:hAnsi="Arial"/>
          <w:sz w:val="17"/>
          <w:szCs w:val="17"/>
          <w:color w:val="auto"/>
        </w:rPr>
        <w:t>Whitewater LLC purchased $2.4 million of common equity interest in Sun NG Whitewater RV Resorts LLC (referred to as "Equity Interest - NG Sun Whitewater LLC"). The Equity Interest - NG Sun Whitewater LLC does not have a fixed maturity date. Upon the occurrence of certain events, either NG Sun Whitewater LLC or Sun NG LLC, our subsidiary, can trigger a process under which we may be required to purchase the Equity Interest - NG Sun Whitewater LLC from NG Sun Whitewater LLC. The Equity Interest - NG Sun Whitewater LLC balance was $5.1 million at the six months ended June 30, 2021 and year ended December 31, 2020. Refer to Note 7, "Consolidated Variable Interest Entities," for additional information.</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Equity Interest - NG Sun LLC </w:t>
      </w:r>
      <w:r>
        <w:rPr>
          <w:rFonts w:ascii="Arial" w:cs="Arial" w:eastAsia="Arial" w:hAnsi="Arial"/>
          <w:sz w:val="17"/>
          <w:szCs w:val="17"/>
          <w:color w:val="auto"/>
        </w:rPr>
        <w:t>- In June 2018, in connection with the investment in Sun NG Resorts, unrelated third parties purchased $6.5 million of Series</w:t>
      </w:r>
      <w:r>
        <w:rPr>
          <w:rFonts w:ascii="Arial" w:cs="Arial" w:eastAsia="Arial" w:hAnsi="Arial"/>
          <w:sz w:val="17"/>
          <w:szCs w:val="17"/>
          <w:i w:val="1"/>
          <w:iCs w:val="1"/>
          <w:color w:val="auto"/>
        </w:rPr>
        <w:t xml:space="preserve"> </w:t>
      </w:r>
      <w:r>
        <w:rPr>
          <w:rFonts w:ascii="Arial" w:cs="Arial" w:eastAsia="Arial" w:hAnsi="Arial"/>
          <w:sz w:val="17"/>
          <w:szCs w:val="17"/>
          <w:color w:val="auto"/>
        </w:rPr>
        <w:t>B preferred equity interests and $15.4 million of common equity interest in Sun NG Resorts (herein jointly referred to as "Equity Interest - NG Sun LLC"). In April and September 2020, in connection with the acquisitions of Glen Ellis RV Park and Lone Star RV Park,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 - NG Sun LLC does not have a fixed maturity date and can be redeemed in the fourth quarters of 2024, 2025 and 2026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we are required to purchase the remaining interests of NG Sun LLC and the property management agreement at fair value. The Equity Interest - NG Sun LLC balance was $22.3 million at the six months ended June 30, 2021 and year ended December 31, 2020. Refer to Note 7, "Consolidated Variable Interest Entities," and Note 8, "Debt and Line of Credit,"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Conversions to Common Stock </w:t>
      </w:r>
      <w:r>
        <w:rPr>
          <w:rFonts w:ascii="Arial" w:cs="Arial" w:eastAsia="Arial" w:hAnsi="Arial"/>
          <w:sz w:val="18"/>
          <w:szCs w:val="18"/>
          <w:color w:val="auto"/>
        </w:rPr>
        <w:t>- 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six months ended June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ind w:left="720"/>
              <w:spacing w:after="0"/>
              <w:rPr>
                <w:sz w:val="20"/>
                <w:szCs w:val="20"/>
                <w:color w:val="auto"/>
              </w:rPr>
            </w:pPr>
            <w:r>
              <w:rPr>
                <w:rFonts w:ascii="Arial" w:cs="Arial" w:eastAsia="Arial" w:hAnsi="Arial"/>
                <w:sz w:val="15"/>
                <w:szCs w:val="15"/>
                <w:b w:val="1"/>
                <w:bCs w:val="1"/>
                <w:color w:val="auto"/>
              </w:rPr>
              <w:t>Six Months Ended</w:t>
            </w:r>
          </w:p>
        </w:tc>
        <w:tc>
          <w:tcPr>
            <w:tcW w:w="2680" w:type="dxa"/>
            <w:vAlign w:val="bottom"/>
            <w:gridSpan w:val="2"/>
          </w:tcPr>
          <w:p>
            <w:pPr>
              <w:jc w:val="right"/>
              <w:ind w:right="66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auto"/>
            </w:tcBorders>
            <w:gridSpan w:val="2"/>
          </w:tcPr>
          <w:p>
            <w:pPr>
              <w:jc w:val="right"/>
              <w:ind w:right="804"/>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824"/>
              <w:spacing w:after="0"/>
              <w:rPr>
                <w:sz w:val="20"/>
                <w:szCs w:val="20"/>
                <w:color w:val="auto"/>
              </w:rPr>
            </w:pPr>
            <w:r>
              <w:rPr>
                <w:rFonts w:ascii="Arial" w:cs="Arial" w:eastAsia="Arial" w:hAnsi="Arial"/>
                <w:sz w:val="15"/>
                <w:szCs w:val="15"/>
                <w:b w:val="1"/>
                <w:bCs w:val="1"/>
                <w:color w:val="auto"/>
              </w:rPr>
              <w:t>June 30, 2020</w:t>
            </w:r>
          </w:p>
        </w:tc>
        <w:tc>
          <w:tcPr>
            <w:tcW w:w="0" w:type="dxa"/>
            <w:vAlign w:val="bottom"/>
          </w:tcPr>
          <w:p>
            <w:pPr>
              <w:spacing w:after="0"/>
              <w:rPr>
                <w:sz w:val="1"/>
                <w:szCs w:val="1"/>
                <w:color w:val="auto"/>
              </w:rPr>
            </w:pPr>
          </w:p>
        </w:tc>
      </w:tr>
      <w:tr>
        <w:trPr>
          <w:trHeight w:val="146"/>
        </w:trPr>
        <w:tc>
          <w:tcPr>
            <w:tcW w:w="4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00" w:type="dxa"/>
            <w:vAlign w:val="bottom"/>
            <w:vMerge w:val="restart"/>
          </w:tcPr>
          <w:p>
            <w:pPr>
              <w:spacing w:after="0"/>
              <w:rPr>
                <w:sz w:val="12"/>
                <w:szCs w:val="12"/>
                <w:color w:val="auto"/>
              </w:rPr>
            </w:pPr>
          </w:p>
        </w:tc>
        <w:tc>
          <w:tcPr>
            <w:tcW w:w="13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120" w:type="dxa"/>
            <w:vAlign w:val="bottom"/>
            <w:vMerge w:val="restart"/>
          </w:tcPr>
          <w:p>
            <w:pPr>
              <w:spacing w:after="0"/>
              <w:rPr>
                <w:sz w:val="12"/>
                <w:szCs w:val="12"/>
                <w:color w:val="auto"/>
              </w:rPr>
            </w:pPr>
          </w:p>
        </w:tc>
        <w:tc>
          <w:tcPr>
            <w:tcW w:w="1340" w:type="dxa"/>
            <w:vAlign w:val="bottom"/>
          </w:tcPr>
          <w:p>
            <w:pPr>
              <w:jc w:val="right"/>
              <w:ind w:right="164"/>
              <w:spacing w:after="0" w:line="146" w:lineRule="exact"/>
              <w:rPr>
                <w:sz w:val="20"/>
                <w:szCs w:val="20"/>
                <w:color w:val="auto"/>
              </w:rPr>
            </w:pPr>
            <w:r>
              <w:rPr>
                <w:rFonts w:ascii="Arial" w:cs="Arial" w:eastAsia="Arial" w:hAnsi="Arial"/>
                <w:sz w:val="15"/>
                <w:szCs w:val="15"/>
                <w:b w:val="1"/>
                <w:bCs w:val="1"/>
                <w:color w:val="auto"/>
              </w:rPr>
              <w:t>Units / Shares</w:t>
            </w:r>
          </w:p>
        </w:tc>
        <w:tc>
          <w:tcPr>
            <w:tcW w:w="13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3"/>
              </w:rPr>
              <w:t>Common Stock</w:t>
            </w:r>
            <w:r>
              <w:rPr>
                <w:rFonts w:ascii="Arial" w:cs="Arial" w:eastAsia="Arial" w:hAnsi="Arial"/>
                <w:sz w:val="19"/>
                <w:szCs w:val="19"/>
                <w:b w:val="1"/>
                <w:bCs w:val="1"/>
                <w:color w:val="auto"/>
                <w:w w:val="93"/>
                <w:vertAlign w:val="superscript"/>
              </w:rPr>
              <w:t>(1)</w:t>
            </w:r>
          </w:p>
        </w:tc>
        <w:tc>
          <w:tcPr>
            <w:tcW w:w="100" w:type="dxa"/>
            <w:vAlign w:val="bottom"/>
            <w:vMerge w:val="restart"/>
          </w:tcPr>
          <w:p>
            <w:pPr>
              <w:spacing w:after="0"/>
              <w:rPr>
                <w:sz w:val="12"/>
                <w:szCs w:val="12"/>
                <w:color w:val="auto"/>
              </w:rPr>
            </w:pPr>
          </w:p>
        </w:tc>
        <w:tc>
          <w:tcPr>
            <w:tcW w:w="1360" w:type="dxa"/>
            <w:vAlign w:val="bottom"/>
          </w:tcPr>
          <w:p>
            <w:pPr>
              <w:jc w:val="right"/>
              <w:ind w:right="164"/>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b w:val="1"/>
                <w:bCs w:val="1"/>
                <w:color w:val="auto"/>
                <w:w w:val="95"/>
                <w:vertAlign w:val="superscript"/>
              </w:rPr>
              <w:t>(1)</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Converted</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37,862</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26,105</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26,105</w:t>
            </w:r>
          </w:p>
        </w:tc>
        <w:tc>
          <w:tcPr>
            <w:tcW w:w="0" w:type="dxa"/>
            <w:vAlign w:val="bottom"/>
          </w:tcPr>
          <w:p>
            <w:pPr>
              <w:spacing w:after="0"/>
              <w:rPr>
                <w:sz w:val="1"/>
                <w:szCs w:val="1"/>
                <w:color w:val="auto"/>
              </w:rPr>
            </w:pPr>
          </w:p>
        </w:tc>
      </w:tr>
      <w:tr>
        <w:trPr>
          <w:trHeight w:val="195"/>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320" w:type="dxa"/>
            <w:vAlign w:val="bottom"/>
          </w:tcPr>
          <w:p>
            <w:pPr>
              <w:jc w:val="right"/>
              <w:spacing w:after="0"/>
              <w:rPr>
                <w:sz w:val="20"/>
                <w:szCs w:val="20"/>
                <w:color w:val="auto"/>
              </w:rPr>
            </w:pPr>
            <w:r>
              <w:rPr>
                <w:rFonts w:ascii="Arial" w:cs="Arial" w:eastAsia="Arial" w:hAnsi="Arial"/>
                <w:sz w:val="15"/>
                <w:szCs w:val="15"/>
                <w:color w:val="auto"/>
              </w:rPr>
              <w:t>2.4390</w:t>
            </w:r>
          </w:p>
        </w:tc>
        <w:tc>
          <w:tcPr>
            <w:tcW w:w="120" w:type="dxa"/>
            <w:vAlign w:val="bottom"/>
          </w:tcPr>
          <w:p>
            <w:pPr>
              <w:spacing w:after="0"/>
              <w:rPr>
                <w:sz w:val="16"/>
                <w:szCs w:val="16"/>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6,610</w:t>
            </w:r>
          </w:p>
        </w:tc>
        <w:tc>
          <w:tcPr>
            <w:tcW w:w="1300" w:type="dxa"/>
            <w:vAlign w:val="bottom"/>
          </w:tcPr>
          <w:p>
            <w:pPr>
              <w:jc w:val="right"/>
              <w:spacing w:after="0"/>
              <w:rPr>
                <w:sz w:val="20"/>
                <w:szCs w:val="20"/>
                <w:color w:val="auto"/>
              </w:rPr>
            </w:pPr>
            <w:r>
              <w:rPr>
                <w:rFonts w:ascii="Arial" w:cs="Arial" w:eastAsia="Arial" w:hAnsi="Arial"/>
                <w:sz w:val="15"/>
                <w:szCs w:val="15"/>
                <w:color w:val="auto"/>
              </w:rPr>
              <w:t>16,119</w:t>
            </w:r>
          </w:p>
        </w:tc>
        <w:tc>
          <w:tcPr>
            <w:tcW w:w="100" w:type="dxa"/>
            <w:vAlign w:val="bottom"/>
          </w:tcPr>
          <w:p>
            <w:pPr>
              <w:spacing w:after="0"/>
              <w:rPr>
                <w:sz w:val="16"/>
                <w:szCs w:val="16"/>
                <w:color w:val="auto"/>
              </w:rPr>
            </w:pP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9,114</w:t>
            </w:r>
          </w:p>
        </w:tc>
        <w:tc>
          <w:tcPr>
            <w:tcW w:w="1320" w:type="dxa"/>
            <w:vAlign w:val="bottom"/>
          </w:tcPr>
          <w:p>
            <w:pPr>
              <w:jc w:val="right"/>
              <w:spacing w:after="0"/>
              <w:rPr>
                <w:sz w:val="20"/>
                <w:szCs w:val="20"/>
                <w:color w:val="auto"/>
              </w:rPr>
            </w:pPr>
            <w:r>
              <w:rPr>
                <w:rFonts w:ascii="Arial" w:cs="Arial" w:eastAsia="Arial" w:hAnsi="Arial"/>
                <w:sz w:val="15"/>
                <w:szCs w:val="15"/>
                <w:color w:val="auto"/>
              </w:rPr>
              <w:t>22,226</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June 30, 2021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Distributions</w:t>
            </w:r>
          </w:p>
        </w:tc>
        <w:tc>
          <w:tcPr>
            <w:tcW w:w="14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Record Date</w:t>
            </w:r>
          </w:p>
        </w:tc>
        <w:tc>
          <w:tcPr>
            <w:tcW w:w="100" w:type="dxa"/>
            <w:vAlign w:val="bottom"/>
            <w:vMerge w:val="restart"/>
          </w:tcPr>
          <w:p>
            <w:pPr>
              <w:spacing w:after="0"/>
              <w:rPr>
                <w:sz w:val="15"/>
                <w:szCs w:val="15"/>
                <w:color w:val="auto"/>
              </w:rPr>
            </w:pPr>
          </w:p>
        </w:tc>
        <w:tc>
          <w:tcPr>
            <w:tcW w:w="14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Payment Date</w:t>
            </w:r>
          </w:p>
        </w:tc>
        <w:tc>
          <w:tcPr>
            <w:tcW w:w="10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Distribution Per</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Total Distribution (in</w:t>
            </w:r>
          </w:p>
        </w:tc>
        <w:tc>
          <w:tcPr>
            <w:tcW w:w="0" w:type="dxa"/>
            <w:vAlign w:val="bottom"/>
          </w:tcPr>
          <w:p>
            <w:pPr>
              <w:spacing w:after="0"/>
              <w:rPr>
                <w:sz w:val="1"/>
                <w:szCs w:val="1"/>
                <w:color w:val="auto"/>
              </w:rPr>
            </w:pPr>
          </w:p>
        </w:tc>
      </w:tr>
      <w:tr>
        <w:trPr>
          <w:trHeight w:val="200"/>
        </w:trPr>
        <w:tc>
          <w:tcPr>
            <w:tcW w:w="50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89"/>
              </w:rPr>
              <w:t>Thousands)</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Common OP units and Restricted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6/30/2021</w:t>
            </w:r>
          </w:p>
        </w:tc>
        <w:tc>
          <w:tcPr>
            <w:tcW w:w="1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7/15/2021  $</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2021,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and 2020, shares were granted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b w:val="1"/>
                <w:bCs w:val="1"/>
                <w:color w:val="auto"/>
                <w:w w:val="96"/>
              </w:rPr>
              <w:t>Grant Date</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Vesting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Grant Period</w:t>
            </w:r>
          </w:p>
        </w:tc>
        <w:tc>
          <w:tcPr>
            <w:tcW w:w="100" w:type="dxa"/>
            <w:vAlign w:val="bottom"/>
            <w:vMerge w:val="restart"/>
          </w:tcPr>
          <w:p>
            <w:pPr>
              <w:spacing w:after="0"/>
              <w:rPr>
                <w:sz w:val="12"/>
                <w:szCs w:val="12"/>
                <w:color w:val="auto"/>
              </w:rPr>
            </w:pPr>
          </w:p>
        </w:tc>
        <w:tc>
          <w:tcPr>
            <w:tcW w:w="142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Type</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vMerge w:val="restart"/>
          </w:tcPr>
          <w:p>
            <w:pPr>
              <w:ind w:left="560"/>
              <w:spacing w:after="0"/>
              <w:rPr>
                <w:sz w:val="20"/>
                <w:szCs w:val="20"/>
                <w:color w:val="auto"/>
              </w:rPr>
            </w:pPr>
            <w:r>
              <w:rPr>
                <w:rFonts w:ascii="Arial" w:cs="Arial" w:eastAsia="Arial" w:hAnsi="Arial"/>
                <w:sz w:val="15"/>
                <w:szCs w:val="15"/>
                <w:b w:val="1"/>
                <w:bCs w:val="1"/>
                <w:color w:val="auto"/>
              </w:rPr>
              <w:t>Plan</w:t>
            </w:r>
          </w:p>
        </w:tc>
        <w:tc>
          <w:tcPr>
            <w:tcW w:w="12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5"/>
              </w:rPr>
              <w:t>Fair Value Per</w:t>
            </w:r>
          </w:p>
        </w:tc>
        <w:tc>
          <w:tcPr>
            <w:tcW w:w="280" w:type="dxa"/>
            <w:vAlign w:val="bottom"/>
          </w:tcPr>
          <w:p>
            <w:pPr>
              <w:spacing w:after="0"/>
              <w:rPr>
                <w:sz w:val="12"/>
                <w:szCs w:val="12"/>
                <w:color w:val="auto"/>
              </w:rPr>
            </w:pPr>
          </w:p>
        </w:tc>
        <w:tc>
          <w:tcPr>
            <w:tcW w:w="142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Vesting Type</w:t>
            </w:r>
          </w:p>
        </w:tc>
        <w:tc>
          <w:tcPr>
            <w:tcW w:w="140" w:type="dxa"/>
            <w:vAlign w:val="bottom"/>
            <w:vMerge w:val="restart"/>
          </w:tcPr>
          <w:p>
            <w:pPr>
              <w:spacing w:after="0"/>
              <w:rPr>
                <w:sz w:val="12"/>
                <w:szCs w:val="12"/>
                <w:color w:val="auto"/>
              </w:rPr>
            </w:pPr>
          </w:p>
        </w:tc>
        <w:tc>
          <w:tcPr>
            <w:tcW w:w="1180" w:type="dxa"/>
            <w:vAlign w:val="bottom"/>
            <w:vMerge w:val="continue"/>
          </w:tcPr>
          <w:p>
            <w:pPr>
              <w:spacing w:after="0"/>
              <w:rPr>
                <w:sz w:val="12"/>
                <w:szCs w:val="12"/>
                <w:color w:val="auto"/>
              </w:rPr>
            </w:pPr>
          </w:p>
        </w:tc>
        <w:tc>
          <w:tcPr>
            <w:tcW w:w="11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200"/>
        </w:trPr>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Granted</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Anniversary</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3"/>
                <w:szCs w:val="13"/>
                <w:color w:val="auto"/>
              </w:rPr>
            </w:pPr>
          </w:p>
        </w:tc>
        <w:tc>
          <w:tcPr>
            <w:tcW w:w="152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line="156"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56" w:lineRule="exact"/>
              <w:rPr>
                <w:sz w:val="20"/>
                <w:szCs w:val="20"/>
                <w:color w:val="auto"/>
              </w:rPr>
            </w:pPr>
            <w:r>
              <w:rPr>
                <w:rFonts w:ascii="Arial" w:cs="Arial" w:eastAsia="Arial" w:hAnsi="Arial"/>
                <w:sz w:val="15"/>
                <w:szCs w:val="15"/>
                <w:color w:val="auto"/>
              </w:rPr>
              <w:t>54,000</w:t>
            </w:r>
          </w:p>
        </w:tc>
        <w:tc>
          <w:tcPr>
            <w:tcW w:w="28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56" w:lineRule="exact"/>
              <w:rPr>
                <w:sz w:val="20"/>
                <w:szCs w:val="20"/>
                <w:color w:val="auto"/>
              </w:rPr>
            </w:pPr>
            <w:r>
              <w:rPr>
                <w:rFonts w:ascii="Arial" w:cs="Arial" w:eastAsia="Arial" w:hAnsi="Arial"/>
                <w:sz w:val="15"/>
                <w:szCs w:val="15"/>
                <w:color w:val="auto"/>
              </w:rPr>
              <w:t>151.89</w:t>
            </w:r>
          </w:p>
        </w:tc>
        <w:tc>
          <w:tcPr>
            <w:tcW w:w="280" w:type="dxa"/>
            <w:vAlign w:val="bottom"/>
            <w:vMerge w:val="continue"/>
          </w:tcPr>
          <w:p>
            <w:pPr>
              <w:spacing w:after="0"/>
              <w:rPr>
                <w:sz w:val="13"/>
                <w:szCs w:val="13"/>
                <w:color w:val="auto"/>
              </w:rPr>
            </w:pPr>
          </w:p>
        </w:tc>
        <w:tc>
          <w:tcPr>
            <w:tcW w:w="156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56"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81,000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94.32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87.49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(3)</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28,856</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151.89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33.3% annually over 3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61,550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143.28</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3,400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96.41</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(4)</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1"/>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1,509</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147.19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40" w:type="dxa"/>
            <w:vAlign w:val="bottom"/>
          </w:tcPr>
          <w:p>
            <w:pPr>
              <w:jc w:val="center"/>
              <w:spacing w:after="0" w:line="157" w:lineRule="exact"/>
              <w:rPr>
                <w:sz w:val="20"/>
                <w:szCs w:val="20"/>
                <w:color w:val="auto"/>
              </w:rPr>
            </w:pPr>
            <w:r>
              <w:rPr>
                <w:rFonts w:ascii="Arial" w:cs="Arial" w:eastAsia="Arial" w:hAnsi="Arial"/>
                <w:sz w:val="15"/>
                <w:szCs w:val="15"/>
                <w:color w:val="auto"/>
                <w:w w:val="89"/>
              </w:rPr>
              <w:t>2021</w:t>
            </w:r>
          </w:p>
        </w:tc>
        <w:tc>
          <w:tcPr>
            <w:tcW w:w="100" w:type="dxa"/>
            <w:vAlign w:val="bottom"/>
          </w:tcPr>
          <w:p>
            <w:pPr>
              <w:spacing w:after="0"/>
              <w:rPr>
                <w:sz w:val="13"/>
                <w:szCs w:val="13"/>
                <w:color w:val="auto"/>
              </w:rPr>
            </w:pPr>
          </w:p>
        </w:tc>
        <w:tc>
          <w:tcPr>
            <w:tcW w:w="152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line="157" w:lineRule="exact"/>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line="157" w:lineRule="exact"/>
              <w:rPr>
                <w:sz w:val="20"/>
                <w:szCs w:val="20"/>
                <w:color w:val="auto"/>
              </w:rPr>
            </w:pPr>
            <w:r>
              <w:rPr>
                <w:rFonts w:ascii="Arial" w:cs="Arial" w:eastAsia="Arial" w:hAnsi="Arial"/>
                <w:sz w:val="15"/>
                <w:szCs w:val="15"/>
                <w:color w:val="auto"/>
              </w:rPr>
              <w:t>10,200</w:t>
            </w:r>
          </w:p>
        </w:tc>
        <w:tc>
          <w:tcPr>
            <w:tcW w:w="280" w:type="dxa"/>
            <w:vAlign w:val="bottom"/>
          </w:tcPr>
          <w:p>
            <w:pPr>
              <w:spacing w:after="0"/>
              <w:rPr>
                <w:sz w:val="13"/>
                <w:szCs w:val="13"/>
                <w:color w:val="auto"/>
              </w:rPr>
            </w:pPr>
          </w:p>
        </w:tc>
        <w:tc>
          <w:tcPr>
            <w:tcW w:w="120" w:type="dxa"/>
            <w:vAlign w:val="bottom"/>
          </w:tcPr>
          <w:p>
            <w:pPr>
              <w:jc w:val="right"/>
              <w:spacing w:after="0" w:line="157"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57" w:lineRule="exact"/>
              <w:rPr>
                <w:sz w:val="20"/>
                <w:szCs w:val="20"/>
                <w:color w:val="auto"/>
              </w:rPr>
            </w:pPr>
            <w:r>
              <w:rPr>
                <w:rFonts w:ascii="Arial" w:cs="Arial" w:eastAsia="Arial" w:hAnsi="Arial"/>
                <w:sz w:val="15"/>
                <w:szCs w:val="15"/>
                <w:color w:val="auto"/>
              </w:rPr>
              <w:t>148.44</w:t>
            </w:r>
          </w:p>
        </w:tc>
        <w:tc>
          <w:tcPr>
            <w:tcW w:w="280" w:type="dxa"/>
            <w:vAlign w:val="bottom"/>
            <w:vMerge w:val="continue"/>
          </w:tcPr>
          <w:p>
            <w:pPr>
              <w:spacing w:after="0"/>
              <w:rPr>
                <w:sz w:val="13"/>
                <w:szCs w:val="13"/>
                <w:color w:val="auto"/>
              </w:rPr>
            </w:pPr>
          </w:p>
        </w:tc>
        <w:tc>
          <w:tcPr>
            <w:tcW w:w="1560" w:type="dxa"/>
            <w:vAlign w:val="bottom"/>
            <w:gridSpan w:val="2"/>
          </w:tcPr>
          <w:p>
            <w:pPr>
              <w:ind w:left="20"/>
              <w:spacing w:after="0" w:line="157" w:lineRule="exact"/>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line="157" w:lineRule="exact"/>
              <w:rPr>
                <w:sz w:val="20"/>
                <w:szCs w:val="20"/>
                <w:color w:val="auto"/>
              </w:rPr>
            </w:pPr>
            <w:r>
              <w:rPr>
                <w:rFonts w:ascii="Arial" w:cs="Arial" w:eastAsia="Arial" w:hAnsi="Arial"/>
                <w:sz w:val="15"/>
                <w:szCs w:val="15"/>
                <w:color w:val="auto"/>
              </w:rPr>
              <w:t>3rd</w:t>
            </w:r>
          </w:p>
        </w:tc>
        <w:tc>
          <w:tcPr>
            <w:tcW w:w="1160" w:type="dxa"/>
            <w:vAlign w:val="bottom"/>
          </w:tcPr>
          <w:p>
            <w:pPr>
              <w:jc w:val="right"/>
              <w:spacing w:after="0" w:line="157" w:lineRule="exact"/>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vMerge w:val="restart"/>
          </w:tcPr>
          <w:p>
            <w:pPr>
              <w:jc w:val="right"/>
              <w:ind w:right="110"/>
              <w:spacing w:after="0"/>
              <w:rPr>
                <w:sz w:val="20"/>
                <w:szCs w:val="20"/>
                <w:color w:val="auto"/>
              </w:rPr>
            </w:pPr>
            <w:r>
              <w:rPr>
                <w:rFonts w:ascii="Arial" w:cs="Arial" w:eastAsia="Arial" w:hAnsi="Arial"/>
                <w:sz w:val="10"/>
                <w:szCs w:val="10"/>
                <w:color w:val="auto"/>
                <w:w w:val="81"/>
              </w:rPr>
              <w:t>(1)</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40" w:type="dxa"/>
            <w:vAlign w:val="bottom"/>
          </w:tcPr>
          <w:p>
            <w:pPr>
              <w:jc w:val="center"/>
              <w:spacing w:after="0" w:line="168" w:lineRule="exact"/>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4"/>
                <w:szCs w:val="14"/>
                <w:color w:val="auto"/>
              </w:rPr>
            </w:pPr>
          </w:p>
        </w:tc>
        <w:tc>
          <w:tcPr>
            <w:tcW w:w="152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line="168" w:lineRule="exact"/>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line="168" w:lineRule="exact"/>
              <w:rPr>
                <w:sz w:val="20"/>
                <w:szCs w:val="20"/>
                <w:color w:val="auto"/>
              </w:rPr>
            </w:pPr>
            <w:r>
              <w:rPr>
                <w:rFonts w:ascii="Arial" w:cs="Arial" w:eastAsia="Arial" w:hAnsi="Arial"/>
                <w:sz w:val="15"/>
                <w:szCs w:val="15"/>
                <w:color w:val="auto"/>
              </w:rPr>
              <w:t>13,873</w:t>
            </w:r>
          </w:p>
        </w:tc>
        <w:tc>
          <w:tcPr>
            <w:tcW w:w="2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line="168" w:lineRule="exact"/>
              <w:rPr>
                <w:sz w:val="20"/>
                <w:szCs w:val="20"/>
                <w:color w:val="auto"/>
              </w:rPr>
            </w:pPr>
            <w:r>
              <w:rPr>
                <w:rFonts w:ascii="Arial" w:cs="Arial" w:eastAsia="Arial" w:hAnsi="Arial"/>
                <w:sz w:val="15"/>
                <w:szCs w:val="15"/>
                <w:color w:val="auto"/>
              </w:rPr>
              <w:t>140.39</w:t>
            </w:r>
          </w:p>
        </w:tc>
        <w:tc>
          <w:tcPr>
            <w:tcW w:w="280" w:type="dxa"/>
            <w:vAlign w:val="bottom"/>
            <w:vMerge w:val="continue"/>
          </w:tcPr>
          <w:p>
            <w:pPr>
              <w:spacing w:after="0"/>
              <w:rPr>
                <w:sz w:val="14"/>
                <w:szCs w:val="14"/>
                <w:color w:val="auto"/>
              </w:rPr>
            </w:pPr>
          </w:p>
        </w:tc>
        <w:tc>
          <w:tcPr>
            <w:tcW w:w="1560" w:type="dxa"/>
            <w:vAlign w:val="bottom"/>
            <w:gridSpan w:val="2"/>
          </w:tcPr>
          <w:p>
            <w:pPr>
              <w:ind w:left="20"/>
              <w:spacing w:after="0" w:line="168" w:lineRule="exact"/>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line="168" w:lineRule="exact"/>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69,368</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137.63</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1,500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143.20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51,790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162.42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46,000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165.97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69,000</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125.47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(5)</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3"/>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8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10,200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147.97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-1833245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-1576070</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71323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5"/>
          <w:szCs w:val="15"/>
          <w:color w:val="auto"/>
        </w:rPr>
        <w:t>Option Plan</w:t>
      </w:r>
    </w:p>
    <w:p>
      <w:pPr>
        <w:spacing w:after="0" w:line="69"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fair values of the grants were determined by using the average closing price of our common stock on the dates the shares were issued.</w:t>
      </w:r>
    </w:p>
    <w:p>
      <w:pPr>
        <w:spacing w:after="0" w:line="45" w:lineRule="exact"/>
        <w:rPr>
          <w:rFonts w:ascii="Arial" w:cs="Arial" w:eastAsia="Arial" w:hAnsi="Arial"/>
          <w:sz w:val="18"/>
          <w:szCs w:val="18"/>
          <w:color w:val="auto"/>
          <w:vertAlign w:val="superscript"/>
        </w:rPr>
      </w:pPr>
    </w:p>
    <w:p>
      <w:pPr>
        <w:jc w:val="both"/>
        <w:ind w:left="180" w:hanging="172"/>
        <w:spacing w:after="0" w:line="219"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62.1 percent of the 81,000 shares to vest.</w:t>
      </w:r>
    </w:p>
    <w:p>
      <w:pPr>
        <w:spacing w:after="0" w:line="34"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$151.89. Based on the Monte Carlo simulation we expect 57.6 percent of the 15,000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$147.19. Based on the Monte Carlo simulation we expect 65.5 percent of the 5,100 shares to vest.</w:t>
      </w:r>
    </w:p>
    <w:p>
      <w:pPr>
        <w:spacing w:after="0" w:line="35" w:lineRule="exact"/>
        <w:rPr>
          <w:rFonts w:ascii="Arial" w:cs="Arial" w:eastAsia="Arial" w:hAnsi="Arial"/>
          <w:sz w:val="19"/>
          <w:szCs w:val="19"/>
          <w:color w:val="auto"/>
          <w:vertAlign w:val="superscript"/>
        </w:rPr>
      </w:pPr>
    </w:p>
    <w:p>
      <w:pPr>
        <w:jc w:val="both"/>
        <w:ind w:left="180" w:hanging="172"/>
        <w:spacing w:after="0" w:line="224" w:lineRule="auto"/>
        <w:tabs>
          <w:tab w:leader="none" w:pos="167"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percent of the 69,000 shares to vest.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requirements for 285,224 and 248,155 restricted shares granted to our executives, directors and employees were satisfied during the six months ended June 30,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1,500 shares of common stock were issued in connection with the exercise of stock options with net proceeds of less than $0.1 million. There were no stock options outstanding as of June 30, 2021. During the six months ended June 30, 2020, no stock options were exercised.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establishes standards for the way the business enterprises report information about operating segments in its financial statements. As described in Note 1, "Basis of Presentation," Effective January 1, 2021, we transitioned from a two-segment to a three-segment structure as a result of the recent acquisition of Safe Harbor and its internal organization.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MH segment owns, operates, develops, or has an interest in, a portfolio of MH communities and is in the business of acquiring, operating and developing ground up MH communities to provide affordable housing solutions to residents. The MH segment also provides manufactured home sales and leasing services to tenants and prospective tenants of our communities.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RV segment owns, operates, develops, or has an interest in, a portfolio of RV resorts and is in the business of acquiring, operating and developing ground up RV resorts throughout the U.S. and in Canada. It also provides leasing services for vacation rentals within the RV resorts.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marina segment owns, operates, has an interest in a portfolio, and develops marinas, and is in the business of acquiring, and operating marinas throughout the U.S. with the majority of such marinas concentrated in coastal regions and others located in various inland regions.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Hybrid properties are classified to a segment based on the predominant site counts at the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340"/>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Marinas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8"/>
              </w:rPr>
              <w:t>Consolidated</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Marinas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revenues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271,720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166,753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594,205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217,861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79,496</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297,357</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Property operating expenses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111,628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85,968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92,915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290,511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83,431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44,389</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127,820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303,694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134,430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35,107</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169,537</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5"/>
                <w:szCs w:val="15"/>
                <w:b w:val="1"/>
                <w:bCs w:val="1"/>
                <w:color w:val="auto"/>
              </w:rPr>
              <w:t>Adjustments to arrive at net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w w:val="96"/>
              </w:rPr>
              <w:t>Brokerage commissions and other revenues,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6,939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3,274</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(26,527)</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566</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(126,423)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(87,265)</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(1,930)</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(37,681)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(31,428)</w:t>
            </w: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5"/>
              </w:rPr>
              <w:t>Interest on mandatorily redeemable preferred OP</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w w:val="96"/>
              </w:rPr>
              <w:t>Loss on remeasurement of marketable securities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27,494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24,519</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Gain / (loss) on foreign currency translation</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10,374</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Other expense,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remeasurement of notes receivable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line="149" w:lineRule="exact"/>
              <w:rPr>
                <w:sz w:val="20"/>
                <w:szCs w:val="20"/>
                <w:color w:val="auto"/>
              </w:rPr>
            </w:pPr>
            <w:r>
              <w:rPr>
                <w:rFonts w:ascii="Arial" w:cs="Arial" w:eastAsia="Arial" w:hAnsi="Arial"/>
                <w:sz w:val="15"/>
                <w:szCs w:val="15"/>
                <w:color w:val="auto"/>
                <w:w w:val="95"/>
              </w:rPr>
              <w:t>Income from nonconsolidated affiliates (see Note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794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7"/>
              </w:rPr>
              <w:t>(Gain) / loss on remeasurement of investment in</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1,132</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nonconsolidated affiliates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40"/>
              <w:spacing w:after="0"/>
              <w:rPr>
                <w:sz w:val="20"/>
                <w:szCs w:val="20"/>
                <w:color w:val="auto"/>
              </w:rPr>
            </w:pPr>
            <w:r>
              <w:rPr>
                <w:rFonts w:ascii="Arial" w:cs="Arial" w:eastAsia="Arial" w:hAnsi="Arial"/>
                <w:sz w:val="15"/>
                <w:szCs w:val="15"/>
                <w:color w:val="auto"/>
              </w:rPr>
              <w:t>Current tax expense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7"/>
        </w:trPr>
        <w:tc>
          <w:tcPr>
            <w:tcW w:w="3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benefit / (expense) (see Note 12)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rPr>
                <w:sz w:val="20"/>
                <w:szCs w:val="20"/>
                <w:color w:val="auto"/>
              </w:rPr>
            </w:pPr>
            <w:r>
              <w:rPr>
                <w:rFonts w:ascii="Arial" w:cs="Arial" w:eastAsia="Arial" w:hAnsi="Arial"/>
                <w:sz w:val="15"/>
                <w:szCs w:val="15"/>
                <w:b w:val="1"/>
                <w:bCs w:val="1"/>
                <w:color w:val="auto"/>
              </w:rPr>
              <w:t>Net Income</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120,849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63,355</w:t>
            </w: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w w:val="97"/>
              </w:rPr>
              <w:t>Less: Preferred return to preferred OP units /</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3,035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360"/>
              <w:spacing w:after="0" w:line="149" w:lineRule="exact"/>
              <w:rPr>
                <w:sz w:val="20"/>
                <w:szCs w:val="20"/>
                <w:color w:val="auto"/>
              </w:rPr>
            </w:pPr>
            <w:r>
              <w:rPr>
                <w:rFonts w:ascii="Arial" w:cs="Arial" w:eastAsia="Arial" w:hAnsi="Arial"/>
                <w:sz w:val="15"/>
                <w:szCs w:val="15"/>
                <w:color w:val="auto"/>
              </w:rPr>
              <w:t>Less: Income attributable to noncontrolling</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7,044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2,861</w:t>
            </w: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interests</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b w:val="1"/>
                <w:bCs w:val="1"/>
                <w:color w:val="auto"/>
                <w:w w:val="96"/>
              </w:rPr>
              <w:t>Net Income Attributable to Sun Communities,</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110,770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58,910</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Inc. Common Stockholders</w:t>
            </w: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Six Months Ended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320"/>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Marinas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Marinas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517,690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258,619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251,320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1,027,629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439,022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162,374</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601,396</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9"/>
              </w:rPr>
              <w:t>208,318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138,064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157,111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503,493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9"/>
              </w:rPr>
              <w:t>168,502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87,049</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255,551</w:t>
            </w:r>
          </w:p>
        </w:tc>
        <w:tc>
          <w:tcPr>
            <w:tcW w:w="0" w:type="dxa"/>
            <w:vAlign w:val="bottom"/>
          </w:tcPr>
          <w:p>
            <w:pPr>
              <w:spacing w:after="0"/>
              <w:rPr>
                <w:sz w:val="1"/>
                <w:szCs w:val="1"/>
                <w:color w:val="auto"/>
              </w:rPr>
            </w:pPr>
          </w:p>
        </w:tc>
      </w:tr>
      <w:tr>
        <w:trPr>
          <w:trHeight w:val="200"/>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Operating Income / Gross Profit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309,372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120,555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524,136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9"/>
              </w:rPr>
              <w:t>270,520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75,325</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345,845</w:t>
            </w:r>
          </w:p>
        </w:tc>
        <w:tc>
          <w:tcPr>
            <w:tcW w:w="0" w:type="dxa"/>
            <w:vAlign w:val="bottom"/>
          </w:tcPr>
          <w:p>
            <w:pPr>
              <w:spacing w:after="0"/>
              <w:rPr>
                <w:sz w:val="1"/>
                <w:szCs w:val="1"/>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5"/>
                <w:szCs w:val="15"/>
                <w:color w:val="auto"/>
              </w:rPr>
              <w:t>Adjustments to arrive at net income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w w:val="99"/>
              </w:rPr>
              <w:t>Brokerage commissions and other revenues,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12,899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(51,876)</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(249,727)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(170,954)</w:t>
            </w: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(77,198)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(63,844)</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7"/>
              </w:rPr>
              <w:t>Interest on mandatorily redeemable preferred OP</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(2,083)</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line="149" w:lineRule="exact"/>
              <w:rPr>
                <w:sz w:val="20"/>
                <w:szCs w:val="20"/>
                <w:color w:val="auto"/>
              </w:rPr>
            </w:pPr>
            <w:r>
              <w:rPr>
                <w:rFonts w:ascii="Arial" w:cs="Arial" w:eastAsia="Arial" w:hAnsi="Arial"/>
                <w:sz w:val="15"/>
                <w:szCs w:val="15"/>
                <w:color w:val="auto"/>
              </w:rPr>
              <w:t>Gain / (loss) on remeasurement of marketable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31,155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(4,128)</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rPr>
              <w:t>securities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foreign currency translation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(7,105)</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5"/>
                <w:szCs w:val="15"/>
                <w:color w:val="auto"/>
              </w:rPr>
              <w:t>Other expense,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(1,793)</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Gain / (loss) on remeasurement of notes receivable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5"/>
                <w:szCs w:val="15"/>
                <w:color w:val="auto"/>
                <w:w w:val="93"/>
              </w:rPr>
              <w:t>Income from nonconsolidated affiliates (see Note 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Loss on remeasurement of investment in</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nonconsolidated affiliates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5"/>
                <w:szCs w:val="15"/>
                <w:color w:val="auto"/>
              </w:rPr>
              <w:t>Current tax expense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benefit (see Note 12)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92"/>
        </w:trPr>
        <w:tc>
          <w:tcPr>
            <w:tcW w:w="3360" w:type="dxa"/>
            <w:vAlign w:val="bottom"/>
          </w:tcPr>
          <w:p>
            <w:pPr>
              <w:ind w:left="140"/>
              <w:spacing w:after="0"/>
              <w:rPr>
                <w:sz w:val="20"/>
                <w:szCs w:val="20"/>
                <w:color w:val="auto"/>
              </w:rPr>
            </w:pPr>
            <w:r>
              <w:rPr>
                <w:rFonts w:ascii="Arial" w:cs="Arial" w:eastAsia="Arial" w:hAnsi="Arial"/>
                <w:sz w:val="15"/>
                <w:szCs w:val="15"/>
                <w:b w:val="1"/>
                <w:bCs w:val="1"/>
                <w:color w:val="auto"/>
              </w:rPr>
              <w:t>Net Income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148,790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47,877</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Less: Preferred return to preferred OP units /</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5,899</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3,154</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tcPr>
          <w:p>
            <w:pPr>
              <w:ind w:left="360"/>
              <w:spacing w:after="0" w:line="149" w:lineRule="exact"/>
              <w:rPr>
                <w:sz w:val="20"/>
                <w:szCs w:val="20"/>
                <w:color w:val="auto"/>
              </w:rPr>
            </w:pPr>
            <w:r>
              <w:rPr>
                <w:rFonts w:ascii="Arial" w:cs="Arial" w:eastAsia="Arial" w:hAnsi="Arial"/>
                <w:sz w:val="15"/>
                <w:szCs w:val="15"/>
                <w:color w:val="auto"/>
              </w:rPr>
              <w:t>Less: Income attributable to noncontrolling</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7,339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1,899</w:t>
            </w:r>
          </w:p>
        </w:tc>
        <w:tc>
          <w:tcPr>
            <w:tcW w:w="0" w:type="dxa"/>
            <w:vAlign w:val="bottom"/>
          </w:tcPr>
          <w:p>
            <w:pPr>
              <w:spacing w:after="0"/>
              <w:rPr>
                <w:sz w:val="1"/>
                <w:szCs w:val="1"/>
                <w:color w:val="auto"/>
              </w:rPr>
            </w:pPr>
          </w:p>
        </w:tc>
      </w:tr>
      <w:tr>
        <w:trPr>
          <w:trHeight w:val="198"/>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interests</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b w:val="1"/>
                <w:bCs w:val="1"/>
                <w:color w:val="auto"/>
                <w:w w:val="98"/>
              </w:rPr>
              <w:t>Net Income Attributable to Sun Communities,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135,552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Inc. Common Stockholders</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Recast to reflect segment changes.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5"/>
                <w:szCs w:val="15"/>
                <w:b w:val="1"/>
                <w:bCs w:val="1"/>
                <w:color w:val="auto"/>
                <w:w w:val="92"/>
              </w:rPr>
              <w:t>June 30, 2021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December 31, 2020</w:t>
            </w:r>
            <w:r>
              <w:rPr>
                <w:rFonts w:ascii="Arial" w:cs="Arial" w:eastAsia="Arial" w:hAnsi="Arial"/>
                <w:sz w:val="19"/>
                <w:szCs w:val="19"/>
                <w:b w:val="1"/>
                <w:bCs w:val="1"/>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Arial" w:cs="Arial" w:eastAsia="Arial" w:hAnsi="Arial"/>
                <w:sz w:val="15"/>
                <w:szCs w:val="15"/>
                <w:b w:val="1"/>
                <w:bCs w:val="1"/>
                <w:color w:val="auto"/>
                <w:w w:val="88"/>
              </w:rPr>
              <w:t>Consolidated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MH</w:t>
            </w:r>
          </w:p>
        </w:tc>
        <w:tc>
          <w:tcPr>
            <w:tcW w:w="20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RV</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Marinas</w:t>
            </w:r>
          </w:p>
        </w:tc>
        <w:tc>
          <w:tcPr>
            <w:tcW w:w="10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Investment property, net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4,815,014</w:t>
            </w:r>
          </w:p>
        </w:tc>
        <w:tc>
          <w:tcPr>
            <w:tcW w:w="8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3,251,466</w:t>
            </w:r>
          </w:p>
        </w:tc>
        <w:tc>
          <w:tcPr>
            <w:tcW w:w="8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2,327,572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10,394,052</w:t>
            </w:r>
          </w:p>
        </w:tc>
        <w:tc>
          <w:tcPr>
            <w:tcW w:w="1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4,823,174</w:t>
            </w: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3,038,686</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1,853,931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9,715,791</w:t>
            </w: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Cash, cash equivalents and</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61,163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33,278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25,171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119,612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53,152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28,919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10,570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99,119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53,930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153,049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80,776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43,950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Inventory of manufactured homes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43,686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33,448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46,643</w:t>
            </w: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Notes and other receivables,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167,642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55,027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39,664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262,333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144,027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33,621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221,650</w:t>
            </w:r>
          </w:p>
        </w:tc>
        <w:tc>
          <w:tcPr>
            <w:tcW w:w="0" w:type="dxa"/>
            <w:vAlign w:val="bottom"/>
          </w:tcPr>
          <w:p>
            <w:pPr>
              <w:spacing w:after="0"/>
              <w:rPr>
                <w:sz w:val="1"/>
                <w:szCs w:val="1"/>
                <w:color w:val="auto"/>
              </w:rPr>
            </w:pPr>
          </w:p>
        </w:tc>
      </w:tr>
      <w:tr>
        <w:trPr>
          <w:trHeight w:val="207"/>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448,317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428,833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428,833</w:t>
            </w:r>
          </w:p>
        </w:tc>
        <w:tc>
          <w:tcPr>
            <w:tcW w:w="0" w:type="dxa"/>
            <w:vAlign w:val="bottom"/>
          </w:tcPr>
          <w:p>
            <w:pPr>
              <w:spacing w:after="0"/>
              <w:rPr>
                <w:sz w:val="1"/>
                <w:szCs w:val="1"/>
                <w:color w:val="auto"/>
              </w:rPr>
            </w:pPr>
          </w:p>
        </w:tc>
      </w:tr>
      <w:tr>
        <w:trPr>
          <w:trHeight w:val="198"/>
        </w:trPr>
        <w:tc>
          <w:tcPr>
            <w:tcW w:w="2380" w:type="dxa"/>
            <w:vAlign w:val="bottom"/>
          </w:tcPr>
          <w:p>
            <w:pPr>
              <w:ind w:left="140"/>
              <w:spacing w:after="0"/>
              <w:rPr>
                <w:sz w:val="20"/>
                <w:szCs w:val="20"/>
                <w:color w:val="auto"/>
              </w:rPr>
            </w:pPr>
            <w:r>
              <w:rPr>
                <w:rFonts w:ascii="Arial" w:cs="Arial" w:eastAsia="Arial" w:hAnsi="Arial"/>
                <w:sz w:val="15"/>
                <w:szCs w:val="15"/>
                <w:color w:val="auto"/>
              </w:rPr>
              <w:t>Other intangible assets, net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29,394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23,601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242,668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295,663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33,998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23,819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247,794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305,611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181,702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45,797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96,779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324,278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184,917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47,699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270,691</w:t>
            </w:r>
          </w:p>
        </w:tc>
        <w:tc>
          <w:tcPr>
            <w:tcW w:w="0" w:type="dxa"/>
            <w:vAlign w:val="bottom"/>
          </w:tcPr>
          <w:p>
            <w:pPr>
              <w:spacing w:after="0"/>
              <w:rPr>
                <w:sz w:val="1"/>
                <w:szCs w:val="1"/>
                <w:color w:val="auto"/>
              </w:rPr>
            </w:pPr>
          </w:p>
        </w:tc>
      </w:tr>
      <w:tr>
        <w:trPr>
          <w:trHeight w:val="200"/>
        </w:trPr>
        <w:tc>
          <w:tcPr>
            <w:tcW w:w="23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5,387,098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3,473,721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3,180,171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12,040,990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5,353,492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3,230,646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2,622,448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11,206,586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9"/>
          <w:szCs w:val="9"/>
          <w:color w:val="auto"/>
        </w:rPr>
      </w:pPr>
      <w:r>
        <w:rPr>
          <w:rFonts w:ascii="Arial" w:cs="Arial" w:eastAsia="Arial" w:hAnsi="Arial"/>
          <w:sz w:val="14"/>
          <w:szCs w:val="14"/>
          <w:color w:val="auto"/>
        </w:rPr>
        <w:t>Recast to reflect segment changes.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six months ended June 30,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and depreciation and basis differences between tax and GAAP. Our deferred tax assets that have a full valuation allowance relate to our taxable REIT subsidiaries. Net deferred tax liabilities of $20.4 million and $20.5 million for Canadian entities have been recorded in relation to corporate entities and included in other liabilities in our Consolidated Balance Sheets as of June 30, 2021 and December 31, 2020, respectively. U.S. federal deferred tax liabilities of $0.1 million have been recorded and included in our Consolidated Balance Sheets as of June 30, 2021 and December 31, 2020.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June 30, 2021 and 2020. We do not expect significant changes in tax positions that would result in unrecognized tax benefits within one year of June 30,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June 30, 2021 we recorded a current tax expense for federal, state, and Canadian income taxes and Australian withholding taxes of $1.2 million and $1.0 million, respectively. For the three and six months ended June 30, 2020 we recorded a current tax expense for federal, state and Canadian income taxes of $0.1 million and $0.6 million, respectively.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months ended June 30, 2021 we recorded a deferred tax expense of $66.0 thousand and a deferred tax benefit of $0.1 million, respectively. For the three and six months ended June 30, 2020 we recorded a deferred tax benefit of $0.1 million and $0.2 million,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Earnings per share is computed by dividing net income by the weighted average number of common shares outstanding during the period on a basic and diluted basis. We calculate diluted earnings per share using the more dilutive of the treasury stock method and the two-class method.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until settlement. The common shares issued upon the settlement of the forward equity sales agreements, weighted for the period these common shares are outstanding, are usually included in the denominator of basic EPS. To determine the dilution resulting from the forward equity sales agreements during the period of time prior to settlement, we calculate the number of weighted-average shares outstanding - diluted.</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potentially dilutive securities include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I preferred OP units, Series J preferred OP units and Aspen preferred OP Units, which, if converted or exercised, may impact dilution.</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earnings per share considers the impact of potentially dilutive securities except when the potential common shares have an antidilutive effect. Our unvested restricted stock common shares contain rights to receive non-forfeitable dividends and participate equally with common stock with respect to dividends issued or declared, and thus, are participating securities, requiring the two-class method of computing earnings per share. The two-class method determines earnings per share by dividing the sum of distributed earnings to common stockholders and undistributed earnings allocated to common stockholders by the weighted average number of shares of common stock outstanding for the period. In calculating the two-class method, undistributed earnings are allocated to both common shares and participating securities based on the weighted average number of shares outstanding during the period. The remaining potential dilutive common shares do not contain rights to dividends and are included in the computation of diluted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5"/>
          </w:tcPr>
          <w:p>
            <w:pPr>
              <w:ind w:left="60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7"/>
                <w:szCs w:val="17"/>
                <w:color w:val="auto"/>
              </w:rPr>
            </w:pPr>
          </w:p>
        </w:tc>
        <w:tc>
          <w:tcPr>
            <w:tcW w:w="2760" w:type="dxa"/>
            <w:vAlign w:val="bottom"/>
            <w:gridSpan w:val="6"/>
          </w:tcPr>
          <w:p>
            <w:pPr>
              <w:jc w:val="right"/>
              <w:ind w:right="78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June 30, 2020</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8"/>
              </w:rPr>
              <w:t>June 30, 2020</w:t>
            </w:r>
          </w:p>
        </w:tc>
        <w:tc>
          <w:tcPr>
            <w:tcW w:w="0" w:type="dxa"/>
            <w:vAlign w:val="bottom"/>
          </w:tcPr>
          <w:p>
            <w:pPr>
              <w:spacing w:after="0"/>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Less: allocation to restricted stock awards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color w:val="auto"/>
              </w:rPr>
              <w:t>Basic earnings - Net Income attributable to common stockholders after</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110,079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58,570</w:t>
            </w:r>
          </w:p>
        </w:tc>
        <w:tc>
          <w:tcPr>
            <w:tcW w:w="2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134,723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42,696</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allocation to restricted stock awards</w:t>
            </w:r>
          </w:p>
        </w:tc>
        <w:tc>
          <w:tcPr>
            <w:tcW w:w="16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140"/>
              <w:spacing w:after="0"/>
              <w:rPr>
                <w:sz w:val="20"/>
                <w:szCs w:val="20"/>
                <w:color w:val="auto"/>
              </w:rPr>
            </w:pPr>
            <w:r>
              <w:rPr>
                <w:rFonts w:ascii="Arial" w:cs="Arial" w:eastAsia="Arial" w:hAnsi="Arial"/>
                <w:sz w:val="15"/>
                <w:szCs w:val="15"/>
                <w:color w:val="auto"/>
              </w:rPr>
              <w:t>Add: allocation to restricted stock awards</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allocation to common equity</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8"/>
        </w:trPr>
        <w:tc>
          <w:tcPr>
            <w:tcW w:w="5160" w:type="dxa"/>
            <w:vAlign w:val="bottom"/>
          </w:tcPr>
          <w:p>
            <w:pPr>
              <w:ind w:left="140"/>
              <w:spacing w:after="0" w:line="129" w:lineRule="exact"/>
              <w:rPr>
                <w:sz w:val="20"/>
                <w:szCs w:val="20"/>
                <w:color w:val="auto"/>
              </w:rPr>
            </w:pPr>
            <w:r>
              <w:rPr>
                <w:rFonts w:ascii="Arial" w:cs="Arial" w:eastAsia="Arial" w:hAnsi="Arial"/>
                <w:sz w:val="14"/>
                <w:szCs w:val="14"/>
                <w:color w:val="auto"/>
              </w:rPr>
              <w:t>Diluted earnings - Net Income attributable to common stockholders after</w:t>
            </w:r>
          </w:p>
        </w:tc>
        <w:tc>
          <w:tcPr>
            <w:tcW w:w="1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110,079</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58,570</w:t>
            </w:r>
          </w:p>
        </w:tc>
        <w:tc>
          <w:tcPr>
            <w:tcW w:w="24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137,865</w:t>
            </w: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176"/>
        </w:trPr>
        <w:tc>
          <w:tcPr>
            <w:tcW w:w="5160" w:type="dxa"/>
            <w:vAlign w:val="bottom"/>
          </w:tcPr>
          <w:p>
            <w:pPr>
              <w:ind w:left="140"/>
              <w:spacing w:after="0" w:line="175" w:lineRule="exact"/>
              <w:rPr>
                <w:sz w:val="20"/>
                <w:szCs w:val="20"/>
                <w:color w:val="auto"/>
              </w:rPr>
            </w:pPr>
            <w:r>
              <w:rPr>
                <w:rFonts w:ascii="Arial" w:cs="Arial" w:eastAsia="Arial" w:hAnsi="Arial"/>
                <w:sz w:val="15"/>
                <w:szCs w:val="15"/>
                <w:color w:val="auto"/>
              </w:rPr>
              <w:t>allocation to restricted stock awards</w:t>
            </w:r>
            <w:r>
              <w:rPr>
                <w:rFonts w:ascii="Arial" w:cs="Arial" w:eastAsia="Arial" w:hAnsi="Arial"/>
                <w:sz w:val="19"/>
                <w:szCs w:val="19"/>
                <w:color w:val="auto"/>
                <w:vertAlign w:val="superscript"/>
              </w:rPr>
              <w:t>(1)</w:t>
            </w:r>
          </w:p>
        </w:tc>
        <w:tc>
          <w:tcPr>
            <w:tcW w:w="1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3"/>
        </w:trPr>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95,859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94,134</w:t>
            </w:r>
          </w:p>
        </w:tc>
        <w:tc>
          <w:tcPr>
            <w:tcW w:w="0" w:type="dxa"/>
            <w:vAlign w:val="bottom"/>
          </w:tcPr>
          <w:p>
            <w:pPr>
              <w:spacing w:after="0"/>
              <w:rPr>
                <w:sz w:val="1"/>
                <w:szCs w:val="1"/>
                <w:color w:val="auto"/>
              </w:rPr>
            </w:pPr>
          </w:p>
        </w:tc>
      </w:tr>
      <w:tr>
        <w:trPr>
          <w:trHeight w:val="198"/>
        </w:trPr>
        <w:tc>
          <w:tcPr>
            <w:tcW w:w="5160" w:type="dxa"/>
            <w:vAlign w:val="bottom"/>
          </w:tcPr>
          <w:p>
            <w:pPr>
              <w:ind w:left="140"/>
              <w:spacing w:after="0"/>
              <w:rPr>
                <w:sz w:val="20"/>
                <w:szCs w:val="20"/>
                <w:color w:val="auto"/>
              </w:rPr>
            </w:pPr>
            <w:r>
              <w:rPr>
                <w:rFonts w:ascii="Arial" w:cs="Arial" w:eastAsia="Arial" w:hAnsi="Arial"/>
                <w:sz w:val="15"/>
                <w:szCs w:val="15"/>
                <w:color w:val="auto"/>
              </w:rPr>
              <w:t>Add: dilutive stock options</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dilutive restricted stock</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198"/>
        </w:trPr>
        <w:tc>
          <w:tcPr>
            <w:tcW w:w="5160" w:type="dxa"/>
            <w:vAlign w:val="bottom"/>
          </w:tcPr>
          <w:p>
            <w:pPr>
              <w:ind w:left="140"/>
              <w:spacing w:after="0"/>
              <w:rPr>
                <w:sz w:val="20"/>
                <w:szCs w:val="20"/>
                <w:color w:val="auto"/>
              </w:rPr>
            </w:pPr>
            <w:r>
              <w:rPr>
                <w:rFonts w:ascii="Arial" w:cs="Arial" w:eastAsia="Arial" w:hAnsi="Arial"/>
                <w:sz w:val="15"/>
                <w:szCs w:val="15"/>
                <w:color w:val="auto"/>
              </w:rPr>
              <w:t>Add: common equity</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5160" w:type="dxa"/>
            <w:vAlign w:val="bottom"/>
            <w:tcBorders>
              <w:top w:val="single" w:sz="8" w:color="CCEEFF"/>
              <w:bottom w:val="single" w:sz="8" w:color="CCEEFF"/>
            </w:tcBorders>
            <w:shd w:val="clear" w:color="auto" w:fill="CCEEFF"/>
          </w:tcPr>
          <w:p>
            <w:pPr>
              <w:ind w:left="140"/>
              <w:spacing w:after="0" w:line="200" w:lineRule="exact"/>
              <w:rPr>
                <w:sz w:val="20"/>
                <w:szCs w:val="20"/>
                <w:color w:val="auto"/>
              </w:rPr>
            </w:pPr>
            <w:r>
              <w:rPr>
                <w:rFonts w:ascii="Arial" w:cs="Arial" w:eastAsia="Arial" w:hAnsi="Arial"/>
                <w:sz w:val="15"/>
                <w:szCs w:val="15"/>
                <w:color w:val="auto"/>
              </w:rPr>
              <w:t>Diluted weighted average common shares and securities</w:t>
            </w:r>
            <w:r>
              <w:rPr>
                <w:rFonts w:ascii="Arial" w:cs="Arial" w:eastAsia="Arial" w:hAnsi="Arial"/>
                <w:sz w:val="19"/>
                <w:szCs w:val="19"/>
                <w:color w:val="auto"/>
                <w:vertAlign w:val="superscript"/>
              </w:rPr>
              <w:t>(1)</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95,860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Earnings Per Share Available to Common Stockholders After Allocation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per share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259"/>
        </w:trPr>
        <w:tc>
          <w:tcPr>
            <w:tcW w:w="5160" w:type="dxa"/>
            <w:vAlign w:val="bottom"/>
          </w:tcPr>
          <w:p>
            <w:pPr>
              <w:ind w:left="140"/>
              <w:spacing w:after="0"/>
              <w:rPr>
                <w:sz w:val="20"/>
                <w:szCs w:val="20"/>
                <w:color w:val="auto"/>
              </w:rPr>
            </w:pPr>
            <w:r>
              <w:rPr>
                <w:rFonts w:ascii="Arial" w:cs="Arial" w:eastAsia="Arial" w:hAnsi="Arial"/>
                <w:sz w:val="15"/>
                <w:szCs w:val="15"/>
                <w:color w:val="auto"/>
              </w:rPr>
              <w:t>Diluted earnings per share</w:t>
            </w:r>
            <w:r>
              <w:rPr>
                <w:rFonts w:ascii="Arial" w:cs="Arial" w:eastAsia="Arial" w:hAnsi="Arial"/>
                <w:sz w:val="19"/>
                <w:szCs w:val="19"/>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0.98</w:t>
            </w:r>
          </w:p>
        </w:tc>
        <w:tc>
          <w:tcPr>
            <w:tcW w:w="100" w:type="dxa"/>
            <w:vAlign w:val="bottom"/>
          </w:tcPr>
          <w:p>
            <w:pPr>
              <w:spacing w:after="0"/>
              <w:rPr>
                <w:sz w:val="22"/>
                <w:szCs w:val="22"/>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0.61</w:t>
            </w:r>
          </w:p>
        </w:tc>
        <w:tc>
          <w:tcPr>
            <w:tcW w:w="240" w:type="dxa"/>
            <w:vAlign w:val="bottom"/>
          </w:tcPr>
          <w:p>
            <w:pPr>
              <w:spacing w:after="0"/>
              <w:rPr>
                <w:sz w:val="22"/>
                <w:szCs w:val="22"/>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line="239" w:lineRule="auto"/>
        <w:tabs>
          <w:tab w:leader="none" w:pos="150"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For the three and six months ended June 30, 2021, and the three months ended June 30, 2020, diluted earnings per share was calculated using the two-class method as the application of this method resulted in a more dilutive earnings per share for those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June 30, 2021 and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5"/>
                <w:szCs w:val="15"/>
                <w:b w:val="1"/>
                <w:bCs w:val="1"/>
                <w:color w:val="auto"/>
              </w:rPr>
              <w:t>Six Months Ended</w:t>
            </w:r>
          </w:p>
        </w:tc>
      </w:tr>
      <w:tr>
        <w:trPr>
          <w:trHeight w:val="198"/>
        </w:trPr>
        <w:tc>
          <w:tcPr>
            <w:tcW w:w="80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June 30, 2021</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2,569</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81"/>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2,477</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703</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300</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Aspen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395</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1,284</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340</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391</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489</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56</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155</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H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355</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I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562</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Series J preferred OP units</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145</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b w:val="1"/>
                <w:bCs w:val="1"/>
                <w:color w:val="auto"/>
              </w:rPr>
              <w:t>Total Securities</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5,808</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right="20" w:hanging="172"/>
        <w:spacing w:after="0" w:line="217" w:lineRule="auto"/>
        <w:tabs>
          <w:tab w:leader="none" w:pos="168"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For the six months ended June 30, 2021, Common OP units were excluded from the computation of diluted earnings per share because the inclusion of those securities would have been anti-dilutive for the period.</w:t>
      </w:r>
    </w:p>
    <w:p>
      <w:pPr>
        <w:spacing w:after="0" w:line="22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notes and other receivables, debt, and other liabilities. We utilize fair value measurements to record fair value adjustments to certain assets and liabilities and to determine fair value disclosures, pursuant to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following methods and assumptions were used in order to estimate the fair value of each class of financial instruments for which it is practicable to estimate that value: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by Hierarchy Level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sets forth our financial assets and liabilities (in thousands) that required disclosure of fair value on a recurring basis as of June 30, 2021. The table presents the carrying values and fair values of our financial instruments as of June 30, 2021 and December 31, 2020,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5"/>
                <w:szCs w:val="15"/>
                <w:b w:val="1"/>
                <w:bCs w:val="1"/>
                <w:color w:val="auto"/>
                <w:w w:val="90"/>
              </w:rPr>
              <w:t>June 30, 2021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4"/>
              <w:spacing w:after="0" w:line="146" w:lineRule="exact"/>
              <w:rPr>
                <w:sz w:val="20"/>
                <w:szCs w:val="20"/>
                <w:color w:val="auto"/>
              </w:rPr>
            </w:pPr>
            <w:r>
              <w:rPr>
                <w:rFonts w:ascii="Arial" w:cs="Arial" w:eastAsia="Arial" w:hAnsi="Arial"/>
                <w:sz w:val="15"/>
                <w:szCs w:val="15"/>
                <w:b w:val="1"/>
                <w:bCs w:val="1"/>
                <w:color w:val="auto"/>
                <w:w w:val="92"/>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5"/>
                <w:szCs w:val="15"/>
                <w:b w:val="1"/>
                <w:bCs w:val="1"/>
                <w:color w:val="auto"/>
                <w:w w:val="91"/>
              </w:rPr>
              <w:t>Significant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4"/>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120"/>
              <w:spacing w:after="0"/>
              <w:rPr>
                <w:sz w:val="20"/>
                <w:szCs w:val="20"/>
                <w:color w:val="auto"/>
              </w:rPr>
            </w:pPr>
            <w:r>
              <w:rPr>
                <w:rFonts w:ascii="Arial" w:cs="Arial" w:eastAsia="Arial" w:hAnsi="Arial"/>
                <w:sz w:val="15"/>
                <w:szCs w:val="15"/>
                <w:b w:val="1"/>
                <w:bCs w:val="1"/>
                <w:color w:val="auto"/>
                <w:w w:val="92"/>
              </w:rPr>
              <w:t>Significant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11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8"/>
              </w:rPr>
              <w:t>Carrying Value</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ind w:right="364"/>
              <w:spacing w:after="0" w:line="149" w:lineRule="exact"/>
              <w:rPr>
                <w:sz w:val="20"/>
                <w:szCs w:val="20"/>
                <w:color w:val="auto"/>
              </w:rPr>
            </w:pPr>
            <w:r>
              <w:rPr>
                <w:rFonts w:ascii="Arial" w:cs="Arial" w:eastAsia="Arial" w:hAnsi="Arial"/>
                <w:sz w:val="15"/>
                <w:szCs w:val="15"/>
                <w:b w:val="1"/>
                <w:bCs w:val="1"/>
                <w:color w:val="auto"/>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20"/>
              <w:spacing w:after="0" w:line="149" w:lineRule="exact"/>
              <w:rPr>
                <w:sz w:val="20"/>
                <w:szCs w:val="20"/>
                <w:color w:val="auto"/>
              </w:rPr>
            </w:pPr>
            <w:r>
              <w:rPr>
                <w:rFonts w:ascii="Arial" w:cs="Arial" w:eastAsia="Arial" w:hAnsi="Arial"/>
                <w:sz w:val="15"/>
                <w:szCs w:val="15"/>
                <w:b w:val="1"/>
                <w:bCs w:val="1"/>
                <w:color w:val="auto"/>
              </w:rPr>
              <w:t>Observable 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260"/>
              <w:spacing w:after="0" w:line="149" w:lineRule="exact"/>
              <w:rPr>
                <w:sz w:val="20"/>
                <w:szCs w:val="20"/>
                <w:color w:val="auto"/>
              </w:rPr>
            </w:pPr>
            <w:r>
              <w:rPr>
                <w:rFonts w:ascii="Arial" w:cs="Arial" w:eastAsia="Arial" w:hAnsi="Arial"/>
                <w:sz w:val="15"/>
                <w:szCs w:val="15"/>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5"/>
              </w:rPr>
              <w:t>(Level 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(Level 2)</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(Level 3)</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119,612</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119,612</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153,049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153,049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153,049</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82,506</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61,955</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272,661</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417,122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Mortgage term loans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3,418,097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3,418,097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3,472,066</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Collateralized term loan</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39,637</w:t>
            </w:r>
          </w:p>
        </w:tc>
        <w:tc>
          <w:tcPr>
            <w:tcW w:w="0" w:type="dxa"/>
            <w:vAlign w:val="bottom"/>
          </w:tcPr>
          <w:p>
            <w:pPr>
              <w:spacing w:after="0"/>
              <w:rPr>
                <w:sz w:val="1"/>
                <w:szCs w:val="1"/>
                <w:color w:val="auto"/>
              </w:rPr>
            </w:pPr>
          </w:p>
        </w:tc>
      </w:tr>
      <w:tr>
        <w:trPr>
          <w:trHeight w:val="192"/>
        </w:trPr>
        <w:tc>
          <w:tcPr>
            <w:tcW w:w="4440" w:type="dxa"/>
            <w:vAlign w:val="bottom"/>
          </w:tcPr>
          <w:p>
            <w:pPr>
              <w:ind w:left="360"/>
              <w:spacing w:after="0"/>
              <w:rPr>
                <w:sz w:val="20"/>
                <w:szCs w:val="20"/>
                <w:color w:val="auto"/>
              </w:rPr>
            </w:pPr>
            <w:r>
              <w:rPr>
                <w:rFonts w:ascii="Arial" w:cs="Arial" w:eastAsia="Arial" w:hAnsi="Arial"/>
                <w:sz w:val="15"/>
                <w:szCs w:val="15"/>
                <w:color w:val="auto"/>
              </w:rPr>
              <w:t>Total secured debt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3,457,734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3,457,734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3,511,703</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Senior unsecured notes</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591,688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591,688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601,630</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Line of credit and other unsecured debt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261,753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261,753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261,753</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unsecured debt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853,441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853,441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863,383</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18,101</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4,329,276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4,311,175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4,393,187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5"/>
                <w:szCs w:val="15"/>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0"/>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1"/>
              </w:rPr>
              <w:t>Significant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4"/>
              </w:rPr>
              <w:t>Significant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114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w w:val="98"/>
              </w:rPr>
              <w:t>Carrying Value</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5"/>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00"/>
              <w:spacing w:after="0" w:line="149" w:lineRule="exact"/>
              <w:rPr>
                <w:sz w:val="20"/>
                <w:szCs w:val="20"/>
                <w:color w:val="auto"/>
              </w:rPr>
            </w:pPr>
            <w:r>
              <w:rPr>
                <w:rFonts w:ascii="Arial" w:cs="Arial" w:eastAsia="Arial" w:hAnsi="Arial"/>
                <w:sz w:val="15"/>
                <w:szCs w:val="15"/>
                <w:b w:val="1"/>
                <w:bCs w:val="1"/>
                <w:color w:val="auto"/>
                <w:w w:val="93"/>
              </w:rPr>
              <w:t>Observable 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5"/>
                <w:szCs w:val="15"/>
                <w:b w:val="1"/>
                <w:bCs w:val="1"/>
                <w:color w:val="auto"/>
                <w:w w:val="93"/>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5"/>
              </w:rPr>
              <w:t>(Level 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5"/>
              </w:rPr>
              <w:t>(Level 2)</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5"/>
              </w:rPr>
              <w:t>(Level 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92,641</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124,726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124,726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124,726</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85,866</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52,638</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217,367</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355,871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b w:val="1"/>
                <w:bCs w:val="1"/>
                <w:color w:val="auto"/>
              </w:rPr>
              <w:t>Financial Liabilities</w:t>
            </w:r>
            <w:r>
              <w:rPr>
                <w:rFonts w:ascii="Arial" w:cs="Arial" w:eastAsia="Arial" w:hAnsi="Arial"/>
                <w:sz w:val="19"/>
                <w:szCs w:val="19"/>
                <w:b w:val="1"/>
                <w:bCs w:val="1"/>
                <w:color w:val="auto"/>
                <w:vertAlign w:val="superscript"/>
              </w:rPr>
              <w:t>(a)</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Mortgage term loans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3,444,967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3,444,967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3,543,885</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Collateralized term loan</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45,016</w:t>
            </w:r>
          </w:p>
        </w:tc>
        <w:tc>
          <w:tcPr>
            <w:tcW w:w="0" w:type="dxa"/>
            <w:vAlign w:val="bottom"/>
          </w:tcPr>
          <w:p>
            <w:pPr>
              <w:spacing w:after="0"/>
              <w:rPr>
                <w:sz w:val="1"/>
                <w:szCs w:val="1"/>
                <w:color w:val="auto"/>
              </w:rPr>
            </w:pPr>
          </w:p>
        </w:tc>
      </w:tr>
      <w:tr>
        <w:trPr>
          <w:trHeight w:val="192"/>
        </w:trPr>
        <w:tc>
          <w:tcPr>
            <w:tcW w:w="4440" w:type="dxa"/>
            <w:vAlign w:val="bottom"/>
          </w:tcPr>
          <w:p>
            <w:pPr>
              <w:ind w:left="360"/>
              <w:spacing w:after="0"/>
              <w:rPr>
                <w:sz w:val="20"/>
                <w:szCs w:val="20"/>
                <w:color w:val="auto"/>
              </w:rPr>
            </w:pPr>
            <w:r>
              <w:rPr>
                <w:rFonts w:ascii="Arial" w:cs="Arial" w:eastAsia="Arial" w:hAnsi="Arial"/>
                <w:sz w:val="15"/>
                <w:szCs w:val="15"/>
                <w:color w:val="auto"/>
              </w:rPr>
              <w:t>Total secured debt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3,489,983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3,489,983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3,588,901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Line of credit and other unsecured debt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192"/>
        </w:trPr>
        <w:tc>
          <w:tcPr>
            <w:tcW w:w="4440" w:type="dxa"/>
            <w:vAlign w:val="bottom"/>
          </w:tcPr>
          <w:p>
            <w:pPr>
              <w:ind w:left="360"/>
              <w:spacing w:after="0"/>
              <w:rPr>
                <w:sz w:val="20"/>
                <w:szCs w:val="20"/>
                <w:color w:val="auto"/>
              </w:rPr>
            </w:pPr>
            <w:r>
              <w:rPr>
                <w:rFonts w:ascii="Arial" w:cs="Arial" w:eastAsia="Arial" w:hAnsi="Arial"/>
                <w:sz w:val="15"/>
                <w:szCs w:val="15"/>
                <w:color w:val="auto"/>
              </w:rPr>
              <w:t>Total unsecured debt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1,267,093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1,267,093</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15,842</w:t>
            </w:r>
          </w:p>
        </w:tc>
        <w:tc>
          <w:tcPr>
            <w:tcW w:w="0" w:type="dxa"/>
            <w:vAlign w:val="bottom"/>
          </w:tcPr>
          <w:p>
            <w:pPr>
              <w:spacing w:after="0"/>
              <w:rPr>
                <w:sz w:val="1"/>
                <w:szCs w:val="1"/>
                <w:color w:val="auto"/>
              </w:rPr>
            </w:pPr>
          </w:p>
        </w:tc>
      </w:tr>
      <w:tr>
        <w:trPr>
          <w:trHeight w:val="200"/>
        </w:trPr>
        <w:tc>
          <w:tcPr>
            <w:tcW w:w="444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4,772,918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4,757,076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15,842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4,871,836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9"/>
          <w:szCs w:val="9"/>
          <w:color w:val="auto"/>
        </w:rPr>
      </w:pPr>
      <w:r>
        <w:rPr>
          <w:rFonts w:ascii="Arial" w:cs="Arial" w:eastAsia="Arial" w:hAnsi="Arial"/>
          <w:sz w:val="14"/>
          <w:szCs w:val="14"/>
          <w:color w:val="auto"/>
        </w:rPr>
        <w:t>Senior unsecured notes not included above as it was not issued until June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cash equivalents and restricted cash approximate their fair market values due to the short-term nature of the instrument. These are classified as Level 1 in the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the ASC 321 "</w:t>
      </w:r>
      <w:r>
        <w:rPr>
          <w:rFonts w:ascii="Arial" w:cs="Arial" w:eastAsia="Arial" w:hAnsi="Arial"/>
          <w:sz w:val="18"/>
          <w:szCs w:val="18"/>
          <w:i w:val="1"/>
          <w:iCs w:val="1"/>
          <w:color w:val="auto"/>
        </w:rPr>
        <w:t>Investment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Six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0"/>
              </w:rPr>
              <w:t>June 30, 2021</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2020</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124,725</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94,727</w:t>
            </w:r>
          </w:p>
        </w:tc>
      </w:tr>
      <w:tr>
        <w:trPr>
          <w:trHeight w:val="198"/>
        </w:trPr>
        <w:tc>
          <w:tcPr>
            <w:tcW w:w="7280" w:type="dxa"/>
            <w:vAlign w:val="bottom"/>
          </w:tcPr>
          <w:p>
            <w:pPr>
              <w:ind w:left="220"/>
              <w:spacing w:after="0"/>
              <w:rPr>
                <w:sz w:val="20"/>
                <w:szCs w:val="20"/>
                <w:color w:val="auto"/>
              </w:rPr>
            </w:pPr>
            <w:r>
              <w:rPr>
                <w:rFonts w:ascii="Arial" w:cs="Arial" w:eastAsia="Arial" w:hAnsi="Arial"/>
                <w:sz w:val="15"/>
                <w:szCs w:val="15"/>
                <w:color w:val="auto"/>
              </w:rPr>
              <w:t>Additional purchase</w:t>
            </w:r>
          </w:p>
        </w:tc>
        <w:tc>
          <w:tcPr>
            <w:tcW w:w="220" w:type="dxa"/>
            <w:vAlign w:val="bottom"/>
          </w:tcPr>
          <w:p>
            <w:pPr>
              <w:spacing w:after="0"/>
              <w:rPr>
                <w:sz w:val="17"/>
                <w:szCs w:val="17"/>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11,757</w:t>
            </w:r>
          </w:p>
        </w:tc>
      </w:tr>
      <w:tr>
        <w:trPr>
          <w:trHeight w:val="207"/>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31,130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6,132</w:t>
            </w:r>
          </w:p>
        </w:tc>
      </w:tr>
      <w:tr>
        <w:trPr>
          <w:trHeight w:val="199"/>
        </w:trPr>
        <w:tc>
          <w:tcPr>
            <w:tcW w:w="7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(4,002)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10,138</w:t>
            </w:r>
          </w:p>
        </w:tc>
      </w:tr>
      <w:tr>
        <w:trPr>
          <w:trHeight w:val="203"/>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w:t>
            </w:r>
          </w:p>
        </w:tc>
      </w:tr>
      <w:tr>
        <w:trPr>
          <w:trHeight w:val="200"/>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153,049</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124,725</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by underlying collateral and / or personal guarantees. Refer to Note 4, "Notes and Other Receivables,"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Mortgage term loans -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Collateralized term loan - the fair value of the debt with variable rates approximates carrying value as the interest rates of these amounts approximate market rates. The estimated fair value of our indebtedness as of June 30, 2021 approximated its gross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Debt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Line of credit and other unsecured debt - consists primarily of our New Credit Facility. We have variable rates on our New Credit Facility. The fair value of the debt with variable rates approximates carrying value as the interest rates of these amounts approximate market rates. The estimated fair value of our indebtedness as of June 30, 2021, approximated its gross carrying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our contingent consideration liability based on valuation models using significant unobservable inputs that generally consider discounting of future cash flows using market interest rates and adjusting for non-performance risk over the remaining term of the liability (Level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Reconciliation, Measurements and Transfers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assessment resulted in a net transfer into Level 3 of $138.5 million related to installment notes receivable on manufactured homes and notes from real estate developers during the six months ended June 30, 2021.</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Inputs that are used to derive the fair value for installment notes receivables on manufactured homes and notes receivable from real estate developers transferred to Level 3 from Level 2 during the quarter ended March 31, 2021 as significant inputs used to value those instruments inclusive of default rates, interest rates, recovery rates, and counterparty performance rely heavily on internally sourced assumptions as opposed to observable market-based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changes to our financial instruments carried at fair value and classified within Level 3 of the fair value hierarchy for the three and six months ended June 30,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4"/>
              </w:rPr>
              <w:t>Three Months Ended</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7"/>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5"/>
                <w:szCs w:val="15"/>
                <w:b w:val="1"/>
                <w:bCs w:val="1"/>
                <w:color w:val="auto"/>
                <w:w w:val="90"/>
              </w:rPr>
              <w:t>June 30, 2021</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46"/>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40"/>
              <w:spacing w:after="0" w:line="146" w:lineRule="exact"/>
              <w:rPr>
                <w:sz w:val="20"/>
                <w:szCs w:val="20"/>
                <w:color w:val="auto"/>
              </w:rPr>
            </w:pPr>
            <w:r>
              <w:rPr>
                <w:rFonts w:ascii="Arial" w:cs="Arial" w:eastAsia="Arial" w:hAnsi="Arial"/>
                <w:sz w:val="15"/>
                <w:szCs w:val="15"/>
                <w:b w:val="1"/>
                <w:bCs w:val="1"/>
                <w:color w:val="auto"/>
                <w:w w:val="91"/>
              </w:rPr>
              <w:t>Installment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200"/>
              <w:spacing w:after="0" w:line="146" w:lineRule="exact"/>
              <w:rPr>
                <w:sz w:val="20"/>
                <w:szCs w:val="20"/>
                <w:color w:val="auto"/>
              </w:rPr>
            </w:pPr>
            <w:r>
              <w:rPr>
                <w:rFonts w:ascii="Arial" w:cs="Arial" w:eastAsia="Arial" w:hAnsi="Arial"/>
                <w:sz w:val="15"/>
                <w:szCs w:val="15"/>
                <w:b w:val="1"/>
                <w:bCs w:val="1"/>
                <w:color w:val="auto"/>
                <w:w w:val="90"/>
              </w:rPr>
              <w:t>Notes Receivable From</w:t>
            </w:r>
          </w:p>
        </w:tc>
        <w:tc>
          <w:tcPr>
            <w:tcW w:w="240" w:type="dxa"/>
            <w:vAlign w:val="bottom"/>
          </w:tcPr>
          <w:p>
            <w:pPr>
              <w:spacing w:after="0"/>
              <w:rPr>
                <w:sz w:val="12"/>
                <w:szCs w:val="12"/>
                <w:color w:val="auto"/>
              </w:rPr>
            </w:pPr>
          </w:p>
        </w:tc>
        <w:tc>
          <w:tcPr>
            <w:tcW w:w="1620" w:type="dxa"/>
            <w:vAlign w:val="bottom"/>
          </w:tcPr>
          <w:p>
            <w:pPr>
              <w:jc w:val="right"/>
              <w:ind w:right="304"/>
              <w:spacing w:after="0" w:line="146" w:lineRule="exact"/>
              <w:rPr>
                <w:sz w:val="20"/>
                <w:szCs w:val="20"/>
                <w:color w:val="auto"/>
              </w:rPr>
            </w:pPr>
            <w:r>
              <w:rPr>
                <w:rFonts w:ascii="Arial" w:cs="Arial" w:eastAsia="Arial" w:hAnsi="Arial"/>
                <w:sz w:val="15"/>
                <w:szCs w:val="15"/>
                <w:b w:val="1"/>
                <w:bCs w:val="1"/>
                <w:color w:val="auto"/>
              </w:rPr>
              <w:t>Other Liabilities</w:t>
            </w:r>
          </w:p>
        </w:tc>
      </w:tr>
      <w:tr>
        <w:trPr>
          <w:trHeight w:val="200"/>
        </w:trPr>
        <w:tc>
          <w:tcPr>
            <w:tcW w:w="5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2"/>
              </w:rPr>
              <w:t>Receivable on MH, net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0"/>
              </w:rPr>
              <w:t>Real Estate Developers</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2"/>
              </w:rPr>
              <w:t>(Contingent Consideration)</w:t>
            </w:r>
          </w:p>
        </w:tc>
      </w:tr>
      <w:tr>
        <w:trPr>
          <w:trHeight w:val="198"/>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beginning balance at March 31, 2021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84,109</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18,156</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Transfer to 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 out of level 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Net earnings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Sales and settlements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5"/>
                <w:szCs w:val="15"/>
                <w:color w:val="auto"/>
              </w:rPr>
              <w:t>(3,990)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5"/>
                <w:szCs w:val="15"/>
                <w:color w:val="auto"/>
              </w:rPr>
              <w:t>(331)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adjustments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w:t>
            </w:r>
          </w:p>
        </w:tc>
      </w:tr>
      <w:tr>
        <w:trPr>
          <w:trHeight w:val="200"/>
        </w:trPr>
        <w:tc>
          <w:tcPr>
            <w:tcW w:w="5460" w:type="dxa"/>
            <w:vAlign w:val="bottom"/>
          </w:tcPr>
          <w:p>
            <w:pPr>
              <w:ind w:left="20"/>
              <w:spacing w:after="0"/>
              <w:rPr>
                <w:sz w:val="20"/>
                <w:szCs w:val="20"/>
                <w:color w:val="auto"/>
              </w:rPr>
            </w:pPr>
            <w:r>
              <w:rPr>
                <w:rFonts w:ascii="Arial" w:cs="Arial" w:eastAsia="Arial" w:hAnsi="Arial"/>
                <w:sz w:val="15"/>
                <w:szCs w:val="15"/>
                <w:color w:val="auto"/>
              </w:rPr>
              <w:t>Level 3 ending balance at June 30, 2021</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82,506</w:t>
            </w:r>
          </w:p>
        </w:tc>
        <w:tc>
          <w:tcPr>
            <w:tcW w:w="2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61,955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18,101</w:t>
            </w:r>
          </w:p>
        </w:tc>
      </w:tr>
      <w:tr>
        <w:trPr>
          <w:trHeight w:val="21"/>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553"/>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3"/>
              </w:rPr>
              <w:t>Six Months Ended</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7"/>
        </w:trPr>
        <w:tc>
          <w:tcPr>
            <w:tcW w:w="5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5"/>
                <w:szCs w:val="15"/>
                <w:b w:val="1"/>
                <w:bCs w:val="1"/>
                <w:color w:val="auto"/>
                <w:w w:val="92"/>
              </w:rPr>
              <w:t>June 30, 2021</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46"/>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ind w:left="200"/>
              <w:spacing w:after="0" w:line="146" w:lineRule="exact"/>
              <w:rPr>
                <w:sz w:val="20"/>
                <w:szCs w:val="20"/>
                <w:color w:val="auto"/>
              </w:rPr>
            </w:pPr>
            <w:r>
              <w:rPr>
                <w:rFonts w:ascii="Arial" w:cs="Arial" w:eastAsia="Arial" w:hAnsi="Arial"/>
                <w:sz w:val="15"/>
                <w:szCs w:val="15"/>
                <w:b w:val="1"/>
                <w:bCs w:val="1"/>
                <w:color w:val="auto"/>
              </w:rPr>
              <w:t>Installment Notes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ind w:left="20"/>
              <w:spacing w:after="0" w:line="146" w:lineRule="exact"/>
              <w:rPr>
                <w:sz w:val="20"/>
                <w:szCs w:val="20"/>
                <w:color w:val="auto"/>
              </w:rPr>
            </w:pPr>
            <w:r>
              <w:rPr>
                <w:rFonts w:ascii="Arial" w:cs="Arial" w:eastAsia="Arial" w:hAnsi="Arial"/>
                <w:sz w:val="15"/>
                <w:szCs w:val="15"/>
                <w:b w:val="1"/>
                <w:bCs w:val="1"/>
                <w:color w:val="auto"/>
              </w:rPr>
              <w:t>Notes Receivable From</w:t>
            </w:r>
          </w:p>
        </w:tc>
        <w:tc>
          <w:tcPr>
            <w:tcW w:w="240" w:type="dxa"/>
            <w:vAlign w:val="bottom"/>
          </w:tcPr>
          <w:p>
            <w:pPr>
              <w:spacing w:after="0"/>
              <w:rPr>
                <w:sz w:val="12"/>
                <w:szCs w:val="12"/>
                <w:color w:val="auto"/>
              </w:rPr>
            </w:pPr>
          </w:p>
        </w:tc>
        <w:tc>
          <w:tcPr>
            <w:tcW w:w="1620" w:type="dxa"/>
            <w:vAlign w:val="bottom"/>
          </w:tcPr>
          <w:p>
            <w:pPr>
              <w:jc w:val="right"/>
              <w:ind w:right="304"/>
              <w:spacing w:after="0" w:line="146" w:lineRule="exact"/>
              <w:rPr>
                <w:sz w:val="20"/>
                <w:szCs w:val="20"/>
                <w:color w:val="auto"/>
              </w:rPr>
            </w:pPr>
            <w:r>
              <w:rPr>
                <w:rFonts w:ascii="Arial" w:cs="Arial" w:eastAsia="Arial" w:hAnsi="Arial"/>
                <w:sz w:val="15"/>
                <w:szCs w:val="15"/>
                <w:b w:val="1"/>
                <w:bCs w:val="1"/>
                <w:color w:val="auto"/>
              </w:rPr>
              <w:t>Other Liabilities</w:t>
            </w:r>
          </w:p>
        </w:tc>
      </w:tr>
      <w:tr>
        <w:trPr>
          <w:trHeight w:val="200"/>
        </w:trPr>
        <w:tc>
          <w:tcPr>
            <w:tcW w:w="5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Receivable on MH, net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8"/>
              </w:rPr>
              <w:t>Real Estate Developers</w:t>
            </w:r>
          </w:p>
        </w:tc>
        <w:tc>
          <w:tcPr>
            <w:tcW w:w="120" w:type="dxa"/>
            <w:vAlign w:val="bottom"/>
            <w:tcBorders>
              <w:bottom w:val="single" w:sz="8" w:color="CCEEFF"/>
            </w:tcBorders>
            <w:gridSpan w:val="2"/>
          </w:tcPr>
          <w:p>
            <w:pPr>
              <w:spacing w:after="0"/>
              <w:rPr>
                <w:sz w:val="17"/>
                <w:szCs w:val="17"/>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2"/>
              </w:rPr>
              <w:t>(Contingent Consideration)</w:t>
            </w:r>
          </w:p>
        </w:tc>
      </w:tr>
      <w:tr>
        <w:trPr>
          <w:trHeight w:val="198"/>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Level 3 beginning balance at December 31, 2020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15,842</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Transfer to 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85,866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52,638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 out of level 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Net earnings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469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143</w:t>
            </w: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3,439</w:t>
            </w:r>
          </w:p>
        </w:tc>
      </w:tr>
      <w:tr>
        <w:trPr>
          <w:trHeight w:val="198"/>
        </w:trPr>
        <w:tc>
          <w:tcPr>
            <w:tcW w:w="5460" w:type="dxa"/>
            <w:vAlign w:val="bottom"/>
          </w:tcPr>
          <w:p>
            <w:pPr>
              <w:ind w:left="20"/>
              <w:spacing w:after="0"/>
              <w:rPr>
                <w:sz w:val="20"/>
                <w:szCs w:val="20"/>
                <w:color w:val="auto"/>
              </w:rPr>
            </w:pPr>
            <w:r>
              <w:rPr>
                <w:rFonts w:ascii="Arial" w:cs="Arial" w:eastAsia="Arial" w:hAnsi="Arial"/>
                <w:sz w:val="15"/>
                <w:szCs w:val="15"/>
                <w:color w:val="auto"/>
              </w:rPr>
              <w:t>Sales and settlements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(7,804)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(593)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adjustments</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w:t>
            </w:r>
          </w:p>
        </w:tc>
      </w:tr>
      <w:tr>
        <w:trPr>
          <w:trHeight w:val="200"/>
        </w:trPr>
        <w:tc>
          <w:tcPr>
            <w:tcW w:w="5460" w:type="dxa"/>
            <w:vAlign w:val="bottom"/>
          </w:tcPr>
          <w:p>
            <w:pPr>
              <w:ind w:left="20"/>
              <w:spacing w:after="0"/>
              <w:rPr>
                <w:sz w:val="20"/>
                <w:szCs w:val="20"/>
                <w:color w:val="auto"/>
              </w:rPr>
            </w:pPr>
            <w:r>
              <w:rPr>
                <w:rFonts w:ascii="Arial" w:cs="Arial" w:eastAsia="Arial" w:hAnsi="Arial"/>
                <w:sz w:val="15"/>
                <w:szCs w:val="15"/>
                <w:color w:val="auto"/>
              </w:rPr>
              <w:t>Level 3 ending balance at June 30, 2021</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82,506</w:t>
            </w:r>
          </w:p>
        </w:tc>
        <w:tc>
          <w:tcPr>
            <w:tcW w:w="2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61,955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18,101</w:t>
            </w: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judgement is required in interpreting market data to develop fair value estimates. The fair value estimates are based on information available as of June 30, 2021. As such, our estimates of fair value could differ significantly from the actual carrying value.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land under non-cancelable operating leases at certain MH, RV and marina properties expiring at various dates through 2085. The majority of the leases have terms requiring fixed payments plus additional rents based on a percentage of revenues at those properties. We also have other operating leases, primarily office space and equipment expiring at various dates through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six months ended June 30, 2021 where we are the lessee include: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Operating Leases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Finance Leases</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r>
      <w:tr>
        <w:trPr>
          <w:trHeight w:val="20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six months ended June 30,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4,059</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6,704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6,918</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6,930</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7,102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11,172</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7,093</w:t>
            </w:r>
          </w:p>
        </w:tc>
      </w:tr>
      <w:tr>
        <w:trPr>
          <w:trHeight w:val="198"/>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98,166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98,166</w:t>
            </w:r>
          </w:p>
        </w:tc>
      </w:tr>
      <w:tr>
        <w:trPr>
          <w:trHeight w:val="20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129,703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4,635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134,338</w:t>
            </w:r>
          </w:p>
        </w:tc>
      </w:tr>
      <w:tr>
        <w:trPr>
          <w:trHeight w:val="198"/>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(52,271)</w:t>
            </w:r>
          </w:p>
        </w:tc>
      </w:tr>
      <w:tr>
        <w:trPr>
          <w:trHeight w:val="225"/>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77,741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82,067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gridSpan w:val="2"/>
            <w:vMerge w:val="restart"/>
          </w:tcPr>
          <w:p>
            <w:pPr>
              <w:ind w:left="2320"/>
              <w:spacing w:after="0"/>
              <w:rPr>
                <w:sz w:val="20"/>
                <w:szCs w:val="20"/>
                <w:color w:val="auto"/>
              </w:rPr>
            </w:pPr>
            <w:r>
              <w:rPr>
                <w:rFonts w:ascii="Arial" w:cs="Arial" w:eastAsia="Arial" w:hAnsi="Arial"/>
                <w:sz w:val="15"/>
                <w:szCs w:val="15"/>
                <w:b w:val="1"/>
                <w:bCs w:val="1"/>
                <w:color w:val="auto"/>
              </w:rPr>
              <w:t>Description</w:t>
            </w:r>
          </w:p>
        </w:tc>
        <w:tc>
          <w:tcPr>
            <w:tcW w:w="2180" w:type="dxa"/>
            <w:vAlign w:val="bottom"/>
            <w:gridSpan w:val="2"/>
          </w:tcPr>
          <w:p>
            <w:pPr>
              <w:ind w:left="380"/>
              <w:spacing w:after="0"/>
              <w:rPr>
                <w:sz w:val="20"/>
                <w:szCs w:val="20"/>
                <w:color w:val="auto"/>
              </w:rPr>
            </w:pPr>
            <w:r>
              <w:rPr>
                <w:rFonts w:ascii="Arial" w:cs="Arial" w:eastAsia="Arial" w:hAnsi="Arial"/>
                <w:sz w:val="15"/>
                <w:szCs w:val="15"/>
                <w:b w:val="1"/>
                <w:bCs w:val="1"/>
                <w:color w:val="auto"/>
              </w:rPr>
              <w:t>Financial Statement</w:t>
            </w:r>
          </w:p>
        </w:tc>
        <w:tc>
          <w:tcPr>
            <w:tcW w:w="260" w:type="dxa"/>
            <w:vAlign w:val="bottom"/>
          </w:tcPr>
          <w:p>
            <w:pPr>
              <w:spacing w:after="0"/>
              <w:rPr>
                <w:sz w:val="15"/>
                <w:szCs w:val="15"/>
                <w:color w:val="auto"/>
              </w:rPr>
            </w:pPr>
          </w:p>
        </w:tc>
        <w:tc>
          <w:tcPr>
            <w:tcW w:w="1580" w:type="dxa"/>
            <w:vAlign w:val="bottom"/>
            <w:gridSpan w:val="2"/>
          </w:tcPr>
          <w:p>
            <w:pPr>
              <w:ind w:left="420"/>
              <w:spacing w:after="0"/>
              <w:rPr>
                <w:sz w:val="20"/>
                <w:szCs w:val="20"/>
                <w:color w:val="auto"/>
              </w:rPr>
            </w:pPr>
            <w:r>
              <w:rPr>
                <w:rFonts w:ascii="Arial" w:cs="Arial" w:eastAsia="Arial" w:hAnsi="Arial"/>
                <w:sz w:val="15"/>
                <w:szCs w:val="15"/>
                <w:b w:val="1"/>
                <w:bCs w:val="1"/>
                <w:color w:val="auto"/>
              </w:rPr>
              <w:t>As of</w:t>
            </w:r>
          </w:p>
        </w:tc>
        <w:tc>
          <w:tcPr>
            <w:tcW w:w="160" w:type="dxa"/>
            <w:vAlign w:val="bottom"/>
          </w:tcPr>
          <w:p>
            <w:pPr>
              <w:spacing w:after="0"/>
              <w:rPr>
                <w:sz w:val="15"/>
                <w:szCs w:val="15"/>
                <w:color w:val="auto"/>
              </w:rPr>
            </w:pPr>
          </w:p>
        </w:tc>
        <w:tc>
          <w:tcPr>
            <w:tcW w:w="1560" w:type="dxa"/>
            <w:vAlign w:val="bottom"/>
          </w:tcPr>
          <w:p>
            <w:pPr>
              <w:jc w:val="right"/>
              <w:ind w:right="624"/>
              <w:spacing w:after="0"/>
              <w:rPr>
                <w:sz w:val="20"/>
                <w:szCs w:val="20"/>
                <w:color w:val="auto"/>
              </w:rPr>
            </w:pPr>
            <w:r>
              <w:rPr>
                <w:rFonts w:ascii="Arial" w:cs="Arial" w:eastAsia="Arial" w:hAnsi="Arial"/>
                <w:sz w:val="15"/>
                <w:szCs w:val="15"/>
                <w:b w:val="1"/>
                <w:bCs w:val="1"/>
                <w:color w:val="auto"/>
              </w:rPr>
              <w:t>As of</w:t>
            </w:r>
          </w:p>
        </w:tc>
        <w:tc>
          <w:tcPr>
            <w:tcW w:w="0" w:type="dxa"/>
            <w:vAlign w:val="bottom"/>
          </w:tcPr>
          <w:p>
            <w:pPr>
              <w:spacing w:after="0"/>
              <w:rPr>
                <w:sz w:val="1"/>
                <w:szCs w:val="1"/>
                <w:color w:val="auto"/>
              </w:rPr>
            </w:pPr>
          </w:p>
        </w:tc>
      </w:tr>
      <w:tr>
        <w:trPr>
          <w:trHeight w:val="200"/>
        </w:trPr>
        <w:tc>
          <w:tcPr>
            <w:tcW w:w="5500" w:type="dxa"/>
            <w:vAlign w:val="bottom"/>
            <w:gridSpan w:val="2"/>
            <w:vMerge w:val="continue"/>
          </w:tcPr>
          <w:p>
            <w:pPr>
              <w:spacing w:after="0"/>
              <w:rPr>
                <w:sz w:val="17"/>
                <w:szCs w:val="17"/>
                <w:color w:val="auto"/>
              </w:rPr>
            </w:pPr>
          </w:p>
        </w:tc>
        <w:tc>
          <w:tcPr>
            <w:tcW w:w="2180" w:type="dxa"/>
            <w:vAlign w:val="bottom"/>
            <w:gridSpan w:val="2"/>
          </w:tcPr>
          <w:p>
            <w:pPr>
              <w:ind w:left="600"/>
              <w:spacing w:after="0"/>
              <w:rPr>
                <w:sz w:val="20"/>
                <w:szCs w:val="20"/>
                <w:color w:val="auto"/>
              </w:rPr>
            </w:pPr>
            <w:r>
              <w:rPr>
                <w:rFonts w:ascii="Arial" w:cs="Arial" w:eastAsia="Arial" w:hAnsi="Arial"/>
                <w:sz w:val="15"/>
                <w:szCs w:val="15"/>
                <w:b w:val="1"/>
                <w:bCs w:val="1"/>
                <w:color w:val="auto"/>
              </w:rPr>
              <w:t>Classification</w:t>
            </w:r>
          </w:p>
        </w:tc>
        <w:tc>
          <w:tcPr>
            <w:tcW w:w="2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Pr>
          <w:p>
            <w:pPr>
              <w:spacing w:after="0"/>
              <w:rPr>
                <w:sz w:val="17"/>
                <w:szCs w:val="17"/>
                <w:color w:val="auto"/>
              </w:rPr>
            </w:pP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auto"/>
                <w:w w:val="96"/>
              </w:rPr>
              <w:t>December 31, 2020</w:t>
            </w:r>
          </w:p>
        </w:tc>
        <w:tc>
          <w:tcPr>
            <w:tcW w:w="0" w:type="dxa"/>
            <w:vAlign w:val="bottom"/>
          </w:tcPr>
          <w:p>
            <w:pPr>
              <w:spacing w:after="0"/>
              <w:rPr>
                <w:sz w:val="1"/>
                <w:szCs w:val="1"/>
                <w:color w:val="auto"/>
              </w:rPr>
            </w:pPr>
          </w:p>
        </w:tc>
      </w:tr>
      <w:tr>
        <w:trPr>
          <w:trHeight w:val="198"/>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Investment property, net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4,391</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4,350</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48,419</w:t>
            </w: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27,238</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27,614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gridSpan w:val="2"/>
          </w:tcPr>
          <w:p>
            <w:pPr>
              <w:ind w:left="20"/>
              <w:spacing w:after="0"/>
              <w:rPr>
                <w:sz w:val="20"/>
                <w:szCs w:val="20"/>
                <w:color w:val="auto"/>
              </w:rPr>
            </w:pPr>
            <w:r>
              <w:rPr>
                <w:rFonts w:ascii="Arial" w:cs="Arial" w:eastAsia="Arial" w:hAnsi="Arial"/>
                <w:sz w:val="15"/>
                <w:szCs w:val="15"/>
                <w:color w:val="auto"/>
              </w:rPr>
              <w:t>Finance lease liabilities</w:t>
            </w: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4,326</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4,334</w:t>
            </w:r>
          </w:p>
        </w:tc>
        <w:tc>
          <w:tcPr>
            <w:tcW w:w="0" w:type="dxa"/>
            <w:vAlign w:val="bottom"/>
          </w:tcPr>
          <w:p>
            <w:pPr>
              <w:spacing w:after="0"/>
              <w:rPr>
                <w:sz w:val="1"/>
                <w:szCs w:val="1"/>
                <w:color w:val="auto"/>
              </w:rPr>
            </w:pPr>
          </w:p>
        </w:tc>
      </w:tr>
      <w:tr>
        <w:trPr>
          <w:trHeight w:val="20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49,964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Statements of Operations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35"/>
        </w:trPr>
        <w:tc>
          <w:tcPr>
            <w:tcW w:w="2900" w:type="dxa"/>
            <w:vAlign w:val="bottom"/>
            <w:vMerge w:val="restart"/>
          </w:tcPr>
          <w:p>
            <w:pPr>
              <w:ind w:left="1080"/>
              <w:spacing w:after="0"/>
              <w:rPr>
                <w:sz w:val="20"/>
                <w:szCs w:val="20"/>
                <w:color w:val="auto"/>
              </w:rPr>
            </w:pPr>
            <w:r>
              <w:rPr>
                <w:rFonts w:ascii="Arial" w:cs="Arial" w:eastAsia="Arial" w:hAnsi="Arial"/>
                <w:sz w:val="15"/>
                <w:szCs w:val="15"/>
                <w:b w:val="1"/>
                <w:bCs w:val="1"/>
                <w:color w:val="auto"/>
              </w:rPr>
              <w:t>Description</w:t>
            </w:r>
          </w:p>
        </w:tc>
        <w:tc>
          <w:tcPr>
            <w:tcW w:w="100" w:type="dxa"/>
            <w:vAlign w:val="bottom"/>
            <w:vMerge w:val="restart"/>
          </w:tcPr>
          <w:p>
            <w:pPr>
              <w:spacing w:after="0"/>
              <w:rPr>
                <w:sz w:val="11"/>
                <w:szCs w:val="11"/>
                <w:color w:val="auto"/>
              </w:rPr>
            </w:pPr>
          </w:p>
        </w:tc>
        <w:tc>
          <w:tcPr>
            <w:tcW w:w="2160" w:type="dxa"/>
            <w:vAlign w:val="bottom"/>
            <w:gridSpan w:val="2"/>
          </w:tcPr>
          <w:p>
            <w:pPr>
              <w:ind w:left="380"/>
              <w:spacing w:after="0" w:line="135" w:lineRule="exact"/>
              <w:rPr>
                <w:sz w:val="20"/>
                <w:szCs w:val="20"/>
                <w:color w:val="auto"/>
              </w:rPr>
            </w:pPr>
            <w:r>
              <w:rPr>
                <w:rFonts w:ascii="Arial" w:cs="Arial" w:eastAsia="Arial" w:hAnsi="Arial"/>
                <w:sz w:val="15"/>
                <w:szCs w:val="15"/>
                <w:b w:val="1"/>
                <w:bCs w:val="1"/>
                <w:color w:val="auto"/>
              </w:rPr>
              <w:t>Financial Statement</w:t>
            </w:r>
          </w:p>
        </w:tc>
        <w:tc>
          <w:tcPr>
            <w:tcW w:w="180" w:type="dxa"/>
            <w:vAlign w:val="bottom"/>
          </w:tcPr>
          <w:p>
            <w:pPr>
              <w:spacing w:after="0"/>
              <w:rPr>
                <w:sz w:val="11"/>
                <w:szCs w:val="11"/>
                <w:color w:val="auto"/>
              </w:rPr>
            </w:pP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8"/>
              </w:rPr>
              <w:t>June 30, 2021</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8"/>
              </w:rPr>
              <w:t>June 30, 2020</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8"/>
              </w:rPr>
              <w:t>June 30, 2021</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8"/>
              </w:rPr>
              <w:t>June 30, 2020</w:t>
            </w:r>
          </w:p>
        </w:tc>
        <w:tc>
          <w:tcPr>
            <w:tcW w:w="0" w:type="dxa"/>
            <w:vAlign w:val="bottom"/>
          </w:tcPr>
          <w:p>
            <w:pPr>
              <w:spacing w:after="0"/>
              <w:rPr>
                <w:sz w:val="1"/>
                <w:szCs w:val="1"/>
                <w:color w:val="auto"/>
              </w:rPr>
            </w:pPr>
          </w:p>
        </w:tc>
      </w:tr>
      <w:tr>
        <w:trPr>
          <w:trHeight w:val="200"/>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6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Expense</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ind w:left="140"/>
              <w:spacing w:after="0"/>
              <w:rPr>
                <w:sz w:val="20"/>
                <w:szCs w:val="20"/>
                <w:color w:val="auto"/>
              </w:rPr>
            </w:pPr>
            <w:r>
              <w:rPr>
                <w:rFonts w:ascii="Arial" w:cs="Arial" w:eastAsia="Arial" w:hAnsi="Arial"/>
                <w:sz w:val="15"/>
                <w:szCs w:val="15"/>
                <w:color w:val="auto"/>
              </w:rPr>
              <w:t>Interest on lease liabilities</w:t>
            </w:r>
          </w:p>
        </w:tc>
        <w:tc>
          <w:tcPr>
            <w:tcW w:w="216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2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w w:val="97"/>
              </w:rPr>
              <w:t>expense, Property operating and</w:t>
            </w: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4,452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1,804</w:t>
            </w:r>
          </w:p>
        </w:tc>
        <w:tc>
          <w:tcPr>
            <w:tcW w:w="0" w:type="dxa"/>
            <w:vAlign w:val="bottom"/>
          </w:tcPr>
          <w:p>
            <w:pPr>
              <w:spacing w:after="0"/>
              <w:rPr>
                <w:sz w:val="1"/>
                <w:szCs w:val="1"/>
                <w:color w:val="auto"/>
              </w:rPr>
            </w:pPr>
          </w:p>
        </w:tc>
      </w:tr>
      <w:tr>
        <w:trPr>
          <w:trHeight w:val="202"/>
        </w:trPr>
        <w:tc>
          <w:tcPr>
            <w:tcW w:w="3000" w:type="dxa"/>
            <w:vAlign w:val="bottom"/>
            <w:gridSpan w:val="2"/>
            <w:vMerge w:val="continue"/>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maintenance</w:t>
            </w: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ind w:left="20"/>
              <w:spacing w:after="0"/>
              <w:rPr>
                <w:sz w:val="20"/>
                <w:szCs w:val="20"/>
                <w:color w:val="auto"/>
              </w:rPr>
            </w:pPr>
            <w:r>
              <w:rPr>
                <w:rFonts w:ascii="Arial" w:cs="Arial" w:eastAsia="Arial" w:hAnsi="Arial"/>
                <w:sz w:val="15"/>
                <w:szCs w:val="15"/>
                <w:color w:val="auto"/>
              </w:rPr>
              <w:t>Variable lease cost</w:t>
            </w:r>
          </w:p>
        </w:tc>
        <w:tc>
          <w:tcPr>
            <w:tcW w:w="216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Property operating and</w:t>
            </w: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1,819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3,118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198"/>
        </w:trPr>
        <w:tc>
          <w:tcPr>
            <w:tcW w:w="3000" w:type="dxa"/>
            <w:vAlign w:val="bottom"/>
            <w:gridSpan w:val="2"/>
            <w:vMerge w:val="continue"/>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5"/>
                <w:szCs w:val="15"/>
                <w:color w:val="auto"/>
              </w:rPr>
              <w:t>maintenance</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Short term lease cost</w:t>
            </w:r>
          </w:p>
        </w:tc>
        <w:tc>
          <w:tcPr>
            <w:tcW w:w="21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Property operating and</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000" w:type="dxa"/>
            <w:vAlign w:val="bottom"/>
            <w:gridSpan w:val="2"/>
            <w:vMerge w:val="continue"/>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maintenance</w:t>
            </w: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Lease Expense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1,423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7,760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2,602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0" w:type="dxa"/>
            <w:vAlign w:val="bottom"/>
          </w:tcPr>
          <w:p>
            <w:pPr>
              <w:spacing w:after="0"/>
              <w:rPr>
                <w:sz w:val="17"/>
                <w:szCs w:val="17"/>
                <w:color w:val="auto"/>
              </w:rPr>
            </w:pPr>
          </w:p>
        </w:tc>
        <w:tc>
          <w:tcPr>
            <w:tcW w:w="1840" w:type="dxa"/>
            <w:vAlign w:val="bottom"/>
          </w:tcPr>
          <w:p>
            <w:pPr>
              <w:jc w:val="right"/>
              <w:ind w:right="684"/>
              <w:spacing w:after="0"/>
              <w:rPr>
                <w:sz w:val="20"/>
                <w:szCs w:val="20"/>
                <w:color w:val="auto"/>
              </w:rPr>
            </w:pPr>
            <w:r>
              <w:rPr>
                <w:rFonts w:ascii="Arial" w:cs="Arial" w:eastAsia="Arial" w:hAnsi="Arial"/>
                <w:sz w:val="15"/>
                <w:szCs w:val="15"/>
                <w:b w:val="1"/>
                <w:bCs w:val="1"/>
                <w:color w:val="auto"/>
              </w:rPr>
              <w:t>As of</w:t>
            </w:r>
          </w:p>
        </w:tc>
      </w:tr>
      <w:tr>
        <w:trPr>
          <w:trHeight w:val="20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8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June 30, 2021</w:t>
            </w:r>
          </w:p>
        </w:tc>
      </w:tr>
      <w:tr>
        <w:trPr>
          <w:trHeight w:val="186"/>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840" w:type="dxa"/>
            <w:vAlign w:val="bottom"/>
            <w:shd w:val="clear" w:color="auto" w:fill="CCEEFF"/>
          </w:tcPr>
          <w:p>
            <w:pPr>
              <w:spacing w:after="0"/>
              <w:rPr>
                <w:sz w:val="16"/>
                <w:szCs w:val="16"/>
                <w:color w:val="auto"/>
              </w:rPr>
            </w:pPr>
          </w:p>
        </w:tc>
      </w:tr>
      <w:tr>
        <w:trPr>
          <w:trHeight w:val="199"/>
        </w:trPr>
        <w:tc>
          <w:tcPr>
            <w:tcW w:w="9400" w:type="dxa"/>
            <w:vAlign w:val="bottom"/>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2.97</w:t>
            </w:r>
          </w:p>
        </w:tc>
      </w:tr>
      <w:tr>
        <w:trPr>
          <w:trHeight w:val="206"/>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w:t>
            </w:r>
          </w:p>
        </w:tc>
      </w:tr>
      <w:tr>
        <w:trPr>
          <w:trHeight w:val="199"/>
        </w:trPr>
        <w:tc>
          <w:tcPr>
            <w:tcW w:w="940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840" w:type="dxa"/>
            <w:vAlign w:val="bottom"/>
          </w:tcPr>
          <w:p>
            <w:pPr>
              <w:spacing w:after="0"/>
              <w:rPr>
                <w:sz w:val="17"/>
                <w:szCs w:val="17"/>
                <w:color w:val="auto"/>
              </w:rPr>
            </w:pPr>
          </w:p>
        </w:tc>
      </w:tr>
      <w:tr>
        <w:trPr>
          <w:trHeight w:val="206"/>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2.44 %</w:t>
            </w:r>
          </w:p>
        </w:tc>
      </w:tr>
      <w:tr>
        <w:trPr>
          <w:trHeight w:val="195"/>
        </w:trPr>
        <w:tc>
          <w:tcPr>
            <w:tcW w:w="9400" w:type="dxa"/>
            <w:vAlign w:val="bottom"/>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3.84 %</w:t>
            </w: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12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Other Information (in thousands)</w:t>
            </w: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2021</w:t>
            </w:r>
          </w:p>
        </w:tc>
        <w:tc>
          <w:tcPr>
            <w:tcW w:w="260" w:type="dxa"/>
            <w:vAlign w:val="bottom"/>
          </w:tcPr>
          <w:p>
            <w:pPr>
              <w:spacing w:after="0"/>
              <w:rPr>
                <w:sz w:val="17"/>
                <w:szCs w:val="17"/>
                <w:color w:val="auto"/>
              </w:rPr>
            </w:pPr>
          </w:p>
        </w:tc>
        <w:tc>
          <w:tcPr>
            <w:tcW w:w="1480" w:type="dxa"/>
            <w:vAlign w:val="bottom"/>
          </w:tcPr>
          <w:p>
            <w:pPr>
              <w:jc w:val="right"/>
              <w:ind w:right="344"/>
              <w:spacing w:after="0"/>
              <w:rPr>
                <w:sz w:val="20"/>
                <w:szCs w:val="20"/>
                <w:color w:val="auto"/>
              </w:rPr>
            </w:pPr>
            <w:r>
              <w:rPr>
                <w:rFonts w:ascii="Arial" w:cs="Arial" w:eastAsia="Arial" w:hAnsi="Arial"/>
                <w:sz w:val="15"/>
                <w:szCs w:val="15"/>
                <w:b w:val="1"/>
                <w:bCs w:val="1"/>
                <w:color w:val="auto"/>
              </w:rPr>
              <w:t>June 30, 2020</w:t>
            </w:r>
          </w:p>
        </w:tc>
      </w:tr>
      <w:tr>
        <w:trPr>
          <w:trHeight w:val="185"/>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r>
      <w:tr>
        <w:trPr>
          <w:trHeight w:val="198"/>
        </w:trPr>
        <w:tc>
          <w:tcPr>
            <w:tcW w:w="7640" w:type="dxa"/>
            <w:vAlign w:val="bottom"/>
          </w:tcPr>
          <w:p>
            <w:pPr>
              <w:ind w:left="140"/>
              <w:spacing w:after="0"/>
              <w:rPr>
                <w:sz w:val="20"/>
                <w:szCs w:val="20"/>
                <w:color w:val="auto"/>
              </w:rPr>
            </w:pPr>
            <w:r>
              <w:rPr>
                <w:rFonts w:ascii="Arial" w:cs="Arial" w:eastAsia="Arial" w:hAnsi="Arial"/>
                <w:sz w:val="15"/>
                <w:szCs w:val="15"/>
                <w:color w:val="auto"/>
              </w:rPr>
              <w:t>Operating cash flow from operating leases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2,402</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1,147</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Financing cash flow from finance leases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b w:val="1"/>
                <w:bCs w:val="1"/>
                <w:color w:val="auto"/>
              </w:rPr>
              <w:t>Total Cash Paid On Lease Liabilities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1,162</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the lessor for any finance leases at our MH, RV or marina properties as of June 30, 2021.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95 percent of our operating leases at our MH and RV properties where we are the lessor are either month to month or for a time period not to exceed one year. As of June 30, 2021, future minimum lease payments would not exceed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non-cancellable leases at our marinas and RV properties as of the six months ended June 30, 2021 where we are the lessor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Payments (in thousands)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6"/>
              </w:rPr>
              <w:t>Operating Leases</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2021 (Excluding six months ended June 30, 2021)</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9,683</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15,583</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13,244</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8,230</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4,601</w:t>
            </w: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5,105</w:t>
            </w: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56,446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5"/>
          </w:tcPr>
          <w:p>
            <w:pPr>
              <w:ind w:left="82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7"/>
                <w:szCs w:val="17"/>
                <w:color w:val="auto"/>
              </w:rPr>
            </w:pPr>
          </w:p>
        </w:tc>
        <w:tc>
          <w:tcPr>
            <w:tcW w:w="3300" w:type="dxa"/>
            <w:vAlign w:val="bottom"/>
            <w:gridSpan w:val="4"/>
          </w:tcPr>
          <w:p>
            <w:pPr>
              <w:jc w:val="right"/>
              <w:ind w:right="110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4040" w:type="dxa"/>
            <w:vAlign w:val="bottom"/>
            <w:gridSpan w:val="2"/>
          </w:tcPr>
          <w:p>
            <w:pPr>
              <w:ind w:left="1580"/>
              <w:spacing w:after="0"/>
              <w:rPr>
                <w:sz w:val="20"/>
                <w:szCs w:val="20"/>
                <w:color w:val="auto"/>
              </w:rPr>
            </w:pPr>
            <w:r>
              <w:rPr>
                <w:rFonts w:ascii="Arial" w:cs="Arial" w:eastAsia="Arial" w:hAnsi="Arial"/>
                <w:sz w:val="15"/>
                <w:szCs w:val="15"/>
                <w:b w:val="1"/>
                <w:bCs w:val="1"/>
                <w:color w:val="auto"/>
              </w:rPr>
              <w:t>Description</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198"/>
        </w:trPr>
        <w:tc>
          <w:tcPr>
            <w:tcW w:w="4040" w:type="dxa"/>
            <w:vAlign w:val="bottom"/>
            <w:gridSpan w:val="2"/>
          </w:tcPr>
          <w:p>
            <w:pPr>
              <w:ind w:left="20"/>
              <w:spacing w:after="0"/>
              <w:rPr>
                <w:sz w:val="20"/>
                <w:szCs w:val="20"/>
                <w:color w:val="auto"/>
              </w:rPr>
            </w:pPr>
            <w:r>
              <w:rPr>
                <w:rFonts w:ascii="Arial" w:cs="Arial" w:eastAsia="Arial" w:hAnsi="Arial"/>
                <w:sz w:val="15"/>
                <w:szCs w:val="15"/>
                <w:color w:val="auto"/>
              </w:rPr>
              <w:t>Fixed lease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5,396</w:t>
            </w: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9,053</w:t>
            </w:r>
          </w:p>
        </w:tc>
        <w:tc>
          <w:tcPr>
            <w:tcW w:w="1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623</w:t>
            </w:r>
          </w:p>
        </w:tc>
      </w:tr>
      <w:tr>
        <w:trPr>
          <w:trHeight w:val="207"/>
        </w:trPr>
        <w:tc>
          <w:tcPr>
            <w:tcW w:w="40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Variable lease income</w:t>
            </w:r>
            <w:r>
              <w:rPr>
                <w:rFonts w:ascii="Arial" w:cs="Arial" w:eastAsia="Arial" w:hAnsi="Arial"/>
                <w:sz w:val="19"/>
                <w:szCs w:val="19"/>
                <w:color w:val="auto"/>
                <w:vertAlign w:val="superscript"/>
              </w:rPr>
              <w:t>(1)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w:t>
            </w:r>
          </w:p>
        </w:tc>
      </w:tr>
    </w:tbl>
    <w:p>
      <w:pPr>
        <w:spacing w:after="0" w:line="51"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Consists of rent primarily based on a percentage of revenues at the related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guidance for accounting for contracts, hedging relationships, and other transactions affected by the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rate reform, if certain criteria are met. The provisions of this standard are available for election through December 31, 2022. As of June 30, 2021, we do not expect the reference rate reform will have a material impact on our Consolidated Financial Statements as the majority of our debt is fixed.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 which simplifies the accounting for certain financial instruments with characteristics of liabilities and equity. This ASU (1) simplifies the accounting for convertible debt instruments and convertible preferred stock by removing the existing guidance in ASC 470-20, "</w:t>
      </w:r>
      <w:r>
        <w:rPr>
          <w:rFonts w:ascii="Arial" w:cs="Arial" w:eastAsia="Arial" w:hAnsi="Arial"/>
          <w:sz w:val="16"/>
          <w:szCs w:val="16"/>
          <w:i w:val="1"/>
          <w:iCs w:val="1"/>
          <w:color w:val="auto"/>
        </w:rPr>
        <w:t>Debt: Debt with Conversion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Options</w:t>
      </w:r>
      <w:r>
        <w:rPr>
          <w:rFonts w:ascii="Arial" w:cs="Arial" w:eastAsia="Arial" w:hAnsi="Arial"/>
          <w:sz w:val="16"/>
          <w:szCs w:val="16"/>
          <w:color w:val="auto"/>
        </w:rPr>
        <w:t>," which requires entities to account for beneficial conversion features and cash conversion features in equity, separately from the host</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to require entities to calculate diluted earnings per share (EPS) for convertible instruments by using the if-converted method. In addition, entities must presume share settlement for purposes of calculating diluted EPS when an instrument may be settled in cash or shares. ASU 2020-06 is effective for fiscal years beginning after December 15, 2021, including interim periods within those fiscal years. Early adoption is permitted, but no earlier than fiscal years beginning after December 15, 2020. We are currently evaluating the impact that ASU 2020-06 may have on our Consolidated Financial Statements and related disclosure.</w:t>
      </w:r>
    </w:p>
    <w:p>
      <w:pPr>
        <w:spacing w:after="0" w:line="1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quarter ended June 30, 2021, we acquired the following MH, RV and marina properties: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w w:val="99"/>
              </w:rPr>
              <w:t>Sites, Wet Slips and</w:t>
            </w:r>
          </w:p>
        </w:tc>
        <w:tc>
          <w:tcPr>
            <w:tcW w:w="13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Development</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8"/>
        </w:trPr>
        <w:tc>
          <w:tcPr>
            <w:tcW w:w="2460" w:type="dxa"/>
            <w:vAlign w:val="bottom"/>
            <w:vMerge w:val="restart"/>
          </w:tcPr>
          <w:p>
            <w:pPr>
              <w:ind w:left="740"/>
              <w:spacing w:after="0"/>
              <w:rPr>
                <w:sz w:val="20"/>
                <w:szCs w:val="20"/>
                <w:color w:val="auto"/>
              </w:rPr>
            </w:pPr>
            <w:r>
              <w:rPr>
                <w:rFonts w:ascii="Arial" w:cs="Arial" w:eastAsia="Arial" w:hAnsi="Arial"/>
                <w:sz w:val="15"/>
                <w:szCs w:val="15"/>
                <w:b w:val="1"/>
                <w:bCs w:val="1"/>
                <w:color w:val="auto"/>
              </w:rPr>
              <w:t>Property Name</w:t>
            </w:r>
          </w:p>
        </w:tc>
        <w:tc>
          <w:tcPr>
            <w:tcW w:w="120" w:type="dxa"/>
            <w:vAlign w:val="bottom"/>
            <w:vMerge w:val="restart"/>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Property Type</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ind w:left="540"/>
              <w:spacing w:after="0"/>
              <w:rPr>
                <w:sz w:val="20"/>
                <w:szCs w:val="20"/>
                <w:color w:val="auto"/>
              </w:rPr>
            </w:pPr>
            <w:r>
              <w:rPr>
                <w:rFonts w:ascii="Arial" w:cs="Arial" w:eastAsia="Arial" w:hAnsi="Arial"/>
                <w:sz w:val="15"/>
                <w:szCs w:val="15"/>
                <w:b w:val="1"/>
                <w:bCs w:val="1"/>
                <w:color w:val="auto"/>
              </w:rPr>
              <w:t>City</w:t>
            </w:r>
          </w:p>
        </w:tc>
        <w:tc>
          <w:tcPr>
            <w:tcW w:w="100" w:type="dxa"/>
            <w:vAlign w:val="bottom"/>
            <w:vMerge w:val="restart"/>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State / Province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4"/>
              <w:spacing w:after="0" w:line="149" w:lineRule="exact"/>
              <w:rPr>
                <w:sz w:val="20"/>
                <w:szCs w:val="20"/>
                <w:color w:val="auto"/>
              </w:rPr>
            </w:pPr>
            <w:r>
              <w:rPr>
                <w:rFonts w:ascii="Arial" w:cs="Arial" w:eastAsia="Arial" w:hAnsi="Arial"/>
                <w:sz w:val="15"/>
                <w:szCs w:val="15"/>
                <w:b w:val="1"/>
                <w:bCs w:val="1"/>
                <w:color w:val="auto"/>
                <w:w w:val="90"/>
              </w:rPr>
              <w:t>Purchase Price</w:t>
            </w:r>
          </w:p>
        </w:tc>
        <w:tc>
          <w:tcPr>
            <w:tcW w:w="0" w:type="dxa"/>
            <w:vAlign w:val="bottom"/>
          </w:tcPr>
          <w:p>
            <w:pPr>
              <w:spacing w:after="0"/>
              <w:rPr>
                <w:sz w:val="1"/>
                <w:szCs w:val="1"/>
                <w:color w:val="auto"/>
              </w:rPr>
            </w:pPr>
          </w:p>
        </w:tc>
      </w:tr>
      <w:tr>
        <w:trPr>
          <w:trHeight w:val="200"/>
        </w:trPr>
        <w:tc>
          <w:tcPr>
            <w:tcW w:w="24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(in millions)</w:t>
            </w:r>
          </w:p>
        </w:tc>
        <w:tc>
          <w:tcPr>
            <w:tcW w:w="0" w:type="dxa"/>
            <w:vAlign w:val="bottom"/>
          </w:tcPr>
          <w:p>
            <w:pPr>
              <w:spacing w:after="0"/>
              <w:rPr>
                <w:sz w:val="1"/>
                <w:szCs w:val="1"/>
                <w:color w:val="auto"/>
              </w:rPr>
            </w:pPr>
          </w:p>
        </w:tc>
      </w:tr>
      <w:tr>
        <w:trPr>
          <w:trHeight w:val="198"/>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Allen Harbor</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Marina</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N/A</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North Kingstown</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8"/>
        </w:trPr>
        <w:tc>
          <w:tcPr>
            <w:tcW w:w="2580" w:type="dxa"/>
            <w:vAlign w:val="bottom"/>
            <w:gridSpan w:val="2"/>
          </w:tcPr>
          <w:p>
            <w:pPr>
              <w:ind w:left="20"/>
              <w:spacing w:after="0"/>
              <w:rPr>
                <w:sz w:val="20"/>
                <w:szCs w:val="20"/>
                <w:color w:val="auto"/>
              </w:rPr>
            </w:pPr>
            <w:r>
              <w:rPr>
                <w:rFonts w:ascii="Arial" w:cs="Arial" w:eastAsia="Arial" w:hAnsi="Arial"/>
                <w:sz w:val="15"/>
                <w:szCs w:val="15"/>
                <w:color w:val="auto"/>
              </w:rPr>
              <w:t>Cisco Grove Campground &amp; RV</w:t>
            </w: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RV</w:t>
            </w:r>
          </w:p>
        </w:tc>
        <w:tc>
          <w:tcPr>
            <w:tcW w:w="14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1360" w:type="dxa"/>
            <w:vAlign w:val="bottom"/>
          </w:tcPr>
          <w:p>
            <w:pPr>
              <w:ind w:left="1060"/>
              <w:spacing w:after="0"/>
              <w:rPr>
                <w:sz w:val="20"/>
                <w:szCs w:val="20"/>
                <w:color w:val="auto"/>
              </w:rPr>
            </w:pPr>
            <w:r>
              <w:rPr>
                <w:rFonts w:ascii="Arial" w:cs="Arial" w:eastAsia="Arial" w:hAnsi="Arial"/>
                <w:sz w:val="15"/>
                <w:szCs w:val="15"/>
                <w:color w:val="auto"/>
              </w:rPr>
              <w:t>407</w:t>
            </w:r>
          </w:p>
        </w:tc>
        <w:tc>
          <w:tcPr>
            <w:tcW w:w="10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5"/>
                <w:szCs w:val="15"/>
                <w:color w:val="auto"/>
              </w:rPr>
              <w:t>Emigrant Gap</w:t>
            </w:r>
          </w:p>
        </w:tc>
        <w:tc>
          <w:tcPr>
            <w:tcW w:w="144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7"/>
        </w:trPr>
        <w:tc>
          <w:tcPr>
            <w:tcW w:w="25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Four Leaf Portfolio</w:t>
            </w:r>
            <w:r>
              <w:rPr>
                <w:rFonts w:ascii="Arial" w:cs="Arial" w:eastAsia="Arial" w:hAnsi="Arial"/>
                <w:sz w:val="19"/>
                <w:szCs w:val="19"/>
                <w:color w:val="auto"/>
                <w:vertAlign w:val="superscript"/>
              </w:rPr>
              <w:t>(1)</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MH</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 / IN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w:t>
            </w:r>
          </w:p>
        </w:tc>
        <w:tc>
          <w:tcPr>
            <w:tcW w:w="0" w:type="dxa"/>
            <w:vAlign w:val="bottom"/>
          </w:tcPr>
          <w:p>
            <w:pPr>
              <w:spacing w:after="0"/>
              <w:rPr>
                <w:sz w:val="1"/>
                <w:szCs w:val="1"/>
                <w:color w:val="auto"/>
              </w:rPr>
            </w:pPr>
          </w:p>
        </w:tc>
      </w:tr>
      <w:tr>
        <w:trPr>
          <w:trHeight w:val="198"/>
        </w:trPr>
        <w:tc>
          <w:tcPr>
            <w:tcW w:w="25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Harborage Yacht Club</w:t>
            </w:r>
          </w:p>
        </w:tc>
        <w:tc>
          <w:tcPr>
            <w:tcW w:w="1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95"/>
              </w:rPr>
              <w:t>Marina</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5"/>
                <w:szCs w:val="15"/>
                <w:color w:val="auto"/>
              </w:rPr>
              <w:t>N/A</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Stuart</w:t>
            </w:r>
          </w:p>
        </w:tc>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FL</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Total Subsequent Acquisitions</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5"/>
                <w:szCs w:val="15"/>
                <w:color w:val="auto"/>
                <w:w w:val="87"/>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Contains nine MH communities.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 2021, we closed on a sale of two MH communities located in Anderson, IN and O'Fallon, MO, containing 175 and 502 sites, respectively, for $67.5 million. The assets and liabilities associated with the transaction were classified as held-for-sale on the Consolidated Balance Sheets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fully integrated, self-administered and self-managed REIT. As of June 30, 2021, we owned and operated or held an interest in a portfolio of 569 developed properties located in 39 states throughout the U.S. and one province in Canada, including 278 MH communities, 143 RV resorts, 34 properties containing both MH and RV sites, and 114 marinas. We have been in the business of acquiring, operating, developing and expanding MH communities and RV resorts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there are no government regulations preventing the operations of any of our MH communities, RV resorts or marinas. The border for recreational travel between the United States and Canada remains closed, which could impact cross border traffic to resorts and marinas across the United States and Canada. The execution of our operational and financial plans has helped to mitigate the impact of COVID-19 on our business.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continue to provide essential services using social distancing techniques and minimal contact. To promote social distancing, we are encouraging our residents to use our online rent payment portals and other payment methods. We continue to implement numerous health and safety measures at our communities and our main office to keep team members safe. These measures include increased cleaning and sanitation of shared spaces and social distancing protocols throughout our footprint. We closely monitor and track orders by federal, state and local authorities and hold regular status calls with our operations and main office leadership teams. We have implemented and continue to encourage remote working arrangements, wherever possible, to keep our team members safe and to do our part to promote social distancing.</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assisting individuals who are in the process of leasing a site, a wet slip, a dry storage space, or purchasing a home, while maintaining health and safety protocols including following strict social distancing. Virtual viewings of homes are being utilized to avoid or minimize contact.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uncertainty of this situation precludes any prediction as to the full impact of the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2020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2" w:lineRule="exact"/>
        <w:rPr>
          <w:sz w:val="20"/>
          <w:szCs w:val="20"/>
          <w:color w:val="auto"/>
        </w:rPr>
      </w:pPr>
    </w:p>
    <w:p>
      <w:pPr>
        <w:jc w:val="both"/>
        <w:ind w:firstLine="8"/>
        <w:spacing w:after="0" w:line="255" w:lineRule="auto"/>
        <w:tabs>
          <w:tab w:leader="none" w:pos="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stockholders to NOI and summarize our consolidated financial results for the three and six months ended June 30, 2021 and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80" w:type="dxa"/>
            <w:vAlign w:val="bottom"/>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2020</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2020</w:t>
            </w:r>
          </w:p>
        </w:tc>
        <w:tc>
          <w:tcPr>
            <w:tcW w:w="0" w:type="dxa"/>
            <w:vAlign w:val="bottom"/>
          </w:tcPr>
          <w:p>
            <w:pPr>
              <w:spacing w:after="0"/>
              <w:rPr>
                <w:sz w:val="1"/>
                <w:szCs w:val="1"/>
                <w:color w:val="auto"/>
              </w:rPr>
            </w:pPr>
          </w:p>
        </w:tc>
      </w:tr>
      <w:tr>
        <w:trPr>
          <w:trHeight w:val="19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110,770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58,910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135,552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(2,635)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(4,985)</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(7,187)</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General and administrative expense</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45,127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26,527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83,330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51,876</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Business combination expense, net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126,423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87,265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249,727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170,954</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8,108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37,681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31,428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77,198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63,844</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1,042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2,077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2,083</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(24,519)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4,128</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(10,374)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7,105</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expense, net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(Gain) / loss on remeasurement of notes receivable (see Note 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49"/>
        </w:trPr>
        <w:tc>
          <w:tcPr>
            <w:tcW w:w="5320" w:type="dxa"/>
            <w:vAlign w:val="bottom"/>
          </w:tcPr>
          <w:p>
            <w:pPr>
              <w:ind w:left="220"/>
              <w:spacing w:after="0" w:line="149" w:lineRule="exact"/>
              <w:rPr>
                <w:sz w:val="20"/>
                <w:szCs w:val="20"/>
                <w:color w:val="auto"/>
              </w:rPr>
            </w:pPr>
            <w:r>
              <w:rPr>
                <w:rFonts w:ascii="Arial" w:cs="Arial" w:eastAsia="Arial" w:hAnsi="Arial"/>
                <w:sz w:val="15"/>
                <w:szCs w:val="15"/>
                <w:color w:val="auto"/>
                <w:w w:val="96"/>
              </w:rPr>
              <w:t>(Gain) / loss on remeasurement of investment in nonconsolidated affiliates (see</w:t>
            </w:r>
          </w:p>
        </w:tc>
        <w:tc>
          <w:tcPr>
            <w:tcW w:w="180" w:type="dxa"/>
            <w:vAlign w:val="bottom"/>
          </w:tcPr>
          <w:p>
            <w:pPr>
              <w:spacing w:after="0"/>
              <w:rPr>
                <w:sz w:val="12"/>
                <w:szCs w:val="12"/>
                <w:color w:val="auto"/>
              </w:rPr>
            </w:pPr>
          </w:p>
        </w:tc>
        <w:tc>
          <w:tcPr>
            <w:tcW w:w="1200" w:type="dxa"/>
            <w:vAlign w:val="bottom"/>
            <w:vMerge w:val="restart"/>
          </w:tcPr>
          <w:p>
            <w:pPr>
              <w:jc w:val="right"/>
              <w:ind w:right="4"/>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(1,132)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4"/>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198"/>
        </w:trPr>
        <w:tc>
          <w:tcPr>
            <w:tcW w:w="5320" w:type="dxa"/>
            <w:vAlign w:val="bottom"/>
          </w:tcPr>
          <w:p>
            <w:pPr>
              <w:ind w:left="220"/>
              <w:spacing w:after="0"/>
              <w:rPr>
                <w:sz w:val="20"/>
                <w:szCs w:val="20"/>
                <w:color w:val="auto"/>
              </w:rPr>
            </w:pPr>
            <w:r>
              <w:rPr>
                <w:rFonts w:ascii="Arial" w:cs="Arial" w:eastAsia="Arial" w:hAnsi="Arial"/>
                <w:sz w:val="15"/>
                <w:szCs w:val="15"/>
                <w:color w:val="auto"/>
              </w:rPr>
              <w:t>Note 6)</w:t>
            </w: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Current tax expense (see Note 12)</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199"/>
        </w:trPr>
        <w:tc>
          <w:tcPr>
            <w:tcW w:w="5320" w:type="dxa"/>
            <w:vAlign w:val="bottom"/>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 /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3,154</w:t>
            </w:r>
          </w:p>
        </w:tc>
        <w:tc>
          <w:tcPr>
            <w:tcW w:w="0" w:type="dxa"/>
            <w:vAlign w:val="bottom"/>
          </w:tcPr>
          <w:p>
            <w:pPr>
              <w:spacing w:after="0"/>
              <w:rPr>
                <w:sz w:val="1"/>
                <w:szCs w:val="1"/>
                <w:color w:val="auto"/>
              </w:rPr>
            </w:pPr>
          </w:p>
        </w:tc>
      </w:tr>
      <w:tr>
        <w:trPr>
          <w:trHeight w:val="198"/>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1,899</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NOI</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303,694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169,537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524,136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345,845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54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2680" w:type="dxa"/>
            <w:vAlign w:val="bottom"/>
            <w:gridSpan w:val="4"/>
          </w:tcPr>
          <w:p>
            <w:pPr>
              <w:jc w:val="right"/>
              <w:ind w:right="744"/>
              <w:spacing w:after="0"/>
              <w:rPr>
                <w:sz w:val="20"/>
                <w:szCs w:val="20"/>
                <w:color w:val="auto"/>
              </w:rPr>
            </w:pPr>
            <w:r>
              <w:rPr>
                <w:rFonts w:ascii="Arial" w:cs="Arial" w:eastAsia="Arial" w:hAnsi="Arial"/>
                <w:sz w:val="15"/>
                <w:szCs w:val="15"/>
                <w:b w:val="1"/>
                <w:bCs w:val="1"/>
                <w:color w:val="auto"/>
              </w:rPr>
              <w:t>Six Months Ended</w:t>
            </w:r>
          </w:p>
        </w:tc>
      </w:tr>
      <w:tr>
        <w:trPr>
          <w:trHeight w:val="198"/>
        </w:trPr>
        <w:tc>
          <w:tcPr>
            <w:tcW w:w="5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2020</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June 30, 2020</w:t>
            </w:r>
          </w:p>
        </w:tc>
      </w:tr>
      <w:tr>
        <w:trPr>
          <w:trHeight w:val="19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252,742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162,600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457,394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333,939</w:t>
            </w:r>
          </w:p>
        </w:tc>
      </w:tr>
      <w:tr>
        <w:trPr>
          <w:trHeight w:val="198"/>
        </w:trPr>
        <w:tc>
          <w:tcPr>
            <w:tcW w:w="5320" w:type="dxa"/>
            <w:vAlign w:val="bottom"/>
          </w:tcPr>
          <w:p>
            <w:pPr>
              <w:ind w:left="20"/>
              <w:spacing w:after="0"/>
              <w:rPr>
                <w:sz w:val="20"/>
                <w:szCs w:val="20"/>
                <w:color w:val="auto"/>
              </w:rPr>
            </w:pPr>
            <w:r>
              <w:rPr>
                <w:rFonts w:ascii="Arial" w:cs="Arial" w:eastAsia="Arial" w:hAnsi="Arial"/>
                <w:sz w:val="15"/>
                <w:szCs w:val="15"/>
                <w:color w:val="auto"/>
              </w:rPr>
              <w:t>Home Sales NOI</w:t>
            </w:r>
          </w:p>
        </w:tc>
        <w:tc>
          <w:tcPr>
            <w:tcW w:w="18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23,085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6,479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33,694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13,027</w:t>
            </w:r>
          </w:p>
        </w:tc>
      </w:tr>
      <w:tr>
        <w:trPr>
          <w:trHeight w:val="203"/>
        </w:trPr>
        <w:tc>
          <w:tcPr>
            <w:tcW w:w="5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NOI</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27,867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33,048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(1,121)</w:t>
            </w:r>
          </w:p>
        </w:tc>
      </w:tr>
      <w:tr>
        <w:trPr>
          <w:trHeight w:val="200"/>
        </w:trPr>
        <w:tc>
          <w:tcPr>
            <w:tcW w:w="5320" w:type="dxa"/>
            <w:vAlign w:val="bottom"/>
          </w:tcPr>
          <w:p>
            <w:pPr>
              <w:ind w:left="140"/>
              <w:spacing w:after="0"/>
              <w:rPr>
                <w:sz w:val="20"/>
                <w:szCs w:val="20"/>
                <w:color w:val="auto"/>
              </w:rPr>
            </w:pPr>
            <w:r>
              <w:rPr>
                <w:rFonts w:ascii="Arial" w:cs="Arial" w:eastAsia="Arial" w:hAnsi="Arial"/>
                <w:sz w:val="15"/>
                <w:szCs w:val="15"/>
                <w:b w:val="1"/>
                <w:bCs w:val="1"/>
                <w:color w:val="auto"/>
              </w:rPr>
              <w:t>NOI</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303,694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169,537</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524,136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345,845</w:t>
            </w:r>
          </w:p>
        </w:tc>
      </w:tr>
      <w:tr>
        <w:trPr>
          <w:trHeight w:val="21"/>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of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evaluate segment operating performance based on NOI. The RV and marina industries are cyclical and seasonal in nature, and the results of operations in any one period may not be indicative of results in future periods.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RV market, certain properties maintain higher occupancy during the summer months, while other properties maintain higher occupancy during the winter months. The RV market typically shows a decline in demand over the winter months, yet usually produces higher growth in the spring and summer months due to higher use by vacationers. Real property - transient revenue is included in the RV segment revenue. As of June 30, 2021, we recognized 12.2 percent of the annual expected Real property - transient revenue in the first quarter, 28.1 percent in the second quarter, and expect to recognize 45.8 percent in the third quarter and 13.9 percent in the fourth quarter. Final percentages will not be known and disclosed until year end. Real property - transient revenue was approximately $134.7 million for the year ended December 31, 2020. In 2020, Real property - transient was recognized 18.8 percent in the first quarter, 15.6 percent in the second quarter, 44.9 percent in the third quarter and 20.7 percent in the fourth quarter.</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marina market, demand for wet slip storage increases during the summer months as customers contract for the summer boating season, which also drives non-storage revenue streams such as service, fuel and on-premise restaurants or convenience storage. Demand for dry storage increases during the winter season as seasonal weather patterns require boat owners to store their vessels on dry docks and within covered racks. As of June 30, 2021, we recognized 18.9 percent of the expected seasonal Real property revenue in the first quarter, 26.6 percent in the second quarter, and expect to recognize 28.8 percent in the third quarter and 25.7 percent in the fourth quarter. Final percentages will not be known and disclosed until year end.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six months ended June 30,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5"/>
                <w:szCs w:val="15"/>
                <w:b w:val="1"/>
                <w:bCs w:val="1"/>
                <w:color w:val="auto"/>
                <w:w w:val="98"/>
              </w:rPr>
              <w:t>Three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Six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2021</w:t>
            </w:r>
          </w:p>
        </w:tc>
        <w:tc>
          <w:tcPr>
            <w:tcW w:w="1320" w:type="dxa"/>
            <w:vAlign w:val="bottom"/>
            <w:gridSpan w:val="3"/>
          </w:tcPr>
          <w:p>
            <w:pPr>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 Change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7"/>
                <w:szCs w:val="17"/>
                <w:color w:val="auto"/>
              </w:rPr>
            </w:pPr>
          </w:p>
        </w:tc>
        <w:tc>
          <w:tcPr>
            <w:tcW w:w="1220" w:type="dxa"/>
            <w:vAlign w:val="bottom"/>
            <w:gridSpan w:val="2"/>
          </w:tcPr>
          <w:p>
            <w:pPr>
              <w:ind w:left="20"/>
              <w:spacing w:after="0" w:line="200" w:lineRule="exact"/>
              <w:rPr>
                <w:sz w:val="20"/>
                <w:szCs w:val="20"/>
                <w:color w:val="auto"/>
              </w:rPr>
            </w:pPr>
            <w:r>
              <w:rPr>
                <w:rFonts w:ascii="Arial" w:cs="Arial" w:eastAsia="Arial" w:hAnsi="Arial"/>
                <w:sz w:val="15"/>
                <w:szCs w:val="15"/>
                <w:b w:val="1"/>
                <w:bCs w:val="1"/>
                <w:color w:val="auto"/>
              </w:rPr>
              <w:t>June 30, 2020</w:t>
            </w:r>
            <w:r>
              <w:rPr>
                <w:rFonts w:ascii="Arial" w:cs="Arial" w:eastAsia="Arial" w:hAnsi="Arial"/>
                <w:sz w:val="19"/>
                <w:szCs w:val="19"/>
                <w:b w:val="1"/>
                <w:bCs w:val="1"/>
                <w:color w:val="auto"/>
                <w:vertAlign w:val="superscript"/>
              </w:rPr>
              <w:t>(1)</w:t>
            </w:r>
          </w:p>
        </w:tc>
        <w:tc>
          <w:tcPr>
            <w:tcW w:w="14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240"/>
              <w:spacing w:after="0" w:line="149" w:lineRule="exact"/>
              <w:rPr>
                <w:sz w:val="20"/>
                <w:szCs w:val="20"/>
                <w:color w:val="auto"/>
              </w:rPr>
            </w:pPr>
            <w:r>
              <w:rPr>
                <w:rFonts w:ascii="Arial" w:cs="Arial" w:eastAsia="Arial" w:hAnsi="Arial"/>
                <w:sz w:val="15"/>
                <w:szCs w:val="15"/>
                <w:color w:val="auto"/>
              </w:rPr>
              <w:t>Real property (excluding</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290,129</w:t>
            </w:r>
          </w:p>
        </w:tc>
        <w:tc>
          <w:tcPr>
            <w:tcW w:w="10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207,869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82,260</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color w:val="auto"/>
              </w:rPr>
              <w:t>39.6 %</w:t>
            </w:r>
          </w:p>
        </w:tc>
        <w:tc>
          <w:tcPr>
            <w:tcW w:w="2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558,895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415,055</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143,840</w:t>
            </w: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color w:val="auto"/>
              </w:rPr>
              <w:t>34.7 %</w:t>
            </w:r>
          </w:p>
        </w:tc>
        <w:tc>
          <w:tcPr>
            <w:tcW w:w="0" w:type="dxa"/>
            <w:vAlign w:val="bottom"/>
          </w:tcPr>
          <w:p>
            <w:pPr>
              <w:spacing w:after="0"/>
              <w:rPr>
                <w:sz w:val="1"/>
                <w:szCs w:val="1"/>
                <w:color w:val="auto"/>
              </w:rPr>
            </w:pPr>
          </w:p>
        </w:tc>
      </w:tr>
      <w:tr>
        <w:trPr>
          <w:trHeight w:val="198"/>
        </w:trPr>
        <w:tc>
          <w:tcPr>
            <w:tcW w:w="222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 transient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25,715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51,283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199.4 %</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53,473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95.4 %</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17,543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21,235</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121.0 %</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68,089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29,729</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77.5 %</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Operating</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405,905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61.6 %</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736,518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509,476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227,042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44.6 %</w:t>
            </w:r>
          </w:p>
        </w:tc>
        <w:tc>
          <w:tcPr>
            <w:tcW w:w="0" w:type="dxa"/>
            <w:vAlign w:val="bottom"/>
          </w:tcPr>
          <w:p>
            <w:pPr>
              <w:spacing w:after="0"/>
              <w:rPr>
                <w:sz w:val="1"/>
                <w:szCs w:val="1"/>
                <w:color w:val="auto"/>
              </w:rPr>
            </w:pPr>
          </w:p>
        </w:tc>
      </w:tr>
      <w:tr>
        <w:trPr>
          <w:trHeight w:val="200"/>
        </w:trPr>
        <w:tc>
          <w:tcPr>
            <w:tcW w:w="2220" w:type="dxa"/>
            <w:vAlign w:val="bottom"/>
          </w:tcPr>
          <w:p>
            <w:pPr>
              <w:ind w:left="140"/>
              <w:spacing w:after="0"/>
              <w:rPr>
                <w:sz w:val="20"/>
                <w:szCs w:val="20"/>
                <w:color w:val="auto"/>
              </w:rPr>
            </w:pPr>
            <w:r>
              <w:rPr>
                <w:rFonts w:ascii="Arial" w:cs="Arial" w:eastAsia="Arial" w:hAnsi="Arial"/>
                <w:sz w:val="15"/>
                <w:szCs w:val="15"/>
                <w:b w:val="1"/>
                <w:bCs w:val="1"/>
                <w:color w:val="auto"/>
              </w:rPr>
              <w:t>Expense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Property Operating</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153,163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88,527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73.0 %</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279,124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175,537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103,587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59.0 %</w:t>
            </w:r>
          </w:p>
        </w:tc>
        <w:tc>
          <w:tcPr>
            <w:tcW w:w="0" w:type="dxa"/>
            <w:vAlign w:val="bottom"/>
          </w:tcPr>
          <w:p>
            <w:pPr>
              <w:spacing w:after="0"/>
              <w:rPr>
                <w:sz w:val="1"/>
                <w:szCs w:val="1"/>
                <w:color w:val="auto"/>
              </w:rPr>
            </w:pPr>
          </w:p>
        </w:tc>
      </w:tr>
      <w:tr>
        <w:trPr>
          <w:trHeight w:val="200"/>
        </w:trPr>
        <w:tc>
          <w:tcPr>
            <w:tcW w:w="2220" w:type="dxa"/>
            <w:vAlign w:val="bottom"/>
          </w:tcPr>
          <w:p>
            <w:pPr>
              <w:ind w:left="240"/>
              <w:spacing w:after="0"/>
              <w:rPr>
                <w:sz w:val="20"/>
                <w:szCs w:val="20"/>
                <w:color w:val="auto"/>
              </w:rPr>
            </w:pPr>
            <w:r>
              <w:rPr>
                <w:rFonts w:ascii="Arial" w:cs="Arial" w:eastAsia="Arial" w:hAnsi="Arial"/>
                <w:sz w:val="15"/>
                <w:szCs w:val="15"/>
                <w:color w:val="auto"/>
              </w:rPr>
              <w:t>Real Property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252,742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162,600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90,142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55.4 %</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457,394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333,939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123,455</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37.0 %</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and six months ended June 30, 2021 have been translated at the 2021 average exchange rates.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40" w:type="dxa"/>
            <w:vAlign w:val="bottom"/>
          </w:tcPr>
          <w:p>
            <w:pPr>
              <w:jc w:val="right"/>
              <w:ind w:right="264"/>
              <w:spacing w:after="0"/>
              <w:rPr>
                <w:sz w:val="20"/>
                <w:szCs w:val="20"/>
                <w:color w:val="auto"/>
              </w:rPr>
            </w:pPr>
            <w:r>
              <w:rPr>
                <w:rFonts w:ascii="Arial" w:cs="Arial" w:eastAsia="Arial" w:hAnsi="Arial"/>
                <w:sz w:val="15"/>
                <w:szCs w:val="15"/>
                <w:b w:val="1"/>
                <w:bCs w:val="1"/>
                <w:color w:val="auto"/>
              </w:rPr>
              <w:t>June 30, 2020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6"/>
        </w:trPr>
        <w:tc>
          <w:tcPr>
            <w:tcW w:w="602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143</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(2)</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(3)</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0.1 %</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(4)</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(5)</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occupancy</w:t>
            </w:r>
            <w:r>
              <w:rPr>
                <w:rFonts w:ascii="Arial" w:cs="Arial" w:eastAsia="Arial" w:hAnsi="Arial"/>
                <w:sz w:val="19"/>
                <w:szCs w:val="19"/>
                <w:color w:val="auto"/>
                <w:vertAlign w:val="superscript"/>
              </w:rPr>
              <w:t>(6)</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98.6 %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MH &amp; RV development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9,443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9,742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(299)</w:t>
            </w: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w:t>
            </w: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04"/>
              <w:spacing w:after="0"/>
              <w:rPr>
                <w:sz w:val="20"/>
                <w:szCs w:val="20"/>
                <w:color w:val="auto"/>
              </w:rPr>
            </w:pPr>
            <w:r>
              <w:rPr>
                <w:rFonts w:ascii="Arial" w:cs="Arial" w:eastAsia="Arial" w:hAnsi="Arial"/>
                <w:sz w:val="15"/>
                <w:szCs w:val="15"/>
                <w:color w:val="auto"/>
              </w:rPr>
              <w:t>503</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16</w:t>
            </w: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w:t>
            </w:r>
          </w:p>
        </w:tc>
      </w:tr>
    </w:tbl>
    <w:p>
      <w:pPr>
        <w:spacing w:after="0" w:line="65"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MH communities, RV resorts and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June 30, 2020 have been translated at 2021 average exchange rates.</w:t>
      </w: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months ended June 30, 2021, the $90.1 million increase in Real Property NOI consists of $34.5 million from Same Communities as detailed below, $41.6 million from the Marinas and $14.0 million from recently acquired properties as compared to the same period in 2020.</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$123.5 million increase in Real Property NOI consists of $39.0 million from Same Communities as detailed below, $66.6 million from marinas and $17.9 million from recently acquired properties in the six months ended June 30, 2021 as compared to the same period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The Same Communities data includes all properties which we have owned and operated continuously since January 1, 2020, exclusive of properties recently completed or under construction, and other properties as determined by management.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utility revenues from Real property revenue to operating expenses. A significant portion of our utility charges are re-billed to our residents.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six months ended June 30, 2021 and 2020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5"/>
                <w:szCs w:val="15"/>
                <w:b w:val="1"/>
                <w:bCs w:val="1"/>
                <w:color w:val="auto"/>
                <w:w w:val="92"/>
              </w:rPr>
              <w:t>Three Months Ended</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5"/>
                <w:szCs w:val="15"/>
                <w:b w:val="1"/>
                <w:bCs w:val="1"/>
                <w:color w:val="auto"/>
                <w:w w:val="93"/>
              </w:rPr>
              <w:t>Total Same Community</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5"/>
                <w:szCs w:val="15"/>
                <w:b w:val="1"/>
                <w:bCs w:val="1"/>
                <w:color w:val="auto"/>
              </w:rPr>
              <w:t>MH</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480"/>
              <w:spacing w:after="0"/>
              <w:rPr>
                <w:sz w:val="20"/>
                <w:szCs w:val="20"/>
                <w:color w:val="auto"/>
              </w:rPr>
            </w:pPr>
            <w:r>
              <w:rPr>
                <w:rFonts w:ascii="Arial" w:cs="Arial" w:eastAsia="Arial" w:hAnsi="Arial"/>
                <w:sz w:val="15"/>
                <w:szCs w:val="15"/>
                <w:b w:val="1"/>
                <w:bCs w:val="1"/>
                <w:color w:val="auto"/>
              </w:rPr>
              <w:t>RV</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
              <w:spacing w:after="0" w:line="144" w:lineRule="exact"/>
              <w:rPr>
                <w:sz w:val="20"/>
                <w:szCs w:val="20"/>
                <w:color w:val="auto"/>
              </w:rPr>
            </w:pPr>
            <w:r>
              <w:rPr>
                <w:rFonts w:ascii="Arial" w:cs="Arial" w:eastAsia="Arial" w:hAnsi="Arial"/>
                <w:sz w:val="15"/>
                <w:szCs w:val="15"/>
                <w:b w:val="1"/>
                <w:bCs w:val="1"/>
                <w:color w:val="auto"/>
                <w:w w:val="93"/>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20"/>
              <w:spacing w:after="0" w:line="144" w:lineRule="exact"/>
              <w:rPr>
                <w:sz w:val="20"/>
                <w:szCs w:val="20"/>
                <w:color w:val="auto"/>
              </w:rPr>
            </w:pPr>
            <w:r>
              <w:rPr>
                <w:rFonts w:ascii="Arial" w:cs="Arial" w:eastAsia="Arial" w:hAnsi="Arial"/>
                <w:sz w:val="15"/>
                <w:szCs w:val="15"/>
                <w:b w:val="1"/>
                <w:bCs w:val="1"/>
                <w:color w:val="auto"/>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5"/>
                <w:szCs w:val="15"/>
                <w:b w:val="1"/>
                <w:bCs w:val="1"/>
                <w:color w:val="auto"/>
                <w:w w:val="98"/>
              </w:rPr>
              <w:t>Change</w:t>
            </w:r>
          </w:p>
        </w:tc>
        <w:tc>
          <w:tcPr>
            <w:tcW w:w="740" w:type="dxa"/>
            <w:vAlign w:val="bottom"/>
            <w:gridSpan w:val="3"/>
          </w:tcPr>
          <w:p>
            <w:pPr>
              <w:jc w:val="right"/>
              <w:ind w:right="18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40"/>
              <w:spacing w:after="0" w:line="144" w:lineRule="exact"/>
              <w:rPr>
                <w:sz w:val="20"/>
                <w:szCs w:val="20"/>
                <w:color w:val="auto"/>
              </w:rPr>
            </w:pPr>
            <w:r>
              <w:rPr>
                <w:rFonts w:ascii="Arial" w:cs="Arial" w:eastAsia="Arial" w:hAnsi="Arial"/>
                <w:sz w:val="15"/>
                <w:szCs w:val="15"/>
                <w:b w:val="1"/>
                <w:bCs w:val="1"/>
                <w:color w:val="auto"/>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4" w:lineRule="exact"/>
              <w:rPr>
                <w:sz w:val="20"/>
                <w:szCs w:val="20"/>
                <w:color w:val="auto"/>
              </w:rPr>
            </w:pPr>
            <w:r>
              <w:rPr>
                <w:rFonts w:ascii="Arial" w:cs="Arial" w:eastAsia="Arial" w:hAnsi="Arial"/>
                <w:sz w:val="15"/>
                <w:szCs w:val="15"/>
                <w:b w:val="1"/>
                <w:bCs w:val="1"/>
                <w:color w:val="auto"/>
              </w:rPr>
              <w:t>June 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w w:val="94"/>
              </w:rPr>
              <w:t>Change</w:t>
            </w:r>
          </w:p>
        </w:tc>
        <w:tc>
          <w:tcPr>
            <w:tcW w:w="740" w:type="dxa"/>
            <w:vAlign w:val="bottom"/>
            <w:gridSpan w:val="3"/>
          </w:tcPr>
          <w:p>
            <w:pPr>
              <w:jc w:val="right"/>
              <w:ind w:right="164"/>
              <w:spacing w:after="0" w:line="14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180"/>
              <w:spacing w:after="0" w:line="144" w:lineRule="exact"/>
              <w:rPr>
                <w:sz w:val="20"/>
                <w:szCs w:val="20"/>
                <w:color w:val="auto"/>
              </w:rPr>
            </w:pPr>
            <w:r>
              <w:rPr>
                <w:rFonts w:ascii="Arial" w:cs="Arial" w:eastAsia="Arial" w:hAnsi="Arial"/>
                <w:sz w:val="15"/>
                <w:szCs w:val="15"/>
                <w:b w:val="1"/>
                <w:bCs w:val="1"/>
                <w:color w:val="auto"/>
                <w:w w:val="93"/>
              </w:rPr>
              <w:t>June 30,</w:t>
            </w:r>
          </w:p>
        </w:tc>
        <w:tc>
          <w:tcPr>
            <w:tcW w:w="80" w:type="dxa"/>
            <w:vAlign w:val="bottom"/>
          </w:tcPr>
          <w:p>
            <w:pPr>
              <w:spacing w:after="0"/>
              <w:rPr>
                <w:sz w:val="12"/>
                <w:szCs w:val="12"/>
                <w:color w:val="auto"/>
              </w:rPr>
            </w:pPr>
          </w:p>
        </w:tc>
        <w:tc>
          <w:tcPr>
            <w:tcW w:w="740" w:type="dxa"/>
            <w:vAlign w:val="bottom"/>
            <w:gridSpan w:val="3"/>
          </w:tcPr>
          <w:p>
            <w:pPr>
              <w:jc w:val="center"/>
              <w:ind w:right="120"/>
              <w:spacing w:after="0" w:line="144" w:lineRule="exact"/>
              <w:rPr>
                <w:sz w:val="20"/>
                <w:szCs w:val="20"/>
                <w:color w:val="auto"/>
              </w:rPr>
            </w:pPr>
            <w:r>
              <w:rPr>
                <w:rFonts w:ascii="Arial" w:cs="Arial" w:eastAsia="Arial" w:hAnsi="Arial"/>
                <w:sz w:val="15"/>
                <w:szCs w:val="15"/>
                <w:b w:val="1"/>
                <w:bCs w:val="1"/>
                <w:color w:val="auto"/>
                <w:w w:val="89"/>
              </w:rPr>
              <w:t>June 30,</w:t>
            </w:r>
          </w:p>
        </w:tc>
        <w:tc>
          <w:tcPr>
            <w:tcW w:w="4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w w:val="98"/>
              </w:rPr>
              <w:t>Change</w:t>
            </w:r>
          </w:p>
        </w:tc>
        <w:tc>
          <w:tcPr>
            <w:tcW w:w="760" w:type="dxa"/>
            <w:vAlign w:val="bottom"/>
            <w:gridSpan w:val="3"/>
          </w:tcPr>
          <w:p>
            <w:pPr>
              <w:jc w:val="center"/>
              <w:ind w:left="4"/>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6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2020</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95"/>
              </w:rPr>
              <w:t>2021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0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219,693</w:t>
            </w: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205,449</w:t>
            </w:r>
          </w:p>
        </w:tc>
        <w:tc>
          <w:tcPr>
            <w:tcW w:w="4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$ 14,244</w:t>
            </w:r>
          </w:p>
        </w:tc>
        <w:tc>
          <w:tcPr>
            <w:tcW w:w="6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6.9 %</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174,158</w:t>
            </w:r>
          </w:p>
        </w:tc>
        <w:tc>
          <w:tcPr>
            <w:tcW w:w="40" w:type="dxa"/>
            <w:vAlign w:val="bottom"/>
            <w:shd w:val="clear" w:color="auto" w:fill="CCEEFF"/>
          </w:tcPr>
          <w:p>
            <w:pPr>
              <w:spacing w:after="0"/>
              <w:rPr>
                <w:sz w:val="13"/>
                <w:szCs w:val="13"/>
                <w:color w:val="auto"/>
              </w:rPr>
            </w:pP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166,473</w:t>
            </w:r>
          </w:p>
        </w:tc>
        <w:tc>
          <w:tcPr>
            <w:tcW w:w="60" w:type="dxa"/>
            <w:vAlign w:val="bottom"/>
            <w:shd w:val="clear" w:color="auto" w:fill="CCEEFF"/>
          </w:tcPr>
          <w:p>
            <w:pPr>
              <w:spacing w:after="0"/>
              <w:rPr>
                <w:sz w:val="13"/>
                <w:szCs w:val="13"/>
                <w:color w:val="auto"/>
              </w:rPr>
            </w:pPr>
          </w:p>
        </w:tc>
        <w:tc>
          <w:tcPr>
            <w:tcW w:w="180" w:type="dxa"/>
            <w:vAlign w:val="bottom"/>
            <w:gridSpan w:val="3"/>
            <w:vMerge w:val="restart"/>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7,685</w:t>
            </w:r>
          </w:p>
        </w:tc>
        <w:tc>
          <w:tcPr>
            <w:tcW w:w="4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45,535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38,976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6,559</w:t>
            </w:r>
          </w:p>
        </w:tc>
        <w:tc>
          <w:tcPr>
            <w:tcW w:w="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16.8 %</w:t>
            </w: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5"/>
              </w:rPr>
              <w:t>(excluding Transient)</w:t>
            </w:r>
          </w:p>
        </w:tc>
        <w:tc>
          <w:tcPr>
            <w:tcW w:w="1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40" w:type="dxa"/>
            <w:vAlign w:val="bottom"/>
            <w:gridSpan w:val="4"/>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51,481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21,510</w:t>
            </w:r>
          </w:p>
        </w:tc>
        <w:tc>
          <w:tcPr>
            <w:tcW w:w="4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5"/>
                <w:szCs w:val="15"/>
                <w:color w:val="auto"/>
              </w:rPr>
              <w:t>29,971</w:t>
            </w:r>
          </w:p>
        </w:tc>
        <w:tc>
          <w:tcPr>
            <w:tcW w:w="6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rPr>
              <w:t>139.3 %</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189</w:t>
            </w:r>
          </w:p>
        </w:tc>
        <w:tc>
          <w:tcPr>
            <w:tcW w:w="4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rPr>
              <w:t>109.2 %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51,119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21,337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w w:val="91"/>
              </w:rPr>
              <w:t>29,782</w:t>
            </w:r>
          </w:p>
        </w:tc>
        <w:tc>
          <w:tcPr>
            <w:tcW w:w="20" w:type="dxa"/>
            <w:vAlign w:val="bottom"/>
          </w:tcPr>
          <w:p>
            <w:pPr>
              <w:spacing w:after="0"/>
              <w:rPr>
                <w:sz w:val="12"/>
                <w:szCs w:val="12"/>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5"/>
                <w:szCs w:val="15"/>
                <w:color w:val="auto"/>
              </w:rPr>
              <w:t>139.6 %</w:t>
            </w:r>
          </w:p>
        </w:tc>
        <w:tc>
          <w:tcPr>
            <w:tcW w:w="0" w:type="dxa"/>
            <w:vAlign w:val="bottom"/>
          </w:tcPr>
          <w:p>
            <w:pPr>
              <w:spacing w:after="0"/>
              <w:rPr>
                <w:sz w:val="1"/>
                <w:szCs w:val="1"/>
                <w:color w:val="auto"/>
              </w:rPr>
            </w:pPr>
          </w:p>
        </w:tc>
      </w:tr>
      <w:tr>
        <w:trPr>
          <w:trHeight w:val="198"/>
        </w:trPr>
        <w:tc>
          <w:tcPr>
            <w:tcW w:w="160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10,798</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7,579</w:t>
            </w: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235.4 %</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4,869</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3,739</w:t>
            </w:r>
          </w:p>
        </w:tc>
        <w:tc>
          <w:tcPr>
            <w:tcW w:w="40" w:type="dxa"/>
            <w:vAlign w:val="bottom"/>
            <w:tcBorders>
              <w:bottom w:val="single" w:sz="8" w:color="auto"/>
            </w:tcBorders>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330.9 %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5,929</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2,089</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183.8 %</w:t>
            </w:r>
          </w:p>
        </w:tc>
        <w:tc>
          <w:tcPr>
            <w:tcW w:w="0" w:type="dxa"/>
            <w:vAlign w:val="bottom"/>
          </w:tcPr>
          <w:p>
            <w:pPr>
              <w:spacing w:after="0"/>
              <w:rPr>
                <w:sz w:val="1"/>
                <w:szCs w:val="1"/>
                <w:color w:val="auto"/>
              </w:rPr>
            </w:pPr>
          </w:p>
        </w:tc>
      </w:tr>
      <w:tr>
        <w:trPr>
          <w:trHeight w:val="192"/>
        </w:trPr>
        <w:tc>
          <w:tcPr>
            <w:tcW w:w="160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281,972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230,178</w:t>
            </w:r>
          </w:p>
        </w:tc>
        <w:tc>
          <w:tcPr>
            <w:tcW w:w="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51,794</w:t>
            </w:r>
          </w:p>
        </w:tc>
        <w:tc>
          <w:tcPr>
            <w:tcW w:w="6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22.5 %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179,389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167,776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11,613</w:t>
            </w:r>
          </w:p>
        </w:tc>
        <w:tc>
          <w:tcPr>
            <w:tcW w:w="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6.9 %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102,583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62,402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91"/>
              </w:rPr>
              <w:t>40,181</w:t>
            </w:r>
          </w:p>
        </w:tc>
        <w:tc>
          <w:tcPr>
            <w:tcW w:w="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64.4 %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Property Operating</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87,459</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70,159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gridSpan w:val="2"/>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17,300</w:t>
            </w: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24.7 %</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44,984</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40,226</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4,758</w:t>
            </w: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11.8 %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29,933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12,542</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41.9 %</w:t>
            </w:r>
          </w:p>
        </w:tc>
        <w:tc>
          <w:tcPr>
            <w:tcW w:w="0" w:type="dxa"/>
            <w:vAlign w:val="bottom"/>
          </w:tcPr>
          <w:p>
            <w:pPr>
              <w:spacing w:after="0"/>
              <w:rPr>
                <w:sz w:val="1"/>
                <w:szCs w:val="1"/>
                <w:color w:val="auto"/>
              </w:rPr>
            </w:pPr>
          </w:p>
        </w:tc>
      </w:tr>
      <w:tr>
        <w:trPr>
          <w:trHeight w:val="220"/>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Real Property NOI</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194,513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160,019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$ 34,494</w:t>
            </w: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21.6 %</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134,405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127,550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6,855</w:t>
            </w:r>
          </w:p>
        </w:tc>
        <w:tc>
          <w:tcPr>
            <w:tcW w:w="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60,108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32,469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8"/>
              </w:rPr>
              <w:t>$ 27,639</w:t>
            </w:r>
          </w:p>
        </w:tc>
        <w:tc>
          <w:tcPr>
            <w:tcW w:w="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85.1 %</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1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5"/>
                <w:szCs w:val="15"/>
                <w:b w:val="1"/>
                <w:bCs w:val="1"/>
                <w:color w:val="auto"/>
                <w:w w:val="92"/>
              </w:rPr>
              <w:t>Six Months Ended</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5"/>
                <w:szCs w:val="15"/>
                <w:b w:val="1"/>
                <w:bCs w:val="1"/>
                <w:color w:val="auto"/>
                <w:w w:val="92"/>
              </w:rPr>
              <w:t>Total Same Community</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5"/>
                <w:szCs w:val="15"/>
                <w:b w:val="1"/>
                <w:bCs w:val="1"/>
                <w:color w:val="auto"/>
              </w:rPr>
              <w:t>MH</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480"/>
              <w:spacing w:after="0"/>
              <w:rPr>
                <w:sz w:val="20"/>
                <w:szCs w:val="20"/>
                <w:color w:val="auto"/>
              </w:rPr>
            </w:pPr>
            <w:r>
              <w:rPr>
                <w:rFonts w:ascii="Arial" w:cs="Arial" w:eastAsia="Arial" w:hAnsi="Arial"/>
                <w:sz w:val="15"/>
                <w:szCs w:val="15"/>
                <w:b w:val="1"/>
                <w:bCs w:val="1"/>
                <w:color w:val="auto"/>
              </w:rPr>
              <w:t>RV</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44"/>
              <w:spacing w:after="0" w:line="144" w:lineRule="exact"/>
              <w:rPr>
                <w:sz w:val="20"/>
                <w:szCs w:val="20"/>
                <w:color w:val="auto"/>
              </w:rPr>
            </w:pPr>
            <w:r>
              <w:rPr>
                <w:rFonts w:ascii="Arial" w:cs="Arial" w:eastAsia="Arial" w:hAnsi="Arial"/>
                <w:sz w:val="15"/>
                <w:szCs w:val="15"/>
                <w:b w:val="1"/>
                <w:bCs w:val="1"/>
                <w:color w:val="auto"/>
                <w:w w:val="86"/>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100"/>
              <w:spacing w:after="0" w:line="144" w:lineRule="exact"/>
              <w:rPr>
                <w:sz w:val="20"/>
                <w:szCs w:val="20"/>
                <w:color w:val="auto"/>
              </w:rPr>
            </w:pPr>
            <w:r>
              <w:rPr>
                <w:rFonts w:ascii="Arial" w:cs="Arial" w:eastAsia="Arial" w:hAnsi="Arial"/>
                <w:sz w:val="15"/>
                <w:szCs w:val="15"/>
                <w:b w:val="1"/>
                <w:bCs w:val="1"/>
                <w:color w:val="auto"/>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5"/>
                <w:szCs w:val="15"/>
                <w:b w:val="1"/>
                <w:bCs w:val="1"/>
                <w:color w:val="auto"/>
                <w:w w:val="90"/>
              </w:rPr>
              <w:t>Change</w:t>
            </w:r>
          </w:p>
        </w:tc>
        <w:tc>
          <w:tcPr>
            <w:tcW w:w="740" w:type="dxa"/>
            <w:vAlign w:val="bottom"/>
            <w:gridSpan w:val="3"/>
          </w:tcPr>
          <w:p>
            <w:pPr>
              <w:jc w:val="right"/>
              <w:ind w:right="20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44" w:lineRule="exact"/>
              <w:rPr>
                <w:sz w:val="20"/>
                <w:szCs w:val="20"/>
                <w:color w:val="auto"/>
              </w:rPr>
            </w:pPr>
            <w:r>
              <w:rPr>
                <w:rFonts w:ascii="Arial" w:cs="Arial" w:eastAsia="Arial" w:hAnsi="Arial"/>
                <w:sz w:val="15"/>
                <w:szCs w:val="15"/>
                <w:b w:val="1"/>
                <w:bCs w:val="1"/>
                <w:color w:val="auto"/>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80"/>
              <w:spacing w:after="0" w:line="144" w:lineRule="exact"/>
              <w:rPr>
                <w:sz w:val="20"/>
                <w:szCs w:val="20"/>
                <w:color w:val="auto"/>
              </w:rPr>
            </w:pPr>
            <w:r>
              <w:rPr>
                <w:rFonts w:ascii="Arial" w:cs="Arial" w:eastAsia="Arial" w:hAnsi="Arial"/>
                <w:sz w:val="15"/>
                <w:szCs w:val="15"/>
                <w:b w:val="1"/>
                <w:bCs w:val="1"/>
                <w:color w:val="auto"/>
              </w:rPr>
              <w:t>June 30,</w:t>
            </w:r>
          </w:p>
        </w:tc>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740" w:type="dxa"/>
            <w:vAlign w:val="bottom"/>
            <w:gridSpan w:val="3"/>
          </w:tcPr>
          <w:p>
            <w:pPr>
              <w:jc w:val="right"/>
              <w:ind w:right="204"/>
              <w:spacing w:after="0" w:line="14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220"/>
              <w:spacing w:after="0" w:line="144" w:lineRule="exact"/>
              <w:rPr>
                <w:sz w:val="20"/>
                <w:szCs w:val="20"/>
                <w:color w:val="auto"/>
              </w:rPr>
            </w:pPr>
            <w:r>
              <w:rPr>
                <w:rFonts w:ascii="Arial" w:cs="Arial" w:eastAsia="Arial" w:hAnsi="Arial"/>
                <w:sz w:val="15"/>
                <w:szCs w:val="15"/>
                <w:b w:val="1"/>
                <w:bCs w:val="1"/>
                <w:color w:val="auto"/>
                <w:w w:val="93"/>
              </w:rPr>
              <w:t>June 30,</w:t>
            </w: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4" w:lineRule="exact"/>
              <w:rPr>
                <w:sz w:val="20"/>
                <w:szCs w:val="20"/>
                <w:color w:val="auto"/>
              </w:rPr>
            </w:pPr>
            <w:r>
              <w:rPr>
                <w:rFonts w:ascii="Arial" w:cs="Arial" w:eastAsia="Arial" w:hAnsi="Arial"/>
                <w:sz w:val="15"/>
                <w:szCs w:val="15"/>
                <w:b w:val="1"/>
                <w:bCs w:val="1"/>
                <w:color w:val="auto"/>
                <w:w w:val="89"/>
              </w:rPr>
              <w:t>June 30,</w:t>
            </w:r>
          </w:p>
        </w:tc>
        <w:tc>
          <w:tcPr>
            <w:tcW w:w="4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Change</w:t>
            </w:r>
          </w:p>
        </w:tc>
        <w:tc>
          <w:tcPr>
            <w:tcW w:w="760" w:type="dxa"/>
            <w:vAlign w:val="bottom"/>
            <w:gridSpan w:val="3"/>
          </w:tcPr>
          <w:p>
            <w:pPr>
              <w:jc w:val="center"/>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64"/>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84"/>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2020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44"/>
              <w:spacing w:after="0"/>
              <w:rPr>
                <w:sz w:val="20"/>
                <w:szCs w:val="20"/>
                <w:color w:val="auto"/>
              </w:rPr>
            </w:pPr>
            <w:r>
              <w:rPr>
                <w:rFonts w:ascii="Arial" w:cs="Arial" w:eastAsia="Arial" w:hAnsi="Arial"/>
                <w:sz w:val="15"/>
                <w:szCs w:val="15"/>
                <w:b w:val="1"/>
                <w:bCs w:val="1"/>
                <w:color w:val="auto"/>
                <w:w w:val="95"/>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ind w:right="4"/>
              <w:spacing w:after="0"/>
              <w:rPr>
                <w:sz w:val="20"/>
                <w:szCs w:val="20"/>
                <w:color w:val="auto"/>
              </w:rPr>
            </w:pPr>
            <w:r>
              <w:rPr>
                <w:rFonts w:ascii="Arial" w:cs="Arial" w:eastAsia="Arial" w:hAnsi="Arial"/>
                <w:sz w:val="15"/>
                <w:szCs w:val="15"/>
                <w:b w:val="1"/>
                <w:bCs w:val="1"/>
                <w:color w:val="auto"/>
                <w:w w:val="89"/>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85"/>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0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435,054</w:t>
            </w:r>
          </w:p>
        </w:tc>
        <w:tc>
          <w:tcPr>
            <w:tcW w:w="24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410,667</w:t>
            </w:r>
          </w:p>
        </w:tc>
        <w:tc>
          <w:tcPr>
            <w:tcW w:w="4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$ 24,387</w:t>
            </w:r>
          </w:p>
        </w:tc>
        <w:tc>
          <w:tcPr>
            <w:tcW w:w="6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346,900</w:t>
            </w:r>
          </w:p>
        </w:tc>
        <w:tc>
          <w:tcPr>
            <w:tcW w:w="40" w:type="dxa"/>
            <w:vAlign w:val="bottom"/>
            <w:shd w:val="clear" w:color="auto" w:fill="CCEEFF"/>
          </w:tcPr>
          <w:p>
            <w:pPr>
              <w:spacing w:after="0"/>
              <w:rPr>
                <w:sz w:val="13"/>
                <w:szCs w:val="13"/>
                <w:color w:val="auto"/>
              </w:rPr>
            </w:pP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331,301</w:t>
            </w:r>
          </w:p>
        </w:tc>
        <w:tc>
          <w:tcPr>
            <w:tcW w:w="60" w:type="dxa"/>
            <w:vAlign w:val="bottom"/>
            <w:shd w:val="clear" w:color="auto" w:fill="CCEEFF"/>
          </w:tcPr>
          <w:p>
            <w:pPr>
              <w:spacing w:after="0"/>
              <w:rPr>
                <w:sz w:val="13"/>
                <w:szCs w:val="13"/>
                <w:color w:val="auto"/>
              </w:rPr>
            </w:pPr>
          </w:p>
        </w:tc>
        <w:tc>
          <w:tcPr>
            <w:tcW w:w="64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$ 15,599</w:t>
            </w:r>
          </w:p>
        </w:tc>
        <w:tc>
          <w:tcPr>
            <w:tcW w:w="4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88,154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79,366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8,788</w:t>
            </w:r>
          </w:p>
        </w:tc>
        <w:tc>
          <w:tcPr>
            <w:tcW w:w="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0" w:type="dxa"/>
            <w:vAlign w:val="bottom"/>
          </w:tcPr>
          <w:p>
            <w:pPr>
              <w:spacing w:after="0"/>
              <w:rPr>
                <w:sz w:val="1"/>
                <w:szCs w:val="1"/>
                <w:color w:val="auto"/>
              </w:rPr>
            </w:pPr>
          </w:p>
        </w:tc>
      </w:tr>
      <w:tr>
        <w:trPr>
          <w:trHeight w:val="202"/>
        </w:trPr>
        <w:tc>
          <w:tcPr>
            <w:tcW w:w="17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95"/>
              </w:rPr>
              <w:t>(excluding Transient) $</w:t>
            </w:r>
          </w:p>
        </w:tc>
        <w:tc>
          <w:tcPr>
            <w:tcW w:w="660" w:type="dxa"/>
            <w:vAlign w:val="bottom"/>
            <w:vMerge w:val="continue"/>
            <w:shd w:val="clear" w:color="auto" w:fill="CCEEFF"/>
          </w:tcPr>
          <w:p>
            <w:pPr>
              <w:spacing w:after="0"/>
              <w:rPr>
                <w:sz w:val="17"/>
                <w:szCs w:val="17"/>
                <w:color w:val="auto"/>
              </w:rPr>
            </w:pPr>
          </w:p>
        </w:tc>
        <w:tc>
          <w:tcPr>
            <w:tcW w:w="240" w:type="dxa"/>
            <w:vAlign w:val="bottom"/>
            <w:gridSpan w:val="4"/>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76,883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49,869</w:t>
            </w:r>
          </w:p>
        </w:tc>
        <w:tc>
          <w:tcPr>
            <w:tcW w:w="4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5"/>
                <w:szCs w:val="15"/>
                <w:color w:val="auto"/>
              </w:rPr>
              <w:t>27,014</w:t>
            </w:r>
          </w:p>
        </w:tc>
        <w:tc>
          <w:tcPr>
            <w:tcW w:w="6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rPr>
              <w:t>54.2 %</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962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1,101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(139)</w:t>
            </w:r>
          </w:p>
        </w:tc>
        <w:tc>
          <w:tcPr>
            <w:tcW w:w="40" w:type="dxa"/>
            <w:vAlign w:val="bottom"/>
          </w:tcPr>
          <w:p>
            <w:pPr>
              <w:spacing w:after="0"/>
              <w:rPr>
                <w:sz w:val="12"/>
                <w:szCs w:val="12"/>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5"/>
                <w:szCs w:val="15"/>
                <w:color w:val="auto"/>
              </w:rPr>
              <w:t>(12.6)%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75,921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48,768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w w:val="87"/>
              </w:rPr>
              <w:t>27,153</w:t>
            </w:r>
          </w:p>
        </w:tc>
        <w:tc>
          <w:tcPr>
            <w:tcW w:w="20" w:type="dxa"/>
            <w:vAlign w:val="bottom"/>
          </w:tcPr>
          <w:p>
            <w:pPr>
              <w:spacing w:after="0"/>
              <w:rPr>
                <w:sz w:val="12"/>
                <w:szCs w:val="12"/>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5"/>
                <w:szCs w:val="15"/>
                <w:color w:val="auto"/>
              </w:rPr>
              <w:t>55.7 %</w:t>
            </w:r>
          </w:p>
        </w:tc>
        <w:tc>
          <w:tcPr>
            <w:tcW w:w="0" w:type="dxa"/>
            <w:vAlign w:val="bottom"/>
          </w:tcPr>
          <w:p>
            <w:pPr>
              <w:spacing w:after="0"/>
              <w:rPr>
                <w:sz w:val="1"/>
                <w:szCs w:val="1"/>
                <w:color w:val="auto"/>
              </w:rPr>
            </w:pPr>
          </w:p>
        </w:tc>
      </w:tr>
      <w:tr>
        <w:trPr>
          <w:trHeight w:val="198"/>
        </w:trPr>
        <w:tc>
          <w:tcPr>
            <w:tcW w:w="160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8,722</w:t>
            </w: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96.2 %</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9,695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4,755</w:t>
            </w:r>
          </w:p>
        </w:tc>
        <w:tc>
          <w:tcPr>
            <w:tcW w:w="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96.3 %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3,967</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96.0 %</w:t>
            </w:r>
          </w:p>
        </w:tc>
        <w:tc>
          <w:tcPr>
            <w:tcW w:w="0" w:type="dxa"/>
            <w:vAlign w:val="bottom"/>
          </w:tcPr>
          <w:p>
            <w:pPr>
              <w:spacing w:after="0"/>
              <w:rPr>
                <w:sz w:val="1"/>
                <w:szCs w:val="1"/>
                <w:color w:val="auto"/>
              </w:rPr>
            </w:pPr>
          </w:p>
        </w:tc>
      </w:tr>
      <w:tr>
        <w:trPr>
          <w:trHeight w:val="192"/>
        </w:trPr>
        <w:tc>
          <w:tcPr>
            <w:tcW w:w="160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529,730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469,607</w:t>
            </w:r>
          </w:p>
        </w:tc>
        <w:tc>
          <w:tcPr>
            <w:tcW w:w="4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60,123</w:t>
            </w:r>
          </w:p>
        </w:tc>
        <w:tc>
          <w:tcPr>
            <w:tcW w:w="6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12.8 %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357,557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337,342</w:t>
            </w:r>
          </w:p>
        </w:tc>
        <w:tc>
          <w:tcPr>
            <w:tcW w:w="60" w:type="dxa"/>
            <w:vAlign w:val="bottom"/>
          </w:tcPr>
          <w:p>
            <w:pPr>
              <w:spacing w:after="0"/>
              <w:rPr>
                <w:sz w:val="16"/>
                <w:szCs w:val="16"/>
                <w:color w:val="auto"/>
              </w:rPr>
            </w:pPr>
          </w:p>
        </w:tc>
        <w:tc>
          <w:tcPr>
            <w:tcW w:w="640" w:type="dxa"/>
            <w:vAlign w:val="bottom"/>
            <w:gridSpan w:val="4"/>
          </w:tcPr>
          <w:p>
            <w:pPr>
              <w:jc w:val="right"/>
              <w:spacing w:after="0"/>
              <w:rPr>
                <w:sz w:val="20"/>
                <w:szCs w:val="20"/>
                <w:color w:val="auto"/>
              </w:rPr>
            </w:pPr>
            <w:r>
              <w:rPr>
                <w:rFonts w:ascii="Arial" w:cs="Arial" w:eastAsia="Arial" w:hAnsi="Arial"/>
                <w:sz w:val="15"/>
                <w:szCs w:val="15"/>
                <w:color w:val="auto"/>
              </w:rPr>
              <w:t>20,215</w:t>
            </w:r>
          </w:p>
        </w:tc>
        <w:tc>
          <w:tcPr>
            <w:tcW w:w="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6.0 %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172,173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132,265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7"/>
              </w:rPr>
              <w:t>39,908</w:t>
            </w:r>
          </w:p>
        </w:tc>
        <w:tc>
          <w:tcPr>
            <w:tcW w:w="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30.2 %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Property Operating</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159,973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138,879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21,094</w:t>
            </w: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15.2 %</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87,989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80,911</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7,078</w:t>
            </w:r>
          </w:p>
        </w:tc>
        <w:tc>
          <w:tcPr>
            <w:tcW w:w="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8.7 %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71,984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57,968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14,016</w:t>
            </w: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24.2 %</w:t>
            </w:r>
          </w:p>
        </w:tc>
        <w:tc>
          <w:tcPr>
            <w:tcW w:w="0" w:type="dxa"/>
            <w:vAlign w:val="bottom"/>
          </w:tcPr>
          <w:p>
            <w:pPr>
              <w:spacing w:after="0"/>
              <w:rPr>
                <w:sz w:val="1"/>
                <w:szCs w:val="1"/>
                <w:color w:val="auto"/>
              </w:rPr>
            </w:pPr>
          </w:p>
        </w:tc>
      </w:tr>
      <w:tr>
        <w:trPr>
          <w:trHeight w:val="220"/>
        </w:trPr>
        <w:tc>
          <w:tcPr>
            <w:tcW w:w="1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Real Property NOI</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369,757</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330,728</w:t>
            </w: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5"/>
              </w:rPr>
              <w:t>$ 39,029</w:t>
            </w:r>
          </w:p>
        </w:tc>
        <w:tc>
          <w:tcPr>
            <w:tcW w:w="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11.8 %</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269,568</w:t>
            </w:r>
          </w:p>
        </w:tc>
        <w:tc>
          <w:tcPr>
            <w:tcW w:w="4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256,431</w:t>
            </w:r>
          </w:p>
        </w:tc>
        <w:tc>
          <w:tcPr>
            <w:tcW w:w="6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w w:val="95"/>
              </w:rPr>
              <w:t>$ 13,137</w:t>
            </w: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5.1 %</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100,189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2"/>
              </w:rPr>
              <w:t>$ 25,892</w:t>
            </w: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34.8 %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As of</w:t>
            </w:r>
          </w:p>
        </w:tc>
        <w:tc>
          <w:tcPr>
            <w:tcW w:w="1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5"/>
                <w:szCs w:val="15"/>
                <w:b w:val="1"/>
                <w:bCs w:val="1"/>
                <w:color w:val="auto"/>
              </w:rPr>
              <w:t>June 30, 2021</w:t>
            </w:r>
          </w:p>
        </w:tc>
        <w:tc>
          <w:tcPr>
            <w:tcW w:w="24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2020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properties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405</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(1)</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(2)</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(3)</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(4)</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blended occupancy</w:t>
            </w:r>
            <w:r>
              <w:rPr>
                <w:rFonts w:ascii="Arial" w:cs="Arial" w:eastAsia="Arial" w:hAnsi="Arial"/>
                <w:sz w:val="19"/>
                <w:szCs w:val="19"/>
                <w:color w:val="auto"/>
                <w:vertAlign w:val="superscript"/>
              </w:rPr>
              <w:t>(5)</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97.2 %</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development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7,246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7,553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(307)</w:t>
            </w:r>
          </w:p>
        </w:tc>
      </w:t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583</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18</w:t>
            </w: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504</w:t>
            </w:r>
          </w:p>
        </w:tc>
        <w:tc>
          <w:tcPr>
            <w:tcW w:w="280" w:type="dxa"/>
            <w:vAlign w:val="bottom"/>
          </w:tcPr>
          <w:p>
            <w:pPr>
              <w:jc w:val="right"/>
              <w:spacing w:after="0"/>
              <w:rPr>
                <w:sz w:val="20"/>
                <w:szCs w:val="20"/>
                <w:color w:val="auto"/>
              </w:rPr>
            </w:pPr>
            <w:r>
              <w:rPr>
                <w:rFonts w:ascii="Arial" w:cs="Arial" w:eastAsia="Arial" w:hAnsi="Arial"/>
                <w:sz w:val="10"/>
                <w:szCs w:val="10"/>
                <w:color w:val="auto"/>
              </w:rPr>
              <w:t>(8)</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4"/>
              <w:spacing w:after="0"/>
              <w:rPr>
                <w:sz w:val="20"/>
                <w:szCs w:val="20"/>
                <w:color w:val="auto"/>
              </w:rPr>
            </w:pPr>
            <w:r>
              <w:rPr>
                <w:rFonts w:ascii="Arial" w:cs="Arial" w:eastAsia="Arial" w:hAnsi="Arial"/>
                <w:sz w:val="15"/>
                <w:szCs w:val="15"/>
                <w:color w:val="auto"/>
              </w:rPr>
              <w:t>23</w:t>
            </w: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565</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w:t>
            </w:r>
          </w:p>
        </w:tc>
      </w:tr>
    </w:tbl>
    <w:p>
      <w:pPr>
        <w:spacing w:after="0" w:line="65"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occupancy percentages for 2020 have been adjusted to reflect incremental growth period-over-period from newly rented MH expansion sites and the conversion of transient RV sites to annual RV sites.</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three months ended June 30, 2020 have been translated at 2021 average exchange rates.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in the table above reflect constant currency for comparative purposes. We have reclassified water and sewer revenues of $16.8 million and $14.3 million for the three months ended June 30, 2021 and 2020, and $33.2 million and $29.1 million for the six months ended June 30, 2021 and 2020, to reflect the utility expenses associated with our Same Community portfolio net of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June 30, 2021 and 2020:</w:t>
      </w:r>
    </w:p>
    <w:p>
      <w:pPr>
        <w:spacing w:after="0" w:line="23"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The Total Same Community $34.5 million, or 21.6 percent, growth in NOI is attributable to the RV segment $27.6 million, or 85.1 percent, increase in NOI and the MH segment $6.9 million, or 5.4 percent, growth in NOI.</w:t>
      </w:r>
    </w:p>
    <w:p>
      <w:pPr>
        <w:spacing w:after="0" w:line="212"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RV segment $27.6 million, or 85.1 percent, increase in NOI is primarily due to an increase in Real property - transient revenue of $29.8 million, or 139.6 percent, when compared to the same period in 2020 which was impacted by the required closure, or delayed opening, of over 40 of our RV resorts due to the COVID-19 pandemic.</w:t>
      </w:r>
    </w:p>
    <w:p>
      <w:pPr>
        <w:spacing w:after="0" w:line="211" w:lineRule="exact"/>
        <w:rPr>
          <w:sz w:val="20"/>
          <w:szCs w:val="20"/>
          <w:color w:val="auto"/>
        </w:rPr>
      </w:pPr>
    </w:p>
    <w:p>
      <w:pPr>
        <w:jc w:val="both"/>
        <w:ind w:left="180" w:right="20"/>
        <w:spacing w:after="0" w:line="263" w:lineRule="auto"/>
        <w:rPr>
          <w:sz w:val="20"/>
          <w:szCs w:val="20"/>
          <w:color w:val="auto"/>
        </w:rPr>
      </w:pPr>
      <w:r>
        <w:rPr>
          <w:rFonts w:ascii="Arial" w:cs="Arial" w:eastAsia="Arial" w:hAnsi="Arial"/>
          <w:sz w:val="18"/>
          <w:szCs w:val="18"/>
          <w:color w:val="auto"/>
        </w:rPr>
        <w:t>The MH segment $6.9 million, or 5.4 percent, growth in NOI is primarily due to an increase in Real property (excluding transient) revenue of $7.7 million, or 4.6 percent, when compared to the same period in 2020. The MH property (excluding transient) revenue increased due to a 3.1 percent increase in monthly based rent and a 1.6 percent increase in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months ended June 30, 2021 and 2020:</w:t>
      </w:r>
    </w:p>
    <w:p>
      <w:pPr>
        <w:spacing w:after="0" w:line="23"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The Total Same Community $39.0 million, or 11.8 percent, growth in NOI is attributable to the RV segment $25.9 million, or 34.8 percent increase in NOI and the MH segment $13.1 million, or 5.1 percent, growth in NOI.</w:t>
      </w:r>
    </w:p>
    <w:p>
      <w:pPr>
        <w:spacing w:after="0" w:line="212"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RV segment $25.9 million, or 34.8 percent, increase in NOI is primarily due to an increase in Real property - transient revenue of $27.2 million, or 55.7 percent. The results of the comparative 2020 period were impacted by the required closure, or delayed opening, of over 40 of our RV resorts due to the COVID-19 pandemic.</w:t>
      </w:r>
    </w:p>
    <w:p>
      <w:pPr>
        <w:spacing w:after="0" w:line="211"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MH segment $13.1 million, or 5.1 percent, growth in NOI is primarily due to an increase in Real property (excluding transient) revenue of $15.6 million, or 4.7 percent. The Real property (excluding transient) revenue increased due to a 3.1 percent increase in monthly base rent per MH site when compared to the same period in 2020, and a 1.6 percent increase in occupancy.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Marinas Summary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marinas as of and for the three and six months ended June 30, 2021 (in thousands,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2"/>
              </w:rPr>
              <w:t>Three Months Ended</w:t>
            </w:r>
          </w:p>
        </w:tc>
        <w:tc>
          <w:tcPr>
            <w:tcW w:w="280" w:type="dxa"/>
            <w:vAlign w:val="bottom"/>
          </w:tcPr>
          <w:p>
            <w:pPr>
              <w:spacing w:after="0"/>
              <w:rPr>
                <w:sz w:val="17"/>
                <w:szCs w:val="17"/>
                <w:color w:val="auto"/>
              </w:rPr>
            </w:pPr>
          </w:p>
        </w:tc>
        <w:tc>
          <w:tcPr>
            <w:tcW w:w="1860" w:type="dxa"/>
            <w:vAlign w:val="bottom"/>
          </w:tcPr>
          <w:p>
            <w:pPr>
              <w:jc w:val="center"/>
              <w:ind w:right="184"/>
              <w:spacing w:after="0"/>
              <w:rPr>
                <w:sz w:val="20"/>
                <w:szCs w:val="20"/>
                <w:color w:val="auto"/>
              </w:rPr>
            </w:pPr>
            <w:r>
              <w:rPr>
                <w:rFonts w:ascii="Arial" w:cs="Arial" w:eastAsia="Arial" w:hAnsi="Arial"/>
                <w:sz w:val="15"/>
                <w:szCs w:val="15"/>
                <w:b w:val="1"/>
                <w:bCs w:val="1"/>
                <w:color w:val="auto"/>
                <w:w w:val="92"/>
              </w:rPr>
              <w:t>Six Months Ended</w:t>
            </w:r>
          </w:p>
        </w:tc>
      </w:tr>
      <w:tr>
        <w:trPr>
          <w:trHeight w:val="206"/>
        </w:trPr>
        <w:tc>
          <w:tcPr>
            <w:tcW w:w="6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2"/>
              </w:rPr>
              <w:t>June 30, 2021</w:t>
            </w:r>
          </w:p>
        </w:tc>
        <w:tc>
          <w:tcPr>
            <w:tcW w:w="280" w:type="dxa"/>
            <w:vAlign w:val="bottom"/>
          </w:tcPr>
          <w:p>
            <w:pPr>
              <w:spacing w:after="0"/>
              <w:rPr>
                <w:sz w:val="17"/>
                <w:szCs w:val="17"/>
                <w:color w:val="auto"/>
              </w:rPr>
            </w:pPr>
          </w:p>
        </w:tc>
        <w:tc>
          <w:tcPr>
            <w:tcW w:w="1860" w:type="dxa"/>
            <w:vAlign w:val="bottom"/>
          </w:tcPr>
          <w:p>
            <w:pPr>
              <w:jc w:val="center"/>
              <w:ind w:right="204"/>
              <w:spacing w:after="0"/>
              <w:rPr>
                <w:sz w:val="20"/>
                <w:szCs w:val="20"/>
                <w:color w:val="auto"/>
              </w:rPr>
            </w:pPr>
            <w:r>
              <w:rPr>
                <w:rFonts w:ascii="Arial" w:cs="Arial" w:eastAsia="Arial" w:hAnsi="Arial"/>
                <w:sz w:val="15"/>
                <w:szCs w:val="15"/>
                <w:b w:val="1"/>
                <w:bCs w:val="1"/>
                <w:color w:val="auto"/>
                <w:w w:val="92"/>
              </w:rPr>
              <w:t>June 30, 2021</w:t>
            </w:r>
          </w:p>
        </w:tc>
      </w:tr>
      <w:tr>
        <w:trPr>
          <w:trHeight w:val="187"/>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22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00"/>
        </w:trPr>
        <w:tc>
          <w:tcPr>
            <w:tcW w:w="6800" w:type="dxa"/>
            <w:vAlign w:val="bottom"/>
          </w:tcPr>
          <w:p>
            <w:pPr>
              <w:ind w:left="140"/>
              <w:spacing w:after="0"/>
              <w:rPr>
                <w:sz w:val="20"/>
                <w:szCs w:val="20"/>
                <w:color w:val="auto"/>
              </w:rPr>
            </w:pPr>
            <w:r>
              <w:rPr>
                <w:rFonts w:ascii="Arial" w:cs="Arial" w:eastAsia="Arial" w:hAnsi="Arial"/>
                <w:sz w:val="15"/>
                <w:szCs w:val="15"/>
                <w:b w:val="1"/>
                <w:bCs w:val="1"/>
                <w:color w:val="auto"/>
              </w:rPr>
              <w:t>Revenues</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5"/>
        </w:trPr>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(excluding Transient)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61,914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108,020</w:t>
            </w:r>
          </w:p>
        </w:tc>
      </w:tr>
      <w:tr>
        <w:trPr>
          <w:trHeight w:val="198"/>
        </w:trPr>
        <w:tc>
          <w:tcPr>
            <w:tcW w:w="6800" w:type="dxa"/>
            <w:vAlign w:val="bottom"/>
          </w:tcPr>
          <w:p>
            <w:pPr>
              <w:ind w:left="240"/>
              <w:spacing w:after="0"/>
              <w:rPr>
                <w:sz w:val="20"/>
                <w:szCs w:val="20"/>
                <w:color w:val="auto"/>
              </w:rPr>
            </w:pPr>
            <w:r>
              <w:rPr>
                <w:rFonts w:ascii="Arial" w:cs="Arial" w:eastAsia="Arial" w:hAnsi="Arial"/>
                <w:sz w:val="15"/>
                <w:szCs w:val="15"/>
                <w:color w:val="auto"/>
              </w:rPr>
              <w:t>Real property - transient</w:t>
            </w:r>
          </w:p>
        </w:tc>
        <w:tc>
          <w:tcPr>
            <w:tcW w:w="2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4,257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ind w:right="164"/>
              <w:spacing w:after="0"/>
              <w:rPr>
                <w:sz w:val="20"/>
                <w:szCs w:val="20"/>
                <w:color w:val="auto"/>
              </w:rPr>
            </w:pPr>
            <w:r>
              <w:rPr>
                <w:rFonts w:ascii="Arial" w:cs="Arial" w:eastAsia="Arial" w:hAnsi="Arial"/>
                <w:sz w:val="15"/>
                <w:szCs w:val="15"/>
                <w:color w:val="auto"/>
              </w:rPr>
              <w:t>5,125</w:t>
            </w:r>
          </w:p>
        </w:tc>
      </w:tr>
      <w:tr>
        <w:trPr>
          <w:trHeight w:val="207"/>
        </w:trPr>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3,671</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5,319</w:t>
            </w:r>
          </w:p>
        </w:tc>
      </w:tr>
      <w:tr>
        <w:trPr>
          <w:trHeight w:val="192"/>
        </w:trPr>
        <w:tc>
          <w:tcPr>
            <w:tcW w:w="680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2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69,842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right"/>
              <w:ind w:right="164"/>
              <w:spacing w:after="0"/>
              <w:rPr>
                <w:sz w:val="20"/>
                <w:szCs w:val="20"/>
                <w:color w:val="auto"/>
              </w:rPr>
            </w:pPr>
            <w:r>
              <w:rPr>
                <w:rFonts w:ascii="Arial" w:cs="Arial" w:eastAsia="Arial" w:hAnsi="Arial"/>
                <w:sz w:val="15"/>
                <w:szCs w:val="15"/>
                <w:color w:val="auto"/>
              </w:rPr>
              <w:t>118,464</w:t>
            </w:r>
          </w:p>
        </w:tc>
      </w:tr>
      <w:tr>
        <w:trPr>
          <w:trHeight w:val="206"/>
        </w:trPr>
        <w:tc>
          <w:tcPr>
            <w:tcW w:w="68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Expenses</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3"/>
        </w:trPr>
        <w:tc>
          <w:tcPr>
            <w:tcW w:w="6800" w:type="dxa"/>
            <w:vAlign w:val="bottom"/>
            <w:tcBorders>
              <w:bottom w:val="single" w:sz="8" w:color="CCEEFF"/>
            </w:tcBorders>
          </w:tcPr>
          <w:p>
            <w:pPr>
              <w:ind w:left="260"/>
              <w:spacing w:after="0" w:line="203" w:lineRule="exact"/>
              <w:rPr>
                <w:sz w:val="20"/>
                <w:szCs w:val="20"/>
                <w:color w:val="auto"/>
              </w:rPr>
            </w:pPr>
            <w:r>
              <w:rPr>
                <w:rFonts w:ascii="Arial" w:cs="Arial" w:eastAsia="Arial" w:hAnsi="Arial"/>
                <w:sz w:val="15"/>
                <w:szCs w:val="15"/>
                <w:color w:val="auto"/>
              </w:rPr>
              <w:t>Property Operating</w:t>
            </w:r>
            <w:r>
              <w:rPr>
                <w:rFonts w:ascii="Arial" w:cs="Arial" w:eastAsia="Arial" w:hAnsi="Arial"/>
                <w:sz w:val="19"/>
                <w:szCs w:val="19"/>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28,246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51,821</w:t>
            </w:r>
          </w:p>
        </w:tc>
      </w:tr>
      <w:tr>
        <w:trPr>
          <w:trHeight w:val="196"/>
        </w:trPr>
        <w:tc>
          <w:tcPr>
            <w:tcW w:w="6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Real Property NOI</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66,643</w:t>
            </w:r>
          </w:p>
        </w:tc>
      </w:tr>
      <w:tr>
        <w:trPr>
          <w:trHeight w:val="200"/>
        </w:trPr>
        <w:tc>
          <w:tcPr>
            <w:tcW w:w="6800" w:type="dxa"/>
            <w:vAlign w:val="bottom"/>
          </w:tcPr>
          <w:p>
            <w:pPr>
              <w:ind w:left="140"/>
              <w:spacing w:after="0"/>
              <w:rPr>
                <w:sz w:val="20"/>
                <w:szCs w:val="20"/>
                <w:color w:val="auto"/>
              </w:rPr>
            </w:pPr>
            <w:r>
              <w:rPr>
                <w:rFonts w:ascii="Arial" w:cs="Arial" w:eastAsia="Arial" w:hAnsi="Arial"/>
                <w:sz w:val="15"/>
                <w:szCs w:val="15"/>
                <w:b w:val="1"/>
                <w:bCs w:val="1"/>
                <w:color w:val="auto"/>
              </w:rPr>
              <w:t>Service, retail, dining and entertainment</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5"/>
        </w:trPr>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Service, retail, dining and entertainment revenue</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82,238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126,592</w:t>
            </w:r>
          </w:p>
        </w:tc>
      </w:tr>
      <w:tr>
        <w:trPr>
          <w:trHeight w:val="198"/>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Service, retail, dining and entertainment expense</w:t>
            </w: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61,017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99,026</w:t>
            </w:r>
          </w:p>
        </w:tc>
      </w:tr>
      <w:tr>
        <w:trPr>
          <w:trHeight w:val="200"/>
        </w:trPr>
        <w:tc>
          <w:tcPr>
            <w:tcW w:w="6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Service, Retail, Dining and Entertainment NOI</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21,221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27,566</w:t>
            </w:r>
          </w:p>
        </w:tc>
      </w:tr>
      <w:tr>
        <w:trPr>
          <w:trHeight w:val="216"/>
        </w:trPr>
        <w:tc>
          <w:tcPr>
            <w:tcW w:w="6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21"/>
        </w:trPr>
        <w:tc>
          <w:tcPr>
            <w:tcW w:w="6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Marina NOI</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62,817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94,209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03"/>
        </w:trPr>
        <w:tc>
          <w:tcPr>
            <w:tcW w:w="6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center"/>
              <w:ind w:right="204"/>
              <w:spacing w:after="0"/>
              <w:rPr>
                <w:sz w:val="20"/>
                <w:szCs w:val="20"/>
                <w:color w:val="auto"/>
              </w:rPr>
            </w:pPr>
            <w:r>
              <w:rPr>
                <w:rFonts w:ascii="Arial" w:cs="Arial" w:eastAsia="Arial" w:hAnsi="Arial"/>
                <w:sz w:val="15"/>
                <w:szCs w:val="15"/>
                <w:b w:val="1"/>
                <w:bCs w:val="1"/>
                <w:color w:val="auto"/>
                <w:w w:val="90"/>
              </w:rPr>
              <w:t>As of</w:t>
            </w:r>
          </w:p>
        </w:tc>
      </w:tr>
      <w:tr>
        <w:trPr>
          <w:trHeight w:val="194"/>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Other Information - Marinas</w:t>
            </w:r>
          </w:p>
        </w:tc>
        <w:tc>
          <w:tcPr>
            <w:tcW w:w="22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w w:val="92"/>
              </w:rPr>
              <w:t>June 30, 2021</w:t>
            </w:r>
          </w:p>
        </w:tc>
      </w:tr>
      <w:tr>
        <w:trPr>
          <w:trHeight w:val="198"/>
        </w:trPr>
        <w:tc>
          <w:tcPr>
            <w:tcW w:w="6800" w:type="dxa"/>
            <w:vAlign w:val="bottom"/>
            <w:shd w:val="clear" w:color="auto" w:fill="CCEEFF"/>
          </w:tcPr>
          <w:p>
            <w:pPr>
              <w:ind w:left="140"/>
              <w:spacing w:after="0" w:line="198"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(b)</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114</w:t>
            </w:r>
          </w:p>
        </w:tc>
      </w:tr>
      <w:tr>
        <w:trPr>
          <w:trHeight w:val="194"/>
        </w:trPr>
        <w:tc>
          <w:tcPr>
            <w:tcW w:w="6800" w:type="dxa"/>
            <w:vAlign w:val="bottom"/>
          </w:tcPr>
          <w:p>
            <w:pPr>
              <w:ind w:left="140"/>
              <w:spacing w:after="0"/>
              <w:rPr>
                <w:sz w:val="20"/>
                <w:szCs w:val="20"/>
                <w:color w:val="auto"/>
              </w:rPr>
            </w:pPr>
            <w:r>
              <w:rPr>
                <w:rFonts w:ascii="Arial" w:cs="Arial" w:eastAsia="Arial" w:hAnsi="Arial"/>
                <w:sz w:val="15"/>
                <w:szCs w:val="15"/>
                <w:color w:val="auto"/>
              </w:rPr>
              <w:t>Total wet slips and dry storage</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right"/>
              <w:ind w:right="164"/>
              <w:spacing w:after="0"/>
              <w:rPr>
                <w:sz w:val="20"/>
                <w:szCs w:val="20"/>
                <w:color w:val="auto"/>
              </w:rPr>
            </w:pPr>
            <w:r>
              <w:rPr>
                <w:rFonts w:ascii="Arial" w:cs="Arial" w:eastAsia="Arial" w:hAnsi="Arial"/>
                <w:sz w:val="15"/>
                <w:szCs w:val="15"/>
                <w:color w:val="auto"/>
              </w:rPr>
              <w:t>41,275</w:t>
            </w:r>
          </w:p>
        </w:tc>
      </w:tr>
    </w:tbl>
    <w:p>
      <w:pPr>
        <w:spacing w:after="0" w:line="84" w:lineRule="exact"/>
        <w:rPr>
          <w:sz w:val="20"/>
          <w:szCs w:val="20"/>
          <w:color w:val="auto"/>
        </w:rPr>
      </w:pPr>
    </w:p>
    <w:p>
      <w:pPr>
        <w:ind w:left="180" w:hanging="172"/>
        <w:spacing w:after="0" w:line="224" w:lineRule="auto"/>
        <w:tabs>
          <w:tab w:leader="none" w:pos="159"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Marina results net $3.7 million and $6.3 million of certain utility revenue against the related utility expense in property operating and maintenance expense for three and six months ended June 30, 2021.</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Marina properties comprised of eight properties acquired in 2021 and 106 properties acquired in 2020.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six months ended June 30, 2021 and 2020 (in thousands, except for average selling prices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 Change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2020</w:t>
            </w:r>
          </w:p>
        </w:tc>
        <w:tc>
          <w:tcPr>
            <w:tcW w:w="16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3"/>
        </w:trPr>
        <w:tc>
          <w:tcPr>
            <w:tcW w:w="2200" w:type="dxa"/>
            <w:vAlign w:val="bottom"/>
            <w:gridSpan w:val="5"/>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b w:val="1"/>
                <w:bCs w:val="1"/>
                <w:color w:val="auto"/>
                <w:w w:val="89"/>
              </w:rPr>
              <w:t>New Homes</w:t>
            </w:r>
          </w:p>
        </w:tc>
        <w:tc>
          <w:tcPr>
            <w:tcW w:w="128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New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34,761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19,206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15,555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81.0 %</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57,733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4"/>
              <w:spacing w:after="0"/>
              <w:rPr>
                <w:sz w:val="20"/>
                <w:szCs w:val="20"/>
                <w:color w:val="auto"/>
              </w:rPr>
            </w:pPr>
            <w:r>
              <w:rPr>
                <w:rFonts w:ascii="Arial" w:cs="Arial" w:eastAsia="Arial" w:hAnsi="Arial"/>
                <w:sz w:val="15"/>
                <w:szCs w:val="15"/>
                <w:color w:val="auto"/>
              </w:rPr>
              <w:t>34,802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22,931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65.9 %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28,269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15,707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12,562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80.0 %</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46,943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28,317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18,626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65.8 %</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Gross Profit – new homes</w:t>
            </w:r>
          </w:p>
        </w:tc>
        <w:tc>
          <w:tcPr>
            <w:tcW w:w="120" w:type="dxa"/>
            <w:vAlign w:val="bottom"/>
          </w:tcPr>
          <w:p>
            <w:pPr>
              <w:spacing w:after="0"/>
              <w:rPr>
                <w:sz w:val="16"/>
                <w:szCs w:val="16"/>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6,492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3,499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2,993</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85.5 %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10,790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4"/>
              <w:spacing w:after="0"/>
              <w:rPr>
                <w:sz w:val="20"/>
                <w:szCs w:val="20"/>
                <w:color w:val="auto"/>
              </w:rPr>
            </w:pPr>
            <w:r>
              <w:rPr>
                <w:rFonts w:ascii="Arial" w:cs="Arial" w:eastAsia="Arial" w:hAnsi="Arial"/>
                <w:sz w:val="15"/>
                <w:szCs w:val="15"/>
                <w:color w:val="auto"/>
              </w:rPr>
              <w:t>6,485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4,305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66.4 %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w w:val="91"/>
              </w:rPr>
              <w:t>Gross margin % – new homes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60" w:type="dxa"/>
            <w:vAlign w:val="bottom"/>
            <w:gridSpan w:val="4"/>
          </w:tcPr>
          <w:p>
            <w:pPr>
              <w:ind w:left="200"/>
              <w:spacing w:after="0" w:line="149" w:lineRule="exact"/>
              <w:rPr>
                <w:sz w:val="20"/>
                <w:szCs w:val="20"/>
                <w:color w:val="auto"/>
              </w:rPr>
            </w:pPr>
            <w:r>
              <w:rPr>
                <w:rFonts w:ascii="Arial" w:cs="Arial" w:eastAsia="Arial" w:hAnsi="Arial"/>
                <w:sz w:val="15"/>
                <w:szCs w:val="15"/>
                <w:color w:val="auto"/>
              </w:rPr>
              <w:t>Average selling price – new</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124"/>
              <w:spacing w:after="0"/>
              <w:rPr>
                <w:sz w:val="20"/>
                <w:szCs w:val="20"/>
                <w:color w:val="auto"/>
              </w:rPr>
            </w:pPr>
            <w:r>
              <w:rPr>
                <w:rFonts w:ascii="Arial" w:cs="Arial" w:eastAsia="Arial" w:hAnsi="Arial"/>
                <w:sz w:val="15"/>
                <w:szCs w:val="15"/>
                <w:color w:val="auto"/>
              </w:rPr>
              <w:t>153,132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104"/>
              <w:spacing w:after="0"/>
              <w:rPr>
                <w:sz w:val="20"/>
                <w:szCs w:val="20"/>
                <w:color w:val="auto"/>
              </w:rPr>
            </w:pPr>
            <w:r>
              <w:rPr>
                <w:rFonts w:ascii="Arial" w:cs="Arial" w:eastAsia="Arial" w:hAnsi="Arial"/>
                <w:sz w:val="15"/>
                <w:szCs w:val="15"/>
                <w:color w:val="auto"/>
              </w:rPr>
              <w:t>137,186</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ind w:right="104"/>
              <w:spacing w:after="0"/>
              <w:rPr>
                <w:sz w:val="20"/>
                <w:szCs w:val="20"/>
                <w:color w:val="auto"/>
              </w:rPr>
            </w:pPr>
            <w:r>
              <w:rPr>
                <w:rFonts w:ascii="Arial" w:cs="Arial" w:eastAsia="Arial" w:hAnsi="Arial"/>
                <w:sz w:val="15"/>
                <w:szCs w:val="15"/>
                <w:color w:val="auto"/>
              </w:rPr>
              <w:t>15,946</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color w:val="auto"/>
              </w:rPr>
              <w:t>11.6 %</w:t>
            </w:r>
          </w:p>
        </w:tc>
        <w:tc>
          <w:tcPr>
            <w:tcW w:w="1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153,545</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104"/>
              <w:spacing w:after="0"/>
              <w:rPr>
                <w:sz w:val="20"/>
                <w:szCs w:val="20"/>
                <w:color w:val="auto"/>
              </w:rPr>
            </w:pPr>
            <w:r>
              <w:rPr>
                <w:rFonts w:ascii="Arial" w:cs="Arial" w:eastAsia="Arial" w:hAnsi="Arial"/>
                <w:sz w:val="15"/>
                <w:szCs w:val="15"/>
                <w:color w:val="auto"/>
              </w:rPr>
              <w:t>134,371</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ind w:right="104"/>
              <w:spacing w:after="0"/>
              <w:rPr>
                <w:sz w:val="20"/>
                <w:szCs w:val="20"/>
                <w:color w:val="auto"/>
              </w:rPr>
            </w:pPr>
            <w:r>
              <w:rPr>
                <w:rFonts w:ascii="Arial" w:cs="Arial" w:eastAsia="Arial" w:hAnsi="Arial"/>
                <w:sz w:val="15"/>
                <w:szCs w:val="15"/>
                <w:color w:val="auto"/>
              </w:rPr>
              <w:t>19,174</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06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Pre-owned Homes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47,087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19,324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27,763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143.7 %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76,314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44,315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31,999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72.2 %</w:t>
            </w:r>
          </w:p>
        </w:tc>
        <w:tc>
          <w:tcPr>
            <w:tcW w:w="0" w:type="dxa"/>
            <w:vAlign w:val="bottom"/>
          </w:tcPr>
          <w:p>
            <w:pPr>
              <w:spacing w:after="0"/>
              <w:rPr>
                <w:sz w:val="1"/>
                <w:szCs w:val="1"/>
                <w:color w:val="auto"/>
              </w:rPr>
            </w:pPr>
          </w:p>
        </w:tc>
      </w:tr>
      <w:tr>
        <w:trPr>
          <w:trHeight w:val="198"/>
        </w:trPr>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w w:val="91"/>
              </w:rPr>
              <w:t>Pre-owned home cost of sales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25,945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13,474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12,471</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92.6 %</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44,529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30,896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13,633</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44.1 %</w:t>
            </w:r>
          </w:p>
        </w:tc>
        <w:tc>
          <w:tcPr>
            <w:tcW w:w="0" w:type="dxa"/>
            <w:vAlign w:val="bottom"/>
          </w:tcPr>
          <w:p>
            <w:pPr>
              <w:spacing w:after="0"/>
              <w:rPr>
                <w:sz w:val="1"/>
                <w:szCs w:val="1"/>
                <w:color w:val="auto"/>
              </w:rPr>
            </w:pPr>
          </w:p>
        </w:tc>
      </w:tr>
      <w:tr>
        <w:trPr>
          <w:trHeight w:val="133"/>
        </w:trPr>
        <w:tc>
          <w:tcPr>
            <w:tcW w:w="14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200"/>
              <w:spacing w:after="0" w:line="133" w:lineRule="exact"/>
              <w:rPr>
                <w:sz w:val="20"/>
                <w:szCs w:val="20"/>
                <w:color w:val="auto"/>
              </w:rPr>
            </w:pPr>
            <w:r>
              <w:rPr>
                <w:rFonts w:ascii="Arial" w:cs="Arial" w:eastAsia="Arial" w:hAnsi="Arial"/>
                <w:sz w:val="15"/>
                <w:szCs w:val="15"/>
                <w:color w:val="auto"/>
              </w:rPr>
              <w:t>Gross Profit – pre-owned</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21,142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5,850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15,292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261.4 %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31,785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13,419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18,366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136.9 %</w:t>
            </w: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60" w:type="dxa"/>
            <w:vAlign w:val="bottom"/>
            <w:gridSpan w:val="4"/>
          </w:tcPr>
          <w:p>
            <w:pPr>
              <w:ind w:left="200"/>
              <w:spacing w:after="0" w:line="149" w:lineRule="exact"/>
              <w:rPr>
                <w:sz w:val="20"/>
                <w:szCs w:val="20"/>
                <w:color w:val="auto"/>
              </w:rPr>
            </w:pPr>
            <w:r>
              <w:rPr>
                <w:rFonts w:ascii="Arial" w:cs="Arial" w:eastAsia="Arial" w:hAnsi="Arial"/>
                <w:sz w:val="15"/>
                <w:szCs w:val="15"/>
                <w:color w:val="auto"/>
                <w:w w:val="94"/>
              </w:rPr>
              <w:t>Gross margin % – pre-owned</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44.9 %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30.3 %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14.6 %</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41.7 %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30.3 %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11.4 %</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40" w:type="dxa"/>
            <w:vAlign w:val="bottom"/>
            <w:shd w:val="clear" w:color="auto" w:fill="CCEEFF"/>
          </w:tcPr>
          <w:p>
            <w:pPr>
              <w:spacing w:after="0"/>
              <w:rPr>
                <w:sz w:val="13"/>
                <w:szCs w:val="13"/>
                <w:color w:val="auto"/>
              </w:rPr>
            </w:pPr>
          </w:p>
        </w:tc>
        <w:tc>
          <w:tcPr>
            <w:tcW w:w="2060" w:type="dxa"/>
            <w:vAlign w:val="bottom"/>
            <w:gridSpan w:val="4"/>
            <w:shd w:val="clear" w:color="auto" w:fill="CCEEFF"/>
          </w:tcPr>
          <w:p>
            <w:pPr>
              <w:ind w:left="200"/>
              <w:spacing w:after="0" w:line="153" w:lineRule="exact"/>
              <w:rPr>
                <w:sz w:val="20"/>
                <w:szCs w:val="20"/>
                <w:color w:val="auto"/>
              </w:rPr>
            </w:pPr>
            <w:r>
              <w:rPr>
                <w:rFonts w:ascii="Arial" w:cs="Arial" w:eastAsia="Arial" w:hAnsi="Arial"/>
                <w:sz w:val="15"/>
                <w:szCs w:val="15"/>
                <w:color w:val="auto"/>
              </w:rPr>
              <w:t>Average selling price – pre-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50,577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41,028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9,549</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23.3 %</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47,195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39,744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7,451</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owned homes</w:t>
            </w: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06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Home Sales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2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81,848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38,530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43,318</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112.4 %</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134,047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104"/>
              <w:spacing w:after="0"/>
              <w:rPr>
                <w:sz w:val="20"/>
                <w:szCs w:val="20"/>
                <w:color w:val="auto"/>
              </w:rPr>
            </w:pPr>
            <w:r>
              <w:rPr>
                <w:rFonts w:ascii="Arial" w:cs="Arial" w:eastAsia="Arial" w:hAnsi="Arial"/>
                <w:sz w:val="15"/>
                <w:szCs w:val="15"/>
                <w:color w:val="auto"/>
              </w:rPr>
              <w:t>79,117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54,930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69.4 %</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54,214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29,181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25,033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85.8 %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91,472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59,213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32,259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54.5 %</w:t>
            </w:r>
          </w:p>
        </w:tc>
        <w:tc>
          <w:tcPr>
            <w:tcW w:w="0" w:type="dxa"/>
            <w:vAlign w:val="bottom"/>
          </w:tcPr>
          <w:p>
            <w:pPr>
              <w:spacing w:after="0"/>
              <w:rPr>
                <w:sz w:val="1"/>
                <w:szCs w:val="1"/>
                <w:color w:val="auto"/>
              </w:rPr>
            </w:pPr>
          </w:p>
        </w:tc>
      </w:tr>
      <w:tr>
        <w:trPr>
          <w:trHeight w:val="198"/>
        </w:trPr>
        <w:tc>
          <w:tcPr>
            <w:tcW w:w="14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Home selling expenses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2,870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1,679</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58.5 %</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8,881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6,877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2,004</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29.1 %</w:t>
            </w:r>
          </w:p>
        </w:tc>
        <w:tc>
          <w:tcPr>
            <w:tcW w:w="0" w:type="dxa"/>
            <w:vAlign w:val="bottom"/>
          </w:tcPr>
          <w:p>
            <w:pPr>
              <w:spacing w:after="0"/>
              <w:rPr>
                <w:sz w:val="1"/>
                <w:szCs w:val="1"/>
                <w:color w:val="auto"/>
              </w:rPr>
            </w:pPr>
          </w:p>
        </w:tc>
      </w:tr>
      <w:tr>
        <w:trPr>
          <w:trHeight w:val="225"/>
        </w:trPr>
        <w:tc>
          <w:tcPr>
            <w:tcW w:w="1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Home Sales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23,085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6,479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16,606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256.3 %</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33,694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13,027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20,667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158.6 %</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200" w:type="dxa"/>
            <w:vAlign w:val="bottom"/>
            <w:gridSpan w:val="5"/>
            <w:shd w:val="clear" w:color="auto" w:fill="CCEEFF"/>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New home sales volume</w:t>
            </w:r>
          </w:p>
        </w:tc>
        <w:tc>
          <w:tcPr>
            <w:tcW w:w="120" w:type="dxa"/>
            <w:vAlign w:val="bottom"/>
          </w:tcPr>
          <w:p>
            <w:pPr>
              <w:spacing w:after="0"/>
              <w:rPr>
                <w:sz w:val="17"/>
                <w:szCs w:val="17"/>
                <w:color w:val="auto"/>
              </w:rPr>
            </w:pPr>
          </w:p>
        </w:tc>
        <w:tc>
          <w:tcPr>
            <w:tcW w:w="1040" w:type="dxa"/>
            <w:vAlign w:val="bottom"/>
          </w:tcPr>
          <w:p>
            <w:pPr>
              <w:jc w:val="right"/>
              <w:ind w:right="124"/>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87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62.1 %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376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Arial" w:cs="Arial" w:eastAsia="Arial" w:hAnsi="Arial"/>
                <w:sz w:val="15"/>
                <w:szCs w:val="15"/>
                <w:color w:val="auto"/>
              </w:rPr>
              <w:t>259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117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45.2 %</w:t>
            </w:r>
          </w:p>
        </w:tc>
        <w:tc>
          <w:tcPr>
            <w:tcW w:w="0" w:type="dxa"/>
            <w:vAlign w:val="bottom"/>
          </w:tcPr>
          <w:p>
            <w:pPr>
              <w:spacing w:after="0"/>
              <w:rPr>
                <w:sz w:val="1"/>
                <w:szCs w:val="1"/>
                <w:color w:val="auto"/>
              </w:rPr>
            </w:pPr>
          </w:p>
        </w:tc>
      </w:tr>
      <w:tr>
        <w:trPr>
          <w:trHeight w:val="153"/>
        </w:trPr>
        <w:tc>
          <w:tcPr>
            <w:tcW w:w="140" w:type="dxa"/>
            <w:vAlign w:val="bottom"/>
            <w:shd w:val="clear" w:color="auto" w:fill="CCEEFF"/>
          </w:tcPr>
          <w:p>
            <w:pPr>
              <w:spacing w:after="0"/>
              <w:rPr>
                <w:sz w:val="13"/>
                <w:szCs w:val="13"/>
                <w:color w:val="auto"/>
              </w:rPr>
            </w:pPr>
          </w:p>
        </w:tc>
        <w:tc>
          <w:tcPr>
            <w:tcW w:w="2060" w:type="dxa"/>
            <w:vAlign w:val="bottom"/>
            <w:gridSpan w:val="4"/>
            <w:shd w:val="clear" w:color="auto" w:fill="CCEEFF"/>
          </w:tcPr>
          <w:p>
            <w:pPr>
              <w:ind w:left="200"/>
              <w:spacing w:after="0" w:line="153" w:lineRule="exact"/>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471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460</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97.7 %</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1,617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1,115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502</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45.0 %</w:t>
            </w:r>
          </w:p>
        </w:tc>
        <w:tc>
          <w:tcPr>
            <w:tcW w:w="0" w:type="dxa"/>
            <w:vAlign w:val="bottom"/>
          </w:tcPr>
          <w:p>
            <w:pPr>
              <w:spacing w:after="0"/>
              <w:rPr>
                <w:sz w:val="1"/>
                <w:szCs w:val="1"/>
                <w:color w:val="auto"/>
              </w:rPr>
            </w:pPr>
          </w:p>
        </w:tc>
      </w:tr>
      <w:tr>
        <w:trPr>
          <w:trHeight w:val="198"/>
        </w:trPr>
        <w:tc>
          <w:tcPr>
            <w:tcW w:w="140" w:type="dxa"/>
            <w:vAlign w:val="bottom"/>
            <w:shd w:val="clear" w:color="auto" w:fill="CCEEFF"/>
          </w:tcPr>
          <w:p>
            <w:pPr>
              <w:spacing w:after="0"/>
              <w:rPr>
                <w:sz w:val="17"/>
                <w:szCs w:val="17"/>
                <w:color w:val="auto"/>
              </w:rPr>
            </w:pPr>
          </w:p>
        </w:tc>
        <w:tc>
          <w:tcPr>
            <w:tcW w:w="206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volume</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2060" w:type="dxa"/>
            <w:vAlign w:val="bottom"/>
            <w:gridSpan w:val="4"/>
          </w:tcPr>
          <w:p>
            <w:pPr>
              <w:ind w:left="200"/>
              <w:spacing w:after="0"/>
              <w:rPr>
                <w:sz w:val="20"/>
                <w:szCs w:val="20"/>
                <w:color w:val="auto"/>
              </w:rPr>
            </w:pPr>
            <w:r>
              <w:rPr>
                <w:rFonts w:ascii="Arial" w:cs="Arial" w:eastAsia="Arial" w:hAnsi="Arial"/>
                <w:sz w:val="15"/>
                <w:szCs w:val="15"/>
                <w:color w:val="auto"/>
              </w:rPr>
              <w:t>Total home sales volume</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1,158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611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547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89.5 %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1,993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1,374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619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45.1 %</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jc w:val="both"/>
        <w:ind w:left="180"/>
        <w:spacing w:after="0" w:line="323" w:lineRule="auto"/>
        <w:rPr>
          <w:sz w:val="20"/>
          <w:szCs w:val="20"/>
          <w:color w:val="auto"/>
        </w:rPr>
      </w:pPr>
      <w:r>
        <w:rPr>
          <w:rFonts w:ascii="Arial" w:cs="Arial" w:eastAsia="Arial" w:hAnsi="Arial"/>
          <w:sz w:val="16"/>
          <w:szCs w:val="16"/>
          <w:color w:val="auto"/>
        </w:rPr>
        <w:t>For the three months ended June 30, 2021, the $3.0 million, or 85.5 percent, increase in gross profit is primarily the result of a 62.1 percent increase in new home sales volume coupled with a 11.6 percent increase in the new home average selling price, as compared to the same period in 2020.</w:t>
      </w:r>
    </w:p>
    <w:p>
      <w:pPr>
        <w:spacing w:after="0" w:line="165" w:lineRule="exact"/>
        <w:rPr>
          <w:sz w:val="20"/>
          <w:szCs w:val="20"/>
          <w:color w:val="auto"/>
        </w:rPr>
      </w:pPr>
    </w:p>
    <w:p>
      <w:pPr>
        <w:jc w:val="both"/>
        <w:ind w:left="180" w:right="20"/>
        <w:spacing w:after="0" w:line="308" w:lineRule="auto"/>
        <w:rPr>
          <w:sz w:val="20"/>
          <w:szCs w:val="20"/>
          <w:color w:val="auto"/>
        </w:rPr>
      </w:pPr>
      <w:r>
        <w:rPr>
          <w:rFonts w:ascii="Arial" w:cs="Arial" w:eastAsia="Arial" w:hAnsi="Arial"/>
          <w:sz w:val="17"/>
          <w:szCs w:val="17"/>
          <w:color w:val="auto"/>
        </w:rPr>
        <w:t>For the six months ended June 30, 2021, the $4.3 million, or 66.4 percent, increase in gross profit is primarily the result of a 45.2 percent increase in new home sales volume coupled with a 14.3 percent increase in the new home average selling price, as compared to the same period in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For the three months ended June 30, 2021, the $15.3 million, or 261.4 percent, increase in gross profit is primarily the result of a 97.7 percent increase in pre-owned home sales volume, coupled with a 14.6 percent increase in gross margin, primarily due to a 23.3 percent increase in the pre-owned home average selling price, as compared to the same period in 2020.</w:t>
      </w:r>
    </w:p>
    <w:p>
      <w:pPr>
        <w:spacing w:after="0" w:line="217"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For the six months ended June 30, 2021, the $18.4 million, or 136.9 percent, increase in gross profit is primarily the result of a 45.0 percent increase in pre-owned home sales volume, coupled with a 11.4 percent increase in gross margin, primarily due to a 18.7 percent increase in the pre-owned home average selling price, as compared to the same period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Homes sales NOI</w:t>
      </w:r>
    </w:p>
    <w:p>
      <w:pPr>
        <w:spacing w:after="0" w:line="23"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For the three months ended June 30, 2021, the $16.6 million, or 256.3 percent, increase in NOI is primarily the result of a 89.5 percent increase in home sales volume coupled with increase in home average selling price, as compared to the same period in 2020.</w:t>
      </w:r>
    </w:p>
    <w:p>
      <w:pPr>
        <w:spacing w:after="0" w:line="21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For the six months ended June 30, 2021, the $20.7 million, or 158.6 percent, increase in NOI is primarily the result of a 45.1 percent increase in home sales volume coupled with increase in home average selling price, as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six months ended June 30, 2021 and 2020 (in thousands, except for other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5"/>
                <w:szCs w:val="15"/>
                <w:b w:val="1"/>
                <w:bCs w:val="1"/>
                <w:color w:val="auto"/>
                <w:w w:val="95"/>
              </w:rPr>
              <w:t>Three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rPr>
              <w:t>Six Months Ended</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June 30, 2020</w:t>
            </w:r>
          </w:p>
        </w:tc>
        <w:tc>
          <w:tcPr>
            <w:tcW w:w="140" w:type="dxa"/>
            <w:vAlign w:val="bottom"/>
          </w:tcPr>
          <w:p>
            <w:pPr>
              <w:spacing w:after="0"/>
              <w:rPr>
                <w:sz w:val="17"/>
                <w:szCs w:val="17"/>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Change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 2021</w:t>
            </w: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17"/>
                <w:szCs w:val="17"/>
                <w:color w:val="auto"/>
              </w:rPr>
            </w:pPr>
          </w:p>
        </w:tc>
        <w:tc>
          <w:tcPr>
            <w:tcW w:w="66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83"/>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340"/>
              <w:spacing w:after="0"/>
              <w:rPr>
                <w:sz w:val="20"/>
                <w:szCs w:val="20"/>
                <w:color w:val="auto"/>
              </w:rPr>
            </w:pPr>
            <w:r>
              <w:rPr>
                <w:rFonts w:ascii="Arial" w:cs="Arial" w:eastAsia="Arial" w:hAnsi="Arial"/>
                <w:sz w:val="15"/>
                <w:szCs w:val="15"/>
                <w:color w:val="auto"/>
              </w:rPr>
              <w:t>Home rent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17,060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14,968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2,092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14.0 %</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34,082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30,436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3,646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12.0 %</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Site rent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18,649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37,766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36,598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35,709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6.4 %</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71,848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67,034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4,814</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7.2 %</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140"/>
              <w:spacing w:after="0"/>
              <w:rPr>
                <w:sz w:val="20"/>
                <w:szCs w:val="20"/>
                <w:color w:val="auto"/>
              </w:rPr>
            </w:pPr>
            <w:r>
              <w:rPr>
                <w:rFonts w:ascii="Arial" w:cs="Arial" w:eastAsia="Arial" w:hAnsi="Arial"/>
                <w:sz w:val="15"/>
                <w:szCs w:val="15"/>
                <w:b w:val="1"/>
                <w:bCs w:val="1"/>
                <w:color w:val="auto"/>
              </w:rPr>
              <w:t>Expenses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600" w:type="dxa"/>
            <w:vAlign w:val="bottom"/>
            <w:shd w:val="clear" w:color="auto" w:fill="CCEEFF"/>
          </w:tcPr>
          <w:p>
            <w:pPr>
              <w:ind w:left="340"/>
              <w:spacing w:after="0" w:line="151" w:lineRule="exact"/>
              <w:rPr>
                <w:sz w:val="20"/>
                <w:szCs w:val="20"/>
                <w:color w:val="auto"/>
              </w:rPr>
            </w:pPr>
            <w:r>
              <w:rPr>
                <w:rFonts w:ascii="Arial" w:cs="Arial" w:eastAsia="Arial" w:hAnsi="Arial"/>
                <w:sz w:val="15"/>
                <w:szCs w:val="15"/>
                <w:color w:val="auto"/>
              </w:rPr>
              <w:t>Rental Program operating and</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4,561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4,425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9,785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9,248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537</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maintenance</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360"/>
              <w:spacing w:after="0"/>
              <w:rPr>
                <w:sz w:val="20"/>
                <w:szCs w:val="20"/>
                <w:color w:val="auto"/>
              </w:rPr>
            </w:pPr>
            <w:r>
              <w:rPr>
                <w:rFonts w:ascii="Arial" w:cs="Arial" w:eastAsia="Arial" w:hAnsi="Arial"/>
                <w:sz w:val="15"/>
                <w:szCs w:val="15"/>
                <w:color w:val="auto"/>
              </w:rPr>
              <w:t>Rental Program NOI</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31,148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29,134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6.9 %</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62,063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57,786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7.4 %</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sold rental homes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130.3 %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38.2 %</w:t>
            </w: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line="149" w:lineRule="exact"/>
              <w:rPr>
                <w:sz w:val="20"/>
                <w:szCs w:val="20"/>
                <w:color w:val="auto"/>
              </w:rPr>
            </w:pPr>
            <w:r>
              <w:rPr>
                <w:rFonts w:ascii="Arial" w:cs="Arial" w:eastAsia="Arial" w:hAnsi="Arial"/>
                <w:sz w:val="15"/>
                <w:szCs w:val="15"/>
                <w:color w:val="auto"/>
              </w:rPr>
              <w:t>Number of occupied rentals, end of</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10,951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11,785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(834)</w:t>
            </w:r>
          </w:p>
        </w:tc>
        <w:tc>
          <w:tcPr>
            <w:tcW w:w="940" w:type="dxa"/>
            <w:vAlign w:val="bottom"/>
            <w:gridSpan w:val="2"/>
            <w:vMerge w:val="restart"/>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98"/>
        </w:trPr>
        <w:tc>
          <w:tcPr>
            <w:tcW w:w="2600" w:type="dxa"/>
            <w:vAlign w:val="bottom"/>
          </w:tcPr>
          <w:p>
            <w:pPr>
              <w:ind w:left="140"/>
              <w:spacing w:after="0"/>
              <w:rPr>
                <w:sz w:val="20"/>
                <w:szCs w:val="20"/>
                <w:color w:val="auto"/>
              </w:rPr>
            </w:pPr>
            <w:r>
              <w:rPr>
                <w:rFonts w:ascii="Arial" w:cs="Arial" w:eastAsia="Arial" w:hAnsi="Arial"/>
                <w:sz w:val="15"/>
                <w:szCs w:val="15"/>
                <w:color w:val="auto"/>
              </w:rPr>
              <w:t>period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8"/>
              </w:rPr>
              <w:t>Investment in occupied rental homes,</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601,798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621,327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(19,529)</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2"/>
        </w:trPr>
        <w:tc>
          <w:tcPr>
            <w:tcW w:w="2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end of period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140"/>
              <w:spacing w:after="0" w:line="149" w:lineRule="exact"/>
              <w:rPr>
                <w:sz w:val="20"/>
                <w:szCs w:val="20"/>
                <w:color w:val="auto"/>
              </w:rPr>
            </w:pPr>
            <w:r>
              <w:rPr>
                <w:rFonts w:ascii="Arial" w:cs="Arial" w:eastAsia="Arial" w:hAnsi="Arial"/>
                <w:sz w:val="15"/>
                <w:szCs w:val="15"/>
                <w:color w:val="auto"/>
                <w:w w:val="95"/>
              </w:rPr>
              <w:t>Weighted average monthly rental rate,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1,076</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1,018</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58</w:t>
            </w:r>
          </w:p>
        </w:tc>
        <w:tc>
          <w:tcPr>
            <w:tcW w:w="940" w:type="dxa"/>
            <w:vAlign w:val="bottom"/>
            <w:gridSpan w:val="2"/>
            <w:vMerge w:val="restart"/>
          </w:tcPr>
          <w:p>
            <w:pPr>
              <w:jc w:val="right"/>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194"/>
        </w:trPr>
        <w:tc>
          <w:tcPr>
            <w:tcW w:w="2600" w:type="dxa"/>
            <w:vAlign w:val="bottom"/>
          </w:tcPr>
          <w:p>
            <w:pPr>
              <w:ind w:left="140"/>
              <w:spacing w:after="0"/>
              <w:rPr>
                <w:sz w:val="20"/>
                <w:szCs w:val="20"/>
                <w:color w:val="auto"/>
              </w:rPr>
            </w:pPr>
            <w:r>
              <w:rPr>
                <w:rFonts w:ascii="Arial" w:cs="Arial" w:eastAsia="Arial" w:hAnsi="Arial"/>
                <w:sz w:val="15"/>
                <w:szCs w:val="15"/>
                <w:color w:val="auto"/>
              </w:rPr>
              <w:t>end of period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Rental Program NOI is included in Real Property NOI. The Rental Program NOI is separately reviewed to assess the overall growth and performance of the Rental Program and its financial impact on the Company's operations.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June 30, 2021, Rental Program NOI increased $2.0 million, or 6.9 percent as compared to the same period in 2020. The increase is primarily due to an increase in Rental Program revenue of $2.2 million, or 6.4 percent, offset by an increase of 3.1 percent in expenses.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Rental Program NOI increased $4.3 million, or 7.4 percent as compared to the same period in 2020. The increase is primarily due to an increase in Rental Program revenue of $4.8 million, or 7.2 percent, due to a 5.7 percent increase in the weighted average monthly rental rate and a 38.2 percent increase in the number of homes rented.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and six months ended June 30, 2021 and 2020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Three Months Ended</w:t>
            </w: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Six Months Ended</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June 30, 2021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June 30, 2020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 Change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June 30, 2021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June 30, 2020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Change</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31"/>
        </w:trPr>
        <w:tc>
          <w:tcPr>
            <w:tcW w:w="2680" w:type="dxa"/>
            <w:vAlign w:val="bottom"/>
            <w:shd w:val="clear" w:color="auto" w:fill="CCEEFF"/>
          </w:tcPr>
          <w:p>
            <w:pPr>
              <w:ind w:left="20"/>
              <w:spacing w:after="0" w:line="131" w:lineRule="exact"/>
              <w:rPr>
                <w:sz w:val="20"/>
                <w:szCs w:val="20"/>
                <w:color w:val="auto"/>
              </w:rPr>
            </w:pPr>
            <w:r>
              <w:rPr>
                <w:rFonts w:ascii="Arial" w:cs="Arial" w:eastAsia="Arial" w:hAnsi="Arial"/>
                <w:sz w:val="15"/>
                <w:szCs w:val="15"/>
                <w:color w:val="auto"/>
                <w:w w:val="98"/>
              </w:rPr>
              <w:t>Service, retail, dining and entertainment,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27,867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27,409</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33,048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34,169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8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2,635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3.2 %</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5,350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4,985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365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7.3 %</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3,665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79.5 %</w:t>
            </w:r>
          </w:p>
        </w:tc>
        <w:tc>
          <w:tcPr>
            <w:tcW w:w="0" w:type="dxa"/>
            <w:vAlign w:val="bottom"/>
          </w:tcPr>
          <w:p>
            <w:pPr>
              <w:spacing w:after="0"/>
              <w:rPr>
                <w:sz w:val="1"/>
                <w:szCs w:val="1"/>
                <w:color w:val="auto"/>
              </w:rPr>
            </w:pPr>
          </w:p>
        </w:tc>
      </w:tr>
      <w:tr>
        <w:trPr>
          <w:trHeight w:val="199"/>
        </w:trPr>
        <w:tc>
          <w:tcPr>
            <w:tcW w:w="268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45,127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26,527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18,600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70.1 %</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83,330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51,876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31,454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60.6 %</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Catastrophic event-related charges,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162.7 %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2680" w:type="dxa"/>
            <w:vAlign w:val="bottom"/>
          </w:tcPr>
          <w:p>
            <w:pPr>
              <w:ind w:left="20"/>
              <w:spacing w:after="0"/>
              <w:rPr>
                <w:sz w:val="20"/>
                <w:szCs w:val="20"/>
                <w:color w:val="auto"/>
              </w:rPr>
            </w:pPr>
            <w:r>
              <w:rPr>
                <w:rFonts w:ascii="Arial" w:cs="Arial" w:eastAsia="Arial" w:hAnsi="Arial"/>
                <w:sz w:val="15"/>
                <w:szCs w:val="15"/>
                <w:color w:val="auto"/>
              </w:rPr>
              <w:t>Business combination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1,031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39,158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249,727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46.1 %</w:t>
            </w: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w w:val="95"/>
              </w:rPr>
              <w:t>Loss on extinguishment of debt (see Note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1,930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6,178</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320.1 %</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8,108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2,899</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55.7 %</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8)</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6,253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20.9 %</w:t>
            </w: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rPr>
              <w:t>Interest on mandatorily redeemable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1,041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1,042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2,077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2,083</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preferred OP units / equity</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Gain / (loss) on remeasurement of</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27,494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24,519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2,975</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12.1 %</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31,155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(4,128)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35,283</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854.7 %</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marketable securities (see Note 14)</w:t>
            </w: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rPr>
              <w:t>Gain / (loss) on foreign currency</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10,374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(10,638)</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(102.5)%</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(239)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(7,105)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6,866</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translation</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w w:val="98"/>
              </w:rPr>
              <w:t>Gain / (loss) on remeasurement of notes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246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(153)</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62.2 %</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(1,866)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2,335</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125.1 %</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receivable (see Note 4)</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Income from nonconsolidated affiliates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763.0 %</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1,821</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(see Note 6)</w:t>
            </w: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rPr>
              <w:t>Gain / (loss) on remeasurement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rPr>
              <w:t>investment in nonconsolidated affiliates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(115)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1,132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(1,247)</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(110.2)%</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(1,059)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1,048</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(see Note 6)</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tax expense (see Note 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78.6 %</w:t>
            </w: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w w:val="94"/>
              </w:rPr>
              <w:t>Deferred tax benefit / (expense) (see Note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(158.9)%</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242</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(66.5)%</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12)</w:t>
            </w:r>
          </w:p>
        </w:tc>
        <w:tc>
          <w:tcPr>
            <w:tcW w:w="1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Preferred return to preferred OP units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3,035</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1,451</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91.6 %</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5,899</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3,154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2,745</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87.0 %</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w:t>
            </w: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20"/>
              <w:spacing w:after="0" w:line="149" w:lineRule="exact"/>
              <w:rPr>
                <w:sz w:val="20"/>
                <w:szCs w:val="20"/>
                <w:color w:val="auto"/>
              </w:rPr>
            </w:pPr>
            <w:r>
              <w:rPr>
                <w:rFonts w:ascii="Arial" w:cs="Arial" w:eastAsia="Arial" w:hAnsi="Arial"/>
                <w:sz w:val="15"/>
                <w:szCs w:val="15"/>
                <w:color w:val="auto"/>
              </w:rPr>
              <w:t>Income attributable to noncontrolling</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7,044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2,861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vMerge w:val="restart"/>
          </w:tcPr>
          <w:p>
            <w:pPr>
              <w:jc w:val="right"/>
              <w:ind w:right="4"/>
              <w:spacing w:after="0"/>
              <w:rPr>
                <w:sz w:val="20"/>
                <w:szCs w:val="20"/>
                <w:color w:val="auto"/>
              </w:rPr>
            </w:pPr>
            <w:r>
              <w:rPr>
                <w:rFonts w:ascii="Arial" w:cs="Arial" w:eastAsia="Arial" w:hAnsi="Arial"/>
                <w:sz w:val="15"/>
                <w:szCs w:val="15"/>
                <w:color w:val="auto"/>
              </w:rPr>
              <w:t>4,183</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146.2 %</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7,339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1,899</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5,440</w:t>
            </w:r>
          </w:p>
        </w:tc>
        <w:tc>
          <w:tcPr>
            <w:tcW w:w="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286.5 %</w:t>
            </w:r>
          </w:p>
        </w:tc>
        <w:tc>
          <w:tcPr>
            <w:tcW w:w="0" w:type="dxa"/>
            <w:vAlign w:val="bottom"/>
          </w:tcPr>
          <w:p>
            <w:pPr>
              <w:spacing w:after="0"/>
              <w:rPr>
                <w:sz w:val="1"/>
                <w:szCs w:val="1"/>
                <w:color w:val="auto"/>
              </w:rPr>
            </w:pPr>
          </w:p>
        </w:tc>
      </w:tr>
      <w:tr>
        <w:trPr>
          <w:trHeight w:val="194"/>
        </w:trPr>
        <w:tc>
          <w:tcPr>
            <w:tcW w:w="2680" w:type="dxa"/>
            <w:vAlign w:val="bottom"/>
          </w:tcPr>
          <w:p>
            <w:pPr>
              <w:ind w:left="20"/>
              <w:spacing w:after="0"/>
              <w:rPr>
                <w:sz w:val="20"/>
                <w:szCs w:val="20"/>
                <w:color w:val="auto"/>
              </w:rPr>
            </w:pPr>
            <w:r>
              <w:rPr>
                <w:rFonts w:ascii="Arial" w:cs="Arial" w:eastAsia="Arial" w:hAnsi="Arial"/>
                <w:sz w:val="15"/>
                <w:szCs w:val="15"/>
                <w:color w:val="auto"/>
              </w:rPr>
              <w:t>interests</w:t>
            </w: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3740" w:firstLine="8"/>
        <w:spacing w:after="0" w:line="428" w:lineRule="auto"/>
        <w:tabs>
          <w:tab w:leader="none" w:pos="132" w:val="left"/>
        </w:tabs>
        <w:numPr>
          <w:ilvl w:val="0"/>
          <w:numId w:val="40"/>
        </w:numPr>
        <w:rPr>
          <w:rFonts w:ascii="Arial" w:cs="Arial" w:eastAsia="Arial" w:hAnsi="Arial"/>
          <w:sz w:val="15"/>
          <w:szCs w:val="15"/>
          <w:color w:val="auto"/>
          <w:vertAlign w:val="superscript"/>
        </w:rPr>
      </w:pPr>
      <w:r>
        <w:rPr>
          <w:rFonts w:ascii="Arial" w:cs="Arial" w:eastAsia="Arial" w:hAnsi="Arial"/>
          <w:sz w:val="11"/>
          <w:szCs w:val="11"/>
          <w:color w:val="auto"/>
        </w:rPr>
        <w:t>Only items determined by management to be material, of interest, or unique to the periods disclosed above are explained below. N/M = Percentage change is not meaningful.</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Service, retail, dining and entertainment, net - </w:t>
      </w:r>
      <w:r>
        <w:rPr>
          <w:rFonts w:ascii="Arial" w:cs="Arial" w:eastAsia="Arial" w:hAnsi="Arial"/>
          <w:sz w:val="18"/>
          <w:szCs w:val="18"/>
          <w:color w:val="auto"/>
        </w:rPr>
        <w:t>for the three and six months ended June 30, 2021, increased primarily due to the addition of service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Safe Harbor marina acquisition.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Brokerage commissions and other, net </w:t>
      </w:r>
      <w:r>
        <w:rPr>
          <w:rFonts w:ascii="Arial" w:cs="Arial" w:eastAsia="Arial" w:hAnsi="Arial"/>
          <w:sz w:val="18"/>
          <w:szCs w:val="18"/>
          <w:color w:val="auto"/>
        </w:rPr>
        <w:t>- for the three and six months ended June 30, 2021, increased primarily due to an increase in brokerage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 increase in the number of brokered home sales, as compared to 2020.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six months ended June 30, 2021, increased primarily due to an increase in wages and incentives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growth in strategic initiatives and acquisition activity as compared to the same period in 2020.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Catastrophic event-related charges, net - </w:t>
      </w:r>
      <w:r>
        <w:rPr>
          <w:rFonts w:ascii="Arial" w:cs="Arial" w:eastAsia="Arial" w:hAnsi="Arial"/>
          <w:sz w:val="18"/>
          <w:szCs w:val="18"/>
          <w:color w:val="auto"/>
        </w:rPr>
        <w:t>for the three and six months ended June 30, 2021, increased primarily due to fire damages and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named weather events.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Depreciation and amortization - </w:t>
      </w:r>
      <w:r>
        <w:rPr>
          <w:rFonts w:ascii="Arial" w:cs="Arial" w:eastAsia="Arial" w:hAnsi="Arial"/>
          <w:sz w:val="16"/>
          <w:szCs w:val="16"/>
          <w:color w:val="auto"/>
        </w:rPr>
        <w:t>for the three and six months ended June 30, 2021, increased as a result of property acquisitions during 2020 and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3, "Real Estate Acquisitions and Dispositions,"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three and six months ended June 30, 2021, increased primarily due to the termination of the Safe Harbor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financing activities as compared to the same period in 2020. Refer to Note 8, "Debt and Line of Credit,"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 </w:t>
      </w:r>
      <w:r>
        <w:rPr>
          <w:rFonts w:ascii="Arial" w:cs="Arial" w:eastAsia="Arial" w:hAnsi="Arial"/>
          <w:sz w:val="18"/>
          <w:szCs w:val="18"/>
          <w:color w:val="auto"/>
        </w:rPr>
        <w:t>for the three and six months ended June 30, 2021, increased primarily due to the higher carrying balance on the Safe Harbor prior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as compared to the same period in 2020. The Safe Harbor line of credit was terminated in June 2021. Refer to Note 8, "Debt and Line of Credit," of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remeasurement of marketable securities - </w:t>
      </w:r>
      <w:r>
        <w:rPr>
          <w:rFonts w:ascii="Arial" w:cs="Arial" w:eastAsia="Arial" w:hAnsi="Arial"/>
          <w:sz w:val="18"/>
          <w:szCs w:val="18"/>
          <w:color w:val="auto"/>
        </w:rPr>
        <w:t>for the three and six months ended June 30, 2021 was the reflection of increase /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marketable securities. Refer to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foreign currency translation - </w:t>
      </w:r>
      <w:r>
        <w:rPr>
          <w:rFonts w:ascii="Arial" w:cs="Arial" w:eastAsia="Arial" w:hAnsi="Arial"/>
          <w:sz w:val="18"/>
          <w:szCs w:val="18"/>
          <w:color w:val="auto"/>
        </w:rPr>
        <w:t>for the three months ended June 30, 2021, was a $0.3 million gain as compared to a $10.4 million loss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2020, primarily due to fluctuations in exchange rates on Canadian and Australian denominated currencies. For the six months ended June 30, 2021, there was a $0.2 million loss as compared to a $7.1 million loss in the same period in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 (loss) on remeasurement of notes receivable - </w:t>
      </w:r>
      <w:r>
        <w:rPr>
          <w:rFonts w:ascii="Arial" w:cs="Arial" w:eastAsia="Arial" w:hAnsi="Arial"/>
          <w:sz w:val="18"/>
          <w:szCs w:val="18"/>
          <w:color w:val="auto"/>
        </w:rPr>
        <w:t>represents the change in fair value of our in-house financing notes receivable portfolio,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elected the fair value option on January 1, 2020. Refer to Note 4, "Notes and Other Receivables," and Note 14, "Fair Value of Financial Instruments," in our accompanying Consolidated Financial Statements for additional information.</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Income / (loss) on remeasurement of investment in nonconsolidated affiliates - </w:t>
      </w:r>
      <w:r>
        <w:rPr>
          <w:rFonts w:ascii="Arial" w:cs="Arial" w:eastAsia="Arial" w:hAnsi="Arial"/>
          <w:sz w:val="18"/>
          <w:szCs w:val="18"/>
          <w:color w:val="auto"/>
        </w:rPr>
        <w:t>represents the adjustment of our equity investment in GTSC,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the fair value option on January 1, 2020. Refer to Note 6, "Investment in Nonconsolidated Affiliates,"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Preferred return to preferred OP units / equity </w:t>
      </w:r>
      <w:r>
        <w:rPr>
          <w:rFonts w:ascii="Arial" w:cs="Arial" w:eastAsia="Arial" w:hAnsi="Arial"/>
          <w:sz w:val="18"/>
          <w:szCs w:val="18"/>
          <w:color w:val="auto"/>
        </w:rPr>
        <w:t>- for the three and six months ended June 30, 2021, increased primarily as a result of the volume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OP units issued in conjunction with various acquisitions since 2020. Refer to Note 3, "Real Estate Acquisitions and Dispositions," and Note 9, "Equity and Temporary Equity," of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attributable to noncontrolling interests - </w:t>
      </w:r>
      <w:r>
        <w:rPr>
          <w:rFonts w:ascii="Arial" w:cs="Arial" w:eastAsia="Arial" w:hAnsi="Arial"/>
          <w:sz w:val="18"/>
          <w:szCs w:val="18"/>
          <w:color w:val="auto"/>
        </w:rPr>
        <w:t>for the three months ended June 30, 2021, increased as compared to the same period in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improved financial performance of the Company and its consolidated VIEs. Refer to Note 7, "Consolidated Variable Interest Entities,"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Current tax expense - </w:t>
      </w:r>
      <w:r>
        <w:rPr>
          <w:rFonts w:ascii="Arial" w:cs="Arial" w:eastAsia="Arial" w:hAnsi="Arial"/>
          <w:sz w:val="18"/>
          <w:szCs w:val="18"/>
          <w:color w:val="auto"/>
        </w:rPr>
        <w:t>for the three and six months ended June 30, 2021, increased as compared to the same periods in 2020, primarily due to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of the Company and its consolidated VIEs and change in the quarterly tax allocation process. Refer to Note 12, "Income Taxes,"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Stockholders to FFO</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Net income attributable to Sun Communities, Inc. common stockholders to FFO for the three and six months ended June 30, 2021 and 2020 (in thousands,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2480" w:type="dxa"/>
            <w:vAlign w:val="bottom"/>
            <w:gridSpan w:val="4"/>
          </w:tcPr>
          <w:p>
            <w:pPr>
              <w:jc w:val="right"/>
              <w:ind w:right="62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8"/>
        </w:trPr>
        <w:tc>
          <w:tcPr>
            <w:tcW w:w="57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2"/>
              </w:rPr>
              <w:t>June 30, 2020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June 30, 2020</w:t>
            </w:r>
          </w:p>
        </w:tc>
        <w:tc>
          <w:tcPr>
            <w:tcW w:w="0" w:type="dxa"/>
            <w:vAlign w:val="bottom"/>
          </w:tcPr>
          <w:p>
            <w:pPr>
              <w:spacing w:after="0"/>
              <w:rPr>
                <w:sz w:val="1"/>
                <w:szCs w:val="1"/>
                <w:color w:val="auto"/>
              </w:rPr>
            </w:pPr>
          </w:p>
        </w:tc>
      </w:tr>
      <w:tr>
        <w:trPr>
          <w:trHeight w:val="198"/>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110,770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58,910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135,552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42,824</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126,227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87,296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171,048</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Depreciation on nonconsolidated affiliates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4,128</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(Gain) / loss on remeasurement of investment in nonconsolidated affiliates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1,059</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notes receivable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1,942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1,646</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Preferred return to preferred OP units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8"/>
        </w:trPr>
        <w:tc>
          <w:tcPr>
            <w:tcW w:w="5780" w:type="dxa"/>
            <w:vAlign w:val="bottom"/>
          </w:tcPr>
          <w:p>
            <w:pPr>
              <w:ind w:left="240"/>
              <w:spacing w:after="0"/>
              <w:rPr>
                <w:sz w:val="20"/>
                <w:szCs w:val="20"/>
                <w:color w:val="auto"/>
              </w:rPr>
            </w:pPr>
            <w:r>
              <w:rPr>
                <w:rFonts w:ascii="Arial" w:cs="Arial" w:eastAsia="Arial" w:hAnsi="Arial"/>
                <w:sz w:val="15"/>
                <w:szCs w:val="15"/>
                <w:color w:val="auto"/>
              </w:rPr>
              <w:t>Interest expense on Aspen preferred OP units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 of assets, net</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(17,564)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(9,740)</w:t>
            </w:r>
          </w:p>
        </w:tc>
        <w:tc>
          <w:tcPr>
            <w:tcW w:w="0" w:type="dxa"/>
            <w:vAlign w:val="bottom"/>
          </w:tcPr>
          <w:p>
            <w:pPr>
              <w:spacing w:after="0"/>
              <w:rPr>
                <w:sz w:val="1"/>
                <w:szCs w:val="1"/>
                <w:color w:val="auto"/>
              </w:rPr>
            </w:pPr>
          </w:p>
        </w:tc>
      </w:tr>
      <w:tr>
        <w:trPr>
          <w:trHeight w:val="128"/>
        </w:trPr>
        <w:tc>
          <w:tcPr>
            <w:tcW w:w="57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FFO Attributable to Sun Communities, Inc. Common Stockholders and Dilutive</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198,017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118,092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334,456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213,850</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3" w:lineRule="exact"/>
              <w:rPr>
                <w:sz w:val="20"/>
                <w:szCs w:val="20"/>
                <w:color w:val="auto"/>
              </w:rPr>
            </w:pPr>
            <w:r>
              <w:rPr>
                <w:rFonts w:ascii="Arial" w:cs="Arial" w:eastAsia="Arial" w:hAnsi="Arial"/>
                <w:sz w:val="15"/>
                <w:szCs w:val="15"/>
                <w:b w:val="1"/>
                <w:bCs w:val="1"/>
                <w:color w:val="auto"/>
              </w:rPr>
              <w:t>Convertible Securities</w:t>
            </w:r>
            <w:r>
              <w:rPr>
                <w:rFonts w:ascii="Arial" w:cs="Arial" w:eastAsia="Arial" w:hAnsi="Arial"/>
                <w:sz w:val="19"/>
                <w:szCs w:val="19"/>
                <w:b w:val="1"/>
                <w:bCs w:val="1"/>
                <w:color w:val="auto"/>
                <w:vertAlign w:val="superscript"/>
              </w:rPr>
              <w:t>(1)</w:t>
            </w: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Business combination expense and other acquisition related costs</w:t>
            </w:r>
            <w:r>
              <w:rPr>
                <w:rFonts w:ascii="Arial" w:cs="Arial" w:eastAsia="Arial" w:hAnsi="Arial"/>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8,108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1,930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5,209</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3"/>
        </w:trPr>
        <w:tc>
          <w:tcPr>
            <w:tcW w:w="5780" w:type="dxa"/>
            <w:vAlign w:val="bottom"/>
          </w:tcPr>
          <w:p>
            <w:pPr>
              <w:ind w:left="220"/>
              <w:spacing w:after="0" w:line="203" w:lineRule="exact"/>
              <w:rPr>
                <w:sz w:val="20"/>
                <w:szCs w:val="20"/>
                <w:color w:val="auto"/>
              </w:rPr>
            </w:pPr>
            <w:r>
              <w:rPr>
                <w:rFonts w:ascii="Arial" w:cs="Arial" w:eastAsia="Arial" w:hAnsi="Arial"/>
                <w:sz w:val="15"/>
                <w:szCs w:val="15"/>
                <w:color w:val="auto"/>
              </w:rPr>
              <w:t>Loss of earnings - catastrophic event-related</w:t>
            </w:r>
            <w:r>
              <w:rPr>
                <w:rFonts w:ascii="Arial" w:cs="Arial" w:eastAsia="Arial" w:hAnsi="Arial"/>
                <w:sz w:val="19"/>
                <w:szCs w:val="19"/>
                <w:color w:val="auto"/>
                <w:vertAlign w:val="superscript"/>
              </w:rPr>
              <w:t>(3)</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7,105</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854</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(benefits) / expenses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29"/>
        </w:trPr>
        <w:tc>
          <w:tcPr>
            <w:tcW w:w="57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Core FFO Attributable to Sun Communities, Inc. Common Stockholders and Dilutive</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209,620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110,325</w:t>
            </w:r>
          </w:p>
        </w:tc>
        <w:tc>
          <w:tcPr>
            <w:tcW w:w="2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351,170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228,304</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line="175" w:lineRule="exact"/>
              <w:rPr>
                <w:sz w:val="20"/>
                <w:szCs w:val="20"/>
                <w:color w:val="auto"/>
              </w:rPr>
            </w:pPr>
            <w:r>
              <w:rPr>
                <w:rFonts w:ascii="Arial" w:cs="Arial" w:eastAsia="Arial" w:hAnsi="Arial"/>
                <w:sz w:val="15"/>
                <w:szCs w:val="15"/>
                <w:b w:val="1"/>
                <w:bCs w:val="1"/>
                <w:color w:val="auto"/>
              </w:rPr>
              <w:t>Convertible Securities</w:t>
            </w:r>
            <w:r>
              <w:rPr>
                <w:rFonts w:ascii="Arial" w:cs="Arial" w:eastAsia="Arial" w:hAnsi="Arial"/>
                <w:sz w:val="19"/>
                <w:szCs w:val="19"/>
                <w:b w:val="1"/>
                <w:bCs w:val="1"/>
                <w:color w:val="auto"/>
                <w:vertAlign w:val="superscript"/>
              </w:rPr>
              <w:t>(1)</w:t>
            </w:r>
          </w:p>
        </w:tc>
        <w:tc>
          <w:tcPr>
            <w:tcW w:w="1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112,082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95,859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110,007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94,134</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Common stock issuable upon conversion of stock options</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Restricted stock</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0" w:type="dxa"/>
            <w:vAlign w:val="bottom"/>
          </w:tcPr>
          <w:p>
            <w:pPr>
              <w:spacing w:after="0"/>
              <w:rPr>
                <w:sz w:val="1"/>
                <w:szCs w:val="1"/>
                <w:color w:val="auto"/>
              </w:rPr>
            </w:pPr>
          </w:p>
        </w:tc>
      </w:tr>
      <w:tr>
        <w:trPr>
          <w:trHeight w:val="198"/>
        </w:trPr>
        <w:tc>
          <w:tcPr>
            <w:tcW w:w="5780" w:type="dxa"/>
            <w:vAlign w:val="bottom"/>
          </w:tcPr>
          <w:p>
            <w:pPr>
              <w:ind w:left="220"/>
              <w:spacing w:after="0"/>
              <w:rPr>
                <w:sz w:val="20"/>
                <w:szCs w:val="20"/>
                <w:color w:val="auto"/>
              </w:rPr>
            </w:pPr>
            <w:r>
              <w:rPr>
                <w:rFonts w:ascii="Arial" w:cs="Arial" w:eastAsia="Arial" w:hAnsi="Arial"/>
                <w:sz w:val="15"/>
                <w:szCs w:val="15"/>
                <w:color w:val="auto"/>
              </w:rPr>
              <w:t>Common OP units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2,448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2,430</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issuable upon conversion of certain preferred OP units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116,413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98,613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114,145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97,770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Arial" w:cs="Arial" w:eastAsia="Arial" w:hAnsi="Arial"/>
                <w:sz w:val="15"/>
                <w:szCs w:val="15"/>
                <w:b w:val="1"/>
                <w:bCs w:val="1"/>
                <w:color w:val="auto"/>
              </w:rPr>
              <w:t>FFO Attributable to Sun Communities, Inc. Common Stockholders and Dilutive</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Arial" w:cs="Arial" w:eastAsia="Arial" w:hAnsi="Arial"/>
                <w:sz w:val="15"/>
                <w:szCs w:val="15"/>
                <w:b w:val="1"/>
                <w:bCs w:val="1"/>
                <w:color w:val="auto"/>
                <w:w w:val="95"/>
              </w:rPr>
              <w:t>Core FFO Attributable to Sun Communities, Inc. Common Stockholders and Dilutive</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1.12</w:t>
            </w:r>
          </w:p>
        </w:tc>
        <w:tc>
          <w:tcPr>
            <w:tcW w:w="2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98"/>
        </w:trPr>
        <w:tc>
          <w:tcPr>
            <w:tcW w:w="5780" w:type="dxa"/>
            <w:vAlign w:val="bottom"/>
          </w:tcPr>
          <w:p>
            <w:pPr>
              <w:ind w:left="20"/>
              <w:spacing w:after="0"/>
              <w:rPr>
                <w:sz w:val="20"/>
                <w:szCs w:val="20"/>
                <w:color w:val="auto"/>
              </w:rPr>
            </w:pPr>
            <w:r>
              <w:rPr>
                <w:rFonts w:ascii="Arial" w:cs="Arial" w:eastAsia="Arial" w:hAnsi="Arial"/>
                <w:sz w:val="15"/>
                <w:szCs w:val="15"/>
                <w:b w:val="1"/>
                <w:bCs w:val="1"/>
                <w:color w:val="auto"/>
              </w:rPr>
              <w:t>Convertible Securities Per Share - Fully Diluted</w:t>
            </w: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The effect of certain anti-dilutive convertible securities is excluded from these items.</w:t>
      </w:r>
    </w:p>
    <w:p>
      <w:pPr>
        <w:spacing w:after="0" w:line="45"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These costs represent business combination expenses and expenses incurred to bring recently acquired properties up to our operating standards, including items such as tree trimming and painting costs that do not meet our capitalization policy.</w:t>
      </w:r>
    </w:p>
    <w:p>
      <w:pPr>
        <w:spacing w:after="0" w:line="33" w:lineRule="exact"/>
        <w:rPr>
          <w:rFonts w:ascii="Arial" w:cs="Arial" w:eastAsia="Arial" w:hAnsi="Arial"/>
          <w:sz w:val="19"/>
          <w:szCs w:val="19"/>
          <w:color w:val="auto"/>
          <w:vertAlign w:val="superscript"/>
        </w:rPr>
      </w:pPr>
    </w:p>
    <w:p>
      <w:pPr>
        <w:ind w:left="180" w:hanging="172"/>
        <w:spacing w:after="0" w:line="217" w:lineRule="auto"/>
        <w:tabs>
          <w:tab w:leader="none" w:pos="167"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properties. We finance acquisitions through available cash, secured financing, draws on our line of credit, the assumption of existing debt on properties and the issuance of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 of credit, and the use of debt and equity offerings under our shelf registration statement. Refer to Note 8, "Debt and Line of Credit," and Note 9, "Equity and Temporary Equity," in the accompanying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 MH, RV and Marinas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Expansion and development activities costs of $90.4 million and $127.1 million, were completed for the six months ended June 30, 2021 and 2020, respectively. Expansion and development expenditures consist primarily of construction costs and costs necessary to complete home and RV site improvements, such as driveways, sidewalks and landscaping at our MH communities and RV resorts.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Lot modification expenditures were $16.9 million and $14.2 million, for the six months ended June 30, 2021 and 2020, respectively, at our MH and RV properties.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 These expenditures also improve asset quality in our RV resorts and are incurred when site upgrades are performed.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Recurring capital expenditures at our MH and RV properties were $21.7 million and $9.1 million, for the six months ended June 30, 2021 and 2020, respectively. These expenditures relate to our continued commitment to the upkeep of our MH and RV properties.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Recurring capital expenditures at our marinas were $5.9 million for the six months ended June 30, 2021, and include items such as: dredging, dock repairs and improvements, and equipment maintenance and upgrades.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Growth project expenditures were $36.4 million and $8.0 million, for the six months ended June 30, 2021 and 2020, respectively. Growth projects consist of revenue generating or expense reducing activities at MH communities, RV resorts and marinas. This includes, but is not limited to, utility efficiency and renewable energy projects, site, slip or amenity upgrades such as the addition of a garage, shed or boat lift, and other special capital projects that substantiate an incremental rental increase.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the acquisition of homes intended for the Rental Program and the purchase of vacation rental homes for rental at our RV resorts. Expenditures for these investments depend upon the condition of the markets for repossessions and new home sales, rental homes, and vacation rental homes. We finance certain of our new home and vacation rental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 of credit.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1044"/>
              <w:spacing w:after="0"/>
              <w:rPr>
                <w:sz w:val="20"/>
                <w:szCs w:val="20"/>
                <w:color w:val="auto"/>
              </w:rPr>
            </w:pPr>
            <w:r>
              <w:rPr>
                <w:rFonts w:ascii="Arial" w:cs="Arial" w:eastAsia="Arial" w:hAnsi="Arial"/>
                <w:sz w:val="15"/>
                <w:szCs w:val="15"/>
                <w:b w:val="1"/>
                <w:bCs w:val="1"/>
                <w:color w:val="auto"/>
              </w:rPr>
              <w:t>Six Months Ended</w:t>
            </w:r>
          </w:p>
        </w:tc>
      </w:tr>
      <w:tr>
        <w:trPr>
          <w:trHeight w:val="198"/>
        </w:trPr>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380" w:type="dxa"/>
            <w:vAlign w:val="bottom"/>
          </w:tcPr>
          <w:p>
            <w:pPr>
              <w:jc w:val="right"/>
              <w:ind w:right="284"/>
              <w:spacing w:after="0"/>
              <w:rPr>
                <w:sz w:val="20"/>
                <w:szCs w:val="20"/>
                <w:color w:val="auto"/>
              </w:rPr>
            </w:pPr>
            <w:r>
              <w:rPr>
                <w:rFonts w:ascii="Arial" w:cs="Arial" w:eastAsia="Arial" w:hAnsi="Arial"/>
                <w:sz w:val="15"/>
                <w:szCs w:val="15"/>
                <w:b w:val="1"/>
                <w:bCs w:val="1"/>
                <w:color w:val="auto"/>
              </w:rPr>
              <w:t>June 30, 2020</w:t>
            </w:r>
          </w:p>
        </w:tc>
      </w:tr>
      <w:tr>
        <w:trPr>
          <w:trHeight w:val="198"/>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470,708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302,027</w:t>
            </w: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(865,486)</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(368,116)</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421,482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420,665</w:t>
            </w:r>
          </w:p>
        </w:tc>
      </w:tr>
      <w:tr>
        <w:trPr>
          <w:trHeight w:val="194"/>
        </w:trPr>
        <w:tc>
          <w:tcPr>
            <w:tcW w:w="780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267</w:t>
            </w:r>
          </w:p>
        </w:tc>
        <w:tc>
          <w:tcPr>
            <w:tcW w:w="2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(192)</w:t>
            </w:r>
          </w:p>
        </w:tc>
      </w:tr>
    </w:tbl>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cash equivalents, and restricted cash increased by approximately $27.0 million from $92.6 million as of December 31, 2020, to $119.6 million as of June 30,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$168.7 million from $302.0 million for the six months ended June 30,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$470.7 million for the six months ended June 30, 2021.</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2020 Annual Report.</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$865.5 million for the six months ended June 30, 2021, compared to $368.1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financing activities was $421.5 million for the six months ended June 30, 2021, compared to $420.7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Refer to Note 8, "Debt and Line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2020, the SEC adopted amendments to Rule 3-10 of Regulation S-X and created Rule 13-01 to simplify disclosure requirements related to certain registered securities. The rule became effective January 4, 2021. In April 2021, we filed a new universal shelf registration statement on Form S-3 with the SEC registering, among other securities, debt securities of the Operating Partnership, which will be fully and unconditionally guaranteed by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 2021, we priced a $1.1 billion underwritten public offering of an aggregate of 8,050,000 shares at a public offering price of $140.00 per share, before underwriting discounts and commissions. The offering consisted of 4,000,000 shares offered directly by us and 4,050,000 shares offered under a forward equity sales agreement (the "March 2021 Forward Equity Offering"). We sold the 4,000,000 shares on March 9, 2021 and received net proceeds of $537.6 million. In May and June 2021, we completed the physical settlement of the remaining 4,050,000 shares and received net proceeds of $539.7 million after deducting expenses related to the offering. Proceeds from the offering were used to acquire assets and pay down the Safe Harbor Facility.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30, 2020 and October 1, 2020, we entered into two forward sale agreements (the "September 2020 Forward Equity Offerings") relating to an underwritten registered public offering of 9,200,000 shares of our common stock at a public offering price of $139.50 per share. The offering closed on October 5, 2020. On October 26, 2020, we physically settled the September 2020 Forward Equity Offerings (by the delivery of shares of our common stock). Proceeds from the offering were approximately $1.23 billion after deducting expenses related to the offering. We used the net proceeds of this offering to fund the cash portion of the acquisition of the Safe Harbor purchase price, and for working capital and general corporate purposes.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2021, we entered into the Sales Agreement with certain sales agents, and forward sellers pursuant to which we may sell, from time to time, up to an aggregate gross sales price of $500.0 million of our common stock,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There were no issuances of common stock under the new Sales Agreement during the six months ended June 30, 2021.</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entering into the Sales Agreement, we simultaneously terminated our previous At the Market Offering Sales Agreement entered into in July 2017. There were no issuances of common stock under the prior sales agreement during the six months ended June 30, 2021 or during the year ended December 31, 2020. Through June 4, 2021, we sold shares of our common stock for gross proceeds of $163.8 million under the prior sales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we received investment grade ratings of BBB and Baa3 with a stable outlook from S&amp;P Global and Moody's, respectively. Our credit ratings are based on our operating performance, liquidity and leverage ratios, overall financial position and other factors employed by the credit rating agencies in their rating analysis of us, and, although it is our intent to maintain our investment grade credit ratings, there can be no assurance that we will be able to maintain our current credit ratings. In the event our current credit ratings are downgraded, it may become difficult or more expensive to obtain additional financing or refinance existing indebtedness as maturities become due.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we issued $600.0 million of senior unsecured notes with an interest rate of 2.70 percent and a ten-year term, due 2031 (the "2031 Notes"). The net proceeds from the offering were approximately $592.4 million, after deducting underwriters' discounts and estimated offering expenses. The proceeds were used to pay down borrowings under our line of credit.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obligations of the Operating Partnership to pay principal, premiums, if any, and interest on the 2031 Notes are guaranteed on a senior basis by Sun Communities, Inc. The guarantee is full and unconditional, and the Operating Partnership is a consolidated subsidiary of the Company. Under Rule 3-10 of Regulation S-X, as amended,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14, 2021, we entered into a new credit agreement with certain lenders. The New Credit Agreement combined and replaced our prior $750.0 million A&amp;R Facility and the $1.8 billion Safe Harbor Facility which were scheduled to mature on May 21, 2023 and October 11, 2024, respectively. The Safe Harbor Facility was terminated in connection with the execution of the New Credit Agreement. We repaid all amounts due and outstanding under the Safe Harbor Facility on or prior to such effective date. We recognized a Loss on extinguishment of debt in our Consolidated Statement of Operations related to the termination of the A&amp;R Facility and Safe Harbor facility of $0.2 million and $7.9 million, respectively.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New Credit Agreement, we may borrow up to $2.0 billion under the New Credit Facility. The New Credit Facility is available to fund all of the Company's business, including its marina business conducted by Safe Harbor. The New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New Credit Facility is October 11, 2024, which, under the terms of the New Credit Agreement, may not be extended. The New Credit Facility bears interest at a floating rate based on the Adjusted Eurocurrency Rate or Australian Bank Bill Swap Bid Rate (BBSY), plus a margin that is determined based on the Company's credit ratings calculated in accordance with the New Credit Agreement, which can range from 0.725 percent to 1.400 percent. As of June 30, 2021, the margin based on our credit ratings was 0.850 percent on the New Credit Facility.</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lenders' option, the New Credit Facility will become immediately due and payable upon an event of default under the New Credit Agreement. We had $190.3 million of borrowings on the New Credit Facility as of June 30, 2021, all scheduled to mature June 14, 2025. As of December 31, 2020, we had $40.4 million of borrowings on the revolving loan and no borrowings on the term loan under our A&amp;R Facility, respectively. As of December 31, 2020, we had $652.0 million and $500.0 million of borrowings under the revolving loan and term loan under the Safe Harbor Facility, respectively.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New Credit Facility provides us with the ability to issue letters of credit. Our issuance of letters of credit does not increase our borrowings outstanding under the New Credit Facility, but does reduce the borrowing amount available. At June 30, 2021 and December 31, 2020, we had approximately $3.2 million and $2.4 million (including none and $0.3 million associated with Safe Harbor's prior credit facility) of outstanding letters of credit,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New Credit Facility, we are subject to various financial and other covenants. The most restrictive financial covenants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Credit Facility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As of June 30,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24.2%</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3.84</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dividend payout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51.9%</w:t>
            </w:r>
          </w:p>
        </w:tc>
      </w:tr>
      <w:tr>
        <w:trPr>
          <w:trHeight w:val="194"/>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Maximum secured leverage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&lt;40.0%</w:t>
            </w:r>
          </w:p>
        </w:tc>
        <w:tc>
          <w:tcPr>
            <w:tcW w:w="2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17.4%</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are required to maintain the following covenant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As of June 30, 2021</w:t>
            </w:r>
          </w:p>
        </w:tc>
      </w:tr>
      <w:tr>
        <w:trPr>
          <w:trHeight w:val="20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total assets</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4"/>
              </w:rPr>
              <w:t>≤ 60.0%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32.7%</w:t>
            </w: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Secured debt to total assets</w:t>
            </w:r>
          </w:p>
        </w:tc>
        <w:tc>
          <w:tcPr>
            <w:tcW w:w="230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 40.0%</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26.2%</w:t>
            </w:r>
          </w:p>
        </w:tc>
      </w:tr>
      <w:tr>
        <w:trPr>
          <w:trHeight w:val="20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income available for debt service to debt service</w:t>
            </w:r>
          </w:p>
        </w:tc>
        <w:tc>
          <w:tcPr>
            <w:tcW w:w="23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1"/>
              </w:rPr>
              <w:t>≥ 1.50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5.90</w:t>
            </w:r>
          </w:p>
        </w:tc>
      </w:tr>
      <w:tr>
        <w:trPr>
          <w:trHeight w:val="195"/>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Unencumbered total asset value to total unsecured debt</w:t>
            </w:r>
          </w:p>
        </w:tc>
        <w:tc>
          <w:tcPr>
            <w:tcW w:w="2300" w:type="dxa"/>
            <w:vAlign w:val="bottom"/>
            <w:gridSpan w:val="2"/>
          </w:tcPr>
          <w:p>
            <w:pPr>
              <w:jc w:val="center"/>
              <w:ind w:right="240"/>
              <w:spacing w:after="0"/>
              <w:rPr>
                <w:sz w:val="20"/>
                <w:szCs w:val="20"/>
                <w:color w:val="auto"/>
              </w:rPr>
            </w:pPr>
            <w:r>
              <w:rPr>
                <w:rFonts w:ascii="Arial" w:cs="Arial" w:eastAsia="Arial" w:hAnsi="Arial"/>
                <w:sz w:val="15"/>
                <w:szCs w:val="15"/>
                <w:color w:val="auto"/>
                <w:w w:val="91"/>
              </w:rPr>
              <w:t>≥ 150.0%</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934.3%</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were in compliance with the above covenants and do not anticipate that we will be unable to meet these covenants in the near term.</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had unrestricted cash on hand as of June 30, 2021 of approximately $103.5 million. As of June 30, 2021, there was approximately $1.8 billion of remaining capacity on the New Credit Facility. At June 30, 2021 we had a total of 346 unencumbered MH, RV and Marina properties.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2020 Annual Report and in Part II, Item 1A of this report. If we are unable to obtain additional debt or equity financing on acceptable terms, our business, results of operations and financial condition would be adversely impacted.</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2021, our net debt to enterprise value was approximately 16.8 percent (assuming conversion of all common OP units, Series A-1 preferred OP units, Series A-3 preferred OP units, Series C preferred OP units, Series D preferred OP units, Series E preferred OP units, Series F preferred OP units, Series G preferred OP units, Series H preferred OP units, Series I preferred OP units, and Series J preferred OP units to shares of common stock). Our debt has a weighted average maturity of approximately 10.4 years and a weighted average interest rate of 3.5 percent.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joint venture arrangements. Refer to Note 6, "Investment in Nonconsolidated Affiliates," and Note 8, "Debt and Line of Credit," in the accompanying Consolidated Financial Statements, for additional information on our off-balance sheet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Affiliate Indebtedness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GTSC </w:t>
      </w:r>
      <w:r>
        <w:rPr>
          <w:rFonts w:ascii="Arial" w:cs="Arial" w:eastAsia="Arial" w:hAnsi="Arial"/>
          <w:sz w:val="17"/>
          <w:szCs w:val="17"/>
          <w:color w:val="auto"/>
        </w:rPr>
        <w:t>- During September 2019, GTSC entered into a warehouse line of credit with a maximum loan amount of $125.0 million. During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and May 2021, the maximum amount was increased to $180.0 million and $230.0 million, respectively with an option to increase to $255.0 million subject to the lender's consent. As of June 30, 2021, the aggregate carrying amount of debt, including both our and our partner's share, incurred by GTSC was $201.9 million (of which our proportionate share is $80.8 million). The debt bears interest at a variable rate based on LIBOR plus 1.65 percent per annum and matures on September 15, 2023. Refer to Note 6, "Investment in Nonconsolidated Affiliates," in the accompanying Consolidated Financial Statements for additional information on our nonconsolidated affiliates.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entered into a debt facility agreement with a maximum loan amount of 27.0 million Australian dollars, or</w:t>
      </w:r>
      <w:r>
        <w:rPr>
          <w:rFonts w:ascii="Arial" w:cs="Arial" w:eastAsia="Arial" w:hAnsi="Arial"/>
          <w:sz w:val="17"/>
          <w:szCs w:val="17"/>
          <w:i w:val="1"/>
          <w:iCs w:val="1"/>
          <w:color w:val="auto"/>
        </w:rPr>
        <w:t xml:space="preserve"> </w:t>
      </w:r>
      <w:r>
        <w:rPr>
          <w:rFonts w:ascii="Arial" w:cs="Arial" w:eastAsia="Arial" w:hAnsi="Arial"/>
          <w:sz w:val="17"/>
          <w:szCs w:val="17"/>
          <w:color w:val="auto"/>
        </w:rPr>
        <w:t>$20.3 million converted at the June 30, 2021 exchange rate. As of June 30, 2021, the aggregate carrying amount of debt, including both our and our partners' share, incurred by Sungenia JV was $6.5 million (of which our proportionate share is $3.2 million). The debt bears interest at a variable rate based on Australian BBSY plus 2.05 percent per annum and is available for a minimum of three years. Refer to Note 6, "Investment in Nonconsolidated Affiliates," in the accompanying Consolidated Financial Statements for additional information on our nonconsolidated affiliates.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2020 Annual Report, and in our other filings with the SEC, such risks and uncertainties include, but are not limited to:</w:t>
      </w:r>
    </w:p>
    <w:p>
      <w:pPr>
        <w:spacing w:after="0" w:line="206"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 and our senior unsecured notes;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and Australian dollars;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 and disclosure controls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purchasers of manufactured homes and boats to obtain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variable rate debt totaled $231.5 million and $115.4 million as of June 30, 2021 and 2020, respectively, and bears interest at Adjusted Eurocurrency Rate or BBSY rate, plus a margin, and Prime or various LIBOR rates, respectively. If Adjusted Eurocurrency Rate or BBSY rate, and Prime or LIBOR rates increased or decreased by 1.0 percent, our interest expense would have increased or decreased by approximately $5.8 million and $1.5 million for the six months ended June 30, 2021 and 2020, respectively, based on the $1.2 billion and $306.3 million average balances outstanding under our variable rate debt facilities,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and December 31, 2020, our stockholder's equity included $282.1 million and $250.8 million from our Canadian subsidiaries and Australian equity investments, respectively, which represented 4.2 percent and 4.5 percent of total stockholder's equity, respectively. Based on our sensitivity analysis, a 10.0 percent strengthening of the U.S. dollar against the Canadian and Australian dollar would have caused a reduction of $28.2 million and $25.1 million to our total stockholder's equity at June 30, 2021 and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June 30, 2021. Based upon this evaluation, our CEO and CFO concluded that our disclosure controls and procedures were effective as of June 30, 2021.</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2020, we completed the acquisition of Safe Harbor and are currently integrating Safe Harbor into our operations, compliance program and internal control processes. Safe Harbor constituted approximately 23 percent of our total assets as of December 31, 2020, including the goodwill and other intangible assets recorded as part of the purchase price allocation, and three percent of our revenues for the year ended December 31, 2020. SEC regulations allow companies to exclude acquisitions from their assessment of internal control over financial reporting during the first year following an acquisition. We have excluded the acquired operation of Safe Harbor from our assessment of our internal control over financial reporting for the six months ended June 30, 2021. As of June 30, 2021, Safe Harbor represented approximately 26 percent of our total assets and 24 percent of our revenues for the quarter ending June 30,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described in Part 1, Item 1A., "Risk Factors," in our 2020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June 30,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right"/>
              <w:ind w:right="42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Borders>
              <w:bottom w:val="single" w:sz="8" w:color="auto"/>
            </w:tcBorders>
            <w:gridSpan w:val="2"/>
          </w:tcPr>
          <w:p>
            <w:pPr>
              <w:jc w:val="right"/>
              <w:ind w:right="684"/>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45"/>
        </w:trPr>
        <w:tc>
          <w:tcPr>
            <w:tcW w:w="7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240" w:type="dxa"/>
            <w:vAlign w:val="bottom"/>
            <w:vMerge w:val="restart"/>
          </w:tcPr>
          <w:p>
            <w:pPr>
              <w:spacing w:after="0"/>
              <w:rPr>
                <w:sz w:val="12"/>
                <w:szCs w:val="12"/>
                <w:color w:val="auto"/>
              </w:rPr>
            </w:pPr>
          </w:p>
        </w:tc>
        <w:tc>
          <w:tcPr>
            <w:tcW w:w="12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Conversion Rate</w:t>
            </w:r>
          </w:p>
        </w:tc>
        <w:tc>
          <w:tcPr>
            <w:tcW w:w="240" w:type="dxa"/>
            <w:vAlign w:val="bottom"/>
            <w:vMerge w:val="restart"/>
          </w:tcPr>
          <w:p>
            <w:pPr>
              <w:spacing w:after="0"/>
              <w:rPr>
                <w:sz w:val="12"/>
                <w:szCs w:val="12"/>
                <w:color w:val="auto"/>
              </w:rPr>
            </w:pPr>
          </w:p>
        </w:tc>
        <w:tc>
          <w:tcPr>
            <w:tcW w:w="1240" w:type="dxa"/>
            <w:vAlign w:val="bottom"/>
          </w:tcPr>
          <w:p>
            <w:pPr>
              <w:jc w:val="right"/>
              <w:ind w:right="82"/>
              <w:spacing w:after="0" w:line="145" w:lineRule="exact"/>
              <w:rPr>
                <w:sz w:val="20"/>
                <w:szCs w:val="20"/>
                <w:color w:val="auto"/>
              </w:rPr>
            </w:pPr>
            <w:r>
              <w:rPr>
                <w:rFonts w:ascii="Arial" w:cs="Arial" w:eastAsia="Arial" w:hAnsi="Arial"/>
                <w:sz w:val="15"/>
                <w:szCs w:val="15"/>
                <w:b w:val="1"/>
                <w:bCs w:val="1"/>
                <w:color w:val="auto"/>
              </w:rPr>
              <w:t>Units / Shares</w:t>
            </w:r>
          </w:p>
        </w:tc>
        <w:tc>
          <w:tcPr>
            <w:tcW w:w="12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2"/>
              </w:rPr>
              <w:t>Common Stock</w:t>
            </w:r>
            <w:r>
              <w:rPr>
                <w:rFonts w:ascii="Arial" w:cs="Arial" w:eastAsia="Arial" w:hAnsi="Arial"/>
                <w:sz w:val="19"/>
                <w:szCs w:val="19"/>
                <w:b w:val="1"/>
                <w:bCs w:val="1"/>
                <w:color w:val="auto"/>
                <w:w w:val="92"/>
                <w:vertAlign w:val="superscript"/>
              </w:rPr>
              <w:t>(1)</w:t>
            </w:r>
          </w:p>
        </w:tc>
        <w:tc>
          <w:tcPr>
            <w:tcW w:w="0" w:type="dxa"/>
            <w:vAlign w:val="bottom"/>
          </w:tcPr>
          <w:p>
            <w:pPr>
              <w:spacing w:after="0"/>
              <w:rPr>
                <w:sz w:val="1"/>
                <w:szCs w:val="1"/>
                <w:color w:val="auto"/>
              </w:rPr>
            </w:pPr>
          </w:p>
        </w:tc>
      </w:tr>
      <w:tr>
        <w:trPr>
          <w:trHeight w:val="203"/>
        </w:trPr>
        <w:tc>
          <w:tcPr>
            <w:tcW w:w="7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12,950</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12,950</w:t>
            </w:r>
          </w:p>
        </w:tc>
        <w:tc>
          <w:tcPr>
            <w:tcW w:w="0" w:type="dxa"/>
            <w:vAlign w:val="bottom"/>
          </w:tcPr>
          <w:p>
            <w:pPr>
              <w:spacing w:after="0"/>
              <w:rPr>
                <w:sz w:val="1"/>
                <w:szCs w:val="1"/>
                <w:color w:val="auto"/>
              </w:rPr>
            </w:pPr>
          </w:p>
        </w:tc>
      </w:tr>
      <w:tr>
        <w:trPr>
          <w:trHeight w:val="195"/>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240" w:type="dxa"/>
            <w:vAlign w:val="bottom"/>
          </w:tcPr>
          <w:p>
            <w:pPr>
              <w:jc w:val="right"/>
              <w:spacing w:after="0"/>
              <w:rPr>
                <w:sz w:val="20"/>
                <w:szCs w:val="20"/>
                <w:color w:val="auto"/>
              </w:rPr>
            </w:pPr>
            <w:r>
              <w:rPr>
                <w:rFonts w:ascii="Arial" w:cs="Arial" w:eastAsia="Arial" w:hAnsi="Arial"/>
                <w:sz w:val="15"/>
                <w:szCs w:val="15"/>
                <w:color w:val="auto"/>
              </w:rPr>
              <w:t>2.4390</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2,294</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5,594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including Regulation D promulgated thereunder, based on certain investment representations made by the parties to whom the securities were issued. No underwriters were used in connection with any of such issuances.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2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right w:val="single" w:sz="8" w:color="auto"/>
            </w:tcBorders>
          </w:tcPr>
          <w:p>
            <w:pPr>
              <w:spacing w:after="0"/>
              <w:rPr>
                <w:sz w:val="21"/>
                <w:szCs w:val="21"/>
                <w:color w:val="auto"/>
              </w:rPr>
            </w:pPr>
          </w:p>
        </w:tc>
        <w:tc>
          <w:tcPr>
            <w:tcW w:w="26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Method of Filing</w:t>
            </w: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w:t>
            </w:r>
          </w:p>
        </w:tc>
        <w:tc>
          <w:tcPr>
            <w:tcW w:w="6260" w:type="dxa"/>
            <w:vAlign w:val="bottom"/>
            <w:gridSpan w:val="10"/>
            <w:shd w:val="clear" w:color="auto" w:fill="CCEEFF"/>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Sun Communities, Inc. Articles of Restatement</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68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42"/>
        </w:trPr>
        <w:tc>
          <w:tcPr>
            <w:tcW w:w="182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auto"/>
            </w:tcBorders>
            <w:shd w:val="clear" w:color="auto" w:fill="CCEEFF"/>
          </w:tcPr>
          <w:p>
            <w:pPr>
              <w:spacing w:after="0"/>
              <w:rPr>
                <w:sz w:val="12"/>
                <w:szCs w:val="12"/>
                <w:color w:val="auto"/>
              </w:rPr>
            </w:pPr>
          </w:p>
        </w:tc>
        <w:tc>
          <w:tcPr>
            <w:tcW w:w="2680" w:type="dxa"/>
            <w:vAlign w:val="bottom"/>
            <w:tcBorders>
              <w:top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98"/>
              </w:rPr>
              <w:t>Communities, Inc.'s Annual Report on</w:t>
            </w: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6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Form 10-K filed on February 22, 2018</w:t>
            </w: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w:t>
            </w:r>
          </w:p>
        </w:tc>
        <w:tc>
          <w:tcPr>
            <w:tcW w:w="6260" w:type="dxa"/>
            <w:vAlign w:val="bottom"/>
            <w:gridSpan w:val="10"/>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Third Amended and Restated Bylaws</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w w:val="98"/>
              </w:rPr>
              <w:t>Communities Inc.'s Current Report on</w:t>
            </w:r>
          </w:p>
        </w:tc>
      </w:tr>
      <w:tr>
        <w:trPr>
          <w:trHeight w:val="229"/>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 filed on May 12, 2017</w:t>
            </w: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4.1</w:t>
            </w:r>
          </w:p>
        </w:tc>
        <w:tc>
          <w:tcPr>
            <w:tcW w:w="6760" w:type="dxa"/>
            <w:vAlign w:val="bottom"/>
            <w:tcBorders>
              <w:right w:val="single" w:sz="8" w:color="auto"/>
            </w:tcBorders>
            <w:gridSpan w:val="23"/>
            <w:shd w:val="clear" w:color="auto" w:fill="CCEEFF"/>
          </w:tcPr>
          <w:p>
            <w:pPr>
              <w:spacing w:after="0" w:line="182"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Indenture, dated as of June 28, 2021 by and between Sun Communities Operating Limited</w:t>
              </w:r>
            </w:hyperlink>
          </w:p>
        </w:tc>
        <w:tc>
          <w:tcPr>
            <w:tcW w:w="268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63"/>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26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Partnership and UMB Bank, N.A. as trustee.</w:t>
              </w:r>
            </w:hyperlink>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auto"/>
            </w:tcBorders>
            <w:shd w:val="clear" w:color="auto" w:fill="CCEEFF"/>
          </w:tcPr>
          <w:p>
            <w:pPr>
              <w:spacing w:after="0"/>
              <w:rPr>
                <w:sz w:val="14"/>
                <w:szCs w:val="14"/>
                <w:color w:val="auto"/>
              </w:rPr>
            </w:pPr>
          </w:p>
        </w:tc>
        <w:tc>
          <w:tcPr>
            <w:tcW w:w="268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Communities Inc.'s Current Report on</w:t>
            </w:r>
          </w:p>
        </w:tc>
      </w:tr>
      <w:tr>
        <w:trPr>
          <w:trHeight w:val="18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340" w:type="dxa"/>
            <w:vAlign w:val="bottom"/>
            <w:tcBorders>
              <w:top w:val="single" w:sz="8" w:color="0000FF"/>
              <w:bottom w:val="single" w:sz="8" w:color="auto"/>
            </w:tcBorders>
            <w:shd w:val="clear" w:color="auto" w:fill="CCEEFF"/>
          </w:tcPr>
          <w:p>
            <w:pPr>
              <w:spacing w:after="0"/>
              <w:rPr>
                <w:sz w:val="16"/>
                <w:szCs w:val="16"/>
                <w:color w:val="auto"/>
              </w:rPr>
            </w:pPr>
          </w:p>
        </w:tc>
        <w:tc>
          <w:tcPr>
            <w:tcW w:w="34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0000FF"/>
              <w:bottom w:val="single" w:sz="8" w:color="auto"/>
            </w:tcBorders>
            <w:shd w:val="clear" w:color="auto" w:fill="CCEEFF"/>
          </w:tcPr>
          <w:p>
            <w:pPr>
              <w:spacing w:after="0"/>
              <w:rPr>
                <w:sz w:val="16"/>
                <w:szCs w:val="16"/>
                <w:color w:val="auto"/>
              </w:rPr>
            </w:pPr>
          </w:p>
        </w:tc>
        <w:tc>
          <w:tcPr>
            <w:tcW w:w="260" w:type="dxa"/>
            <w:vAlign w:val="bottom"/>
            <w:tcBorders>
              <w:top w:val="single" w:sz="8" w:color="0000FF"/>
              <w:bottom w:val="single" w:sz="8" w:color="auto"/>
            </w:tcBorders>
            <w:shd w:val="clear" w:color="auto" w:fill="CCEEFF"/>
          </w:tcPr>
          <w:p>
            <w:pPr>
              <w:spacing w:after="0"/>
              <w:rPr>
                <w:sz w:val="16"/>
                <w:szCs w:val="16"/>
                <w:color w:val="auto"/>
              </w:rPr>
            </w:pPr>
          </w:p>
        </w:tc>
        <w:tc>
          <w:tcPr>
            <w:tcW w:w="180" w:type="dxa"/>
            <w:vAlign w:val="bottom"/>
            <w:tcBorders>
              <w:top w:val="single" w:sz="8" w:color="0000FF"/>
              <w:bottom w:val="single" w:sz="8" w:color="auto"/>
            </w:tcBorders>
            <w:shd w:val="clear" w:color="auto" w:fill="CCEEFF"/>
          </w:tcPr>
          <w:p>
            <w:pPr>
              <w:spacing w:after="0"/>
              <w:rPr>
                <w:sz w:val="16"/>
                <w:szCs w:val="16"/>
                <w:color w:val="auto"/>
              </w:rPr>
            </w:pPr>
          </w:p>
        </w:tc>
        <w:tc>
          <w:tcPr>
            <w:tcW w:w="200" w:type="dxa"/>
            <w:vAlign w:val="bottom"/>
            <w:tcBorders>
              <w:top w:val="single" w:sz="8" w:color="CCEEFF"/>
              <w:bottom w:val="single" w:sz="8" w:color="auto"/>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rPr>
                <w:sz w:val="16"/>
                <w:szCs w:val="16"/>
                <w:color w:val="auto"/>
              </w:rPr>
            </w:pPr>
          </w:p>
        </w:tc>
        <w:tc>
          <w:tcPr>
            <w:tcW w:w="1780" w:type="dxa"/>
            <w:vAlign w:val="bottom"/>
            <w:tcBorders>
              <w:top w:val="single" w:sz="8" w:color="CCEEFF"/>
              <w:bottom w:val="single" w:sz="8" w:color="auto"/>
            </w:tcBorders>
            <w:shd w:val="clear" w:color="auto" w:fill="CCEEFF"/>
          </w:tcPr>
          <w:p>
            <w:pPr>
              <w:spacing w:after="0"/>
              <w:rPr>
                <w:sz w:val="16"/>
                <w:szCs w:val="16"/>
                <w:color w:val="auto"/>
              </w:rPr>
            </w:pPr>
          </w:p>
        </w:tc>
        <w:tc>
          <w:tcPr>
            <w:tcW w:w="4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6"/>
                <w:szCs w:val="16"/>
                <w:color w:val="auto"/>
              </w:rPr>
            </w:pPr>
          </w:p>
        </w:tc>
        <w:tc>
          <w:tcPr>
            <w:tcW w:w="2680" w:type="dxa"/>
            <w:vAlign w:val="bottom"/>
            <w:tcBorders>
              <w:top w:val="single" w:sz="8" w:color="CCEEFF"/>
              <w:bottom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Form 8-K filed on June 28, 2021</w:t>
            </w: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4.2</w:t>
            </w:r>
          </w:p>
        </w:tc>
        <w:tc>
          <w:tcPr>
            <w:tcW w:w="6760" w:type="dxa"/>
            <w:vAlign w:val="bottom"/>
            <w:tcBorders>
              <w:right w:val="single" w:sz="8" w:color="auto"/>
            </w:tcBorders>
            <w:gridSpan w:val="23"/>
          </w:tcPr>
          <w:p>
            <w:pPr>
              <w:spacing w:after="0" w:line="182"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First Supplemental Indenture, dated as of June 28, 2021 by and among Sun Communities</w:t>
              </w:r>
            </w:hyperlink>
          </w:p>
        </w:tc>
        <w:tc>
          <w:tcPr>
            <w:tcW w:w="26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63"/>
        </w:trPr>
        <w:tc>
          <w:tcPr>
            <w:tcW w:w="1820" w:type="dxa"/>
            <w:vAlign w:val="bottom"/>
            <w:tcBorders>
              <w:left w:val="single" w:sz="8" w:color="auto"/>
              <w:right w:val="single" w:sz="8" w:color="auto"/>
            </w:tcBorders>
          </w:tcPr>
          <w:p>
            <w:pPr>
              <w:spacing w:after="0"/>
              <w:rPr>
                <w:sz w:val="14"/>
                <w:szCs w:val="14"/>
                <w:color w:val="auto"/>
              </w:rPr>
            </w:pPr>
          </w:p>
        </w:tc>
        <w:tc>
          <w:tcPr>
            <w:tcW w:w="662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Operating Limited Partnership, Sun Communities, Inc., and UMB Bank, N.A.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tcPr>
          <w:p>
            <w:pPr>
              <w:spacing w:after="0" w:line="156" w:lineRule="exact"/>
              <w:rPr>
                <w:sz w:val="20"/>
                <w:szCs w:val="20"/>
                <w:color w:val="auto"/>
              </w:rPr>
            </w:pPr>
            <w:r>
              <w:rPr>
                <w:rFonts w:ascii="Arial" w:cs="Arial" w:eastAsia="Arial" w:hAnsi="Arial"/>
                <w:sz w:val="18"/>
                <w:szCs w:val="18"/>
                <w:color w:val="auto"/>
                <w:w w:val="87"/>
              </w:rPr>
              <w:t>Communities Inc.'s Current Report on</w:t>
            </w:r>
          </w:p>
        </w:tc>
      </w:tr>
      <w:tr>
        <w:trPr>
          <w:trHeight w:val="189"/>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40" w:type="dxa"/>
            <w:vAlign w:val="bottom"/>
            <w:tcBorders>
              <w:top w:val="single" w:sz="8" w:color="0000FF"/>
              <w:bottom w:val="single" w:sz="8" w:color="auto"/>
            </w:tcBorders>
          </w:tcPr>
          <w:p>
            <w:pPr>
              <w:spacing w:after="0"/>
              <w:rPr>
                <w:sz w:val="16"/>
                <w:szCs w:val="16"/>
                <w:color w:val="auto"/>
              </w:rPr>
            </w:pPr>
          </w:p>
        </w:tc>
        <w:tc>
          <w:tcPr>
            <w:tcW w:w="34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260" w:type="dxa"/>
            <w:vAlign w:val="bottom"/>
            <w:tcBorders>
              <w:top w:val="single" w:sz="8" w:color="0000FF"/>
              <w:bottom w:val="single" w:sz="8" w:color="auto"/>
            </w:tcBorders>
          </w:tcPr>
          <w:p>
            <w:pPr>
              <w:spacing w:after="0"/>
              <w:rPr>
                <w:sz w:val="16"/>
                <w:szCs w:val="16"/>
                <w:color w:val="auto"/>
              </w:rPr>
            </w:pPr>
          </w:p>
        </w:tc>
        <w:tc>
          <w:tcPr>
            <w:tcW w:w="180" w:type="dxa"/>
            <w:vAlign w:val="bottom"/>
            <w:tcBorders>
              <w:top w:val="single" w:sz="8" w:color="0000FF"/>
              <w:bottom w:val="single" w:sz="8" w:color="auto"/>
            </w:tcBorders>
          </w:tcPr>
          <w:p>
            <w:pPr>
              <w:spacing w:after="0"/>
              <w:rPr>
                <w:sz w:val="16"/>
                <w:szCs w:val="16"/>
                <w:color w:val="auto"/>
              </w:rPr>
            </w:pPr>
          </w:p>
        </w:tc>
        <w:tc>
          <w:tcPr>
            <w:tcW w:w="200" w:type="dxa"/>
            <w:vAlign w:val="bottom"/>
            <w:tcBorders>
              <w:top w:val="single" w:sz="8" w:color="0000FF"/>
              <w:bottom w:val="single" w:sz="8" w:color="auto"/>
            </w:tcBorders>
          </w:tcPr>
          <w:p>
            <w:pPr>
              <w:spacing w:after="0"/>
              <w:rPr>
                <w:sz w:val="16"/>
                <w:szCs w:val="16"/>
                <w:color w:val="auto"/>
              </w:rPr>
            </w:pPr>
          </w:p>
        </w:tc>
        <w:tc>
          <w:tcPr>
            <w:tcW w:w="140" w:type="dxa"/>
            <w:vAlign w:val="bottom"/>
            <w:tcBorders>
              <w:top w:val="single" w:sz="8" w:color="0000FF"/>
              <w:bottom w:val="single" w:sz="8" w:color="auto"/>
            </w:tcBorders>
          </w:tcPr>
          <w:p>
            <w:pPr>
              <w:spacing w:after="0"/>
              <w:rPr>
                <w:sz w:val="16"/>
                <w:szCs w:val="16"/>
                <w:color w:val="auto"/>
              </w:rPr>
            </w:pPr>
          </w:p>
        </w:tc>
        <w:tc>
          <w:tcPr>
            <w:tcW w:w="940" w:type="dxa"/>
            <w:vAlign w:val="bottom"/>
            <w:tcBorders>
              <w:top w:val="single" w:sz="8" w:color="0000FF"/>
              <w:bottom w:val="single" w:sz="8" w:color="auto"/>
            </w:tcBorders>
          </w:tcPr>
          <w:p>
            <w:pPr>
              <w:spacing w:after="0"/>
              <w:rPr>
                <w:sz w:val="16"/>
                <w:szCs w:val="16"/>
                <w:color w:val="auto"/>
              </w:rPr>
            </w:pPr>
          </w:p>
        </w:tc>
        <w:tc>
          <w:tcPr>
            <w:tcW w:w="1780" w:type="dxa"/>
            <w:vAlign w:val="bottom"/>
            <w:tcBorders>
              <w:top w:val="single" w:sz="8" w:color="0000FF"/>
              <w:bottom w:val="single" w:sz="8" w:color="auto"/>
            </w:tcBorders>
          </w:tcPr>
          <w:p>
            <w:pPr>
              <w:spacing w:after="0"/>
              <w:rPr>
                <w:sz w:val="16"/>
                <w:szCs w:val="16"/>
                <w:color w:val="auto"/>
              </w:rPr>
            </w:pPr>
          </w:p>
        </w:tc>
        <w:tc>
          <w:tcPr>
            <w:tcW w:w="4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20" w:type="dxa"/>
            <w:vAlign w:val="bottom"/>
            <w:tcBorders>
              <w:top w:val="single" w:sz="8" w:color="0000FF"/>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Form 8-K filed on June 28, 2021</w:t>
            </w: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4.3</w:t>
            </w:r>
          </w:p>
        </w:tc>
        <w:tc>
          <w:tcPr>
            <w:tcW w:w="6260" w:type="dxa"/>
            <w:vAlign w:val="bottom"/>
            <w:gridSpan w:val="10"/>
            <w:shd w:val="clear" w:color="auto" w:fill="CCEEFF"/>
          </w:tcPr>
          <w:p>
            <w:pPr>
              <w:spacing w:after="0" w:line="182" w:lineRule="exact"/>
              <w:rPr>
                <w:rFonts w:ascii="Arial" w:cs="Arial" w:eastAsia="Arial" w:hAnsi="Arial"/>
                <w:sz w:val="18"/>
                <w:szCs w:val="18"/>
                <w:color w:val="0000FF"/>
              </w:rPr>
            </w:pPr>
            <w:hyperlink r:id="rId84">
              <w:r>
                <w:rPr>
                  <w:rFonts w:ascii="Arial" w:cs="Arial" w:eastAsia="Arial" w:hAnsi="Arial"/>
                  <w:sz w:val="18"/>
                  <w:szCs w:val="18"/>
                  <w:color w:val="0000FF"/>
                </w:rPr>
                <w:t>Form of Global Note for 2.700% Notes due 2031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68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42"/>
        </w:trPr>
        <w:tc>
          <w:tcPr>
            <w:tcW w:w="182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auto"/>
            </w:tcBorders>
            <w:shd w:val="clear" w:color="auto" w:fill="CCEEFF"/>
          </w:tcPr>
          <w:p>
            <w:pPr>
              <w:spacing w:after="0"/>
              <w:rPr>
                <w:sz w:val="12"/>
                <w:szCs w:val="12"/>
                <w:color w:val="auto"/>
              </w:rPr>
            </w:pPr>
          </w:p>
        </w:tc>
        <w:tc>
          <w:tcPr>
            <w:tcW w:w="2680" w:type="dxa"/>
            <w:vAlign w:val="bottom"/>
            <w:tcBorders>
              <w:top w:val="single" w:sz="8" w:color="CCEEFF"/>
              <w:right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98"/>
              </w:rPr>
              <w:t>Communities Inc.'s Current Report on</w:t>
            </w: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6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Form 8-K filed on June 28, 2021</w:t>
            </w:r>
          </w:p>
        </w:tc>
      </w:tr>
      <w:tr>
        <w:trPr>
          <w:trHeight w:val="169"/>
        </w:trPr>
        <w:tc>
          <w:tcPr>
            <w:tcW w:w="182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10.1*</w:t>
            </w:r>
          </w:p>
        </w:tc>
        <w:tc>
          <w:tcPr>
            <w:tcW w:w="6700" w:type="dxa"/>
            <w:vAlign w:val="bottom"/>
            <w:tcBorders>
              <w:bottom w:val="single" w:sz="8" w:color="0000FF"/>
            </w:tcBorders>
            <w:gridSpan w:val="22"/>
          </w:tcPr>
          <w:p>
            <w:pPr>
              <w:spacing w:after="0" w:line="15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Ninth Amendment to Agreement of Limited Partnership of Sun Communities Operating</w:t>
              </w:r>
            </w:hyperlink>
          </w:p>
        </w:tc>
        <w:tc>
          <w:tcPr>
            <w:tcW w:w="60" w:type="dxa"/>
            <w:vAlign w:val="bottom"/>
            <w:tcBorders>
              <w:bottom w:val="single" w:sz="8" w:color="0000FF"/>
              <w:right w:val="single" w:sz="8" w:color="auto"/>
            </w:tcBorders>
          </w:tcPr>
          <w:p>
            <w:pPr>
              <w:spacing w:after="0"/>
              <w:rPr>
                <w:sz w:val="14"/>
                <w:szCs w:val="14"/>
                <w:color w:val="auto"/>
              </w:rPr>
            </w:pPr>
          </w:p>
        </w:tc>
        <w:tc>
          <w:tcPr>
            <w:tcW w:w="26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Incorporated by reference to Sun</w:t>
            </w: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bottom w:val="single" w:sz="8" w:color="0000FF"/>
            </w:tcBorders>
            <w:gridSpan w:val="4"/>
          </w:tcPr>
          <w:p>
            <w:pPr>
              <w:spacing w:after="0" w:line="129" w:lineRule="exact"/>
              <w:rPr>
                <w:rFonts w:ascii="Arial" w:cs="Arial" w:eastAsia="Arial" w:hAnsi="Arial"/>
                <w:sz w:val="13"/>
                <w:szCs w:val="13"/>
                <w:color w:val="0000FF"/>
              </w:rPr>
            </w:pPr>
            <w:hyperlink r:id="rId85">
              <w:r>
                <w:rPr>
                  <w:rFonts w:ascii="Arial" w:cs="Arial" w:eastAsia="Arial" w:hAnsi="Arial"/>
                  <w:sz w:val="13"/>
                  <w:szCs w:val="13"/>
                  <w:color w:val="0000FF"/>
                </w:rPr>
                <w:t>Limited Partnership, dated April 21, 2021</w:t>
              </w:r>
            </w:hyperlink>
          </w:p>
        </w:tc>
        <w:tc>
          <w:tcPr>
            <w:tcW w:w="1460" w:type="dxa"/>
            <w:vAlign w:val="bottom"/>
            <w:gridSpan w:val="4"/>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tcPr>
          <w:p>
            <w:pPr>
              <w:spacing w:after="0" w:line="136" w:lineRule="exact"/>
              <w:rPr>
                <w:sz w:val="20"/>
                <w:szCs w:val="20"/>
                <w:color w:val="auto"/>
              </w:rPr>
            </w:pPr>
            <w:r>
              <w:rPr>
                <w:rFonts w:ascii="Arial" w:cs="Arial" w:eastAsia="Arial" w:hAnsi="Arial"/>
                <w:sz w:val="15"/>
                <w:szCs w:val="15"/>
                <w:color w:val="auto"/>
              </w:rPr>
              <w:t>Communities Inc.'s Current Report on</w:t>
            </w:r>
          </w:p>
        </w:tc>
      </w:tr>
      <w:tr>
        <w:trPr>
          <w:trHeight w:val="223"/>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Form 8-K filed on April 23, 2021</w:t>
            </w: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10.2*</w:t>
            </w:r>
          </w:p>
        </w:tc>
        <w:tc>
          <w:tcPr>
            <w:tcW w:w="6260" w:type="dxa"/>
            <w:vAlign w:val="bottom"/>
            <w:gridSpan w:val="10"/>
            <w:shd w:val="clear" w:color="auto" w:fill="CCEEFF"/>
          </w:tcPr>
          <w:p>
            <w:pPr>
              <w:spacing w:after="0" w:line="182"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Fourth Amended and Restated Credit Agreement, dated June 14, 2021, among</w:t>
              </w:r>
            </w:hyperlink>
          </w:p>
        </w:tc>
        <w:tc>
          <w:tcPr>
            <w:tcW w:w="500" w:type="dxa"/>
            <w:vAlign w:val="bottom"/>
            <w:tcBorders>
              <w:right w:val="single" w:sz="8" w:color="auto"/>
            </w:tcBorders>
            <w:gridSpan w:val="13"/>
            <w:shd w:val="clear" w:color="auto" w:fill="CCEEFF"/>
          </w:tcPr>
          <w:p>
            <w:pPr>
              <w:jc w:val="right"/>
              <w:ind w:right="200"/>
              <w:spacing w:after="0" w:line="182" w:lineRule="exact"/>
              <w:rPr>
                <w:rFonts w:ascii="Arial" w:cs="Arial" w:eastAsia="Arial" w:hAnsi="Arial"/>
                <w:sz w:val="18"/>
                <w:szCs w:val="18"/>
                <w:color w:val="0000FF"/>
                <w:w w:val="87"/>
              </w:rPr>
            </w:pPr>
            <w:hyperlink r:id="rId86">
              <w:r>
                <w:rPr>
                  <w:rFonts w:ascii="Arial" w:cs="Arial" w:eastAsia="Arial" w:hAnsi="Arial"/>
                  <w:sz w:val="18"/>
                  <w:szCs w:val="18"/>
                  <w:color w:val="0000FF"/>
                  <w:w w:val="87"/>
                </w:rPr>
                <w:t>Sun</w:t>
              </w:r>
            </w:hyperlink>
          </w:p>
        </w:tc>
        <w:tc>
          <w:tcPr>
            <w:tcW w:w="268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Incorporated by reference to Sun</w:t>
            </w:r>
          </w:p>
        </w:tc>
      </w:tr>
      <w:tr>
        <w:trPr>
          <w:trHeight w:val="163"/>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26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Communities  Operating  Limited  Partnership,  as  Borrower,  Citibank,  N.A.,</w:t>
              </w:r>
            </w:hyperlink>
          </w:p>
        </w:tc>
        <w:tc>
          <w:tcPr>
            <w:tcW w:w="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gridSpan w:val="8"/>
            <w:shd w:val="clear" w:color="auto" w:fill="CCEEFF"/>
          </w:tcPr>
          <w:p>
            <w:pPr>
              <w:jc w:val="right"/>
              <w:ind w:right="120"/>
              <w:spacing w:after="0" w:line="156" w:lineRule="exact"/>
              <w:rPr>
                <w:rFonts w:ascii="Arial" w:cs="Arial" w:eastAsia="Arial" w:hAnsi="Arial"/>
                <w:sz w:val="18"/>
                <w:szCs w:val="18"/>
                <w:color w:val="0000FF"/>
                <w:w w:val="83"/>
              </w:rPr>
            </w:pPr>
            <w:hyperlink r:id="rId86">
              <w:r>
                <w:rPr>
                  <w:rFonts w:ascii="Arial" w:cs="Arial" w:eastAsia="Arial" w:hAnsi="Arial"/>
                  <w:sz w:val="18"/>
                  <w:szCs w:val="18"/>
                  <w:color w:val="0000FF"/>
                  <w:w w:val="83"/>
                </w:rPr>
                <w:t>as</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auto"/>
            </w:tcBorders>
            <w:shd w:val="clear" w:color="auto" w:fill="CCEEFF"/>
          </w:tcPr>
          <w:p>
            <w:pPr>
              <w:spacing w:after="0"/>
              <w:rPr>
                <w:sz w:val="14"/>
                <w:szCs w:val="14"/>
                <w:color w:val="auto"/>
              </w:rPr>
            </w:pPr>
          </w:p>
        </w:tc>
        <w:tc>
          <w:tcPr>
            <w:tcW w:w="2680" w:type="dxa"/>
            <w:vAlign w:val="bottom"/>
            <w:tcBorders>
              <w:top w:val="single" w:sz="8" w:color="CCEEFF"/>
              <w:right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Communities Inc.'s Current Report on</w:t>
            </w:r>
          </w:p>
        </w:tc>
      </w:tr>
      <w:tr>
        <w:trPr>
          <w:trHeight w:val="175"/>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6580" w:type="dxa"/>
            <w:vAlign w:val="bottom"/>
            <w:tcBorders>
              <w:top w:val="single" w:sz="8" w:color="0000FF"/>
              <w:bottom w:val="single" w:sz="8" w:color="0000FF"/>
            </w:tcBorders>
            <w:gridSpan w:val="16"/>
            <w:shd w:val="clear" w:color="auto" w:fill="CCEEFF"/>
          </w:tcPr>
          <w:p>
            <w:pPr>
              <w:spacing w:after="0" w:line="17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Administrative Agent, Swing Line Lender and L/C Issuer, Citibank, N.A., Citizens Bank,</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2680" w:type="dxa"/>
            <w:vAlign w:val="bottom"/>
            <w:tcBorders>
              <w:top w:val="single" w:sz="8" w:color="CCEEFF"/>
              <w:bottom w:val="single" w:sz="8" w:color="CCEEFF"/>
              <w:right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Form 8-K filed on June 14, 2021</w:t>
            </w:r>
          </w:p>
        </w:tc>
      </w:tr>
      <w:tr>
        <w:trPr>
          <w:trHeight w:val="169"/>
        </w:trPr>
        <w:tc>
          <w:tcPr>
            <w:tcW w:w="1820" w:type="dxa"/>
            <w:vAlign w:val="bottom"/>
            <w:tcBorders>
              <w:left w:val="single" w:sz="8" w:color="auto"/>
              <w:right w:val="single" w:sz="8" w:color="auto"/>
            </w:tcBorders>
            <w:shd w:val="clear" w:color="auto" w:fill="CCEEFF"/>
          </w:tcPr>
          <w:p>
            <w:pPr>
              <w:spacing w:after="0"/>
              <w:rPr>
                <w:sz w:val="14"/>
                <w:szCs w:val="14"/>
                <w:color w:val="auto"/>
              </w:rPr>
            </w:pPr>
          </w:p>
        </w:tc>
        <w:tc>
          <w:tcPr>
            <w:tcW w:w="6700" w:type="dxa"/>
            <w:vAlign w:val="bottom"/>
            <w:gridSpan w:val="22"/>
            <w:shd w:val="clear" w:color="auto" w:fill="CCEEFF"/>
          </w:tcPr>
          <w:p>
            <w:pPr>
              <w:spacing w:after="0" w:line="169" w:lineRule="exact"/>
              <w:rPr>
                <w:rFonts w:ascii="Arial" w:cs="Arial" w:eastAsia="Arial" w:hAnsi="Arial"/>
                <w:sz w:val="18"/>
                <w:szCs w:val="18"/>
                <w:color w:val="0000FF"/>
                <w:w w:val="97"/>
              </w:rPr>
            </w:pPr>
            <w:hyperlink r:id="rId86">
              <w:r>
                <w:rPr>
                  <w:rFonts w:ascii="Arial" w:cs="Arial" w:eastAsia="Arial" w:hAnsi="Arial"/>
                  <w:sz w:val="18"/>
                  <w:szCs w:val="18"/>
                  <w:color w:val="0000FF"/>
                  <w:w w:val="97"/>
                </w:rPr>
                <w:t>N.A., BofA Securities, Inc., BMO Capital Markets Corp., JPMorgan Chase Bank, N.A.,</w:t>
              </w:r>
            </w:hyperlink>
          </w:p>
        </w:tc>
        <w:tc>
          <w:tcPr>
            <w:tcW w:w="60" w:type="dxa"/>
            <w:vAlign w:val="bottom"/>
            <w:tcBorders>
              <w:right w:val="single" w:sz="8" w:color="auto"/>
            </w:tcBorders>
            <w:shd w:val="clear" w:color="auto" w:fill="CCEEFF"/>
          </w:tcPr>
          <w:p>
            <w:pPr>
              <w:spacing w:after="0"/>
              <w:rPr>
                <w:sz w:val="14"/>
                <w:szCs w:val="14"/>
                <w:color w:val="auto"/>
              </w:rPr>
            </w:pPr>
          </w:p>
        </w:tc>
        <w:tc>
          <w:tcPr>
            <w:tcW w:w="2680" w:type="dxa"/>
            <w:vAlign w:val="bottom"/>
            <w:tcBorders>
              <w:right w:val="single" w:sz="8" w:color="auto"/>
            </w:tcBorders>
            <w:shd w:val="clear" w:color="auto" w:fill="CCEEFF"/>
          </w:tcPr>
          <w:p>
            <w:pPr>
              <w:spacing w:after="0"/>
              <w:rPr>
                <w:sz w:val="14"/>
                <w:szCs w:val="14"/>
                <w:color w:val="auto"/>
              </w:rPr>
            </w:pPr>
          </w:p>
        </w:tc>
      </w:tr>
      <w:tr>
        <w:trPr>
          <w:trHeight w:val="169"/>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4"/>
                <w:szCs w:val="14"/>
                <w:color w:val="auto"/>
              </w:rPr>
            </w:pPr>
          </w:p>
        </w:tc>
        <w:tc>
          <w:tcPr>
            <w:tcW w:w="6640" w:type="dxa"/>
            <w:vAlign w:val="bottom"/>
            <w:tcBorders>
              <w:top w:val="single" w:sz="8" w:color="0000FF"/>
              <w:bottom w:val="single" w:sz="8" w:color="0000FF"/>
            </w:tcBorders>
            <w:gridSpan w:val="19"/>
            <w:shd w:val="clear" w:color="auto" w:fill="CCEEFF"/>
          </w:tcPr>
          <w:p>
            <w:pPr>
              <w:spacing w:after="0" w:line="169"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Fifth Third Bank, Regions Bank, Royal Bank of Canada, The Huntington National Bank,</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0000FF"/>
              <w:right w:val="single" w:sz="8" w:color="auto"/>
            </w:tcBorders>
            <w:gridSpan w:val="3"/>
            <w:shd w:val="clear" w:color="auto" w:fill="CCEEFF"/>
          </w:tcPr>
          <w:p>
            <w:pPr>
              <w:spacing w:after="0"/>
              <w:rPr>
                <w:sz w:val="14"/>
                <w:szCs w:val="14"/>
                <w:color w:val="auto"/>
              </w:rPr>
            </w:pPr>
          </w:p>
        </w:tc>
        <w:tc>
          <w:tcPr>
            <w:tcW w:w="268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r>
      <w:tr>
        <w:trPr>
          <w:trHeight w:val="169"/>
        </w:trPr>
        <w:tc>
          <w:tcPr>
            <w:tcW w:w="1820" w:type="dxa"/>
            <w:vAlign w:val="bottom"/>
            <w:tcBorders>
              <w:left w:val="single" w:sz="8" w:color="auto"/>
              <w:right w:val="single" w:sz="8" w:color="auto"/>
            </w:tcBorders>
            <w:shd w:val="clear" w:color="auto" w:fill="CCEEFF"/>
          </w:tcPr>
          <w:p>
            <w:pPr>
              <w:spacing w:after="0"/>
              <w:rPr>
                <w:sz w:val="14"/>
                <w:szCs w:val="14"/>
                <w:color w:val="auto"/>
              </w:rPr>
            </w:pPr>
          </w:p>
        </w:tc>
        <w:tc>
          <w:tcPr>
            <w:tcW w:w="6760" w:type="dxa"/>
            <w:vAlign w:val="bottom"/>
            <w:tcBorders>
              <w:right w:val="single" w:sz="8" w:color="auto"/>
            </w:tcBorders>
            <w:gridSpan w:val="23"/>
            <w:shd w:val="clear" w:color="auto" w:fill="CCEEFF"/>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Truist  Bank,  U.S.  Bank  National  Association,  and  Wells  Fargo  Bank,  National</w:t>
              </w:r>
            </w:hyperlink>
          </w:p>
        </w:tc>
        <w:tc>
          <w:tcPr>
            <w:tcW w:w="2680" w:type="dxa"/>
            <w:vAlign w:val="bottom"/>
            <w:tcBorders>
              <w:right w:val="single" w:sz="8" w:color="auto"/>
            </w:tcBorders>
            <w:shd w:val="clear" w:color="auto" w:fill="CCEEFF"/>
          </w:tcPr>
          <w:p>
            <w:pPr>
              <w:spacing w:after="0"/>
              <w:rPr>
                <w:sz w:val="14"/>
                <w:szCs w:val="14"/>
                <w:color w:val="auto"/>
              </w:rPr>
            </w:pPr>
          </w:p>
        </w:tc>
      </w:tr>
      <w:tr>
        <w:trPr>
          <w:trHeight w:val="169"/>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4"/>
                <w:szCs w:val="14"/>
                <w:color w:val="auto"/>
              </w:rPr>
            </w:pPr>
          </w:p>
        </w:tc>
        <w:tc>
          <w:tcPr>
            <w:tcW w:w="6600" w:type="dxa"/>
            <w:vAlign w:val="bottom"/>
            <w:tcBorders>
              <w:top w:val="single" w:sz="8" w:color="0000FF"/>
              <w:bottom w:val="single" w:sz="8" w:color="0000FF"/>
            </w:tcBorders>
            <w:gridSpan w:val="17"/>
            <w:shd w:val="clear" w:color="auto" w:fill="CCEEFF"/>
          </w:tcPr>
          <w:p>
            <w:pPr>
              <w:spacing w:after="0" w:line="169"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Association, as Joint Lead Arrangers, and Citibank, N.A., Citizens Bank, N.A., BofA</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auto"/>
            </w:tcBorders>
            <w:gridSpan w:val="3"/>
            <w:shd w:val="clear" w:color="auto" w:fill="CCEEFF"/>
          </w:tcPr>
          <w:p>
            <w:pPr>
              <w:spacing w:after="0"/>
              <w:rPr>
                <w:sz w:val="14"/>
                <w:szCs w:val="14"/>
                <w:color w:val="auto"/>
              </w:rPr>
            </w:pPr>
          </w:p>
        </w:tc>
        <w:tc>
          <w:tcPr>
            <w:tcW w:w="268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r>
      <w:tr>
        <w:trPr>
          <w:trHeight w:val="169"/>
        </w:trPr>
        <w:tc>
          <w:tcPr>
            <w:tcW w:w="1820" w:type="dxa"/>
            <w:vAlign w:val="bottom"/>
            <w:tcBorders>
              <w:left w:val="single" w:sz="8" w:color="auto"/>
              <w:right w:val="single" w:sz="8" w:color="auto"/>
            </w:tcBorders>
            <w:shd w:val="clear" w:color="auto" w:fill="CCEEFF"/>
          </w:tcPr>
          <w:p>
            <w:pPr>
              <w:spacing w:after="0"/>
              <w:rPr>
                <w:sz w:val="14"/>
                <w:szCs w:val="14"/>
                <w:color w:val="auto"/>
              </w:rPr>
            </w:pPr>
          </w:p>
        </w:tc>
        <w:tc>
          <w:tcPr>
            <w:tcW w:w="6660" w:type="dxa"/>
            <w:vAlign w:val="bottom"/>
            <w:gridSpan w:val="20"/>
            <w:shd w:val="clear" w:color="auto" w:fill="CCEEFF"/>
          </w:tcPr>
          <w:p>
            <w:pPr>
              <w:spacing w:after="0" w:line="169"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Securities, Inc., BMO Capital Markets Corp., and JPMorgan Chase Bank, N.A., as Joint</w:t>
              </w:r>
            </w:hyperlink>
          </w:p>
        </w:tc>
        <w:tc>
          <w:tcPr>
            <w:tcW w:w="100" w:type="dxa"/>
            <w:vAlign w:val="bottom"/>
            <w:tcBorders>
              <w:right w:val="single" w:sz="8" w:color="auto"/>
            </w:tcBorders>
            <w:gridSpan w:val="3"/>
            <w:shd w:val="clear" w:color="auto" w:fill="CCEEFF"/>
          </w:tcPr>
          <w:p>
            <w:pPr>
              <w:spacing w:after="0"/>
              <w:rPr>
                <w:sz w:val="14"/>
                <w:szCs w:val="14"/>
                <w:color w:val="auto"/>
              </w:rPr>
            </w:pPr>
          </w:p>
        </w:tc>
        <w:tc>
          <w:tcPr>
            <w:tcW w:w="2680" w:type="dxa"/>
            <w:vAlign w:val="bottom"/>
            <w:tcBorders>
              <w:right w:val="single" w:sz="8" w:color="auto"/>
            </w:tcBorders>
            <w:shd w:val="clear" w:color="auto" w:fill="CCEEFF"/>
          </w:tcPr>
          <w:p>
            <w:pPr>
              <w:spacing w:after="0"/>
              <w:rPr>
                <w:sz w:val="14"/>
                <w:szCs w:val="14"/>
                <w:color w:val="auto"/>
              </w:rPr>
            </w:pPr>
          </w:p>
        </w:tc>
      </w:tr>
      <w:tr>
        <w:trPr>
          <w:trHeight w:val="169"/>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560" w:type="dxa"/>
            <w:vAlign w:val="bottom"/>
            <w:tcBorders>
              <w:top w:val="single" w:sz="8" w:color="0000FF"/>
            </w:tcBorders>
            <w:gridSpan w:val="15"/>
            <w:shd w:val="clear" w:color="auto" w:fill="CCEEFF"/>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Bookrunners, and Bank of America, N.A., JPMorgan Chase Bank, N.A., Bank of</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20" w:type="dxa"/>
            <w:vAlign w:val="bottom"/>
            <w:tcBorders>
              <w:top w:val="single" w:sz="8" w:color="CCEEFF"/>
              <w:right w:val="single" w:sz="8" w:color="auto"/>
            </w:tcBorders>
            <w:gridSpan w:val="4"/>
            <w:shd w:val="clear" w:color="auto" w:fill="CCEEFF"/>
          </w:tcPr>
          <w:p>
            <w:pPr>
              <w:spacing w:after="0"/>
              <w:rPr>
                <w:sz w:val="14"/>
                <w:szCs w:val="14"/>
                <w:color w:val="auto"/>
              </w:rPr>
            </w:pPr>
          </w:p>
        </w:tc>
        <w:tc>
          <w:tcPr>
            <w:tcW w:w="2680" w:type="dxa"/>
            <w:vAlign w:val="bottom"/>
            <w:tcBorders>
              <w:top w:val="single" w:sz="8" w:color="CCEEFF"/>
              <w:right w:val="single" w:sz="8" w:color="auto"/>
            </w:tcBorders>
            <w:shd w:val="clear" w:color="auto" w:fill="CCEEFF"/>
          </w:tcPr>
          <w:p>
            <w:pPr>
              <w:spacing w:after="0"/>
              <w:rPr>
                <w:sz w:val="14"/>
                <w:szCs w:val="14"/>
                <w:color w:val="auto"/>
              </w:rPr>
            </w:pPr>
          </w:p>
        </w:tc>
      </w:tr>
      <w:tr>
        <w:trPr>
          <w:trHeight w:val="223"/>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6260" w:type="dxa"/>
            <w:vAlign w:val="bottom"/>
            <w:tcBorders>
              <w:top w:val="single" w:sz="8" w:color="0000FF"/>
              <w:bottom w:val="single" w:sz="8" w:color="auto"/>
            </w:tcBorders>
            <w:gridSpan w:val="10"/>
            <w:shd w:val="clear" w:color="auto" w:fill="CCEEFF"/>
          </w:tcPr>
          <w:p>
            <w:pPr>
              <w:spacing w:after="0" w:line="169" w:lineRule="exact"/>
              <w:rPr>
                <w:rFonts w:ascii="Arial" w:cs="Arial" w:eastAsia="Arial" w:hAnsi="Arial"/>
                <w:sz w:val="18"/>
                <w:szCs w:val="18"/>
                <w:color w:val="0000FF"/>
              </w:rPr>
            </w:pPr>
            <w:hyperlink r:id="rId86">
              <w:r>
                <w:rPr>
                  <w:rFonts w:ascii="Arial" w:cs="Arial" w:eastAsia="Arial" w:hAnsi="Arial"/>
                  <w:sz w:val="18"/>
                  <w:szCs w:val="18"/>
                  <w:color w:val="0000FF"/>
                </w:rPr>
                <w:t>Montreal, and Citizens Bank, N.A., as Co-Syndication Agents</w:t>
              </w:r>
            </w:hyperlink>
          </w:p>
        </w:tc>
        <w:tc>
          <w:tcPr>
            <w:tcW w:w="40" w:type="dxa"/>
            <w:vAlign w:val="bottom"/>
            <w:tcBorders>
              <w:top w:val="single" w:sz="8" w:color="0000FF"/>
              <w:bottom w:val="single" w:sz="8" w:color="auto"/>
            </w:tcBorders>
            <w:shd w:val="clear" w:color="auto" w:fill="CCEEFF"/>
          </w:tcPr>
          <w:p>
            <w:pPr>
              <w:spacing w:after="0"/>
              <w:rPr>
                <w:sz w:val="19"/>
                <w:szCs w:val="19"/>
                <w:color w:val="auto"/>
              </w:rPr>
            </w:pPr>
          </w:p>
        </w:tc>
        <w:tc>
          <w:tcPr>
            <w:tcW w:w="6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80" w:type="dxa"/>
            <w:vAlign w:val="bottom"/>
            <w:tcBorders>
              <w:top w:val="single" w:sz="8" w:color="0000FF"/>
              <w:bottom w:val="single" w:sz="8" w:color="auto"/>
            </w:tcBorders>
            <w:shd w:val="clear" w:color="auto" w:fill="CCEEFF"/>
          </w:tcPr>
          <w:p>
            <w:pPr>
              <w:spacing w:after="0"/>
              <w:rPr>
                <w:sz w:val="19"/>
                <w:szCs w:val="19"/>
                <w:color w:val="auto"/>
              </w:rPr>
            </w:pPr>
          </w:p>
        </w:tc>
        <w:tc>
          <w:tcPr>
            <w:tcW w:w="10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0000FF"/>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268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22.1</w:t>
            </w:r>
          </w:p>
        </w:tc>
        <w:tc>
          <w:tcPr>
            <w:tcW w:w="6260" w:type="dxa"/>
            <w:vAlign w:val="bottom"/>
            <w:gridSpan w:val="10"/>
          </w:tcPr>
          <w:p>
            <w:pPr>
              <w:spacing w:after="0" w:line="182" w:lineRule="exact"/>
              <w:rPr>
                <w:rFonts w:ascii="Arial" w:cs="Arial" w:eastAsia="Arial" w:hAnsi="Arial"/>
                <w:sz w:val="18"/>
                <w:szCs w:val="18"/>
                <w:color w:val="0000FF"/>
              </w:rPr>
            </w:pPr>
            <w:hyperlink w:anchor="page68">
              <w:r>
                <w:rPr>
                  <w:rFonts w:ascii="Arial" w:cs="Arial" w:eastAsia="Arial" w:hAnsi="Arial"/>
                  <w:sz w:val="18"/>
                  <w:szCs w:val="18"/>
                  <w:color w:val="0000FF"/>
                </w:rPr>
                <w:t>List of issuers of guaranteed securities</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6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Filed herewith</w:t>
            </w:r>
          </w:p>
        </w:tc>
      </w:tr>
      <w:tr>
        <w:trPr>
          <w:trHeight w:val="21"/>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820" w:type="dxa"/>
            <w:vAlign w:val="bottom"/>
            <w:tcBorders>
              <w:left w:val="single" w:sz="8" w:color="auto"/>
              <w:bottom w:val="single" w:sz="8" w:color="CCEEFF"/>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12"/>
            <w:shd w:val="clear" w:color="auto" w:fill="CCEEFF"/>
          </w:tcPr>
          <w:p>
            <w:pPr>
              <w:spacing w:after="0" w:line="182" w:lineRule="exact"/>
              <w:rPr>
                <w:rFonts w:ascii="Arial" w:cs="Arial" w:eastAsia="Arial" w:hAnsi="Arial"/>
                <w:sz w:val="18"/>
                <w:szCs w:val="18"/>
                <w:color w:val="0000FF"/>
                <w:w w:val="91"/>
              </w:rPr>
            </w:pPr>
            <w:hyperlink w:anchor="page69">
              <w:r>
                <w:rPr>
                  <w:rFonts w:ascii="Arial" w:cs="Arial" w:eastAsia="Arial" w:hAnsi="Arial"/>
                  <w:sz w:val="18"/>
                  <w:szCs w:val="18"/>
                  <w:color w:val="0000FF"/>
                  <w:w w:val="91"/>
                </w:rPr>
                <w:t>Certification of Chief Executive Officer pursuant to Securities Exchange Act Rules 13a-</w:t>
              </w:r>
            </w:hyperlink>
          </w:p>
        </w:tc>
        <w:tc>
          <w:tcPr>
            <w:tcW w:w="400" w:type="dxa"/>
            <w:vAlign w:val="bottom"/>
            <w:tcBorders>
              <w:bottom w:val="single" w:sz="8" w:color="CCEEFF"/>
              <w:right w:val="single" w:sz="8" w:color="auto"/>
            </w:tcBorders>
            <w:gridSpan w:val="11"/>
            <w:shd w:val="clear" w:color="auto" w:fill="CCEEFF"/>
          </w:tcPr>
          <w:p>
            <w:pPr>
              <w:spacing w:after="0"/>
              <w:rPr>
                <w:sz w:val="15"/>
                <w:szCs w:val="15"/>
                <w:color w:val="auto"/>
              </w:rPr>
            </w:pPr>
          </w:p>
        </w:tc>
        <w:tc>
          <w:tcPr>
            <w:tcW w:w="2680" w:type="dxa"/>
            <w:vAlign w:val="bottom"/>
            <w:tcBorders>
              <w:bottom w:val="single" w:sz="8" w:color="CCEEFF"/>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Filed herewith</w:t>
            </w:r>
          </w:p>
        </w:tc>
      </w:tr>
      <w:tr>
        <w:trPr>
          <w:trHeight w:val="196"/>
        </w:trPr>
        <w:tc>
          <w:tcPr>
            <w:tcW w:w="1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760" w:type="dxa"/>
            <w:vAlign w:val="bottom"/>
            <w:tcBorders>
              <w:bottom w:val="single" w:sz="8" w:color="auto"/>
              <w:right w:val="single" w:sz="8" w:color="auto"/>
            </w:tcBorders>
            <w:gridSpan w:val="23"/>
            <w:shd w:val="clear" w:color="auto" w:fill="CCEEFF"/>
          </w:tcPr>
          <w:p>
            <w:pPr>
              <w:spacing w:after="0" w:line="156" w:lineRule="exact"/>
              <w:rPr>
                <w:rFonts w:ascii="Arial" w:cs="Arial" w:eastAsia="Arial" w:hAnsi="Arial"/>
                <w:sz w:val="18"/>
                <w:szCs w:val="18"/>
                <w:color w:val="0000FF"/>
                <w:w w:val="93"/>
              </w:rPr>
            </w:pPr>
            <w:hyperlink w:anchor="page69">
              <w:r>
                <w:rPr>
                  <w:rFonts w:ascii="Arial" w:cs="Arial" w:eastAsia="Arial" w:hAnsi="Arial"/>
                  <w:sz w:val="18"/>
                  <w:szCs w:val="18"/>
                  <w:color w:val="0000FF"/>
                  <w:w w:val="93"/>
                </w:rPr>
                <w:t>14(a)/15(d)-14(a), as adopted pursuant to Section 302 of the Sarbanes-Oxley Act of 2002.</w:t>
              </w:r>
            </w:hyperlink>
          </w:p>
        </w:tc>
        <w:tc>
          <w:tcPr>
            <w:tcW w:w="268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31.2</w:t>
            </w:r>
          </w:p>
        </w:tc>
        <w:tc>
          <w:tcPr>
            <w:tcW w:w="6760" w:type="dxa"/>
            <w:vAlign w:val="bottom"/>
            <w:tcBorders>
              <w:right w:val="single" w:sz="8" w:color="auto"/>
            </w:tcBorders>
            <w:gridSpan w:val="23"/>
          </w:tcPr>
          <w:p>
            <w:pPr>
              <w:spacing w:after="0" w:line="182" w:lineRule="exact"/>
              <w:rPr>
                <w:rFonts w:ascii="Arial" w:cs="Arial" w:eastAsia="Arial" w:hAnsi="Arial"/>
                <w:sz w:val="18"/>
                <w:szCs w:val="18"/>
                <w:color w:val="0000FF"/>
                <w:w w:val="98"/>
              </w:rPr>
            </w:pPr>
            <w:hyperlink w:anchor="page70">
              <w:r>
                <w:rPr>
                  <w:rFonts w:ascii="Arial" w:cs="Arial" w:eastAsia="Arial" w:hAnsi="Arial"/>
                  <w:sz w:val="18"/>
                  <w:szCs w:val="18"/>
                  <w:color w:val="0000FF"/>
                  <w:w w:val="98"/>
                </w:rPr>
                <w:t>Certification of Chief Financial Officer pursuant to Securities Exchange Act Rules 13a-</w:t>
              </w:r>
            </w:hyperlink>
          </w:p>
        </w:tc>
        <w:tc>
          <w:tcPr>
            <w:tcW w:w="26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Filed herewith</w:t>
            </w:r>
          </w:p>
        </w:tc>
      </w:tr>
      <w:tr>
        <w:trPr>
          <w:trHeight w:val="20"/>
        </w:trPr>
        <w:tc>
          <w:tcPr>
            <w:tcW w:w="1820" w:type="dxa"/>
            <w:vAlign w:val="bottom"/>
            <w:tcBorders>
              <w:left w:val="single" w:sz="8" w:color="auto"/>
              <w:right w:val="single" w:sz="8" w:color="auto"/>
            </w:tcBorders>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940" w:type="dxa"/>
            <w:vAlign w:val="bottom"/>
            <w:gridSpan w:val="9"/>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20" w:type="dxa"/>
            <w:vAlign w:val="bottom"/>
            <w:tcBorders>
              <w:right w:val="single" w:sz="8" w:color="auto"/>
            </w:tcBorders>
            <w:gridSpan w:val="4"/>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r>
      <w:tr>
        <w:trPr>
          <w:trHeight w:val="155"/>
        </w:trPr>
        <w:tc>
          <w:tcPr>
            <w:tcW w:w="1820" w:type="dxa"/>
            <w:vAlign w:val="bottom"/>
            <w:tcBorders>
              <w:left w:val="single" w:sz="8" w:color="auto"/>
              <w:right w:val="single" w:sz="8" w:color="auto"/>
            </w:tcBorders>
          </w:tcPr>
          <w:p>
            <w:pPr>
              <w:spacing w:after="0"/>
              <w:rPr>
                <w:sz w:val="13"/>
                <w:szCs w:val="13"/>
                <w:color w:val="auto"/>
              </w:rPr>
            </w:pPr>
          </w:p>
        </w:tc>
        <w:tc>
          <w:tcPr>
            <w:tcW w:w="6760" w:type="dxa"/>
            <w:vAlign w:val="bottom"/>
            <w:tcBorders>
              <w:right w:val="single" w:sz="8" w:color="auto"/>
            </w:tcBorders>
            <w:gridSpan w:val="23"/>
          </w:tcPr>
          <w:p>
            <w:pPr>
              <w:spacing w:after="0" w:line="156"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14(a)/15(d)-14(a), as adopted pursuant to Section 302 of the Sarbanes-Oxley Act of 2002.</w:t>
              </w:r>
            </w:hyperlink>
          </w:p>
        </w:tc>
        <w:tc>
          <w:tcPr>
            <w:tcW w:w="2680" w:type="dxa"/>
            <w:vAlign w:val="bottom"/>
            <w:tcBorders>
              <w:right w:val="single" w:sz="8" w:color="auto"/>
            </w:tcBorders>
          </w:tcPr>
          <w:p>
            <w:pPr>
              <w:spacing w:after="0"/>
              <w:rPr>
                <w:sz w:val="13"/>
                <w:szCs w:val="13"/>
                <w:color w:val="auto"/>
              </w:rPr>
            </w:pPr>
          </w:p>
        </w:tc>
      </w:tr>
      <w:tr>
        <w:trPr>
          <w:trHeight w:val="20"/>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32.1</w:t>
            </w:r>
          </w:p>
        </w:tc>
        <w:tc>
          <w:tcPr>
            <w:tcW w:w="6760" w:type="dxa"/>
            <w:vAlign w:val="bottom"/>
            <w:tcBorders>
              <w:right w:val="single" w:sz="8" w:color="auto"/>
            </w:tcBorders>
            <w:gridSpan w:val="23"/>
            <w:shd w:val="clear" w:color="auto" w:fill="CCEEFF"/>
          </w:tcPr>
          <w:p>
            <w:pPr>
              <w:spacing w:after="0" w:line="182" w:lineRule="exact"/>
              <w:rPr>
                <w:rFonts w:ascii="Arial" w:cs="Arial" w:eastAsia="Arial" w:hAnsi="Arial"/>
                <w:sz w:val="18"/>
                <w:szCs w:val="18"/>
                <w:color w:val="0000FF"/>
                <w:w w:val="96"/>
              </w:rPr>
            </w:pPr>
            <w:hyperlink w:anchor="page71">
              <w:r>
                <w:rPr>
                  <w:rFonts w:ascii="Arial" w:cs="Arial" w:eastAsia="Arial" w:hAnsi="Arial"/>
                  <w:sz w:val="18"/>
                  <w:szCs w:val="18"/>
                  <w:color w:val="0000FF"/>
                  <w:w w:val="96"/>
                </w:rPr>
                <w:t>Certification pursuant to 18 U.S.C. Section 1350, as adopted pursuant to Section 906 of</w:t>
              </w:r>
            </w:hyperlink>
          </w:p>
        </w:tc>
        <w:tc>
          <w:tcPr>
            <w:tcW w:w="2680" w:type="dxa"/>
            <w:vAlign w:val="bottom"/>
            <w:tcBorders>
              <w:right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Filed herewith</w:t>
            </w:r>
          </w:p>
        </w:tc>
      </w:tr>
      <w:tr>
        <w:trPr>
          <w:trHeight w:val="196"/>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7"/>
                <w:szCs w:val="17"/>
                <w:color w:val="auto"/>
              </w:rPr>
            </w:pPr>
          </w:p>
        </w:tc>
        <w:tc>
          <w:tcPr>
            <w:tcW w:w="6260" w:type="dxa"/>
            <w:vAlign w:val="bottom"/>
            <w:tcBorders>
              <w:top w:val="single" w:sz="8" w:color="0000FF"/>
              <w:bottom w:val="single" w:sz="8" w:color="auto"/>
            </w:tcBorders>
            <w:gridSpan w:val="10"/>
            <w:shd w:val="clear" w:color="auto" w:fill="CCEEFF"/>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the Sarbanes-Oxley Act of 2002.</w:t>
              </w:r>
            </w:hyperlink>
          </w:p>
        </w:tc>
        <w:tc>
          <w:tcPr>
            <w:tcW w:w="40" w:type="dxa"/>
            <w:vAlign w:val="bottom"/>
            <w:tcBorders>
              <w:top w:val="single" w:sz="8" w:color="0000FF"/>
              <w:bottom w:val="single" w:sz="8" w:color="auto"/>
            </w:tcBorders>
            <w:shd w:val="clear" w:color="auto" w:fill="CCEEFF"/>
          </w:tcPr>
          <w:p>
            <w:pPr>
              <w:spacing w:after="0"/>
              <w:rPr>
                <w:sz w:val="17"/>
                <w:szCs w:val="17"/>
                <w:color w:val="auto"/>
              </w:rPr>
            </w:pPr>
          </w:p>
        </w:tc>
        <w:tc>
          <w:tcPr>
            <w:tcW w:w="6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80" w:type="dxa"/>
            <w:vAlign w:val="bottom"/>
            <w:tcBorders>
              <w:top w:val="single" w:sz="8" w:color="0000FF"/>
              <w:bottom w:val="single" w:sz="8" w:color="auto"/>
            </w:tcBorders>
            <w:shd w:val="clear" w:color="auto" w:fill="CCEEFF"/>
          </w:tcPr>
          <w:p>
            <w:pPr>
              <w:spacing w:after="0"/>
              <w:rPr>
                <w:sz w:val="17"/>
                <w:szCs w:val="17"/>
                <w:color w:val="auto"/>
              </w:rPr>
            </w:pPr>
          </w:p>
        </w:tc>
        <w:tc>
          <w:tcPr>
            <w:tcW w:w="10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0000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c>
          <w:tcPr>
            <w:tcW w:w="2680" w:type="dxa"/>
            <w:vAlign w:val="bottom"/>
            <w:tcBorders>
              <w:top w:val="single" w:sz="8" w:color="CCEEFF"/>
              <w:bottom w:val="single" w:sz="8" w:color="auto"/>
              <w:right w:val="single" w:sz="8" w:color="auto"/>
            </w:tcBorders>
            <w:shd w:val="clear" w:color="auto" w:fill="CCEEFF"/>
          </w:tcPr>
          <w:p>
            <w:pPr>
              <w:spacing w:after="0"/>
              <w:rPr>
                <w:sz w:val="17"/>
                <w:szCs w:val="17"/>
                <w:color w:val="auto"/>
              </w:rPr>
            </w:pPr>
          </w:p>
        </w:tc>
      </w:tr>
    </w:tbl>
    <w:p>
      <w:pPr>
        <w:ind w:left="360" w:right="40" w:hanging="334"/>
        <w:spacing w:after="0" w:line="224" w:lineRule="auto"/>
        <w:tabs>
          <w:tab w:leader="none" w:pos="1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65" w:name="page66"/>
    <w:bookmarkEnd w:id="65"/>
    <w:p>
      <w:pPr>
        <w:ind w:left="20"/>
        <w:spacing w:after="0"/>
        <w:rPr>
          <w:sz w:val="20"/>
          <w:szCs w:val="20"/>
          <w:color w:val="auto"/>
        </w:rPr>
      </w:pPr>
      <w:r>
        <w:rPr>
          <w:rFonts w:ascii="Arial" w:cs="Arial" w:eastAsia="Arial" w:hAnsi="Arial"/>
          <w:sz w:val="18"/>
          <w:szCs w:val="18"/>
          <w:b w:val="1"/>
          <w:bCs w:val="1"/>
          <w:color w:val="auto"/>
        </w:rPr>
        <w:t>ITEM 6. EXHIBITS (continued)</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6600" w:type="dxa"/>
            <w:vAlign w:val="bottom"/>
            <w:tcBorders>
              <w:top w:val="single" w:sz="8" w:color="auto"/>
              <w:bottom w:val="single" w:sz="8" w:color="auto"/>
              <w:right w:val="single" w:sz="8" w:color="auto"/>
            </w:tcBorders>
          </w:tcPr>
          <w:p>
            <w:pPr>
              <w:ind w:left="2840"/>
              <w:spacing w:after="0"/>
              <w:rPr>
                <w:sz w:val="20"/>
                <w:szCs w:val="20"/>
                <w:color w:val="auto"/>
              </w:rPr>
            </w:pPr>
            <w:r>
              <w:rPr>
                <w:rFonts w:ascii="Arial" w:cs="Arial" w:eastAsia="Arial" w:hAnsi="Arial"/>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101.INS</w:t>
            </w:r>
          </w:p>
        </w:tc>
        <w:tc>
          <w:tcPr>
            <w:tcW w:w="66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40"/>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660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660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660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because its XBRL tags are embedded</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660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6600" w:type="dxa"/>
            <w:vAlign w:val="bottom"/>
            <w:tcBorders>
              <w:bottom w:val="single" w:sz="8" w:color="auto"/>
              <w:right w:val="single" w:sz="8" w:color="auto"/>
            </w:tcBorders>
            <w:shd w:val="clear" w:color="auto" w:fill="CCEEFF"/>
          </w:tcPr>
          <w:p>
            <w:pPr>
              <w:spacing w:after="0"/>
              <w:rPr>
                <w:sz w:val="6"/>
                <w:szCs w:val="6"/>
                <w:color w:val="auto"/>
              </w:rPr>
            </w:pPr>
          </w:p>
        </w:tc>
        <w:tc>
          <w:tcPr>
            <w:tcW w:w="284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101.SCH</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101.CAL</w:t>
            </w: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101.LAB</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101.PRE</w:t>
            </w: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101.DEF</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Arial" w:cs="Arial" w:eastAsia="Arial" w:hAnsi="Arial"/>
                <w:sz w:val="18"/>
                <w:szCs w:val="18"/>
                <w:color w:val="auto"/>
              </w:rPr>
              <w:t>104</w:t>
            </w:r>
          </w:p>
        </w:tc>
        <w:tc>
          <w:tcPr>
            <w:tcW w:w="6600" w:type="dxa"/>
            <w:vAlign w:val="bottom"/>
            <w:tcBorders>
              <w:right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3"/>
              </w:rPr>
              <w:t>Cover Page Interactive Data File (embedded within the Inline XBRL document contained</w:t>
            </w:r>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6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 Exhibit 101)</w:t>
            </w:r>
          </w:p>
        </w:tc>
        <w:tc>
          <w:tcPr>
            <w:tcW w:w="2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96" w:right="3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July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617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Karen J. Dearing, Chief Financial Officer and Secretary</w:t>
      </w:r>
    </w:p>
    <w:p>
      <w:pPr>
        <w:ind w:left="46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6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7"/>
          <w:szCs w:val="17"/>
          <w:b w:val="1"/>
          <w:bCs w:val="1"/>
          <w:color w:val="auto"/>
        </w:rPr>
        <w:t>ist of Issuers of Guaranteed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following subsidiary was the issuer of the 2.700% Senior Notes due 2031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Subsidiary</w:t>
            </w:r>
          </w:p>
        </w:tc>
        <w:tc>
          <w:tcPr>
            <w:tcW w:w="5540" w:type="dxa"/>
            <w:vAlign w:val="bottom"/>
          </w:tcPr>
          <w:p>
            <w:pPr>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26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240"/>
          </w:cols>
          <w:pgMar w:left="320" w:top="140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57"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00"/>
        <w:spacing w:after="0"/>
        <w:tabs>
          <w:tab w:leader="none" w:pos="4440" w:val="left"/>
        </w:tabs>
        <w:rPr>
          <w:sz w:val="20"/>
          <w:szCs w:val="20"/>
          <w:color w:val="auto"/>
        </w:rPr>
      </w:pPr>
      <w:r>
        <w:rPr>
          <w:rFonts w:ascii="Arial" w:cs="Arial" w:eastAsia="Arial" w:hAnsi="Arial"/>
          <w:sz w:val="18"/>
          <w:szCs w:val="18"/>
          <w:color w:val="auto"/>
        </w:rPr>
        <w:t>Dated: July 27, 2021</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14605</wp:posOffset>
            </wp:positionV>
            <wp:extent cx="36518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11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July 27, 2021</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583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77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June 30, 2021,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A. Shiffman</w:t>
            </w:r>
          </w:p>
        </w:tc>
        <w:tc>
          <w:tcPr>
            <w:tcW w:w="2560" w:type="dxa"/>
            <w:vAlign w:val="bottom"/>
            <w:gridSpan w:val="3"/>
          </w:tcPr>
          <w:p>
            <w:pPr>
              <w:jc w:val="center"/>
              <w:ind w:left="1490"/>
              <w:spacing w:after="0"/>
              <w:rPr>
                <w:sz w:val="20"/>
                <w:szCs w:val="20"/>
                <w:color w:val="auto"/>
              </w:rPr>
            </w:pPr>
            <w:r>
              <w:rPr>
                <w:rFonts w:ascii="Arial" w:cs="Arial" w:eastAsia="Arial" w:hAnsi="Arial"/>
                <w:sz w:val="18"/>
                <w:szCs w:val="18"/>
                <w:color w:val="auto"/>
                <w:w w:val="91"/>
              </w:rPr>
              <w:t>July 27,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J. Dearing</w:t>
            </w:r>
          </w:p>
        </w:tc>
        <w:tc>
          <w:tcPr>
            <w:tcW w:w="2560" w:type="dxa"/>
            <w:vAlign w:val="bottom"/>
            <w:gridSpan w:val="3"/>
          </w:tcPr>
          <w:p>
            <w:pPr>
              <w:jc w:val="center"/>
              <w:ind w:left="1490"/>
              <w:spacing w:after="0"/>
              <w:rPr>
                <w:sz w:val="20"/>
                <w:szCs w:val="20"/>
                <w:color w:val="auto"/>
              </w:rPr>
            </w:pPr>
            <w:r>
              <w:rPr>
                <w:rFonts w:ascii="Arial" w:cs="Arial" w:eastAsia="Arial" w:hAnsi="Arial"/>
                <w:sz w:val="18"/>
                <w:szCs w:val="18"/>
                <w:color w:val="auto"/>
                <w:w w:val="91"/>
              </w:rPr>
              <w:t>July 27, 2021</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3"/>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4"/>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6"/>
    </w:lvl>
  </w:abstractNum>
  <w:abstractNum w:abstractNumId="13">
    <w:nsid w:val="8138641"/>
    <w:multiLevelType w:val="hybridMultilevel"/>
    <w:lvl w:ilvl="0">
      <w:lvlJc w:val="left"/>
      <w:lvlText w:val="%1."/>
      <w:numFmt w:val="decimal"/>
      <w:start w:val="7"/>
    </w:lvl>
  </w:abstractNum>
  <w:abstractNum w:abstractNumId="14">
    <w:nsid w:val="1E7FF521"/>
    <w:multiLevelType w:val="hybridMultilevel"/>
    <w:lvl w:ilvl="0">
      <w:lvlJc w:val="left"/>
      <w:lvlText w:val="%1."/>
      <w:numFmt w:val="decimal"/>
      <w:start w:val="8"/>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9"/>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0"/>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2"/>
    </w:lvl>
  </w:abstractNum>
  <w:abstractNum w:abstractNumId="26">
    <w:nsid w:val="3804823E"/>
    <w:multiLevelType w:val="hybridMultilevel"/>
    <w:lvl w:ilvl="0">
      <w:lvlJc w:val="left"/>
      <w:lvlText w:val="%1."/>
      <w:numFmt w:val="decimal"/>
      <w:start w:val="13"/>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4"/>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7"/>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82" Type="http://schemas.openxmlformats.org/officeDocument/2006/relationships/hyperlink" Target="http://www.sec.gov/Archives/edgar/data/912593/000091259318000049/exhibit31-suncommunitiesin.htm" TargetMode="External"/><Relationship Id="rId83" Type="http://schemas.openxmlformats.org/officeDocument/2006/relationships/hyperlink" Target="http://www.sec.gov/Archives/edgar/data/912593/000091259317000078/exhibit31-thirdamendedandr.htm" TargetMode="External"/><Relationship Id="rId84" Type="http://schemas.openxmlformats.org/officeDocument/2006/relationships/hyperlink" Target="https://www.sec.gov/Archives/edgar/data/912593/000091259321000161/0000912593-21-000161-index.htm" TargetMode="External"/><Relationship Id="rId85" Type="http://schemas.openxmlformats.org/officeDocument/2006/relationships/hyperlink" Target="https://www.sec.gov/Archives/edgar/data/912593/000091259321000114/0000912593-21-000114-index.htm" TargetMode="External"/><Relationship Id="rId86" Type="http://schemas.openxmlformats.org/officeDocument/2006/relationships/hyperlink" Target="https://www.sec.gov/Archives/edgar/data/912593/000091259321000151/0000912593-21-00015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2021-07-27T13:10:01Z</dcterms:created>
  <dcterms:modified xsi:type="dcterms:W3CDTF">2021-07-27T13:10:01Z</dcterms:modified>
</cp:coreProperties>
</file>