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ANNUAL REPORT PURSUANT TO SECTION 13 OR 15(D) OF THE SECURITIES EXCHANGE ACT OF 1934</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 the fiscal year ended December 31, 2025</w:t>
      </w:r>
    </w:p>
    <w:p>
      <w:pPr>
        <w:spacing w:after="0" w:line="140"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5"/>
          <w:szCs w:val="15"/>
          <w:color w:val="auto"/>
        </w:rPr>
        <w:t xml:space="preserve">Commission file number: </w:t>
      </w:r>
      <w:r>
        <w:rPr>
          <w:rFonts w:ascii="Times New Roman" w:cs="Times New Roman" w:eastAsia="Times New Roman" w:hAnsi="Times New Roman"/>
          <w:sz w:val="15"/>
          <w:szCs w:val="15"/>
          <w:b w:val="1"/>
          <w:bCs w:val="1"/>
          <w:color w:val="auto"/>
        </w:rPr>
        <w:t>1-12616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2795905</wp:posOffset>
            </wp:positionH>
            <wp:positionV relativeFrom="paragraph">
              <wp:posOffset>130175</wp:posOffset>
            </wp:positionV>
            <wp:extent cx="1550670" cy="419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50670" cy="4191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SUN COMMUNITIES, INC</w:t>
      </w:r>
    </w:p>
    <w:p>
      <w:pPr>
        <w:spacing w:after="0" w:line="1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140" w:lineRule="exact"/>
        <w:rPr>
          <w:sz w:val="24"/>
          <w:szCs w:val="24"/>
          <w:color w:val="auto"/>
        </w:rPr>
      </w:pPr>
    </w:p>
    <w:tbl>
      <w:tblPr>
        <w:tblLayout w:type="fixed"/>
        <w:tblInd w:w="40" w:type="dxa"/>
        <w:tblCellMar>
          <w:top w:w="0" w:type="dxa"/>
          <w:left w:w="0" w:type="dxa"/>
          <w:bottom w:w="0" w:type="dxa"/>
          <w:right w:w="0" w:type="dxa"/>
        </w:tblCellMar>
      </w:tblPr>
      <w:tr>
        <w:trPr>
          <w:trHeight w:val="201"/>
        </w:trPr>
        <w:tc>
          <w:tcPr>
            <w:tcW w:w="3080" w:type="dxa"/>
            <w:vAlign w:val="bottom"/>
          </w:tcPr>
          <w:p>
            <w:pPr>
              <w:jc w:val="center"/>
              <w:ind w:left="903"/>
              <w:spacing w:after="0"/>
              <w:rPr>
                <w:sz w:val="20"/>
                <w:szCs w:val="20"/>
                <w:color w:val="auto"/>
              </w:rPr>
            </w:pPr>
            <w:r>
              <w:rPr>
                <w:rFonts w:ascii="Times New Roman" w:cs="Times New Roman" w:eastAsia="Times New Roman" w:hAnsi="Times New Roman"/>
                <w:sz w:val="15"/>
                <w:szCs w:val="15"/>
                <w:b w:val="1"/>
                <w:bCs w:val="1"/>
                <w:color w:val="auto"/>
              </w:rPr>
              <w:t>Maryland</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560" w:type="dxa"/>
            <w:vAlign w:val="bottom"/>
          </w:tcPr>
          <w:p>
            <w:pPr>
              <w:jc w:val="center"/>
              <w:ind w:right="463"/>
              <w:spacing w:after="0"/>
              <w:rPr>
                <w:sz w:val="20"/>
                <w:szCs w:val="20"/>
                <w:color w:val="auto"/>
              </w:rPr>
            </w:pPr>
            <w:r>
              <w:rPr>
                <w:rFonts w:ascii="Times New Roman" w:cs="Times New Roman" w:eastAsia="Times New Roman" w:hAnsi="Times New Roman"/>
                <w:sz w:val="15"/>
                <w:szCs w:val="15"/>
                <w:b w:val="1"/>
                <w:bCs w:val="1"/>
                <w:color w:val="auto"/>
              </w:rPr>
              <w:t>38-2730780</w:t>
            </w:r>
          </w:p>
        </w:tc>
      </w:tr>
      <w:tr>
        <w:trPr>
          <w:trHeight w:val="199"/>
        </w:trPr>
        <w:tc>
          <w:tcPr>
            <w:tcW w:w="3080" w:type="dxa"/>
            <w:vAlign w:val="bottom"/>
          </w:tcPr>
          <w:p>
            <w:pPr>
              <w:jc w:val="center"/>
              <w:ind w:left="903"/>
              <w:spacing w:after="0"/>
              <w:rPr>
                <w:sz w:val="20"/>
                <w:szCs w:val="20"/>
                <w:color w:val="auto"/>
              </w:rPr>
            </w:pPr>
            <w:r>
              <w:rPr>
                <w:rFonts w:ascii="Times New Roman" w:cs="Times New Roman" w:eastAsia="Times New Roman" w:hAnsi="Times New Roman"/>
                <w:sz w:val="15"/>
                <w:szCs w:val="15"/>
                <w:color w:val="auto"/>
              </w:rPr>
              <w:t>(State of Incorporation)</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560" w:type="dxa"/>
            <w:vAlign w:val="bottom"/>
          </w:tcPr>
          <w:p>
            <w:pPr>
              <w:jc w:val="center"/>
              <w:ind w:right="443"/>
              <w:spacing w:after="0"/>
              <w:rPr>
                <w:sz w:val="20"/>
                <w:szCs w:val="20"/>
                <w:color w:val="auto"/>
              </w:rPr>
            </w:pPr>
            <w:r>
              <w:rPr>
                <w:rFonts w:ascii="Times New Roman" w:cs="Times New Roman" w:eastAsia="Times New Roman" w:hAnsi="Times New Roman"/>
                <w:sz w:val="15"/>
                <w:szCs w:val="15"/>
                <w:color w:val="auto"/>
              </w:rPr>
              <w:t>(I.R.S. Employer Identification No.)</w:t>
            </w:r>
          </w:p>
        </w:tc>
      </w:tr>
      <w:tr>
        <w:trPr>
          <w:trHeight w:val="379"/>
        </w:trPr>
        <w:tc>
          <w:tcPr>
            <w:tcW w:w="3080" w:type="dxa"/>
            <w:vAlign w:val="bottom"/>
          </w:tcPr>
          <w:p>
            <w:pPr>
              <w:ind w:left="800"/>
              <w:spacing w:after="0"/>
              <w:rPr>
                <w:sz w:val="20"/>
                <w:szCs w:val="20"/>
                <w:color w:val="auto"/>
              </w:rPr>
            </w:pPr>
            <w:r>
              <w:rPr>
                <w:rFonts w:ascii="Times New Roman" w:cs="Times New Roman" w:eastAsia="Times New Roman" w:hAnsi="Times New Roman"/>
                <w:sz w:val="15"/>
                <w:szCs w:val="15"/>
                <w:b w:val="1"/>
                <w:bCs w:val="1"/>
                <w:color w:val="auto"/>
              </w:rPr>
              <w:t>27777 Franklin Rd, Suite 300,</w:t>
            </w:r>
          </w:p>
        </w:tc>
        <w:tc>
          <w:tcPr>
            <w:tcW w:w="82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Southfield,</w:t>
            </w:r>
          </w:p>
        </w:tc>
        <w:tc>
          <w:tcPr>
            <w:tcW w:w="200" w:type="dxa"/>
            <w:vAlign w:val="bottom"/>
          </w:tcPr>
          <w:p>
            <w:pPr>
              <w:spacing w:after="0"/>
              <w:rPr>
                <w:sz w:val="24"/>
                <w:szCs w:val="24"/>
                <w:color w:val="auto"/>
              </w:rPr>
            </w:pPr>
          </w:p>
        </w:tc>
        <w:tc>
          <w:tcPr>
            <w:tcW w:w="3520" w:type="dxa"/>
            <w:vAlign w:val="bottom"/>
            <w:gridSpan w:val="4"/>
          </w:tcPr>
          <w:p>
            <w:pPr>
              <w:ind w:left="140"/>
              <w:spacing w:after="0"/>
              <w:rPr>
                <w:sz w:val="20"/>
                <w:szCs w:val="20"/>
                <w:color w:val="auto"/>
              </w:rPr>
            </w:pPr>
            <w:r>
              <w:rPr>
                <w:rFonts w:ascii="Times New Roman" w:cs="Times New Roman" w:eastAsia="Times New Roman" w:hAnsi="Times New Roman"/>
                <w:sz w:val="15"/>
                <w:szCs w:val="15"/>
                <w:b w:val="1"/>
                <w:bCs w:val="1"/>
                <w:color w:val="auto"/>
              </w:rPr>
              <w:t>Michigan</w:t>
            </w:r>
          </w:p>
        </w:tc>
        <w:tc>
          <w:tcPr>
            <w:tcW w:w="3560" w:type="dxa"/>
            <w:vAlign w:val="bottom"/>
          </w:tcPr>
          <w:p>
            <w:pPr>
              <w:jc w:val="center"/>
              <w:ind w:right="443"/>
              <w:spacing w:after="0"/>
              <w:rPr>
                <w:sz w:val="20"/>
                <w:szCs w:val="20"/>
                <w:color w:val="auto"/>
              </w:rPr>
            </w:pPr>
            <w:r>
              <w:rPr>
                <w:rFonts w:ascii="Times New Roman" w:cs="Times New Roman" w:eastAsia="Times New Roman" w:hAnsi="Times New Roman"/>
                <w:sz w:val="15"/>
                <w:szCs w:val="15"/>
                <w:b w:val="1"/>
                <w:bCs w:val="1"/>
                <w:color w:val="auto"/>
              </w:rPr>
              <w:t>48034</w:t>
            </w:r>
          </w:p>
        </w:tc>
      </w:tr>
      <w:tr>
        <w:trPr>
          <w:trHeight w:val="199"/>
        </w:trPr>
        <w:tc>
          <w:tcPr>
            <w:tcW w:w="7620" w:type="dxa"/>
            <w:vAlign w:val="bottom"/>
            <w:gridSpan w:val="7"/>
          </w:tcPr>
          <w:p>
            <w:pPr>
              <w:ind w:left="1480"/>
              <w:spacing w:after="0"/>
              <w:rPr>
                <w:sz w:val="20"/>
                <w:szCs w:val="20"/>
                <w:color w:val="auto"/>
              </w:rPr>
            </w:pPr>
            <w:r>
              <w:rPr>
                <w:rFonts w:ascii="Times New Roman" w:cs="Times New Roman" w:eastAsia="Times New Roman" w:hAnsi="Times New Roman"/>
                <w:sz w:val="15"/>
                <w:szCs w:val="15"/>
                <w:color w:val="auto"/>
              </w:rPr>
              <w:t>(Address of Principal Executive Offices)</w:t>
            </w:r>
          </w:p>
        </w:tc>
        <w:tc>
          <w:tcPr>
            <w:tcW w:w="3560" w:type="dxa"/>
            <w:vAlign w:val="bottom"/>
          </w:tcPr>
          <w:p>
            <w:pPr>
              <w:jc w:val="center"/>
              <w:ind w:right="443"/>
              <w:spacing w:after="0"/>
              <w:rPr>
                <w:sz w:val="20"/>
                <w:szCs w:val="20"/>
                <w:color w:val="auto"/>
              </w:rPr>
            </w:pPr>
            <w:r>
              <w:rPr>
                <w:rFonts w:ascii="Times New Roman" w:cs="Times New Roman" w:eastAsia="Times New Roman" w:hAnsi="Times New Roman"/>
                <w:sz w:val="15"/>
                <w:szCs w:val="15"/>
                <w:color w:val="auto"/>
              </w:rPr>
              <w:t>(Zip Code)</w:t>
            </w:r>
          </w:p>
        </w:tc>
      </w:tr>
      <w:tr>
        <w:trPr>
          <w:trHeight w:val="359"/>
        </w:trPr>
        <w:tc>
          <w:tcPr>
            <w:tcW w:w="3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980" w:type="dxa"/>
            <w:vAlign w:val="bottom"/>
            <w:gridSpan w:val="3"/>
          </w:tcPr>
          <w:p>
            <w:pPr>
              <w:jc w:val="center"/>
              <w:ind w:left="303"/>
              <w:spacing w:after="0"/>
              <w:rPr>
                <w:sz w:val="20"/>
                <w:szCs w:val="20"/>
                <w:color w:val="auto"/>
              </w:rPr>
            </w:pPr>
            <w:r>
              <w:rPr>
                <w:rFonts w:ascii="Times New Roman" w:cs="Times New Roman" w:eastAsia="Times New Roman" w:hAnsi="Times New Roman"/>
                <w:sz w:val="15"/>
                <w:szCs w:val="15"/>
                <w:b w:val="1"/>
                <w:bCs w:val="1"/>
                <w:color w:val="auto"/>
              </w:rPr>
              <w:t>(248) 208-2500</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78"/>
        </w:trPr>
        <w:tc>
          <w:tcPr>
            <w:tcW w:w="3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720" w:type="dxa"/>
            <w:vAlign w:val="bottom"/>
            <w:gridSpan w:val="5"/>
          </w:tcPr>
          <w:p>
            <w:pPr>
              <w:jc w:val="center"/>
              <w:ind w:right="340"/>
              <w:spacing w:after="0"/>
              <w:rPr>
                <w:sz w:val="20"/>
                <w:szCs w:val="20"/>
                <w:color w:val="auto"/>
              </w:rPr>
            </w:pPr>
            <w:r>
              <w:rPr>
                <w:rFonts w:ascii="Times New Roman" w:cs="Times New Roman" w:eastAsia="Times New Roman" w:hAnsi="Times New Roman"/>
                <w:sz w:val="15"/>
                <w:szCs w:val="15"/>
                <w:color w:val="auto"/>
              </w:rPr>
              <w:t>(Registrant's telephone number, including area code)</w:t>
            </w:r>
          </w:p>
        </w:tc>
        <w:tc>
          <w:tcPr>
            <w:tcW w:w="3560" w:type="dxa"/>
            <w:vAlign w:val="bottom"/>
          </w:tcPr>
          <w:p>
            <w:pPr>
              <w:spacing w:after="0"/>
              <w:rPr>
                <w:sz w:val="24"/>
                <w:szCs w:val="24"/>
                <w:color w:val="auto"/>
              </w:rPr>
            </w:pPr>
          </w:p>
        </w:tc>
      </w:tr>
      <w:tr>
        <w:trPr>
          <w:trHeight w:val="278"/>
        </w:trPr>
        <w:tc>
          <w:tcPr>
            <w:tcW w:w="3080" w:type="dxa"/>
            <w:vAlign w:val="bottom"/>
          </w:tcPr>
          <w:p>
            <w:pPr>
              <w:spacing w:after="0"/>
              <w:rPr>
                <w:sz w:val="24"/>
                <w:szCs w:val="24"/>
                <w:color w:val="auto"/>
              </w:rPr>
            </w:pPr>
          </w:p>
        </w:tc>
        <w:tc>
          <w:tcPr>
            <w:tcW w:w="4540" w:type="dxa"/>
            <w:vAlign w:val="bottom"/>
            <w:gridSpan w:val="6"/>
          </w:tcPr>
          <w:p>
            <w:pPr>
              <w:jc w:val="center"/>
              <w:ind w:left="403"/>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tc>
        <w:tc>
          <w:tcPr>
            <w:tcW w:w="3560" w:type="dxa"/>
            <w:vAlign w:val="bottom"/>
          </w:tcPr>
          <w:p>
            <w:pPr>
              <w:spacing w:after="0"/>
              <w:rPr>
                <w:sz w:val="24"/>
                <w:szCs w:val="24"/>
                <w:color w:val="auto"/>
              </w:rPr>
            </w:pPr>
          </w:p>
        </w:tc>
      </w:tr>
      <w:tr>
        <w:trPr>
          <w:trHeight w:val="313"/>
        </w:trPr>
        <w:tc>
          <w:tcPr>
            <w:tcW w:w="3080" w:type="dxa"/>
            <w:vAlign w:val="bottom"/>
          </w:tcPr>
          <w:p>
            <w:pPr>
              <w:jc w:val="center"/>
              <w:ind w:left="923"/>
              <w:spacing w:after="0"/>
              <w:rPr>
                <w:sz w:val="20"/>
                <w:szCs w:val="20"/>
                <w:color w:val="auto"/>
              </w:rPr>
            </w:pPr>
            <w:r>
              <w:rPr>
                <w:rFonts w:ascii="Times New Roman" w:cs="Times New Roman" w:eastAsia="Times New Roman" w:hAnsi="Times New Roman"/>
                <w:sz w:val="15"/>
                <w:szCs w:val="15"/>
                <w:color w:val="auto"/>
              </w:rPr>
              <w:t>Title of each class</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40" w:type="dxa"/>
            <w:vAlign w:val="bottom"/>
            <w:gridSpan w:val="3"/>
          </w:tcPr>
          <w:p>
            <w:pPr>
              <w:jc w:val="center"/>
              <w:ind w:right="740"/>
              <w:spacing w:after="0"/>
              <w:rPr>
                <w:sz w:val="20"/>
                <w:szCs w:val="20"/>
                <w:color w:val="auto"/>
              </w:rPr>
            </w:pPr>
            <w:r>
              <w:rPr>
                <w:rFonts w:ascii="Times New Roman" w:cs="Times New Roman" w:eastAsia="Times New Roman" w:hAnsi="Times New Roman"/>
                <w:sz w:val="15"/>
                <w:szCs w:val="15"/>
                <w:color w:val="auto"/>
              </w:rPr>
              <w:t>Trading Symbol(s)</w:t>
            </w:r>
          </w:p>
        </w:tc>
        <w:tc>
          <w:tcPr>
            <w:tcW w:w="3560" w:type="dxa"/>
            <w:vAlign w:val="bottom"/>
          </w:tcPr>
          <w:p>
            <w:pPr>
              <w:jc w:val="center"/>
              <w:ind w:right="483"/>
              <w:spacing w:after="0"/>
              <w:rPr>
                <w:sz w:val="20"/>
                <w:szCs w:val="20"/>
                <w:color w:val="auto"/>
              </w:rPr>
            </w:pPr>
            <w:r>
              <w:rPr>
                <w:rFonts w:ascii="Times New Roman" w:cs="Times New Roman" w:eastAsia="Times New Roman" w:hAnsi="Times New Roman"/>
                <w:sz w:val="15"/>
                <w:szCs w:val="15"/>
                <w:color w:val="auto"/>
              </w:rPr>
              <w:t>Name of each exchange on which registered</w:t>
            </w:r>
          </w:p>
        </w:tc>
      </w:tr>
      <w:tr>
        <w:trPr>
          <w:trHeight w:val="191"/>
        </w:trPr>
        <w:tc>
          <w:tcPr>
            <w:tcW w:w="3080" w:type="dxa"/>
            <w:vAlign w:val="bottom"/>
            <w:tcBorders>
              <w:top w:val="single" w:sz="8" w:color="auto"/>
            </w:tcBorders>
          </w:tcPr>
          <w:p>
            <w:pPr>
              <w:jc w:val="center"/>
              <w:ind w:left="923"/>
              <w:spacing w:after="0"/>
              <w:rPr>
                <w:sz w:val="20"/>
                <w:szCs w:val="20"/>
                <w:color w:val="auto"/>
              </w:rPr>
            </w:pPr>
            <w:r>
              <w:rPr>
                <w:rFonts w:ascii="Times New Roman" w:cs="Times New Roman" w:eastAsia="Times New Roman" w:hAnsi="Times New Roman"/>
                <w:sz w:val="15"/>
                <w:szCs w:val="15"/>
                <w:color w:val="auto"/>
              </w:rPr>
              <w:t>Common Stock, $0.01 par value</w:t>
            </w:r>
          </w:p>
        </w:tc>
        <w:tc>
          <w:tcPr>
            <w:tcW w:w="8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SUI</w:t>
            </w:r>
          </w:p>
        </w:tc>
        <w:tc>
          <w:tcPr>
            <w:tcW w:w="20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3560" w:type="dxa"/>
            <w:vAlign w:val="bottom"/>
            <w:tcBorders>
              <w:top w:val="single" w:sz="8" w:color="auto"/>
            </w:tcBorders>
          </w:tcPr>
          <w:p>
            <w:pPr>
              <w:jc w:val="center"/>
              <w:ind w:right="483"/>
              <w:spacing w:after="0"/>
              <w:rPr>
                <w:sz w:val="20"/>
                <w:szCs w:val="20"/>
                <w:color w:val="auto"/>
              </w:rPr>
            </w:pPr>
            <w:r>
              <w:rPr>
                <w:rFonts w:ascii="Times New Roman" w:cs="Times New Roman" w:eastAsia="Times New Roman" w:hAnsi="Times New Roman"/>
                <w:sz w:val="15"/>
                <w:szCs w:val="15"/>
                <w:color w:val="auto"/>
              </w:rPr>
              <w:t>New York Stock Exchange</w:t>
            </w:r>
          </w:p>
        </w:tc>
      </w:tr>
    </w:tbl>
    <w:p>
      <w:pPr>
        <w:spacing w:after="0" w:line="109" w:lineRule="exact"/>
        <w:rPr>
          <w:sz w:val="24"/>
          <w:szCs w:val="24"/>
          <w:color w:val="auto"/>
        </w:rPr>
      </w:pPr>
    </w:p>
    <w:p>
      <w:pPr>
        <w:ind w:right="2840"/>
        <w:spacing w:after="0" w:line="269"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Indicate by check mark if the Registrant is not required to file reports pursuant to Section 13 or 15(d) of the Exchange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55" w:lineRule="exact"/>
        <w:rPr>
          <w:sz w:val="24"/>
          <w:szCs w:val="24"/>
          <w:color w:val="auto"/>
        </w:rPr>
      </w:pPr>
    </w:p>
    <w:p>
      <w:pPr>
        <w:spacing w:after="0" w:line="20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55" w:lineRule="exact"/>
        <w:rPr>
          <w:sz w:val="24"/>
          <w:szCs w:val="24"/>
          <w:color w:val="auto"/>
        </w:rPr>
      </w:pPr>
    </w:p>
    <w:p>
      <w:pPr>
        <w:ind w:right="20"/>
        <w:spacing w:after="0" w:line="20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ectPr>
          <w:pgSz w:w="11900" w:h="16838" w:orient="portrait"/>
          <w:cols w:equalWidth="0" w:num="1">
            <w:col w:w="11260"/>
          </w:cols>
          <w:pgMar w:left="320" w:top="1133" w:right="319" w:bottom="1440" w:gutter="0" w:footer="0" w:header="0"/>
        </w:sectPr>
      </w:pPr>
    </w:p>
    <w:p>
      <w:pPr>
        <w:spacing w:after="0" w:line="126"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5"/>
          <w:szCs w:val="15"/>
          <w:color w:val="auto"/>
        </w:rPr>
        <w:t>Smaller reporting company</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Emerging growth company</w:t>
      </w:r>
    </w:p>
    <w:p>
      <w:pPr>
        <w:spacing w:after="0" w:line="27" w:lineRule="exact"/>
        <w:rPr>
          <w:sz w:val="24"/>
          <w:szCs w:val="24"/>
          <w:color w:val="auto"/>
        </w:rPr>
      </w:pPr>
    </w:p>
    <w:p>
      <w:pPr>
        <w:sectPr>
          <w:pgSz w:w="11900" w:h="16838" w:orient="portrait"/>
          <w:cols w:equalWidth="0" w:num="5">
            <w:col w:w="1840" w:space="720"/>
            <w:col w:w="1220" w:space="720"/>
            <w:col w:w="1440" w:space="720"/>
            <w:col w:w="1780" w:space="720"/>
            <w:col w:w="2100"/>
          </w:cols>
          <w:pgMar w:left="320" w:top="1133" w:right="319" w:bottom="1440" w:gutter="0" w:footer="0" w:header="0"/>
          <w:type w:val="continuous"/>
        </w:sectPr>
      </w:pPr>
    </w:p>
    <w:p>
      <w:pPr>
        <w:ind w:left="980"/>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jc w:val="center"/>
        <w:ind w:right="1240"/>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jc w:val="center"/>
        <w:ind w:right="1640"/>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5">
            <w:col w:w="2280" w:space="720"/>
            <w:col w:w="1380" w:space="720"/>
            <w:col w:w="1620" w:space="720"/>
            <w:col w:w="1780" w:space="720"/>
            <w:col w:w="1320"/>
          </w:cols>
          <w:pgMar w:left="320" w:top="1133" w:right="319" w:bottom="1440" w:gutter="0" w:footer="0" w:header="0"/>
          <w:type w:val="continuous"/>
        </w:sectPr>
      </w:pPr>
    </w:p>
    <w:p>
      <w:pPr>
        <w:spacing w:after="0" w:line="16" w:lineRule="exact"/>
        <w:rPr>
          <w:sz w:val="24"/>
          <w:szCs w:val="24"/>
          <w:color w:val="auto"/>
        </w:rPr>
      </w:pPr>
    </w:p>
    <w:p>
      <w:pPr>
        <w:ind w:right="20"/>
        <w:spacing w:after="0" w:line="205"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530860</wp:posOffset>
            </wp:positionV>
            <wp:extent cx="7177405" cy="40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133" w:right="319" w:bottom="1440" w:gutter="0" w:footer="0" w:header="0"/>
          <w:type w:val="continuous"/>
        </w:sectPr>
      </w:pPr>
    </w:p>
    <w:bookmarkStart w:id="1" w:name="page2"/>
    <w:bookmarkEnd w:id="1"/>
    <w:p>
      <w:pPr>
        <w:jc w:val="both"/>
        <w:spacing w:after="0" w:line="20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55" w:lineRule="exact"/>
        <w:rPr>
          <w:sz w:val="20"/>
          <w:szCs w:val="20"/>
          <w:color w:val="auto"/>
        </w:rPr>
      </w:pPr>
    </w:p>
    <w:p>
      <w:pPr>
        <w:jc w:val="both"/>
        <w:ind w:right="20"/>
        <w:spacing w:after="0" w:line="205" w:lineRule="exact"/>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55" w:lineRule="exact"/>
        <w:rPr>
          <w:sz w:val="20"/>
          <w:szCs w:val="20"/>
          <w:color w:val="auto"/>
        </w:rPr>
      </w:pPr>
    </w:p>
    <w:p>
      <w:pPr>
        <w:jc w:val="both"/>
        <w:ind w:right="20"/>
        <w:spacing w:after="0" w:line="205" w:lineRule="exact"/>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Section 240.10D-1(b). </w:t>
      </w:r>
      <w:r>
        <w:rPr>
          <w:rFonts w:ascii="MS PGothic" w:cs="MS PGothic" w:eastAsia="MS PGothic" w:hAnsi="MS PGothic"/>
          <w:sz w:val="15"/>
          <w:szCs w:val="15"/>
          <w:color w:val="auto"/>
        </w:rPr>
        <w:t>☐</w:t>
      </w:r>
    </w:p>
    <w:p>
      <w:pPr>
        <w:spacing w:after="0" w:line="19" w:lineRule="exact"/>
        <w:rPr>
          <w:sz w:val="20"/>
          <w:szCs w:val="20"/>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4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5"/>
          <w:szCs w:val="15"/>
          <w:color w:val="auto"/>
        </w:rPr>
        <w:t>As of June 30, 2025, the aggregate market value of the Registrant's stock held by non-affiliates of the Registrant was $15,745,164,541 (computed by reference to the closing sales price of the Registrant's common stock as of June 30, 2025). For this computation, the Registrant has excluded the market value of all shares of common stock reported as beneficially owned by executive officers and directors of the Registrant; such exclusion shall not be deemed to constitute an admission that any such person is an affiliate of the Registrant.</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Number of shares of Common Stock, $0.01 par value per share, outstanding as of February 17, 2026: 123,184,632</w:t>
      </w:r>
    </w:p>
    <w:p>
      <w:pPr>
        <w:spacing w:after="0" w:line="10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5"/>
          <w:szCs w:val="15"/>
          <w:color w:val="auto"/>
        </w:rPr>
        <w:t>Documents Incorporated By Reference</w:t>
      </w:r>
    </w:p>
    <w:p>
      <w:pPr>
        <w:spacing w:after="0" w:line="10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5"/>
          <w:szCs w:val="15"/>
          <w:color w:val="auto"/>
        </w:rPr>
        <w:t>Unless provided in an amendment to this Annual Report on Form 10-K, the information required by Part III is incorporated by reference to the Registrant's proxy statement to be filed pursuant to Regulation 14A, with respect to the Registrant's 2026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521335</wp:posOffset>
            </wp:positionV>
            <wp:extent cx="7177405" cy="400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144"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3"/>
        </w:trPr>
        <w:tc>
          <w:tcPr>
            <w:tcW w:w="1240" w:type="dxa"/>
            <w:vAlign w:val="bottom"/>
          </w:tcPr>
          <w:p>
            <w:pPr>
              <w:spacing w:after="0"/>
              <w:rPr>
                <w:sz w:val="17"/>
                <w:szCs w:val="17"/>
                <w:color w:val="auto"/>
              </w:rPr>
            </w:pPr>
          </w:p>
        </w:tc>
        <w:tc>
          <w:tcPr>
            <w:tcW w:w="8480" w:type="dxa"/>
            <w:vAlign w:val="bottom"/>
          </w:tcPr>
          <w:p>
            <w:pPr>
              <w:ind w:left="3440"/>
              <w:spacing w:after="0"/>
              <w:rPr>
                <w:sz w:val="20"/>
                <w:szCs w:val="20"/>
                <w:color w:val="auto"/>
              </w:rPr>
            </w:pPr>
            <w:r>
              <w:rPr>
                <w:rFonts w:ascii="Times New Roman" w:cs="Times New Roman" w:eastAsia="Times New Roman" w:hAnsi="Times New Roman"/>
                <w:sz w:val="15"/>
                <w:szCs w:val="15"/>
                <w:b w:val="1"/>
                <w:bCs w:val="1"/>
                <w:color w:val="auto"/>
              </w:rPr>
              <w:t>SUN COMMUNITIES, INC.</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926"/>
        </w:trPr>
        <w:tc>
          <w:tcPr>
            <w:tcW w:w="1240" w:type="dxa"/>
            <w:vAlign w:val="bottom"/>
          </w:tcPr>
          <w:p>
            <w:pPr>
              <w:spacing w:after="0"/>
              <w:rPr>
                <w:sz w:val="24"/>
                <w:szCs w:val="24"/>
                <w:color w:val="auto"/>
              </w:rPr>
            </w:pPr>
          </w:p>
        </w:tc>
        <w:tc>
          <w:tcPr>
            <w:tcW w:w="8480" w:type="dxa"/>
            <w:vAlign w:val="bottom"/>
          </w:tcPr>
          <w:p>
            <w:pPr>
              <w:ind w:left="3800"/>
              <w:spacing w:after="0"/>
              <w:rPr>
                <w:sz w:val="20"/>
                <w:szCs w:val="20"/>
                <w:color w:val="auto"/>
              </w:rPr>
            </w:pPr>
            <w:r>
              <w:rPr>
                <w:rFonts w:ascii="Times New Roman" w:cs="Times New Roman" w:eastAsia="Times New Roman" w:hAnsi="Times New Roman"/>
                <w:sz w:val="15"/>
                <w:szCs w:val="15"/>
                <w:b w:val="1"/>
                <w:bCs w:val="1"/>
                <w:color w:val="auto"/>
              </w:rPr>
              <w:t>Table of Contents</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13"/>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Item</w:t>
            </w:r>
          </w:p>
        </w:tc>
        <w:tc>
          <w:tcPr>
            <w:tcW w:w="84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5"/>
                <w:szCs w:val="15"/>
                <w:color w:val="auto"/>
              </w:rPr>
              <w:t>Description</w:t>
            </w:r>
          </w:p>
        </w:tc>
        <w:tc>
          <w:tcPr>
            <w:tcW w:w="1540" w:type="dxa"/>
            <w:vAlign w:val="bottom"/>
            <w:tcBorders>
              <w:bottom w:val="single" w:sz="8" w:color="auto"/>
            </w:tcBorders>
            <w:gridSpan w:val="7"/>
          </w:tcPr>
          <w:p>
            <w:pPr>
              <w:ind w:left="700"/>
              <w:spacing w:after="0"/>
              <w:rPr>
                <w:sz w:val="20"/>
                <w:szCs w:val="20"/>
                <w:color w:val="auto"/>
              </w:rPr>
            </w:pPr>
            <w:r>
              <w:rPr>
                <w:rFonts w:ascii="Times New Roman" w:cs="Times New Roman" w:eastAsia="Times New Roman" w:hAnsi="Times New Roman"/>
                <w:sz w:val="15"/>
                <w:szCs w:val="15"/>
                <w:color w:val="auto"/>
              </w:rPr>
              <w:t>Page</w:t>
            </w:r>
          </w:p>
        </w:tc>
      </w:tr>
      <w:tr>
        <w:trPr>
          <w:trHeight w:val="405"/>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auto"/>
              </w:rPr>
              <w:t>Part I.</w:t>
            </w:r>
          </w:p>
        </w:tc>
        <w:tc>
          <w:tcPr>
            <w:tcW w:w="8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65"/>
        </w:trPr>
        <w:tc>
          <w:tcPr>
            <w:tcW w:w="124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Item 1.</w:t>
            </w:r>
          </w:p>
        </w:tc>
        <w:tc>
          <w:tcPr>
            <w:tcW w:w="8480" w:type="dxa"/>
            <w:vAlign w:val="bottom"/>
          </w:tcPr>
          <w:p>
            <w:pPr>
              <w:ind w:left="620"/>
              <w:spacing w:after="0" w:line="165" w:lineRule="exact"/>
              <w:rPr>
                <w:sz w:val="20"/>
                <w:szCs w:val="20"/>
                <w:color w:val="auto"/>
              </w:rPr>
            </w:pPr>
            <w:r>
              <w:rPr>
                <w:rFonts w:ascii="Times New Roman" w:cs="Times New Roman" w:eastAsia="Times New Roman" w:hAnsi="Times New Roman"/>
                <w:sz w:val="15"/>
                <w:szCs w:val="15"/>
                <w:color w:val="auto"/>
              </w:rPr>
              <w:t>Business</w:t>
            </w:r>
          </w:p>
        </w:tc>
        <w:tc>
          <w:tcPr>
            <w:tcW w:w="1160" w:type="dxa"/>
            <w:vAlign w:val="bottom"/>
            <w:gridSpan w:val="4"/>
          </w:tcPr>
          <w:p>
            <w:pPr>
              <w:jc w:val="center"/>
              <w:ind w:left="1003"/>
              <w:spacing w:after="0" w:line="165" w:lineRule="exact"/>
              <w:rPr>
                <w:sz w:val="20"/>
                <w:szCs w:val="20"/>
                <w:color w:val="auto"/>
              </w:rPr>
            </w:pPr>
            <w:r>
              <w:rPr>
                <w:rFonts w:ascii="Times New Roman" w:cs="Times New Roman" w:eastAsia="Times New Roman" w:hAnsi="Times New Roman"/>
                <w:sz w:val="15"/>
                <w:szCs w:val="15"/>
                <w:color w:val="auto"/>
              </w:rPr>
              <w:t>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77"/>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auto"/>
              </w:rPr>
              <w:t>Item 1A.</w:t>
            </w:r>
          </w:p>
        </w:tc>
        <w:tc>
          <w:tcPr>
            <w:tcW w:w="8480" w:type="dxa"/>
            <w:vAlign w:val="bottom"/>
          </w:tcPr>
          <w:p>
            <w:pPr>
              <w:ind w:left="620"/>
              <w:spacing w:after="0"/>
              <w:rPr>
                <w:sz w:val="20"/>
                <w:szCs w:val="20"/>
                <w:color w:val="auto"/>
              </w:rPr>
            </w:pPr>
            <w:r>
              <w:rPr>
                <w:rFonts w:ascii="Times New Roman" w:cs="Times New Roman" w:eastAsia="Times New Roman" w:hAnsi="Times New Roman"/>
                <w:sz w:val="15"/>
                <w:szCs w:val="15"/>
                <w:color w:val="auto"/>
              </w:rPr>
              <w:t>Risk Factors</w:t>
            </w:r>
          </w:p>
        </w:tc>
        <w:tc>
          <w:tcPr>
            <w:tcW w:w="1160" w:type="dxa"/>
            <w:vAlign w:val="bottom"/>
            <w:gridSpan w:val="4"/>
          </w:tcPr>
          <w:p>
            <w:pPr>
              <w:jc w:val="center"/>
              <w:ind w:left="1003"/>
              <w:spacing w:after="0"/>
              <w:rPr>
                <w:sz w:val="20"/>
                <w:szCs w:val="20"/>
                <w:color w:val="auto"/>
              </w:rPr>
            </w:pPr>
            <w:r>
              <w:rPr>
                <w:rFonts w:ascii="Times New Roman" w:cs="Times New Roman" w:eastAsia="Times New Roman" w:hAnsi="Times New Roman"/>
                <w:sz w:val="15"/>
                <w:szCs w:val="15"/>
                <w:color w:val="auto"/>
              </w:rPr>
              <w:t>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77"/>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auto"/>
              </w:rPr>
              <w:t>Item 1B.</w:t>
            </w:r>
          </w:p>
        </w:tc>
        <w:tc>
          <w:tcPr>
            <w:tcW w:w="8480" w:type="dxa"/>
            <w:vAlign w:val="bottom"/>
          </w:tcPr>
          <w:p>
            <w:pPr>
              <w:ind w:left="620"/>
              <w:spacing w:after="0"/>
              <w:rPr>
                <w:sz w:val="20"/>
                <w:szCs w:val="20"/>
                <w:color w:val="auto"/>
              </w:rPr>
            </w:pPr>
            <w:r>
              <w:rPr>
                <w:rFonts w:ascii="Times New Roman" w:cs="Times New Roman" w:eastAsia="Times New Roman" w:hAnsi="Times New Roman"/>
                <w:sz w:val="15"/>
                <w:szCs w:val="15"/>
                <w:color w:val="auto"/>
              </w:rPr>
              <w:t>Unresolved Staff Comments</w:t>
            </w:r>
          </w:p>
        </w:tc>
        <w:tc>
          <w:tcPr>
            <w:tcW w:w="1200" w:type="dxa"/>
            <w:vAlign w:val="bottom"/>
            <w:gridSpan w:val="5"/>
          </w:tcPr>
          <w:p>
            <w:pPr>
              <w:jc w:val="center"/>
              <w:ind w:left="963"/>
              <w:spacing w:after="0"/>
              <w:rPr>
                <w:sz w:val="20"/>
                <w:szCs w:val="20"/>
                <w:color w:val="auto"/>
              </w:rPr>
            </w:pPr>
            <w:r>
              <w:rPr>
                <w:rFonts w:ascii="Times New Roman" w:cs="Times New Roman" w:eastAsia="Times New Roman" w:hAnsi="Times New Roman"/>
                <w:sz w:val="15"/>
                <w:szCs w:val="15"/>
                <w:color w:val="auto"/>
              </w:rPr>
              <w:t>19</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77"/>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auto"/>
              </w:rPr>
              <w:t>Item 1C.</w:t>
            </w:r>
          </w:p>
        </w:tc>
        <w:tc>
          <w:tcPr>
            <w:tcW w:w="8480" w:type="dxa"/>
            <w:vAlign w:val="bottom"/>
          </w:tcPr>
          <w:p>
            <w:pPr>
              <w:ind w:left="620"/>
              <w:spacing w:after="0"/>
              <w:rPr>
                <w:sz w:val="20"/>
                <w:szCs w:val="20"/>
                <w:color w:val="auto"/>
              </w:rPr>
            </w:pPr>
            <w:r>
              <w:rPr>
                <w:rFonts w:ascii="Times New Roman" w:cs="Times New Roman" w:eastAsia="Times New Roman" w:hAnsi="Times New Roman"/>
                <w:sz w:val="15"/>
                <w:szCs w:val="15"/>
                <w:color w:val="auto"/>
              </w:rPr>
              <w:t>Cybersecurity</w:t>
            </w:r>
          </w:p>
        </w:tc>
        <w:tc>
          <w:tcPr>
            <w:tcW w:w="1200" w:type="dxa"/>
            <w:vAlign w:val="bottom"/>
            <w:gridSpan w:val="5"/>
          </w:tcPr>
          <w:p>
            <w:pPr>
              <w:jc w:val="center"/>
              <w:ind w:left="963"/>
              <w:spacing w:after="0"/>
              <w:rPr>
                <w:sz w:val="20"/>
                <w:szCs w:val="20"/>
                <w:color w:val="auto"/>
              </w:rPr>
            </w:pPr>
            <w:r>
              <w:rPr>
                <w:rFonts w:ascii="Times New Roman" w:cs="Times New Roman" w:eastAsia="Times New Roman" w:hAnsi="Times New Roman"/>
                <w:sz w:val="15"/>
                <w:szCs w:val="15"/>
                <w:color w:val="auto"/>
              </w:rPr>
              <w:t>20</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77"/>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auto"/>
              </w:rPr>
              <w:t>Item 2.</w:t>
            </w:r>
          </w:p>
        </w:tc>
        <w:tc>
          <w:tcPr>
            <w:tcW w:w="8480" w:type="dxa"/>
            <w:vAlign w:val="bottom"/>
          </w:tcPr>
          <w:p>
            <w:pPr>
              <w:ind w:left="620"/>
              <w:spacing w:after="0"/>
              <w:rPr>
                <w:sz w:val="20"/>
                <w:szCs w:val="20"/>
                <w:color w:val="auto"/>
              </w:rPr>
            </w:pPr>
            <w:r>
              <w:rPr>
                <w:rFonts w:ascii="Times New Roman" w:cs="Times New Roman" w:eastAsia="Times New Roman" w:hAnsi="Times New Roman"/>
                <w:sz w:val="15"/>
                <w:szCs w:val="15"/>
                <w:color w:val="auto"/>
              </w:rPr>
              <w:t>Properties</w:t>
            </w:r>
          </w:p>
        </w:tc>
        <w:tc>
          <w:tcPr>
            <w:tcW w:w="1200" w:type="dxa"/>
            <w:vAlign w:val="bottom"/>
            <w:gridSpan w:val="5"/>
          </w:tcPr>
          <w:p>
            <w:pPr>
              <w:jc w:val="center"/>
              <w:ind w:left="963"/>
              <w:spacing w:after="0"/>
              <w:rPr>
                <w:sz w:val="20"/>
                <w:szCs w:val="20"/>
                <w:color w:val="auto"/>
              </w:rPr>
            </w:pPr>
            <w:r>
              <w:rPr>
                <w:rFonts w:ascii="Times New Roman" w:cs="Times New Roman" w:eastAsia="Times New Roman" w:hAnsi="Times New Roman"/>
                <w:sz w:val="15"/>
                <w:szCs w:val="15"/>
                <w:color w:val="auto"/>
              </w:rPr>
              <w:t>21</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77"/>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auto"/>
              </w:rPr>
              <w:t>Item 3.</w:t>
            </w:r>
          </w:p>
        </w:tc>
        <w:tc>
          <w:tcPr>
            <w:tcW w:w="8480" w:type="dxa"/>
            <w:vAlign w:val="bottom"/>
          </w:tcPr>
          <w:p>
            <w:pPr>
              <w:ind w:left="620"/>
              <w:spacing w:after="0"/>
              <w:rPr>
                <w:sz w:val="20"/>
                <w:szCs w:val="20"/>
                <w:color w:val="auto"/>
              </w:rPr>
            </w:pPr>
            <w:r>
              <w:rPr>
                <w:rFonts w:ascii="Times New Roman" w:cs="Times New Roman" w:eastAsia="Times New Roman" w:hAnsi="Times New Roman"/>
                <w:sz w:val="15"/>
                <w:szCs w:val="15"/>
                <w:color w:val="auto"/>
              </w:rPr>
              <w:t>Legal Proceedings</w:t>
            </w:r>
          </w:p>
        </w:tc>
        <w:tc>
          <w:tcPr>
            <w:tcW w:w="1200" w:type="dxa"/>
            <w:vAlign w:val="bottom"/>
            <w:gridSpan w:val="5"/>
          </w:tcPr>
          <w:p>
            <w:pPr>
              <w:jc w:val="center"/>
              <w:ind w:left="963"/>
              <w:spacing w:after="0"/>
              <w:rPr>
                <w:sz w:val="20"/>
                <w:szCs w:val="20"/>
                <w:color w:val="auto"/>
              </w:rPr>
            </w:pPr>
            <w:r>
              <w:rPr>
                <w:rFonts w:ascii="Times New Roman" w:cs="Times New Roman" w:eastAsia="Times New Roman" w:hAnsi="Times New Roman"/>
                <w:sz w:val="15"/>
                <w:szCs w:val="15"/>
                <w:color w:val="auto"/>
              </w:rPr>
              <w:t>21</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77"/>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auto"/>
              </w:rPr>
              <w:t>Item 4.</w:t>
            </w:r>
          </w:p>
        </w:tc>
        <w:tc>
          <w:tcPr>
            <w:tcW w:w="8480" w:type="dxa"/>
            <w:vAlign w:val="bottom"/>
          </w:tcPr>
          <w:p>
            <w:pPr>
              <w:ind w:left="620"/>
              <w:spacing w:after="0"/>
              <w:rPr>
                <w:sz w:val="20"/>
                <w:szCs w:val="20"/>
                <w:color w:val="auto"/>
              </w:rPr>
            </w:pPr>
            <w:r>
              <w:rPr>
                <w:rFonts w:ascii="Times New Roman" w:cs="Times New Roman" w:eastAsia="Times New Roman" w:hAnsi="Times New Roman"/>
                <w:sz w:val="15"/>
                <w:szCs w:val="15"/>
                <w:color w:val="auto"/>
              </w:rPr>
              <w:t>Mine Safety Disclosures</w:t>
            </w:r>
          </w:p>
        </w:tc>
        <w:tc>
          <w:tcPr>
            <w:tcW w:w="1200" w:type="dxa"/>
            <w:vAlign w:val="bottom"/>
            <w:gridSpan w:val="5"/>
          </w:tcPr>
          <w:p>
            <w:pPr>
              <w:jc w:val="center"/>
              <w:ind w:left="963"/>
              <w:spacing w:after="0"/>
              <w:rPr>
                <w:sz w:val="20"/>
                <w:szCs w:val="20"/>
                <w:color w:val="auto"/>
              </w:rPr>
            </w:pPr>
            <w:r>
              <w:rPr>
                <w:rFonts w:ascii="Times New Roman" w:cs="Times New Roman" w:eastAsia="Times New Roman" w:hAnsi="Times New Roman"/>
                <w:sz w:val="15"/>
                <w:szCs w:val="15"/>
                <w:color w:val="auto"/>
              </w:rPr>
              <w:t>22</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440"/>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auto"/>
              </w:rPr>
              <w:t>Part II.</w:t>
            </w:r>
          </w:p>
        </w:tc>
        <w:tc>
          <w:tcPr>
            <w:tcW w:w="8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65"/>
        </w:trPr>
        <w:tc>
          <w:tcPr>
            <w:tcW w:w="124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Item 5.</w:t>
            </w:r>
          </w:p>
        </w:tc>
        <w:tc>
          <w:tcPr>
            <w:tcW w:w="8480" w:type="dxa"/>
            <w:vAlign w:val="bottom"/>
          </w:tcPr>
          <w:p>
            <w:pPr>
              <w:ind w:left="620"/>
              <w:spacing w:after="0" w:line="165" w:lineRule="exact"/>
              <w:rPr>
                <w:sz w:val="20"/>
                <w:szCs w:val="20"/>
                <w:color w:val="auto"/>
              </w:rPr>
            </w:pPr>
            <w:r>
              <w:rPr>
                <w:rFonts w:ascii="Times New Roman" w:cs="Times New Roman" w:eastAsia="Times New Roman" w:hAnsi="Times New Roman"/>
                <w:sz w:val="15"/>
                <w:szCs w:val="15"/>
                <w:color w:val="auto"/>
              </w:rPr>
              <w:t>Market for the Registrant's Common Equity, Related Shareholder Matters, and Issuer Purchases of Equity Securities</w:t>
            </w:r>
          </w:p>
        </w:tc>
        <w:tc>
          <w:tcPr>
            <w:tcW w:w="1200" w:type="dxa"/>
            <w:vAlign w:val="bottom"/>
            <w:gridSpan w:val="5"/>
          </w:tcPr>
          <w:p>
            <w:pPr>
              <w:jc w:val="center"/>
              <w:ind w:left="963"/>
              <w:spacing w:after="0" w:line="165" w:lineRule="exact"/>
              <w:rPr>
                <w:sz w:val="20"/>
                <w:szCs w:val="20"/>
                <w:color w:val="auto"/>
              </w:rPr>
            </w:pPr>
            <w:r>
              <w:rPr>
                <w:rFonts w:ascii="Times New Roman" w:cs="Times New Roman" w:eastAsia="Times New Roman" w:hAnsi="Times New Roman"/>
                <w:sz w:val="15"/>
                <w:szCs w:val="15"/>
                <w:color w:val="auto"/>
              </w:rPr>
              <w:t>22</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77"/>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auto"/>
              </w:rPr>
              <w:t>Item 6.</w:t>
            </w:r>
          </w:p>
        </w:tc>
        <w:tc>
          <w:tcPr>
            <w:tcW w:w="8480" w:type="dxa"/>
            <w:vAlign w:val="bottom"/>
          </w:tcPr>
          <w:p>
            <w:pPr>
              <w:ind w:left="620"/>
              <w:spacing w:after="0"/>
              <w:rPr>
                <w:sz w:val="20"/>
                <w:szCs w:val="20"/>
                <w:color w:val="auto"/>
              </w:rPr>
            </w:pPr>
            <w:r>
              <w:rPr>
                <w:rFonts w:ascii="Times New Roman" w:cs="Times New Roman" w:eastAsia="Times New Roman" w:hAnsi="Times New Roman"/>
                <w:sz w:val="15"/>
                <w:szCs w:val="15"/>
                <w:color w:val="auto"/>
              </w:rPr>
              <w:t>[Reserved]</w:t>
            </w:r>
          </w:p>
        </w:tc>
        <w:tc>
          <w:tcPr>
            <w:tcW w:w="1200" w:type="dxa"/>
            <w:vAlign w:val="bottom"/>
            <w:gridSpan w:val="5"/>
          </w:tcPr>
          <w:p>
            <w:pPr>
              <w:jc w:val="center"/>
              <w:ind w:left="963"/>
              <w:spacing w:after="0"/>
              <w:rPr>
                <w:sz w:val="20"/>
                <w:szCs w:val="20"/>
                <w:color w:val="auto"/>
              </w:rPr>
            </w:pPr>
            <w:r>
              <w:rPr>
                <w:rFonts w:ascii="Times New Roman" w:cs="Times New Roman" w:eastAsia="Times New Roman" w:hAnsi="Times New Roman"/>
                <w:sz w:val="15"/>
                <w:szCs w:val="15"/>
                <w:color w:val="auto"/>
              </w:rPr>
              <w:t>23</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77"/>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auto"/>
              </w:rPr>
              <w:t>Item 7.</w:t>
            </w:r>
          </w:p>
        </w:tc>
        <w:tc>
          <w:tcPr>
            <w:tcW w:w="8480" w:type="dxa"/>
            <w:vAlign w:val="bottom"/>
          </w:tcPr>
          <w:p>
            <w:pPr>
              <w:ind w:left="620"/>
              <w:spacing w:after="0"/>
              <w:rPr>
                <w:sz w:val="20"/>
                <w:szCs w:val="20"/>
                <w:color w:val="auto"/>
              </w:rPr>
            </w:pPr>
            <w:r>
              <w:rPr>
                <w:rFonts w:ascii="Times New Roman" w:cs="Times New Roman" w:eastAsia="Times New Roman" w:hAnsi="Times New Roman"/>
                <w:sz w:val="15"/>
                <w:szCs w:val="15"/>
                <w:color w:val="auto"/>
              </w:rPr>
              <w:t>Management's Discussion and Analysis of Financial Condition and Results of Operations</w:t>
            </w:r>
          </w:p>
        </w:tc>
        <w:tc>
          <w:tcPr>
            <w:tcW w:w="1200" w:type="dxa"/>
            <w:vAlign w:val="bottom"/>
            <w:gridSpan w:val="5"/>
          </w:tcPr>
          <w:p>
            <w:pPr>
              <w:jc w:val="center"/>
              <w:ind w:left="963"/>
              <w:spacing w:after="0"/>
              <w:rPr>
                <w:sz w:val="20"/>
                <w:szCs w:val="20"/>
                <w:color w:val="auto"/>
              </w:rPr>
            </w:pPr>
            <w:r>
              <w:rPr>
                <w:rFonts w:ascii="Times New Roman" w:cs="Times New Roman" w:eastAsia="Times New Roman" w:hAnsi="Times New Roman"/>
                <w:sz w:val="15"/>
                <w:szCs w:val="15"/>
                <w:color w:val="auto"/>
              </w:rPr>
              <w:t>23</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77"/>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auto"/>
              </w:rPr>
              <w:t>Item 7A.</w:t>
            </w:r>
          </w:p>
        </w:tc>
        <w:tc>
          <w:tcPr>
            <w:tcW w:w="8480" w:type="dxa"/>
            <w:vAlign w:val="bottom"/>
          </w:tcPr>
          <w:p>
            <w:pPr>
              <w:ind w:left="620"/>
              <w:spacing w:after="0"/>
              <w:rPr>
                <w:sz w:val="20"/>
                <w:szCs w:val="20"/>
                <w:color w:val="auto"/>
              </w:rPr>
            </w:pPr>
            <w:r>
              <w:rPr>
                <w:rFonts w:ascii="Times New Roman" w:cs="Times New Roman" w:eastAsia="Times New Roman" w:hAnsi="Times New Roman"/>
                <w:sz w:val="15"/>
                <w:szCs w:val="15"/>
                <w:color w:val="auto"/>
              </w:rPr>
              <w:t>Quantitative and Qualitative Disclosures about Market Risk</w:t>
            </w:r>
          </w:p>
        </w:tc>
        <w:tc>
          <w:tcPr>
            <w:tcW w:w="1200" w:type="dxa"/>
            <w:vAlign w:val="bottom"/>
            <w:gridSpan w:val="5"/>
          </w:tcPr>
          <w:p>
            <w:pPr>
              <w:jc w:val="center"/>
              <w:ind w:left="963"/>
              <w:spacing w:after="0"/>
              <w:rPr>
                <w:sz w:val="20"/>
                <w:szCs w:val="20"/>
                <w:color w:val="auto"/>
              </w:rPr>
            </w:pPr>
            <w:r>
              <w:rPr>
                <w:rFonts w:ascii="Times New Roman" w:cs="Times New Roman" w:eastAsia="Times New Roman" w:hAnsi="Times New Roman"/>
                <w:sz w:val="15"/>
                <w:szCs w:val="15"/>
                <w:color w:val="auto"/>
              </w:rPr>
              <w:t>44</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77"/>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auto"/>
              </w:rPr>
              <w:t>Item 8.</w:t>
            </w:r>
          </w:p>
        </w:tc>
        <w:tc>
          <w:tcPr>
            <w:tcW w:w="8480" w:type="dxa"/>
            <w:vAlign w:val="bottom"/>
          </w:tcPr>
          <w:p>
            <w:pPr>
              <w:ind w:left="620"/>
              <w:spacing w:after="0"/>
              <w:rPr>
                <w:sz w:val="20"/>
                <w:szCs w:val="20"/>
                <w:color w:val="auto"/>
              </w:rPr>
            </w:pPr>
            <w:r>
              <w:rPr>
                <w:rFonts w:ascii="Times New Roman" w:cs="Times New Roman" w:eastAsia="Times New Roman" w:hAnsi="Times New Roman"/>
                <w:sz w:val="15"/>
                <w:szCs w:val="15"/>
                <w:color w:val="auto"/>
              </w:rPr>
              <w:t>Financial Statements and Supplementary Data</w:t>
            </w:r>
          </w:p>
        </w:tc>
        <w:tc>
          <w:tcPr>
            <w:tcW w:w="1200" w:type="dxa"/>
            <w:vAlign w:val="bottom"/>
            <w:gridSpan w:val="5"/>
          </w:tcPr>
          <w:p>
            <w:pPr>
              <w:jc w:val="center"/>
              <w:ind w:left="963"/>
              <w:spacing w:after="0"/>
              <w:rPr>
                <w:sz w:val="20"/>
                <w:szCs w:val="20"/>
                <w:color w:val="auto"/>
              </w:rPr>
            </w:pPr>
            <w:r>
              <w:rPr>
                <w:rFonts w:ascii="Times New Roman" w:cs="Times New Roman" w:eastAsia="Times New Roman" w:hAnsi="Times New Roman"/>
                <w:sz w:val="15"/>
                <w:szCs w:val="15"/>
                <w:color w:val="auto"/>
              </w:rPr>
              <w:t>45</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77"/>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auto"/>
              </w:rPr>
              <w:t>Item 9.</w:t>
            </w:r>
          </w:p>
        </w:tc>
        <w:tc>
          <w:tcPr>
            <w:tcW w:w="8480" w:type="dxa"/>
            <w:vAlign w:val="bottom"/>
          </w:tcPr>
          <w:p>
            <w:pPr>
              <w:ind w:left="620"/>
              <w:spacing w:after="0"/>
              <w:rPr>
                <w:sz w:val="20"/>
                <w:szCs w:val="20"/>
                <w:color w:val="auto"/>
              </w:rPr>
            </w:pPr>
            <w:r>
              <w:rPr>
                <w:rFonts w:ascii="Times New Roman" w:cs="Times New Roman" w:eastAsia="Times New Roman" w:hAnsi="Times New Roman"/>
                <w:sz w:val="15"/>
                <w:szCs w:val="15"/>
                <w:color w:val="auto"/>
              </w:rPr>
              <w:t>Changes in and Disagreements with Accountants on Accounting and Financial Disclosure</w:t>
            </w:r>
          </w:p>
        </w:tc>
        <w:tc>
          <w:tcPr>
            <w:tcW w:w="1200" w:type="dxa"/>
            <w:vAlign w:val="bottom"/>
            <w:gridSpan w:val="5"/>
          </w:tcPr>
          <w:p>
            <w:pPr>
              <w:jc w:val="center"/>
              <w:ind w:left="963"/>
              <w:spacing w:after="0"/>
              <w:rPr>
                <w:sz w:val="20"/>
                <w:szCs w:val="20"/>
                <w:color w:val="auto"/>
              </w:rPr>
            </w:pPr>
            <w:r>
              <w:rPr>
                <w:rFonts w:ascii="Times New Roman" w:cs="Times New Roman" w:eastAsia="Times New Roman" w:hAnsi="Times New Roman"/>
                <w:sz w:val="15"/>
                <w:szCs w:val="15"/>
                <w:color w:val="auto"/>
              </w:rPr>
              <w:t>45</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77"/>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auto"/>
              </w:rPr>
              <w:t>Item 9A.</w:t>
            </w:r>
          </w:p>
        </w:tc>
        <w:tc>
          <w:tcPr>
            <w:tcW w:w="8480" w:type="dxa"/>
            <w:vAlign w:val="bottom"/>
          </w:tcPr>
          <w:p>
            <w:pPr>
              <w:ind w:left="620"/>
              <w:spacing w:after="0"/>
              <w:rPr>
                <w:sz w:val="20"/>
                <w:szCs w:val="20"/>
                <w:color w:val="auto"/>
              </w:rPr>
            </w:pPr>
            <w:r>
              <w:rPr>
                <w:rFonts w:ascii="Times New Roman" w:cs="Times New Roman" w:eastAsia="Times New Roman" w:hAnsi="Times New Roman"/>
                <w:sz w:val="15"/>
                <w:szCs w:val="15"/>
                <w:color w:val="auto"/>
              </w:rPr>
              <w:t>Controls and Procedures</w:t>
            </w:r>
          </w:p>
        </w:tc>
        <w:tc>
          <w:tcPr>
            <w:tcW w:w="1200" w:type="dxa"/>
            <w:vAlign w:val="bottom"/>
            <w:gridSpan w:val="5"/>
          </w:tcPr>
          <w:p>
            <w:pPr>
              <w:jc w:val="center"/>
              <w:ind w:left="963"/>
              <w:spacing w:after="0"/>
              <w:rPr>
                <w:sz w:val="20"/>
                <w:szCs w:val="20"/>
                <w:color w:val="auto"/>
              </w:rPr>
            </w:pPr>
            <w:r>
              <w:rPr>
                <w:rFonts w:ascii="Times New Roman" w:cs="Times New Roman" w:eastAsia="Times New Roman" w:hAnsi="Times New Roman"/>
                <w:sz w:val="15"/>
                <w:szCs w:val="15"/>
                <w:color w:val="auto"/>
              </w:rPr>
              <w:t>45</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77"/>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auto"/>
              </w:rPr>
              <w:t>Item 9B.</w:t>
            </w:r>
          </w:p>
        </w:tc>
        <w:tc>
          <w:tcPr>
            <w:tcW w:w="8480" w:type="dxa"/>
            <w:vAlign w:val="bottom"/>
          </w:tcPr>
          <w:p>
            <w:pPr>
              <w:ind w:left="620"/>
              <w:spacing w:after="0"/>
              <w:rPr>
                <w:sz w:val="20"/>
                <w:szCs w:val="20"/>
                <w:color w:val="auto"/>
              </w:rPr>
            </w:pPr>
            <w:r>
              <w:rPr>
                <w:rFonts w:ascii="Times New Roman" w:cs="Times New Roman" w:eastAsia="Times New Roman" w:hAnsi="Times New Roman"/>
                <w:sz w:val="15"/>
                <w:szCs w:val="15"/>
                <w:color w:val="auto"/>
              </w:rPr>
              <w:t>Other Information</w:t>
            </w:r>
          </w:p>
        </w:tc>
        <w:tc>
          <w:tcPr>
            <w:tcW w:w="1200" w:type="dxa"/>
            <w:vAlign w:val="bottom"/>
            <w:gridSpan w:val="5"/>
          </w:tcPr>
          <w:p>
            <w:pPr>
              <w:jc w:val="center"/>
              <w:ind w:left="963"/>
              <w:spacing w:after="0"/>
              <w:rPr>
                <w:sz w:val="20"/>
                <w:szCs w:val="20"/>
                <w:color w:val="auto"/>
              </w:rPr>
            </w:pPr>
            <w:r>
              <w:rPr>
                <w:rFonts w:ascii="Times New Roman" w:cs="Times New Roman" w:eastAsia="Times New Roman" w:hAnsi="Times New Roman"/>
                <w:sz w:val="15"/>
                <w:szCs w:val="15"/>
                <w:color w:val="auto"/>
              </w:rPr>
              <w:t>47</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440"/>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auto"/>
              </w:rPr>
              <w:t>Part III.</w:t>
            </w:r>
          </w:p>
        </w:tc>
        <w:tc>
          <w:tcPr>
            <w:tcW w:w="8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65"/>
        </w:trPr>
        <w:tc>
          <w:tcPr>
            <w:tcW w:w="124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Item 10.</w:t>
            </w:r>
          </w:p>
        </w:tc>
        <w:tc>
          <w:tcPr>
            <w:tcW w:w="8480" w:type="dxa"/>
            <w:vAlign w:val="bottom"/>
          </w:tcPr>
          <w:p>
            <w:pPr>
              <w:ind w:left="620"/>
              <w:spacing w:after="0" w:line="165" w:lineRule="exact"/>
              <w:rPr>
                <w:sz w:val="20"/>
                <w:szCs w:val="20"/>
                <w:color w:val="auto"/>
              </w:rPr>
            </w:pPr>
            <w:r>
              <w:rPr>
                <w:rFonts w:ascii="Times New Roman" w:cs="Times New Roman" w:eastAsia="Times New Roman" w:hAnsi="Times New Roman"/>
                <w:sz w:val="15"/>
                <w:szCs w:val="15"/>
                <w:color w:val="auto"/>
              </w:rPr>
              <w:t>Directors, Executive Officers and Corporate Governance</w:t>
            </w:r>
          </w:p>
        </w:tc>
        <w:tc>
          <w:tcPr>
            <w:tcW w:w="1200" w:type="dxa"/>
            <w:vAlign w:val="bottom"/>
            <w:gridSpan w:val="5"/>
          </w:tcPr>
          <w:p>
            <w:pPr>
              <w:jc w:val="center"/>
              <w:ind w:left="963"/>
              <w:spacing w:after="0" w:line="165" w:lineRule="exact"/>
              <w:rPr>
                <w:sz w:val="20"/>
                <w:szCs w:val="20"/>
                <w:color w:val="auto"/>
              </w:rPr>
            </w:pPr>
            <w:r>
              <w:rPr>
                <w:rFonts w:ascii="Times New Roman" w:cs="Times New Roman" w:eastAsia="Times New Roman" w:hAnsi="Times New Roman"/>
                <w:sz w:val="15"/>
                <w:szCs w:val="15"/>
                <w:color w:val="auto"/>
              </w:rPr>
              <w:t>47</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77"/>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auto"/>
              </w:rPr>
              <w:t>Item 11.</w:t>
            </w:r>
          </w:p>
        </w:tc>
        <w:tc>
          <w:tcPr>
            <w:tcW w:w="8480" w:type="dxa"/>
            <w:vAlign w:val="bottom"/>
          </w:tcPr>
          <w:p>
            <w:pPr>
              <w:ind w:left="620"/>
              <w:spacing w:after="0"/>
              <w:rPr>
                <w:sz w:val="20"/>
                <w:szCs w:val="20"/>
                <w:color w:val="auto"/>
              </w:rPr>
            </w:pPr>
            <w:r>
              <w:rPr>
                <w:rFonts w:ascii="Times New Roman" w:cs="Times New Roman" w:eastAsia="Times New Roman" w:hAnsi="Times New Roman"/>
                <w:sz w:val="15"/>
                <w:szCs w:val="15"/>
                <w:color w:val="auto"/>
              </w:rPr>
              <w:t>Executive Compensation</w:t>
            </w:r>
          </w:p>
        </w:tc>
        <w:tc>
          <w:tcPr>
            <w:tcW w:w="1200" w:type="dxa"/>
            <w:vAlign w:val="bottom"/>
            <w:gridSpan w:val="5"/>
          </w:tcPr>
          <w:p>
            <w:pPr>
              <w:jc w:val="center"/>
              <w:ind w:left="963"/>
              <w:spacing w:after="0"/>
              <w:rPr>
                <w:sz w:val="20"/>
                <w:szCs w:val="20"/>
                <w:color w:val="auto"/>
              </w:rPr>
            </w:pPr>
            <w:r>
              <w:rPr>
                <w:rFonts w:ascii="Times New Roman" w:cs="Times New Roman" w:eastAsia="Times New Roman" w:hAnsi="Times New Roman"/>
                <w:sz w:val="15"/>
                <w:szCs w:val="15"/>
                <w:color w:val="auto"/>
              </w:rPr>
              <w:t>47</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77"/>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auto"/>
              </w:rPr>
              <w:t>Item 12.</w:t>
            </w:r>
          </w:p>
        </w:tc>
        <w:tc>
          <w:tcPr>
            <w:tcW w:w="8480" w:type="dxa"/>
            <w:vAlign w:val="bottom"/>
          </w:tcPr>
          <w:p>
            <w:pPr>
              <w:ind w:left="620"/>
              <w:spacing w:after="0"/>
              <w:rPr>
                <w:sz w:val="20"/>
                <w:szCs w:val="20"/>
                <w:color w:val="auto"/>
              </w:rPr>
            </w:pPr>
            <w:r>
              <w:rPr>
                <w:rFonts w:ascii="Times New Roman" w:cs="Times New Roman" w:eastAsia="Times New Roman" w:hAnsi="Times New Roman"/>
                <w:sz w:val="15"/>
                <w:szCs w:val="15"/>
                <w:color w:val="auto"/>
              </w:rPr>
              <w:t>Security Ownership of Certain Beneficial Owners and Management and Related Shareholder Matters</w:t>
            </w:r>
          </w:p>
        </w:tc>
        <w:tc>
          <w:tcPr>
            <w:tcW w:w="1200" w:type="dxa"/>
            <w:vAlign w:val="bottom"/>
            <w:gridSpan w:val="5"/>
          </w:tcPr>
          <w:p>
            <w:pPr>
              <w:jc w:val="center"/>
              <w:ind w:left="963"/>
              <w:spacing w:after="0"/>
              <w:rPr>
                <w:sz w:val="20"/>
                <w:szCs w:val="20"/>
                <w:color w:val="auto"/>
              </w:rPr>
            </w:pPr>
            <w:r>
              <w:rPr>
                <w:rFonts w:ascii="Times New Roman" w:cs="Times New Roman" w:eastAsia="Times New Roman" w:hAnsi="Times New Roman"/>
                <w:sz w:val="15"/>
                <w:szCs w:val="15"/>
                <w:color w:val="auto"/>
              </w:rPr>
              <w:t>47</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77"/>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auto"/>
              </w:rPr>
              <w:t>Item 13.</w:t>
            </w:r>
          </w:p>
        </w:tc>
        <w:tc>
          <w:tcPr>
            <w:tcW w:w="8480" w:type="dxa"/>
            <w:vAlign w:val="bottom"/>
          </w:tcPr>
          <w:p>
            <w:pPr>
              <w:ind w:left="620"/>
              <w:spacing w:after="0"/>
              <w:rPr>
                <w:sz w:val="20"/>
                <w:szCs w:val="20"/>
                <w:color w:val="auto"/>
              </w:rPr>
            </w:pPr>
            <w:r>
              <w:rPr>
                <w:rFonts w:ascii="Times New Roman" w:cs="Times New Roman" w:eastAsia="Times New Roman" w:hAnsi="Times New Roman"/>
                <w:sz w:val="15"/>
                <w:szCs w:val="15"/>
                <w:color w:val="auto"/>
              </w:rPr>
              <w:t>Certain Relationships and Related Transactions, and Director Independence</w:t>
            </w:r>
          </w:p>
        </w:tc>
        <w:tc>
          <w:tcPr>
            <w:tcW w:w="1200" w:type="dxa"/>
            <w:vAlign w:val="bottom"/>
            <w:gridSpan w:val="5"/>
          </w:tcPr>
          <w:p>
            <w:pPr>
              <w:jc w:val="center"/>
              <w:ind w:left="963"/>
              <w:spacing w:after="0"/>
              <w:rPr>
                <w:sz w:val="20"/>
                <w:szCs w:val="20"/>
                <w:color w:val="auto"/>
              </w:rPr>
            </w:pPr>
            <w:r>
              <w:rPr>
                <w:rFonts w:ascii="Times New Roman" w:cs="Times New Roman" w:eastAsia="Times New Roman" w:hAnsi="Times New Roman"/>
                <w:sz w:val="15"/>
                <w:szCs w:val="15"/>
                <w:color w:val="auto"/>
              </w:rPr>
              <w:t>47</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77"/>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auto"/>
              </w:rPr>
              <w:t>Item 14.</w:t>
            </w:r>
          </w:p>
        </w:tc>
        <w:tc>
          <w:tcPr>
            <w:tcW w:w="8480" w:type="dxa"/>
            <w:vAlign w:val="bottom"/>
          </w:tcPr>
          <w:p>
            <w:pPr>
              <w:ind w:left="620"/>
              <w:spacing w:after="0"/>
              <w:rPr>
                <w:sz w:val="20"/>
                <w:szCs w:val="20"/>
                <w:color w:val="auto"/>
              </w:rPr>
            </w:pPr>
            <w:r>
              <w:rPr>
                <w:rFonts w:ascii="Times New Roman" w:cs="Times New Roman" w:eastAsia="Times New Roman" w:hAnsi="Times New Roman"/>
                <w:sz w:val="15"/>
                <w:szCs w:val="15"/>
                <w:color w:val="auto"/>
              </w:rPr>
              <w:t>Principal Accountant Fees and Services</w:t>
            </w:r>
          </w:p>
        </w:tc>
        <w:tc>
          <w:tcPr>
            <w:tcW w:w="1200" w:type="dxa"/>
            <w:vAlign w:val="bottom"/>
            <w:gridSpan w:val="5"/>
          </w:tcPr>
          <w:p>
            <w:pPr>
              <w:jc w:val="center"/>
              <w:ind w:left="963"/>
              <w:spacing w:after="0"/>
              <w:rPr>
                <w:sz w:val="20"/>
                <w:szCs w:val="20"/>
                <w:color w:val="auto"/>
              </w:rPr>
            </w:pPr>
            <w:r>
              <w:rPr>
                <w:rFonts w:ascii="Times New Roman" w:cs="Times New Roman" w:eastAsia="Times New Roman" w:hAnsi="Times New Roman"/>
                <w:sz w:val="15"/>
                <w:szCs w:val="15"/>
                <w:color w:val="auto"/>
              </w:rPr>
              <w:t>47</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440"/>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auto"/>
              </w:rPr>
              <w:t>Part IV.</w:t>
            </w:r>
          </w:p>
        </w:tc>
        <w:tc>
          <w:tcPr>
            <w:tcW w:w="8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65"/>
        </w:trPr>
        <w:tc>
          <w:tcPr>
            <w:tcW w:w="124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Item 15.</w:t>
            </w:r>
          </w:p>
        </w:tc>
        <w:tc>
          <w:tcPr>
            <w:tcW w:w="8480" w:type="dxa"/>
            <w:vAlign w:val="bottom"/>
          </w:tcPr>
          <w:p>
            <w:pPr>
              <w:ind w:left="620"/>
              <w:spacing w:after="0" w:line="165" w:lineRule="exact"/>
              <w:rPr>
                <w:sz w:val="20"/>
                <w:szCs w:val="20"/>
                <w:color w:val="auto"/>
              </w:rPr>
            </w:pPr>
            <w:r>
              <w:rPr>
                <w:rFonts w:ascii="Times New Roman" w:cs="Times New Roman" w:eastAsia="Times New Roman" w:hAnsi="Times New Roman"/>
                <w:sz w:val="15"/>
                <w:szCs w:val="15"/>
                <w:color w:val="auto"/>
              </w:rPr>
              <w:t>Exhibits and Financial Statement Schedules</w:t>
            </w:r>
          </w:p>
        </w:tc>
        <w:tc>
          <w:tcPr>
            <w:tcW w:w="1200" w:type="dxa"/>
            <w:vAlign w:val="bottom"/>
            <w:gridSpan w:val="5"/>
          </w:tcPr>
          <w:p>
            <w:pPr>
              <w:jc w:val="center"/>
              <w:ind w:left="963"/>
              <w:spacing w:after="0" w:line="165" w:lineRule="exact"/>
              <w:rPr>
                <w:sz w:val="20"/>
                <w:szCs w:val="20"/>
                <w:color w:val="auto"/>
              </w:rPr>
            </w:pPr>
            <w:r>
              <w:rPr>
                <w:rFonts w:ascii="Times New Roman" w:cs="Times New Roman" w:eastAsia="Times New Roman" w:hAnsi="Times New Roman"/>
                <w:sz w:val="15"/>
                <w:szCs w:val="15"/>
                <w:color w:val="auto"/>
              </w:rPr>
              <w:t>47</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77"/>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auto"/>
              </w:rPr>
              <w:t>Item 16.</w:t>
            </w:r>
          </w:p>
        </w:tc>
        <w:tc>
          <w:tcPr>
            <w:tcW w:w="8480" w:type="dxa"/>
            <w:vAlign w:val="bottom"/>
          </w:tcPr>
          <w:p>
            <w:pPr>
              <w:ind w:left="620"/>
              <w:spacing w:after="0"/>
              <w:rPr>
                <w:sz w:val="20"/>
                <w:szCs w:val="20"/>
                <w:color w:val="auto"/>
              </w:rPr>
            </w:pPr>
            <w:r>
              <w:rPr>
                <w:rFonts w:ascii="Times New Roman" w:cs="Times New Roman" w:eastAsia="Times New Roman" w:hAnsi="Times New Roman"/>
                <w:sz w:val="15"/>
                <w:szCs w:val="15"/>
                <w:color w:val="auto"/>
              </w:rPr>
              <w:t>Form 10-K Summary</w:t>
            </w:r>
          </w:p>
        </w:tc>
        <w:tc>
          <w:tcPr>
            <w:tcW w:w="1200" w:type="dxa"/>
            <w:vAlign w:val="bottom"/>
            <w:gridSpan w:val="5"/>
          </w:tcPr>
          <w:p>
            <w:pPr>
              <w:jc w:val="center"/>
              <w:ind w:left="963"/>
              <w:spacing w:after="0"/>
              <w:rPr>
                <w:sz w:val="20"/>
                <w:szCs w:val="20"/>
                <w:color w:val="auto"/>
              </w:rPr>
            </w:pPr>
            <w:r>
              <w:rPr>
                <w:rFonts w:ascii="Times New Roman" w:cs="Times New Roman" w:eastAsia="Times New Roman" w:hAnsi="Times New Roman"/>
                <w:sz w:val="15"/>
                <w:szCs w:val="15"/>
                <w:color w:val="auto"/>
              </w:rPr>
              <w:t>48</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08"/>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auto"/>
              </w:rPr>
              <w:t>Exhibits</w:t>
            </w:r>
          </w:p>
        </w:tc>
        <w:tc>
          <w:tcPr>
            <w:tcW w:w="8480" w:type="dxa"/>
            <w:vAlign w:val="bottom"/>
          </w:tcPr>
          <w:p>
            <w:pPr>
              <w:spacing w:after="0"/>
              <w:rPr>
                <w:sz w:val="24"/>
                <w:szCs w:val="24"/>
                <w:color w:val="auto"/>
              </w:rPr>
            </w:pPr>
          </w:p>
        </w:tc>
        <w:tc>
          <w:tcPr>
            <w:tcW w:w="1200" w:type="dxa"/>
            <w:vAlign w:val="bottom"/>
            <w:gridSpan w:val="5"/>
          </w:tcPr>
          <w:p>
            <w:pPr>
              <w:jc w:val="center"/>
              <w:ind w:left="963"/>
              <w:spacing w:after="0"/>
              <w:rPr>
                <w:sz w:val="20"/>
                <w:szCs w:val="20"/>
                <w:color w:val="auto"/>
              </w:rPr>
            </w:pPr>
            <w:r>
              <w:rPr>
                <w:rFonts w:ascii="Times New Roman" w:cs="Times New Roman" w:eastAsia="Times New Roman" w:hAnsi="Times New Roman"/>
                <w:sz w:val="15"/>
                <w:szCs w:val="15"/>
                <w:color w:val="auto"/>
              </w:rPr>
              <w:t>49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0"/>
        </w:trPr>
        <w:tc>
          <w:tcPr>
            <w:tcW w:w="124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08"/>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auto"/>
              </w:rPr>
              <w:t>Signatures</w:t>
            </w:r>
          </w:p>
        </w:tc>
        <w:tc>
          <w:tcPr>
            <w:tcW w:w="8480" w:type="dxa"/>
            <w:vAlign w:val="bottom"/>
          </w:tcPr>
          <w:p>
            <w:pPr>
              <w:spacing w:after="0"/>
              <w:rPr>
                <w:sz w:val="24"/>
                <w:szCs w:val="24"/>
                <w:color w:val="auto"/>
              </w:rPr>
            </w:pPr>
          </w:p>
        </w:tc>
        <w:tc>
          <w:tcPr>
            <w:tcW w:w="1200" w:type="dxa"/>
            <w:vAlign w:val="bottom"/>
            <w:gridSpan w:val="5"/>
          </w:tcPr>
          <w:p>
            <w:pPr>
              <w:jc w:val="center"/>
              <w:ind w:left="963"/>
              <w:spacing w:after="0"/>
              <w:rPr>
                <w:sz w:val="20"/>
                <w:szCs w:val="20"/>
                <w:color w:val="auto"/>
              </w:rPr>
            </w:pPr>
            <w:r>
              <w:rPr>
                <w:rFonts w:ascii="Times New Roman" w:cs="Times New Roman" w:eastAsia="Times New Roman" w:hAnsi="Times New Roman"/>
                <w:sz w:val="15"/>
                <w:szCs w:val="15"/>
                <w:color w:val="auto"/>
              </w:rPr>
              <w:t>52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0"/>
        </w:trPr>
        <w:tc>
          <w:tcPr>
            <w:tcW w:w="97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08"/>
        </w:trPr>
        <w:tc>
          <w:tcPr>
            <w:tcW w:w="97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Index to the Consolidated Financial Statements and Financial Statement Schedules</w:t>
            </w:r>
          </w:p>
        </w:tc>
        <w:tc>
          <w:tcPr>
            <w:tcW w:w="960" w:type="dxa"/>
            <w:vAlign w:val="bottom"/>
          </w:tcPr>
          <w:p>
            <w:pPr>
              <w:spacing w:after="0"/>
              <w:rPr>
                <w:sz w:val="24"/>
                <w:szCs w:val="24"/>
                <w:color w:val="auto"/>
              </w:rPr>
            </w:pPr>
          </w:p>
        </w:tc>
        <w:tc>
          <w:tcPr>
            <w:tcW w:w="58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F - 1</w:t>
            </w:r>
          </w:p>
        </w:tc>
      </w:tr>
      <w:tr>
        <w:trPr>
          <w:trHeight w:val="1280"/>
        </w:trPr>
        <w:tc>
          <w:tcPr>
            <w:tcW w:w="1240" w:type="dxa"/>
            <w:vAlign w:val="bottom"/>
            <w:tcBorders>
              <w:bottom w:val="single" w:sz="8" w:color="9A9A9A"/>
            </w:tcBorders>
          </w:tcPr>
          <w:p>
            <w:pPr>
              <w:spacing w:after="0"/>
              <w:rPr>
                <w:sz w:val="24"/>
                <w:szCs w:val="24"/>
                <w:color w:val="auto"/>
              </w:rPr>
            </w:pPr>
          </w:p>
        </w:tc>
        <w:tc>
          <w:tcPr>
            <w:tcW w:w="84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0" w:type="dxa"/>
            <w:vAlign w:val="bottom"/>
            <w:tcBorders>
              <w:top w:val="single" w:sz="8" w:color="auto"/>
              <w:bottom w:val="single" w:sz="8" w:color="9A9A9A"/>
            </w:tcBorders>
          </w:tcPr>
          <w:p>
            <w:pPr>
              <w:spacing w:after="0"/>
              <w:rPr>
                <w:sz w:val="24"/>
                <w:szCs w:val="24"/>
                <w:color w:val="auto"/>
              </w:rPr>
            </w:pPr>
          </w:p>
        </w:tc>
        <w:tc>
          <w:tcPr>
            <w:tcW w:w="4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auto"/>
              <w:bottom w:val="single" w:sz="8" w:color="9A9A9A"/>
            </w:tcBorders>
          </w:tcPr>
          <w:p>
            <w:pPr>
              <w:spacing w:after="0"/>
              <w:rPr>
                <w:sz w:val="24"/>
                <w:szCs w:val="24"/>
                <w:color w:val="auto"/>
              </w:rPr>
            </w:pPr>
          </w:p>
        </w:tc>
        <w:tc>
          <w:tcPr>
            <w:tcW w:w="40" w:type="dxa"/>
            <w:vAlign w:val="bottom"/>
            <w:tcBorders>
              <w:top w:val="single" w:sz="8" w:color="auto"/>
              <w:bottom w:val="single" w:sz="8" w:color="9A9A9A"/>
            </w:tcBorders>
          </w:tcPr>
          <w:p>
            <w:pPr>
              <w:spacing w:after="0"/>
              <w:rPr>
                <w:sz w:val="24"/>
                <w:szCs w:val="24"/>
                <w:color w:val="auto"/>
              </w:rPr>
            </w:pPr>
          </w:p>
        </w:tc>
        <w:tc>
          <w:tcPr>
            <w:tcW w:w="60" w:type="dxa"/>
            <w:vAlign w:val="bottom"/>
            <w:tcBorders>
              <w:top w:val="single" w:sz="8" w:color="auto"/>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PART I</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 BUSINESS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GENERAL OVERVIEW</w:t>
      </w:r>
    </w:p>
    <w:p>
      <w:pPr>
        <w:spacing w:after="0" w:line="10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Sun Communities, Inc., and all wholly-owned or majority-owned and controlled subsidiaries, including Sun Communities Operating Limited Partnership, a Michigan limited partnership (the "Operating Partnership"), Sun Home Services, Inc. ("SHS"), and our Park Holidays subsidiaries and the other entities through which we operate our business in the United Kingdom ("UK") are referred to herein as the "Company," "SUI," "us," "we," or "our."</w:t>
      </w:r>
    </w:p>
    <w:p>
      <w:pPr>
        <w:spacing w:after="0" w:line="5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We are a fully integrated real estate investment trust ("REIT"). We own manufactured housing ("MH") and recreational vehicle ("RV") communities in the United States ("U.S."), Canada, and the UK (together with MH and RV, the "properties"). We self-administer, self-manage, operate, or hold an interest in, and develop the majority of our properties, and a select number of our communities are operated by independent third-party contractors on our behalf under management agreements. Others are operated by lessees under ground lease arrangements. Together with our affiliates and predecessors, we have been in the business of operating, acquiring, developing, and expanding MH and RV communities since 1975 and communities in the UK since 2022.</w:t>
      </w:r>
    </w:p>
    <w:p>
      <w:pPr>
        <w:spacing w:after="0" w:line="5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color w:val="auto"/>
        </w:rPr>
        <w:t>For our MH and RV businesses, we lease individual parcels of land, or sites, with utility access for the placement of manufactured homes and RVs to our MH and RV customers. Our MH communities are designed to offer affordable housing to individuals and families, while also providing certain amenities. Our RV communities are designed to offer affordable vacation opportunities to individuals and families complemented by a diverse selection of high-quality amenities. Through SHS, a taxable REIT subsidiary, we market, sell, and lease new and pre-owned homes to current and future residents in our MH and RV communities. The operations of SHS support and enhance our occupancy levels, property performance, and cash flows.</w:t>
      </w:r>
    </w:p>
    <w:p>
      <w:pPr>
        <w:spacing w:after="0" w:line="248"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5"/>
          <w:szCs w:val="15"/>
          <w:color w:val="auto"/>
        </w:rPr>
        <w:t>In the UK, our communities are referred to as "holiday parks" and are located predominantly at irreplaceable seaside destinations in the south of England. We sell homes to holiday homeowners who lease a pitch at one of our properties through a site fee license arrangement. In addition, we sell new and pre-owned homes to current and prospective customers, and provide vacation opportunities to individuals and families complemented by high-quality amenities.</w:t>
      </w:r>
    </w:p>
    <w:p>
      <w:pPr>
        <w:spacing w:after="0" w:line="5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5"/>
          <w:szCs w:val="15"/>
          <w:color w:val="auto"/>
        </w:rPr>
        <w:t>As of December 31, 2025, we owned and operated, directly or indirectly, or had an interest in, a portfolio of 513 developed properties located in the U.S., Canada, and the UK, including 294 MH communities, 166 RV communities, and 53 UK communities. As of December 31, 2025, the properties contained an aggregate of 178,650 developed sites comprised of 100,150 developed MH sites, 33,330 annual RV sites (inclusive of both annual and seasonal usage rights), 23,550 transient RV sites, 17,750 UK annual sites, and 3,870 UK transient RV sites.</w:t>
      </w:r>
    </w:p>
    <w:p>
      <w:pPr>
        <w:spacing w:after="0" w:line="245"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5"/>
          <w:szCs w:val="15"/>
          <w:color w:val="auto"/>
        </w:rPr>
        <w:t>Our executive and principal property management office is located at 27777 Franklin Road, Suite 300, Southfield, Michigan 48034, and our telephone number is (248) 208-2500. Our Park Holidays principal office is located in Bexhill-on-Sea, East Sussex, UK. We have regional property management offices throughout the U.S. We employed an aggregate of 3,614 full and part time employees as of December 31, 2025.</w:t>
      </w:r>
    </w:p>
    <w:p>
      <w:pPr>
        <w:spacing w:after="0" w:line="5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Our website address is www.suninc.com and we make available, free of charge, on or through our website all of our periodic reports, including our Annual Reports on Form 10-K, Quarterly Reports on Form 10-Q, and current reports on Form 8-K, as soon as reasonably practicable after we file such reports with the SEC. Additionally, the SEC maintains a website at https://www.sec.gov, that contains reports, proxy information statements, and other information about us.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SAFE HARBOR SALE</w:t>
      </w:r>
    </w:p>
    <w:p>
      <w:pPr>
        <w:spacing w:after="0" w:line="10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color w:val="auto"/>
        </w:rPr>
        <w:t>From 2020 through 2024, we were in the business of operating, acquiring, developing, and expanding marinas through our Safe Harbor Marinas, LLC subsidiary ("Safe Harbor"). In February 2025, we entered into a definitive agreement to sell Safe Harbor for an aggregate purchase price of approximately $5.65 billion, subject to certain adjustments (the "Safe Harbor Sale"). During the three months ended June 30, 2025, we completed the initial closing of the Safe Harbor Sale, which generated approximately $5.25 billion of pre-tax cash proceeds, net of transaction costs. The subsequent closing of the transfer of subsidiaries owning 15 of Safe Harbor's properties (the "Delayed Consent Subsidiaries") with an aggregate agreed value of approximately $250.0 million was further subject to the receipt of certain third-party consents. Subsequent to the initial closing through June 30, 2025, we completed the sale of six Delayed Consent Subsidiaries for $136.7 million. On August 29, 2025, we completed the closing of the final nine Delayed Consent Subsidiaries for $117.5 million and fully divested our investment in the Safe Harbor business. In connection with the Safe Harbor Sale, we recorded a gain of $1.5 billion during the year ended December 31, 2025. The Safe Harbor Sale accelerates our strategy of focusing on our core business. Refer to Part II, Item 7, "Liquidity And Capital Resources," and Note 2, "Assets Held for Sale and Discontinued Operations," in our accompanying Consolidated Financial Statements for additional information related to Safe Harbor and the Safe Harbor Sale.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REPORTABLE SEGMENTS</w:t>
      </w:r>
    </w:p>
    <w:p>
      <w:pPr>
        <w:spacing w:after="0" w:line="109"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5"/>
          <w:szCs w:val="15"/>
          <w:color w:val="auto"/>
        </w:rPr>
        <w:t>As a result of the Safe Harbor Sale, we have revised our reporting structure from a four-segment to a three-segment structure, which consists of (i) MH communities, (ii) RV communities, and (iii) communities in the UK. Additional information required by this item is incorporated herein by reference to the narrative and tabular description of segments and operating results under Item 7, "Management's Discussion and Analysis of Financial Condition and Results of Operations" and Note 10, "Segment Reporting," in our accompanying Consolidated Financial Statements.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STRUCTURE OF THE COMPANY</w:t>
      </w:r>
    </w:p>
    <w:p>
      <w:pPr>
        <w:spacing w:after="0" w:line="10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The Company is a REIT and the general partner of the Operating Partnership. As the sole general partner of the Operating Partnership, we generally have the power to manage and have complete control over the conduct of the Operating Partnership's affairs, and all decisions or actions made or taken by us as the general partner pursuant to the partnership agreement are generally binding upon all of the partners and the Operating Partnership.</w:t>
      </w:r>
    </w:p>
    <w:p>
      <w:pPr>
        <w:spacing w:after="0" w:line="5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The Operating Partnership is structured as an umbrella partnership REIT ("UPREIT"). We conduct substantially all of our operations through the Operating Partnership, which, directly or indirectly through other subsidiaries, owns substantially all of our assets. This UPREIT structure enables us to comply with certain complex requirements under the federal tax rules and regulations applicable to REITs, and to acquire properties in transactions that defer some or all of the sellers' tax consequences. The financial results of the Operating Partnership and our other subsidiaries are consolidated in our Consolidated Financial Statements. The financial results of the Operating Partnership include certain activities that do not necessarily qualify as REIT activities under the Internal Revenue Code of 1986, as amended (the "Code"). We have formed taxable REIT subsidiaries, as defined in the Code, to engage in such activities. We use taxable REIT subsidiaries to offer certain services to our residents and engage in activities that would not otherwise be permitted under the REIT rules if provided directly by us or by the Operating Partnership. The taxable REIT subsidiaries include our home sales business, SHS, which provides manufactured home sales, leasing, and other services to current and prospective tenants of our properties. Currently, all of our UK operations are conducted through taxable REIT subsidiaries.</w:t>
      </w:r>
    </w:p>
    <w:p>
      <w:pPr>
        <w:spacing w:after="0" w:line="6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Under the partnership agreement, the Operating Partnership is structured to make distributions with respect to certain of the Operating Partnership units ("OP units") at the same time that distributions are made to our common shareholders. The Operating Partnership is structured to permit limited partners holding certain classes or series of OP units to exchange those OP units for shares of our common stock (in a taxable transaction) and achieve liquidity for their investment.</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of December 31, 2025, we owned 95.7% of the OP Units and the limited partners of the Operating Partnership own the rest. The following table sets forth:</w:t>
      </w:r>
    </w:p>
    <w:p>
      <w:pPr>
        <w:spacing w:after="0" w:line="105" w:lineRule="exact"/>
        <w:rPr>
          <w:sz w:val="20"/>
          <w:szCs w:val="20"/>
          <w:color w:val="auto"/>
        </w:rPr>
      </w:pPr>
    </w:p>
    <w:p>
      <w:pPr>
        <w:ind w:left="540" w:hanging="270"/>
        <w:spacing w:after="0"/>
        <w:tabs>
          <w:tab w:leader="none" w:pos="5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various series of OP units and the number of units of each series outstanding as of December 31, 2025;</w:t>
      </w:r>
    </w:p>
    <w:p>
      <w:pPr>
        <w:spacing w:after="0" w:line="26" w:lineRule="exact"/>
        <w:rPr>
          <w:rFonts w:ascii="Times New Roman" w:cs="Times New Roman" w:eastAsia="Times New Roman" w:hAnsi="Times New Roman"/>
          <w:sz w:val="15"/>
          <w:szCs w:val="15"/>
          <w:color w:val="auto"/>
        </w:rPr>
      </w:pPr>
    </w:p>
    <w:p>
      <w:pPr>
        <w:ind w:left="540" w:hanging="270"/>
        <w:spacing w:after="0" w:line="257" w:lineRule="auto"/>
        <w:tabs>
          <w:tab w:leader="none" w:pos="536"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relative ranking of the various series of OP units with respect to rights to the payment of distributions and the distribution of assets in the event of any voluntary or involuntary liquidation, dissolution, or winding up of the Operating Partnership;</w:t>
      </w:r>
    </w:p>
    <w:p>
      <w:pPr>
        <w:ind w:left="540" w:hanging="270"/>
        <w:spacing w:after="0"/>
        <w:tabs>
          <w:tab w:leader="none" w:pos="5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number of shares of our common stock issuable upon the exchange, directly or indirectly, of each OP unit of the applicable series;</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Information regarding the annual distribution rate and terms of redemption rights for each series of OP units, as applicable.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5" w:name="page6"/>
    <w:bookmarkEnd w:id="5"/>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7" w:type="dxa"/>
        <w:tblCellMar>
          <w:top w:w="0" w:type="dxa"/>
          <w:left w:w="0" w:type="dxa"/>
          <w:bottom w:w="0" w:type="dxa"/>
          <w:right w:w="0" w:type="dxa"/>
        </w:tblCellMar>
      </w:tblPr>
      <w:tr>
        <w:trPr>
          <w:trHeight w:val="149"/>
        </w:trPr>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OP Units Outstanding at</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Exchange</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Annual Distribution</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82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Ranking</w:t>
            </w:r>
          </w:p>
        </w:tc>
        <w:tc>
          <w:tcPr>
            <w:tcW w:w="2240" w:type="dxa"/>
            <w:vAlign w:val="bottom"/>
            <w:gridSpan w:val="2"/>
          </w:tcPr>
          <w:p>
            <w:pPr>
              <w:ind w:left="76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980" w:type="dxa"/>
            <w:vAlign w:val="bottom"/>
            <w:gridSpan w:val="2"/>
          </w:tcPr>
          <w:p>
            <w:pPr>
              <w:jc w:val="center"/>
              <w:ind w:right="100"/>
              <w:spacing w:after="0" w:line="185" w:lineRule="exact"/>
              <w:rPr>
                <w:sz w:val="20"/>
                <w:szCs w:val="20"/>
                <w:color w:val="auto"/>
              </w:rPr>
            </w:pPr>
            <w:r>
              <w:rPr>
                <w:rFonts w:ascii="Times New Roman" w:cs="Times New Roman" w:eastAsia="Times New Roman" w:hAnsi="Times New Roman"/>
                <w:sz w:val="13"/>
                <w:szCs w:val="13"/>
                <w:b w:val="1"/>
                <w:bCs w:val="1"/>
                <w:color w:val="auto"/>
                <w:w w:val="91"/>
              </w:rPr>
              <w:t>Rate</w:t>
            </w:r>
            <w:r>
              <w:rPr>
                <w:rFonts w:ascii="Times New Roman" w:cs="Times New Roman" w:eastAsia="Times New Roman" w:hAnsi="Times New Roman"/>
                <w:sz w:val="17"/>
                <w:szCs w:val="17"/>
                <w:b w:val="1"/>
                <w:bCs w:val="1"/>
                <w:color w:val="auto"/>
                <w:w w:val="91"/>
                <w:vertAlign w:val="superscript"/>
              </w:rPr>
              <w:t>(1)</w:t>
            </w:r>
          </w:p>
        </w:tc>
        <w:tc>
          <w:tcPr>
            <w:tcW w:w="1580" w:type="dxa"/>
            <w:vAlign w:val="bottom"/>
            <w:gridSpan w:val="2"/>
          </w:tcPr>
          <w:p>
            <w:pPr>
              <w:jc w:val="center"/>
              <w:ind w:right="100"/>
              <w:spacing w:after="0" w:line="185" w:lineRule="exact"/>
              <w:rPr>
                <w:sz w:val="20"/>
                <w:szCs w:val="20"/>
                <w:color w:val="auto"/>
              </w:rPr>
            </w:pPr>
            <w:r>
              <w:rPr>
                <w:rFonts w:ascii="Times New Roman" w:cs="Times New Roman" w:eastAsia="Times New Roman" w:hAnsi="Times New Roman"/>
                <w:sz w:val="13"/>
                <w:szCs w:val="13"/>
                <w:b w:val="1"/>
                <w:bCs w:val="1"/>
                <w:color w:val="auto"/>
                <w:w w:val="91"/>
              </w:rPr>
              <w:t>Rate</w:t>
            </w:r>
            <w:r>
              <w:rPr>
                <w:rFonts w:ascii="Times New Roman" w:cs="Times New Roman" w:eastAsia="Times New Roman" w:hAnsi="Times New Roman"/>
                <w:sz w:val="17"/>
                <w:szCs w:val="17"/>
                <w:b w:val="1"/>
                <w:bCs w:val="1"/>
                <w:color w:val="auto"/>
                <w:w w:val="91"/>
                <w:vertAlign w:val="superscript"/>
              </w:rPr>
              <w:t>(2)</w:t>
            </w:r>
          </w:p>
        </w:tc>
        <w:tc>
          <w:tcPr>
            <w:tcW w:w="1320" w:type="dxa"/>
            <w:vAlign w:val="bottom"/>
            <w:gridSpan w:val="2"/>
          </w:tcPr>
          <w:p>
            <w:pPr>
              <w:ind w:left="60"/>
              <w:spacing w:after="0" w:line="185" w:lineRule="exact"/>
              <w:rPr>
                <w:sz w:val="20"/>
                <w:szCs w:val="20"/>
                <w:color w:val="auto"/>
              </w:rPr>
            </w:pPr>
            <w:r>
              <w:rPr>
                <w:rFonts w:ascii="Times New Roman" w:cs="Times New Roman" w:eastAsia="Times New Roman" w:hAnsi="Times New Roman"/>
                <w:sz w:val="13"/>
                <w:szCs w:val="13"/>
                <w:b w:val="1"/>
                <w:bCs w:val="1"/>
                <w:color w:val="auto"/>
              </w:rPr>
              <w:t>Cash Redemption</w:t>
            </w:r>
            <w:r>
              <w:rPr>
                <w:rFonts w:ascii="Times New Roman" w:cs="Times New Roman" w:eastAsia="Times New Roman" w:hAnsi="Times New Roman"/>
                <w:sz w:val="17"/>
                <w:szCs w:val="17"/>
                <w:b w:val="1"/>
                <w:bCs w:val="1"/>
                <w:color w:val="auto"/>
                <w:vertAlign w:val="superscript"/>
              </w:rPr>
              <w:t>(3)</w:t>
            </w:r>
          </w:p>
        </w:tc>
        <w:tc>
          <w:tcPr>
            <w:tcW w:w="2700" w:type="dxa"/>
            <w:vAlign w:val="bottom"/>
          </w:tcPr>
          <w:p>
            <w:pPr>
              <w:ind w:left="800"/>
              <w:spacing w:after="0"/>
              <w:rPr>
                <w:sz w:val="20"/>
                <w:szCs w:val="20"/>
                <w:color w:val="auto"/>
              </w:rPr>
            </w:pPr>
            <w:r>
              <w:rPr>
                <w:rFonts w:ascii="Times New Roman" w:cs="Times New Roman" w:eastAsia="Times New Roman" w:hAnsi="Times New Roman"/>
                <w:sz w:val="13"/>
                <w:szCs w:val="13"/>
                <w:b w:val="1"/>
                <w:bCs w:val="1"/>
                <w:color w:val="auto"/>
              </w:rPr>
              <w:t>Redemption Period</w:t>
            </w:r>
          </w:p>
        </w:tc>
        <w:tc>
          <w:tcPr>
            <w:tcW w:w="0" w:type="dxa"/>
            <w:vAlign w:val="bottom"/>
          </w:tcPr>
          <w:p>
            <w:pPr>
              <w:spacing w:after="0"/>
              <w:rPr>
                <w:sz w:val="1"/>
                <w:szCs w:val="1"/>
                <w:color w:val="auto"/>
              </w:rPr>
            </w:pPr>
          </w:p>
        </w:tc>
      </w:tr>
      <w:tr>
        <w:trPr>
          <w:trHeight w:val="165"/>
        </w:trPr>
        <w:tc>
          <w:tcPr>
            <w:tcW w:w="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1</w:t>
            </w:r>
          </w:p>
        </w:tc>
        <w:tc>
          <w:tcPr>
            <w:tcW w:w="80" w:type="dxa"/>
            <w:vAlign w:val="bottom"/>
            <w:tcBorders>
              <w:top w:val="single" w:sz="8" w:color="CCEEFF"/>
            </w:tcBorders>
            <w:shd w:val="clear" w:color="auto" w:fill="CCEEFF"/>
          </w:tcPr>
          <w:p>
            <w:pPr>
              <w:spacing w:after="0"/>
              <w:rPr>
                <w:sz w:val="14"/>
                <w:szCs w:val="14"/>
                <w:color w:val="auto"/>
              </w:rPr>
            </w:pPr>
          </w:p>
        </w:tc>
        <w:tc>
          <w:tcPr>
            <w:tcW w:w="2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A-1 preferred OP units</w:t>
            </w:r>
          </w:p>
        </w:tc>
        <w:tc>
          <w:tcPr>
            <w:tcW w:w="8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169,913</w:t>
            </w:r>
          </w:p>
        </w:tc>
        <w:tc>
          <w:tcPr>
            <w:tcW w:w="8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2.4390</w:t>
            </w:r>
          </w:p>
        </w:tc>
        <w:tc>
          <w:tcPr>
            <w:tcW w:w="8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6.0 %</w:t>
            </w:r>
          </w:p>
        </w:tc>
        <w:tc>
          <w:tcPr>
            <w:tcW w:w="8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N/A</w:t>
            </w:r>
          </w:p>
        </w:tc>
        <w:tc>
          <w:tcPr>
            <w:tcW w:w="80" w:type="dxa"/>
            <w:vAlign w:val="bottom"/>
            <w:tcBorders>
              <w:top w:val="single" w:sz="8" w:color="CCEEFF"/>
            </w:tcBorders>
            <w:shd w:val="clear" w:color="auto" w:fill="CCEEFF"/>
          </w:tcPr>
          <w:p>
            <w:pPr>
              <w:spacing w:after="0"/>
              <w:rPr>
                <w:sz w:val="14"/>
                <w:szCs w:val="14"/>
                <w:color w:val="auto"/>
              </w:rPr>
            </w:pPr>
          </w:p>
        </w:tc>
        <w:tc>
          <w:tcPr>
            <w:tcW w:w="2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72"/>
        </w:trPr>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2</w:t>
            </w:r>
          </w:p>
        </w:tc>
        <w:tc>
          <w:tcPr>
            <w:tcW w:w="80" w:type="dxa"/>
            <w:vAlign w:val="bottom"/>
          </w:tcPr>
          <w:p>
            <w:pPr>
              <w:spacing w:after="0"/>
              <w:rPr>
                <w:sz w:val="14"/>
                <w:szCs w:val="14"/>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Series C preferred OP units</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292,436</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1.1100</w:t>
            </w:r>
          </w:p>
        </w:tc>
        <w:tc>
          <w:tcPr>
            <w:tcW w:w="8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5.0 %</w:t>
            </w:r>
          </w:p>
        </w:tc>
        <w:tc>
          <w:tcPr>
            <w:tcW w:w="80" w:type="dxa"/>
            <w:vAlign w:val="bottom"/>
          </w:tcPr>
          <w:p>
            <w:pPr>
              <w:spacing w:after="0"/>
              <w:rPr>
                <w:sz w:val="14"/>
                <w:szCs w:val="14"/>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N/A</w:t>
            </w:r>
          </w:p>
        </w:tc>
        <w:tc>
          <w:tcPr>
            <w:tcW w:w="2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75"/>
        </w:trPr>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80" w:type="dxa"/>
            <w:vAlign w:val="bottom"/>
            <w:shd w:val="clear" w:color="auto" w:fill="CCEEFF"/>
          </w:tcPr>
          <w:p>
            <w:pPr>
              <w:spacing w:after="0"/>
              <w:rPr>
                <w:sz w:val="15"/>
                <w:szCs w:val="15"/>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D preferred OP units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488,958</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0.8000</w:t>
            </w: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4.0 %</w:t>
            </w:r>
          </w:p>
        </w:tc>
        <w:tc>
          <w:tcPr>
            <w:tcW w:w="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Holder's Option</w:t>
            </w:r>
          </w:p>
        </w:tc>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Any time</w:t>
            </w:r>
          </w:p>
        </w:tc>
        <w:tc>
          <w:tcPr>
            <w:tcW w:w="0" w:type="dxa"/>
            <w:vAlign w:val="bottom"/>
          </w:tcPr>
          <w:p>
            <w:pPr>
              <w:spacing w:after="0"/>
              <w:rPr>
                <w:sz w:val="1"/>
                <w:szCs w:val="1"/>
                <w:color w:val="auto"/>
              </w:rPr>
            </w:pPr>
          </w:p>
        </w:tc>
      </w:tr>
      <w:tr>
        <w:trPr>
          <w:trHeight w:val="172"/>
        </w:trPr>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4</w:t>
            </w:r>
          </w:p>
        </w:tc>
        <w:tc>
          <w:tcPr>
            <w:tcW w:w="80" w:type="dxa"/>
            <w:vAlign w:val="bottom"/>
          </w:tcPr>
          <w:p>
            <w:pPr>
              <w:spacing w:after="0"/>
              <w:rPr>
                <w:sz w:val="14"/>
                <w:szCs w:val="14"/>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Series E preferred OP units</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80,000</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0.6897</w:t>
            </w:r>
          </w:p>
        </w:tc>
        <w:tc>
          <w:tcPr>
            <w:tcW w:w="8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5.5 %</w:t>
            </w:r>
          </w:p>
        </w:tc>
        <w:tc>
          <w:tcPr>
            <w:tcW w:w="80" w:type="dxa"/>
            <w:vAlign w:val="bottom"/>
          </w:tcPr>
          <w:p>
            <w:pPr>
              <w:spacing w:after="0"/>
              <w:rPr>
                <w:sz w:val="14"/>
                <w:szCs w:val="14"/>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N/A</w:t>
            </w:r>
          </w:p>
        </w:tc>
        <w:tc>
          <w:tcPr>
            <w:tcW w:w="2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75"/>
        </w:trPr>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5</w:t>
            </w:r>
          </w:p>
        </w:tc>
        <w:tc>
          <w:tcPr>
            <w:tcW w:w="80" w:type="dxa"/>
            <w:vAlign w:val="bottom"/>
            <w:shd w:val="clear" w:color="auto" w:fill="CCEEFF"/>
          </w:tcPr>
          <w:p>
            <w:pPr>
              <w:spacing w:after="0"/>
              <w:rPr>
                <w:sz w:val="15"/>
                <w:szCs w:val="15"/>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F preferred OP units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70,000</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0.6250</w:t>
            </w: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3.0 %</w:t>
            </w:r>
          </w:p>
        </w:tc>
        <w:tc>
          <w:tcPr>
            <w:tcW w:w="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Holder's Option</w:t>
            </w:r>
          </w:p>
        </w:tc>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Any time</w:t>
            </w:r>
          </w:p>
        </w:tc>
        <w:tc>
          <w:tcPr>
            <w:tcW w:w="0" w:type="dxa"/>
            <w:vAlign w:val="bottom"/>
          </w:tcPr>
          <w:p>
            <w:pPr>
              <w:spacing w:after="0"/>
              <w:rPr>
                <w:sz w:val="1"/>
                <w:szCs w:val="1"/>
                <w:color w:val="auto"/>
              </w:rPr>
            </w:pPr>
          </w:p>
        </w:tc>
      </w:tr>
      <w:tr>
        <w:trPr>
          <w:trHeight w:val="172"/>
        </w:trPr>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6</w:t>
            </w:r>
          </w:p>
        </w:tc>
        <w:tc>
          <w:tcPr>
            <w:tcW w:w="80" w:type="dxa"/>
            <w:vAlign w:val="bottom"/>
          </w:tcPr>
          <w:p>
            <w:pPr>
              <w:spacing w:after="0"/>
              <w:rPr>
                <w:sz w:val="14"/>
                <w:szCs w:val="14"/>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Series G preferred OP units</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4,898</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0.6452</w:t>
            </w:r>
          </w:p>
        </w:tc>
        <w:tc>
          <w:tcPr>
            <w:tcW w:w="8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3.2 %</w:t>
            </w:r>
          </w:p>
        </w:tc>
        <w:tc>
          <w:tcPr>
            <w:tcW w:w="80" w:type="dxa"/>
            <w:vAlign w:val="bottom"/>
          </w:tcPr>
          <w:p>
            <w:pPr>
              <w:spacing w:after="0"/>
              <w:rPr>
                <w:sz w:val="14"/>
                <w:szCs w:val="14"/>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Holder's Option</w:t>
            </w:r>
          </w:p>
        </w:tc>
        <w:tc>
          <w:tcPr>
            <w:tcW w:w="2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Any time</w:t>
            </w:r>
          </w:p>
        </w:tc>
        <w:tc>
          <w:tcPr>
            <w:tcW w:w="0" w:type="dxa"/>
            <w:vAlign w:val="bottom"/>
          </w:tcPr>
          <w:p>
            <w:pPr>
              <w:spacing w:after="0"/>
              <w:rPr>
                <w:sz w:val="1"/>
                <w:szCs w:val="1"/>
                <w:color w:val="auto"/>
              </w:rPr>
            </w:pPr>
          </w:p>
        </w:tc>
      </w:tr>
      <w:tr>
        <w:trPr>
          <w:trHeight w:val="175"/>
        </w:trPr>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7</w:t>
            </w:r>
          </w:p>
        </w:tc>
        <w:tc>
          <w:tcPr>
            <w:tcW w:w="80" w:type="dxa"/>
            <w:vAlign w:val="bottom"/>
            <w:shd w:val="clear" w:color="auto" w:fill="CCEEFF"/>
          </w:tcPr>
          <w:p>
            <w:pPr>
              <w:spacing w:after="0"/>
              <w:rPr>
                <w:sz w:val="15"/>
                <w:szCs w:val="15"/>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H preferred OP units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560,968</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0.6098</w:t>
            </w: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3.0 %</w:t>
            </w:r>
          </w:p>
        </w:tc>
        <w:tc>
          <w:tcPr>
            <w:tcW w:w="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Holder's Option</w:t>
            </w:r>
          </w:p>
        </w:tc>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Any time</w:t>
            </w:r>
          </w:p>
        </w:tc>
        <w:tc>
          <w:tcPr>
            <w:tcW w:w="0" w:type="dxa"/>
            <w:vAlign w:val="bottom"/>
          </w:tcPr>
          <w:p>
            <w:pPr>
              <w:spacing w:after="0"/>
              <w:rPr>
                <w:sz w:val="1"/>
                <w:szCs w:val="1"/>
                <w:color w:val="auto"/>
              </w:rPr>
            </w:pPr>
          </w:p>
        </w:tc>
      </w:tr>
      <w:tr>
        <w:trPr>
          <w:trHeight w:val="127"/>
        </w:trPr>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70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During the 30-day period following a change of</w:t>
            </w: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7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control of the Company or any time after April 21,</w:t>
            </w:r>
          </w:p>
        </w:tc>
        <w:tc>
          <w:tcPr>
            <w:tcW w:w="0" w:type="dxa"/>
            <w:vAlign w:val="bottom"/>
          </w:tcPr>
          <w:p>
            <w:pPr>
              <w:spacing w:after="0"/>
              <w:rPr>
                <w:sz w:val="1"/>
                <w:szCs w:val="1"/>
                <w:color w:val="auto"/>
              </w:rPr>
            </w:pPr>
          </w:p>
        </w:tc>
      </w:tr>
      <w:tr>
        <w:trPr>
          <w:trHeight w:val="174"/>
        </w:trPr>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8</w:t>
            </w:r>
          </w:p>
        </w:tc>
        <w:tc>
          <w:tcPr>
            <w:tcW w:w="80" w:type="dxa"/>
            <w:vAlign w:val="bottom"/>
          </w:tcPr>
          <w:p>
            <w:pPr>
              <w:spacing w:after="0"/>
              <w:rPr>
                <w:sz w:val="15"/>
                <w:szCs w:val="15"/>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Series J preferred OP units</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236,000</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0.6061</w:t>
            </w:r>
          </w:p>
        </w:tc>
        <w:tc>
          <w:tcPr>
            <w:tcW w:w="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2.85 %</w:t>
            </w:r>
          </w:p>
        </w:tc>
        <w:tc>
          <w:tcPr>
            <w:tcW w:w="80" w:type="dxa"/>
            <w:vAlign w:val="bottom"/>
          </w:tcPr>
          <w:p>
            <w:pPr>
              <w:spacing w:after="0"/>
              <w:rPr>
                <w:sz w:val="15"/>
                <w:szCs w:val="15"/>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Holder's Option</w:t>
            </w:r>
          </w:p>
        </w:tc>
        <w:tc>
          <w:tcPr>
            <w:tcW w:w="2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2026</w:t>
            </w:r>
          </w:p>
        </w:tc>
        <w:tc>
          <w:tcPr>
            <w:tcW w:w="0" w:type="dxa"/>
            <w:vAlign w:val="bottom"/>
          </w:tcPr>
          <w:p>
            <w:pPr>
              <w:spacing w:after="0"/>
              <w:rPr>
                <w:sz w:val="1"/>
                <w:szCs w:val="1"/>
                <w:color w:val="auto"/>
              </w:rPr>
            </w:pPr>
          </w:p>
        </w:tc>
      </w:tr>
      <w:tr>
        <w:trPr>
          <w:trHeight w:val="177"/>
        </w:trPr>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9</w:t>
            </w:r>
          </w:p>
        </w:tc>
        <w:tc>
          <w:tcPr>
            <w:tcW w:w="80" w:type="dxa"/>
            <w:vAlign w:val="bottom"/>
            <w:shd w:val="clear" w:color="auto" w:fill="CCEEFF"/>
          </w:tcPr>
          <w:p>
            <w:pPr>
              <w:spacing w:after="0"/>
              <w:rPr>
                <w:sz w:val="15"/>
                <w:szCs w:val="15"/>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K preferred OP units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1,000,000</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3"/>
                <w:szCs w:val="13"/>
                <w:color w:val="auto"/>
              </w:rPr>
              <w:t>0.5882</w:t>
            </w:r>
            <w:r>
              <w:rPr>
                <w:rFonts w:ascii="Times New Roman" w:cs="Times New Roman" w:eastAsia="Times New Roman" w:hAnsi="Times New Roman"/>
                <w:sz w:val="17"/>
                <w:szCs w:val="17"/>
                <w:color w:val="auto"/>
                <w:vertAlign w:val="superscript"/>
              </w:rPr>
              <w:t>(4)</w:t>
            </w: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4.0 %</w:t>
            </w:r>
          </w:p>
        </w:tc>
        <w:tc>
          <w:tcPr>
            <w:tcW w:w="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Holder's Option</w:t>
            </w:r>
          </w:p>
        </w:tc>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Within 60 days after March 23, 2028</w:t>
            </w:r>
          </w:p>
        </w:tc>
        <w:tc>
          <w:tcPr>
            <w:tcW w:w="0" w:type="dxa"/>
            <w:vAlign w:val="bottom"/>
          </w:tcPr>
          <w:p>
            <w:pPr>
              <w:spacing w:after="0"/>
              <w:rPr>
                <w:sz w:val="1"/>
                <w:szCs w:val="1"/>
                <w:color w:val="auto"/>
              </w:rPr>
            </w:pPr>
          </w:p>
        </w:tc>
      </w:tr>
      <w:tr>
        <w:trPr>
          <w:trHeight w:val="174"/>
        </w:trPr>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10</w:t>
            </w:r>
          </w:p>
        </w:tc>
        <w:tc>
          <w:tcPr>
            <w:tcW w:w="80" w:type="dxa"/>
            <w:vAlign w:val="bottom"/>
          </w:tcPr>
          <w:p>
            <w:pPr>
              <w:spacing w:after="0"/>
              <w:rPr>
                <w:sz w:val="15"/>
                <w:szCs w:val="15"/>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Series L preferred OP units</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20,000</w:t>
            </w:r>
          </w:p>
        </w:tc>
        <w:tc>
          <w:tcPr>
            <w:tcW w:w="80" w:type="dxa"/>
            <w:vAlign w:val="bottom"/>
          </w:tcPr>
          <w:p>
            <w:pPr>
              <w:spacing w:after="0"/>
              <w:rPr>
                <w:sz w:val="15"/>
                <w:szCs w:val="15"/>
                <w:color w:val="auto"/>
              </w:rPr>
            </w:pPr>
          </w:p>
        </w:tc>
        <w:tc>
          <w:tcPr>
            <w:tcW w:w="900" w:type="dxa"/>
            <w:vAlign w:val="bottom"/>
          </w:tcPr>
          <w:p>
            <w:pPr>
              <w:jc w:val="right"/>
              <w:spacing w:after="0" w:line="174" w:lineRule="exact"/>
              <w:rPr>
                <w:sz w:val="20"/>
                <w:szCs w:val="20"/>
                <w:color w:val="auto"/>
              </w:rPr>
            </w:pPr>
            <w:r>
              <w:rPr>
                <w:rFonts w:ascii="Times New Roman" w:cs="Times New Roman" w:eastAsia="Times New Roman" w:hAnsi="Times New Roman"/>
                <w:sz w:val="13"/>
                <w:szCs w:val="13"/>
                <w:color w:val="auto"/>
              </w:rPr>
              <w:t>0.6250</w:t>
            </w:r>
            <w:r>
              <w:rPr>
                <w:rFonts w:ascii="Times New Roman" w:cs="Times New Roman" w:eastAsia="Times New Roman" w:hAnsi="Times New Roman"/>
                <w:sz w:val="17"/>
                <w:szCs w:val="17"/>
                <w:color w:val="auto"/>
                <w:vertAlign w:val="superscript"/>
              </w:rPr>
              <w:t>(5)</w:t>
            </w:r>
          </w:p>
        </w:tc>
        <w:tc>
          <w:tcPr>
            <w:tcW w:w="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3.5 %</w:t>
            </w:r>
          </w:p>
        </w:tc>
        <w:tc>
          <w:tcPr>
            <w:tcW w:w="80" w:type="dxa"/>
            <w:vAlign w:val="bottom"/>
          </w:tcPr>
          <w:p>
            <w:pPr>
              <w:spacing w:after="0"/>
              <w:rPr>
                <w:sz w:val="15"/>
                <w:szCs w:val="15"/>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N/A</w:t>
            </w:r>
          </w:p>
        </w:tc>
        <w:tc>
          <w:tcPr>
            <w:tcW w:w="2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74"/>
        </w:trPr>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11</w:t>
            </w:r>
          </w:p>
        </w:tc>
        <w:tc>
          <w:tcPr>
            <w:tcW w:w="80" w:type="dxa"/>
            <w:vAlign w:val="bottom"/>
            <w:shd w:val="clear" w:color="auto" w:fill="CCEEFF"/>
          </w:tcPr>
          <w:p>
            <w:pPr>
              <w:spacing w:after="0"/>
              <w:rPr>
                <w:sz w:val="15"/>
                <w:szCs w:val="15"/>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A-3 preferred OP units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40,268</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1.8605</w:t>
            </w: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4.5 %</w:t>
            </w:r>
          </w:p>
        </w:tc>
        <w:tc>
          <w:tcPr>
            <w:tcW w:w="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N/A</w:t>
            </w:r>
          </w:p>
        </w:tc>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27"/>
        </w:trPr>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gridSpan w:val="2"/>
          </w:tcPr>
          <w:p>
            <w:pPr>
              <w:spacing w:after="0" w:line="128" w:lineRule="exact"/>
              <w:rPr>
                <w:sz w:val="20"/>
                <w:szCs w:val="20"/>
                <w:color w:val="auto"/>
              </w:rPr>
            </w:pPr>
            <w:r>
              <w:rPr>
                <w:rFonts w:ascii="Times New Roman" w:cs="Times New Roman" w:eastAsia="Times New Roman" w:hAnsi="Times New Roman"/>
                <w:sz w:val="13"/>
                <w:szCs w:val="13"/>
                <w:color w:val="auto"/>
              </w:rPr>
              <w:t>Same distribution rate for</w:t>
            </w: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126,124,022</w:t>
            </w:r>
            <w:r>
              <w:rPr>
                <w:rFonts w:ascii="Times New Roman" w:cs="Times New Roman" w:eastAsia="Times New Roman" w:hAnsi="Times New Roman"/>
                <w:sz w:val="16"/>
                <w:szCs w:val="16"/>
                <w:color w:val="auto"/>
                <w:vertAlign w:val="superscript"/>
              </w:rPr>
              <w:t>(6)</w:t>
            </w: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gridSpan w:val="2"/>
          </w:tcPr>
          <w:p>
            <w:pPr>
              <w:spacing w:after="0" w:line="136" w:lineRule="exact"/>
              <w:rPr>
                <w:sz w:val="20"/>
                <w:szCs w:val="20"/>
                <w:color w:val="auto"/>
              </w:rPr>
            </w:pPr>
            <w:r>
              <w:rPr>
                <w:rFonts w:ascii="Times New Roman" w:cs="Times New Roman" w:eastAsia="Times New Roman" w:hAnsi="Times New Roman"/>
                <w:sz w:val="13"/>
                <w:szCs w:val="13"/>
                <w:color w:val="auto"/>
              </w:rPr>
              <w:t>common stock and</w:t>
            </w: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12</w:t>
            </w:r>
          </w:p>
        </w:tc>
        <w:tc>
          <w:tcPr>
            <w:tcW w:w="80" w:type="dxa"/>
            <w:vAlign w:val="bottom"/>
          </w:tcPr>
          <w:p>
            <w:pPr>
              <w:spacing w:after="0"/>
              <w:rPr>
                <w:sz w:val="17"/>
                <w:szCs w:val="17"/>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Common OP units</w:t>
            </w:r>
          </w:p>
        </w:tc>
        <w:tc>
          <w:tcPr>
            <w:tcW w:w="15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80" w:type="dxa"/>
            <w:vAlign w:val="bottom"/>
          </w:tcPr>
          <w:p>
            <w:pPr>
              <w:spacing w:after="0"/>
              <w:rPr>
                <w:sz w:val="17"/>
                <w:szCs w:val="17"/>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common OP units</w:t>
            </w: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N/A</w:t>
            </w:r>
          </w:p>
        </w:tc>
        <w:tc>
          <w:tcPr>
            <w:tcW w:w="2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47" w:hanging="147"/>
        <w:spacing w:after="0" w:line="231" w:lineRule="auto"/>
        <w:tabs>
          <w:tab w:leader="none" w:pos="136" w:val="left"/>
        </w:tabs>
        <w:numPr>
          <w:ilvl w:val="0"/>
          <w:numId w:val="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Exchange rates are subject to adjustment upon stock splits, recapitalizations, and similar events. The exchange rates of certain series of OP units are approximated to four decimal places. Subject to certain limitations, holders can convert certain series of OP units to shares of our common stock and to common OP units at any time.</w:t>
      </w:r>
    </w:p>
    <w:p>
      <w:pPr>
        <w:ind w:left="127" w:hanging="127"/>
        <w:spacing w:after="0" w:line="187" w:lineRule="auto"/>
        <w:tabs>
          <w:tab w:leader="none" w:pos="127" w:val="left"/>
        </w:tabs>
        <w:numPr>
          <w:ilvl w:val="0"/>
          <w:numId w:val="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Except for Common OP units, distributions are payable on the issue price of each OP unit, which is $100.00 per unit for all these preferred OP units.</w:t>
      </w:r>
    </w:p>
    <w:p>
      <w:pPr>
        <w:ind w:left="127" w:hanging="127"/>
        <w:spacing w:after="0"/>
        <w:tabs>
          <w:tab w:leader="none" w:pos="127" w:val="left"/>
        </w:tabs>
        <w:numPr>
          <w:ilvl w:val="0"/>
          <w:numId w:val="2"/>
        </w:numPr>
        <w:rPr>
          <w:rFonts w:ascii="Times New Roman" w:cs="Times New Roman" w:eastAsia="Times New Roman" w:hAnsi="Times New Roman"/>
          <w:sz w:val="8"/>
          <w:szCs w:val="8"/>
          <w:color w:val="auto"/>
        </w:rPr>
      </w:pPr>
      <w:r>
        <w:rPr>
          <w:rFonts w:ascii="Times New Roman" w:cs="Times New Roman" w:eastAsia="Times New Roman" w:hAnsi="Times New Roman"/>
          <w:sz w:val="12"/>
          <w:szCs w:val="12"/>
          <w:color w:val="auto"/>
        </w:rPr>
        <w:t>The redemption price for each preferred OP unit redeemed will be equal to its issue price plus all accrued but unpaid distributions.</w:t>
      </w:r>
    </w:p>
    <w:p>
      <w:pPr>
        <w:spacing w:after="0" w:line="7" w:lineRule="exact"/>
        <w:rPr>
          <w:rFonts w:ascii="Times New Roman" w:cs="Times New Roman" w:eastAsia="Times New Roman" w:hAnsi="Times New Roman"/>
          <w:sz w:val="8"/>
          <w:szCs w:val="8"/>
          <w:color w:val="auto"/>
        </w:rPr>
      </w:pPr>
    </w:p>
    <w:p>
      <w:pPr>
        <w:jc w:val="both"/>
        <w:ind w:left="147" w:hanging="147"/>
        <w:spacing w:after="0" w:line="241" w:lineRule="auto"/>
        <w:tabs>
          <w:tab w:leader="none" w:pos="136" w:val="left"/>
        </w:tabs>
        <w:numPr>
          <w:ilvl w:val="0"/>
          <w:numId w:val="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Each Series K preferred OP unit is exchangeable for 0.5882 common OP units. Each such common OP unit will be exchangeable for one share of our common stock. We have the right to cause the holders of Series K preferred OP units to exchange such units into common OP units at the applicable exchange rate (a) within 60 days after March 23, 2028 or (b) if at any time the trading price of our common stock for each of the preceding 60 trading days is equal to or greater than 120% of the Series K conversion price of $170 (as it may be adjusted under the Operating Partnership's partnership agreement). If in connection with an exchange pursuant to clause (a) above the recent average price of our common stock (as determined under the Operating Partnership's partnership agreement) is less than the Series K conversion price, we will be required to make an additional cash payment in respect of each exchanged Series K preferred OP unit equal to the product of (i) the Series K exchange rate and (ii) the difference between such average price and the Series K conversion price.</w:t>
      </w:r>
    </w:p>
    <w:p>
      <w:pPr>
        <w:spacing w:after="0" w:line="1" w:lineRule="exact"/>
        <w:rPr>
          <w:rFonts w:ascii="Times New Roman" w:cs="Times New Roman" w:eastAsia="Times New Roman" w:hAnsi="Times New Roman"/>
          <w:sz w:val="16"/>
          <w:szCs w:val="16"/>
          <w:color w:val="auto"/>
          <w:vertAlign w:val="superscript"/>
        </w:rPr>
      </w:pPr>
    </w:p>
    <w:p>
      <w:pPr>
        <w:jc w:val="both"/>
        <w:ind w:left="147" w:hanging="147"/>
        <w:spacing w:after="0" w:line="241" w:lineRule="auto"/>
        <w:tabs>
          <w:tab w:leader="none" w:pos="136" w:val="left"/>
        </w:tabs>
        <w:numPr>
          <w:ilvl w:val="0"/>
          <w:numId w:val="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Each Series L preferred OP unit is exchangeable for 0.6250 common OP units. Each such common OP unit will be exchangeable for one share of our common stock. We have the right to cause the holders of Series L preferred OP units to exchange such units into common OP units at the applicable exchange rate (a) any time after December 31, 2028 or (b) if at any time the trading price of our common stock for each of the preceding 60 trading days is equal to or greater than 120% of the Series L conversion price of $160 (as it may be adjusted under the Operating Partnership's partnership agreement). If in connection with an exchange pursuant to clause (a) above the recent average price of our common stock (as determined under the Operating Partnership's partnership agreement) is less than the Series L conversion price, we will be required to make an additional cash payment in respect of each exchanged Series L preferred OP unit equal to the product of (i) the Series L exchange rate and (ii) the difference between such average price and the Series L conversion price.</w:t>
      </w:r>
    </w:p>
    <w:p>
      <w:pPr>
        <w:spacing w:after="0" w:line="1" w:lineRule="exact"/>
        <w:rPr>
          <w:rFonts w:ascii="Times New Roman" w:cs="Times New Roman" w:eastAsia="Times New Roman" w:hAnsi="Times New Roman"/>
          <w:sz w:val="16"/>
          <w:szCs w:val="16"/>
          <w:color w:val="auto"/>
          <w:vertAlign w:val="superscript"/>
        </w:rPr>
      </w:pPr>
    </w:p>
    <w:p>
      <w:pPr>
        <w:ind w:left="127" w:hanging="127"/>
        <w:spacing w:after="0" w:line="196" w:lineRule="auto"/>
        <w:tabs>
          <w:tab w:leader="none" w:pos="127" w:val="left"/>
        </w:tabs>
        <w:numPr>
          <w:ilvl w:val="0"/>
          <w:numId w:val="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Of the 126,124,022 Common OP units, 123,486,747 or 97.9% were held by us, and 2,637,275 or 2.1% were owned by various limited partners.</w:t>
      </w:r>
    </w:p>
    <w:p>
      <w:pPr>
        <w:spacing w:after="0" w:line="8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REAL PROPERTY OPERATIONS AND COMPETITION</w:t>
      </w:r>
    </w:p>
    <w:p>
      <w:pPr>
        <w:spacing w:after="0" w:line="10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i w:val="1"/>
          <w:iCs w:val="1"/>
          <w:color w:val="auto"/>
        </w:rPr>
        <w:t>MH and RV Segments</w:t>
      </w:r>
    </w:p>
    <w:p>
      <w:pPr>
        <w:spacing w:after="0" w:line="109" w:lineRule="exact"/>
        <w:rPr>
          <w:sz w:val="20"/>
          <w:szCs w:val="20"/>
          <w:color w:val="auto"/>
        </w:rPr>
      </w:pPr>
    </w:p>
    <w:p>
      <w:pPr>
        <w:jc w:val="both"/>
        <w:ind w:left="7"/>
        <w:spacing w:after="0" w:line="267" w:lineRule="auto"/>
        <w:rPr>
          <w:sz w:val="20"/>
          <w:szCs w:val="20"/>
          <w:color w:val="auto"/>
        </w:rPr>
      </w:pPr>
      <w:r>
        <w:rPr>
          <w:rFonts w:ascii="Times New Roman" w:cs="Times New Roman" w:eastAsia="Times New Roman" w:hAnsi="Times New Roman"/>
          <w:sz w:val="15"/>
          <w:szCs w:val="15"/>
          <w:color w:val="auto"/>
        </w:rPr>
        <w:t>An MH community is a residential subdivision with sites for the placement of manufactured homes, related improvements, and amenities. Our MH communities are designed to offer affordable housing to individuals and families, while also providing a number of lifestyle amenities. Manufactured homes are detached single-family homes that are produced off-site by manufacturers and installed on site within the community. Manufactured homes are available in a wide array of designs, providing owners with a level of customization generally unavailable in multi-family housing complexes. Modern MH communities contain improvements similar to other garden-style residential developments, including centralized entrances, paved streets, curbs, gutters, and parkways.</w:t>
      </w:r>
    </w:p>
    <w:p>
      <w:pPr>
        <w:spacing w:after="0" w:line="59" w:lineRule="exact"/>
        <w:rPr>
          <w:sz w:val="20"/>
          <w:szCs w:val="20"/>
          <w:color w:val="auto"/>
        </w:rPr>
      </w:pPr>
    </w:p>
    <w:p>
      <w:pPr>
        <w:jc w:val="both"/>
        <w:ind w:left="7"/>
        <w:spacing w:after="0" w:line="270" w:lineRule="auto"/>
        <w:rPr>
          <w:sz w:val="20"/>
          <w:szCs w:val="20"/>
          <w:color w:val="auto"/>
        </w:rPr>
      </w:pPr>
      <w:r>
        <w:rPr>
          <w:rFonts w:ascii="Times New Roman" w:cs="Times New Roman" w:eastAsia="Times New Roman" w:hAnsi="Times New Roman"/>
          <w:sz w:val="15"/>
          <w:szCs w:val="15"/>
          <w:color w:val="auto"/>
        </w:rPr>
        <w:t>An RV community is a resort with sites for the placement of RVs for varied lengths of time, and in certain cases, also include vacation rental homes. Our RV communities are designed to offer affordable vacation opportunities to individuals and families, complemented by a diverse selection of high-quality amenities such as restaurants, golf courses, swimming pools, and tennis courts. We operate the majority of our RV communities under the "Sun Outdoors" brand, which we believe supports our competitive advantage in the outdoor market. Sun Outdoors offers RV sites, vacation rentals, and tent camping with world-class amenities, primarily in the U.S.</w:t>
      </w:r>
    </w:p>
    <w:p>
      <w:pPr>
        <w:spacing w:after="0" w:line="57" w:lineRule="exact"/>
        <w:rPr>
          <w:sz w:val="20"/>
          <w:szCs w:val="20"/>
          <w:color w:val="auto"/>
        </w:rPr>
      </w:pPr>
    </w:p>
    <w:p>
      <w:pPr>
        <w:jc w:val="both"/>
        <w:ind w:left="7"/>
        <w:spacing w:after="0" w:line="266" w:lineRule="auto"/>
        <w:rPr>
          <w:sz w:val="20"/>
          <w:szCs w:val="20"/>
          <w:color w:val="auto"/>
        </w:rPr>
      </w:pPr>
      <w:r>
        <w:rPr>
          <w:rFonts w:ascii="Times New Roman" w:cs="Times New Roman" w:eastAsia="Times New Roman" w:hAnsi="Times New Roman"/>
          <w:sz w:val="15"/>
          <w:szCs w:val="15"/>
          <w:color w:val="auto"/>
        </w:rPr>
        <w:t>Renters at our MH and RV communities lease the site on which a manufactured home, RV, or vacation rental home is located. We typically own the underlying land, utility connections, streets, lighting, driveways, common area amenities, and other capital improvements, and are responsible for enforcement of community guidelines and maintenance. In certain MH and RV communities, we do not own all of the underlying land and operate the communities pursuant to contractual ground lease arrangements. Certain communities provide water and sewer service through public or private utility companies, while other communities provide these services to residents from on-site facilities. Each owner of a home within our properties is responsible for the maintenance of the home and leased site. As a result, our capital expenditure needs are less significant relative to multi-family rental apartment complexes.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121920</wp:posOffset>
            </wp:positionV>
            <wp:extent cx="7177405" cy="40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121" w:right="3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color w:val="auto"/>
        </w:rPr>
        <w:t>We compete with other MH and RV communities and alternative forms of housing (such as on-site constructed homes, apartments, condominiums, and townhouses) as they provide housing alternatives to potential tenants of MH and RV communities.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UK Segment</w:t>
      </w:r>
    </w:p>
    <w:p>
      <w:pPr>
        <w:spacing w:after="0" w:line="109"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color w:val="auto"/>
        </w:rPr>
        <w:t>In the UK, homeowners occupy a pitch at one of our properties through a site fee license arrangement. In addition, we sell new and pre-owned homes to current and prospective customers. We also provide vacation opportunities to individuals and families complemented by high-quality amenities. The holiday park industry in the UK is highly fragmented.</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PROPERTY MANAGEMENT</w:t>
      </w:r>
    </w:p>
    <w:p>
      <w:pPr>
        <w:spacing w:after="0" w:line="109"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5"/>
          <w:szCs w:val="15"/>
          <w:color w:val="auto"/>
        </w:rPr>
        <w:t>Our property management strategy emphasizes intensive, detail-oriented, hands-on management by dedicated, on-site MH, RV, and UK community managers. We believe our focus on creating an exceptional resident, guest, and member experience creates a competitive advantage. It enables us to continually monitor and address concerns, the performance of competitive properties, and local market conditions. As of December 31, 2025, of our 3,614 employees, 849 were located on-site as property managers, and of those, 99.8% were full-time employees. We also selectively utilize third-party managers to oversee the operations at certain of our RV properties to further enhance the efficiency of our property management strategy. As of December 31, 2025, approximately 56 of our RV properties, or approximately 34% of our total RV properties, were managed by third-party managers.</w:t>
      </w:r>
    </w:p>
    <w:p>
      <w:pPr>
        <w:spacing w:after="0" w:line="5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Our MH and RV property managers in the U.S. and Canada are overseen by our Chief Operating Officer ("COO"), and a team of Senior Vice Presidents, Divisional Vice Presidents, and Regional Vice Presidents. Each Regional Vice President typically oversees seven to 17 properties and is responsible for regular property inspections, oversight of property operations and sales functions, semi-annual market surveys of competitive communities, and interaction with local manufactured home dealers. Each property manager performs regular inspections in order to monitor the physical condition of properties and to effectively address tenant concerns. In addition to an on-site manager, each district or property has on-site maintenance personnel and management support staff. We hold mandatory training sessions for all new property management personnel to ensure that policies and procedures are executed effectively and professionally. All of our property management personnel participate in on-going training to ensure that changes to policies and procedures are implemented consistently. Our internal training program has led to increased knowledge and accountability for daily operations and policies and procedures.</w:t>
      </w:r>
    </w:p>
    <w:p>
      <w:pPr>
        <w:spacing w:after="0" w:line="6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5"/>
          <w:szCs w:val="15"/>
          <w:color w:val="auto"/>
        </w:rPr>
        <w:t>Our UK business is overseen by the Chief Executive Officer ("CEO") of Park Holidays, a COO, and two Regional Operations Directors who are responsible for all on-site operations in the UK.</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HOME SALES AND RENTALS</w:t>
      </w:r>
    </w:p>
    <w:p>
      <w:pPr>
        <w:spacing w:after="0" w:line="1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We market, sell, and lease new and pre-owned homes to current and future residents in our MH and RV communities through SHS in the U.S., and to current and future holiday homeowners through our subsidiaries in the UK. Because tenants and holiday homeowners often purchase a home already on-site within a community, the services SHS and our UK subsidiaries provide enhance occupancy and property performance. Additionally, because many of the homes on the properties are sold through SHS and Park Holidays, better control of home quality in our communities can be maintained than if sales services were conducted solely through third-party brokers.</w:t>
      </w:r>
    </w:p>
    <w:p>
      <w:pPr>
        <w:spacing w:after="0" w:line="5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SHS also leases homes to prospective tenants. As of December 31, 2025, SHS's portfolio consists of over 12,510 occupied leased homes. New and pre-owned homes are purchased for our Rental Program. Leases associated with our Rental Program generally have a term of one year. The Rental Program requires management of costs associated with repair and refurbishment of these homes as the tenants vacate and the homes are re-leased. In 2025, we received over 33,700 applications to live in our MH and RV properties, providing a significant "resident onboarding" system that allows us to market the purchase of a home to qualified applicants. Through our Rental Program, we demonstrate our product and lifestyle to the renters, while monitoring their payment history and converting qualified renters to owners.</w:t>
      </w:r>
    </w:p>
    <w:p>
      <w:pPr>
        <w:spacing w:after="0" w:line="59"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color w:val="auto"/>
        </w:rPr>
        <w:t>Park Holidays also rents homes for short-stays to allow people to experience the community park and facilities. Their short-stay experiences may, in turn, lead guests to ultimately purchase a home in a Park Holidays community. Holiday makers drive the pipeline for future home sales opportunities.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Our home sales and leasing operations compete with other national and local MH dealers, and MH community owners in the U.S., and other holiday park owners in the UK.</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SITE LEASES OR USAGE RIGHTS</w:t>
      </w:r>
    </w:p>
    <w:p>
      <w:pPr>
        <w:spacing w:after="0" w:line="10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Typical tenant leases for MH sites in the U.S. are year-to-year or month-to-month, renewable upon the consent of both parties, or, in some instances, as provided by statute. Certain of our leases, mainly at our Florida and California properties, are tied to the consumer price index or other indices as they relate to rent increases. Generally, market rate adjustments are made on an annual basis. These leases are cancellable for non-payment of rent, violation of community rules and regulations, or other specified defaults. During the five calendar years ended December 31, 2025, on average, less than 1.0% of the homes in our MH communities have been removed by their owners and 5.3% of the homes have been sold by their owners to a new owner who then assumes rental obligations as a community resident.</w:t>
      </w:r>
    </w:p>
    <w:p>
      <w:pPr>
        <w:spacing w:after="0" w:line="5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5"/>
          <w:szCs w:val="15"/>
          <w:color w:val="auto"/>
        </w:rPr>
        <w:t>Site licenses for MH sites in the UK are for a term of 20, 30, or 40 years depending on the product originally purchased. The holiday homeowner must pay an annual site fee for their holiday home to remain on the property.</w:t>
      </w:r>
    </w:p>
    <w:p>
      <w:pPr>
        <w:spacing w:after="0" w:line="3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5"/>
          <w:szCs w:val="15"/>
          <w:color w:val="auto"/>
        </w:rPr>
        <w:t>Typical resident agreements for RV sites are year-to-year or from move-in date until the end of the current calendar year. Generally, increases and market rate adjustments are made on an annual basis. These agreements are cancellable for non-payment of rent, violation of community rules and regulations, or other specified defaults.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ACQUISITION AND DISPOSITION STRATEGY</w:t>
      </w:r>
    </w:p>
    <w:p>
      <w:pPr>
        <w:spacing w:after="0" w:line="1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From 2010 through 2022, a large component of our growth was driven by acquisitions as we opportunistically purchased high-quality MH, RV, and UK properties. Beginning in 2023, we shifted our strategy toward optimizing the value of our business through achieving strong rental rate growth and operating efficiencies, while still pursuing select new acquisition and expansion opportunities that meet our capital investment criteria. In 2025, the Safe Harbor Sale advanced our strategy of focusing on our core business and enhanced our leverage profile and financial flexibility. We believe we are positioned for organic growth while also selectively pursuing MH and RV acquisition opportunities.</w:t>
      </w:r>
    </w:p>
    <w:p>
      <w:pPr>
        <w:spacing w:after="0" w:line="57"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5"/>
          <w:szCs w:val="15"/>
          <w:color w:val="auto"/>
        </w:rPr>
        <w:t>During the year ended December 31, 2025, we acquired 11 MH and three RV properties for total cash consideration of $457.0 million. During this period, we also sold four MH properties, three RV properties, and three development land parcels for a gross sale price of $202.6 million.</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REGULATIONS AND INSURANCE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General</w:t>
      </w:r>
    </w:p>
    <w:p>
      <w:pPr>
        <w:spacing w:after="0" w:line="109"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color w:val="auto"/>
        </w:rPr>
        <w:t>MH, RV, and UK properties are subject to various laws, ordinances, and regulations, including regulations relating to recreational facilities such as swimming pools, clubhouses, and other common areas. Each property has the necessary operating permits and approvals.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Insurance</w:t>
      </w:r>
    </w:p>
    <w:p>
      <w:pPr>
        <w:spacing w:after="0" w:line="10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With increased insurance claims across the industry and other challenging insurance industry-related market conditions, it has been more difficult and expensive to obtain insurance, in particular property insurance covering wind events, named windstorms, business interruption, floods, and earthquakes. With fewer insurers willing to provide policies, and policies increasingly including lower coverage limits, higher deductibles, and higher premiums, we have changed, and will continue to assess and adjust, as appropriate, our insurance coverage strategy. This has resulted in increased self-insurance exposure retained by the Company. We believe that the properties are covered by adequate comprehensive liability, fire, property, business interruption, general liability, and (where appropriate) flood, wind, and earthquake insurance through a combination of self-insurance and insurance provided by third-party providers with commercially reasonable coverage, including deductibles and limits. We maintain a blanket policy that covers all of our properties. We have obtained title insurance insuring fee title to the properties in an aggregate amount which we believe to be adequate. Claims made to our insurance carriers that are determined to be recoverable are classified in other receivables as incurred.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HUMAN CAPITAL MATTERS</w:t>
      </w:r>
    </w:p>
    <w:p>
      <w:pPr>
        <w:spacing w:after="0" w:line="109"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color w:val="auto"/>
        </w:rPr>
        <w:t>Human capital management is key to our success, and focuses on employee retention and talent development practices. We are committed to building a culture that inspires and supports the growth of our employees, serves our communities, and shapes a more competitive business.</w:t>
      </w:r>
    </w:p>
    <w:p>
      <w:pPr>
        <w:spacing w:after="0" w:line="3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We expect our leaders to be role models and lead in a way that enables our organization to achieve success. Our strategy is anchored in promoting the right internal talent and hiring the right external talent for career opportunities across our organization. We are focused on hiring and developing talent that mirrors the markets we serve, and investing in learning opportunities and capabilities that equip our workforce with the skills they need while improving engagement and retention.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5"/>
          <w:szCs w:val="15"/>
          <w:color w:val="auto"/>
        </w:rPr>
        <w:t>We believe we are a stronger organization when our workforce represents a broad range of ideas and experiences. As of December 31, 2025, 50% of our employees were female, 25% of our employees (excluding those in Canada and the UK) were racially or ethnically diverse, and 47% of our employees were aged 50 years and older, with approximately 26% being aged 60 years and older.</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Training and Resources</w:t>
      </w:r>
    </w:p>
    <w:p>
      <w:pPr>
        <w:spacing w:after="0" w:line="1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We offer training and resources on cybersecurity; fair housing and anti-discrimination laws and regulation; preventing harassment, sexual harassment, and discrimination; and leadership development. We are committed to providing a total compensation package that is market-based, performance driven, fair, and internally equitable. We conduct ongoing pay equity analyses to ensure that our employees are compensated fairly. Our goal is to be competitive both within the general employment market as well as with our competitors in the real estate industry.</w:t>
      </w:r>
    </w:p>
    <w:p>
      <w:pPr>
        <w:spacing w:after="0" w:line="5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Our Code of Conduct and Business Ethics is grounded in our commitment to do the right thing. It serves as the foundation of our approach to ethics and compliance. Our anti-corruption compliance program is focused on conducting business in a fair, ethical, and legal manner. We do not tolerate harassing, discriminatory, or retaliatory conduct, as such conduct is inconsistent with our policies, practices, and philosophy.</w:t>
      </w:r>
    </w:p>
    <w:p>
      <w:pPr>
        <w:spacing w:after="0" w:line="5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We actively seek opportunities to minimize health, safety, and environmental risks to our team members, residents, and customers we serve in our communities by utilizing safe operating procedures in compliance with safety and health laws, providing ongoing role appropriate training, conducting regular inspections and reviews, and providing the appropriate tools and safeguards for accident prevention and risk management.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CAUTIONARY STATEMENT REGARDING FORWARD-LOOKING STATEMENTS</w:t>
      </w:r>
    </w:p>
    <w:p>
      <w:pPr>
        <w:spacing w:after="0" w:line="1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This Annual Report on Form 10-K contains various "forward-looking statements" within the meaning of the Securities Act of 1933, as amended (the "Securities Act"), and the Securities Exchange Act of 1934, as amended (the "Exchange Act"), and we intend that such forward-looking statements will be subject to the safe harbors created thereby. For this purpose, any statements contained in this document that relate to expectations, beliefs, projections, future plans and strategies, trends, or prospective events or developments, and similar expressions concerning matters that are not historical facts are deemed to be forward-looking statements. Words such as "forecasts," "intend," "goal," "estimate," "expect," "project," "projections," "plans," "predicts," "potential," "seeks," "anticipates," "should," "could," "may," "will," "designed to," "foreseeable future," "believe," "scheduled," "guidance," "target," and similar expressions are intended to identify forward-looking statements, although not all forward-looking statements contain these words. These forward-looking statements reflect our current views with respect to future events and financial performance, but involve known and unknown risks, uncertainties, and other factors, both general and specific to the matters discussed in this document, some of which are beyond our control. These risks, uncertainties, and other factors may cause our actual results to be materially different from any future results expressed or implied by such forward-looking statements. In addition to the risks disclosed under "Risk Factors" in this Annual Report on Form 10-K, and in our other filings with the SEC, from time to time, such risks, uncertainties and other factors include, but are not limited to:</w:t>
      </w:r>
    </w:p>
    <w:p>
      <w:pPr>
        <w:spacing w:after="0" w:line="69" w:lineRule="exact"/>
        <w:rPr>
          <w:sz w:val="20"/>
          <w:szCs w:val="20"/>
          <w:color w:val="auto"/>
        </w:rPr>
      </w:pPr>
    </w:p>
    <w:p>
      <w:pPr>
        <w:ind w:left="540" w:hanging="270"/>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liquidity and refinancing demands;</w:t>
      </w:r>
    </w:p>
    <w:p>
      <w:pPr>
        <w:spacing w:after="0" w:line="26"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obtain or refinance maturing debt;</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maintain compliance with covenants contained in our debt facilities and our unsecured notes;</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Availability of capital;</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General volatility of the capital markets and the market price of shares of our capital stock;</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Increases in interest rates and operating costs, including insurance premiums, real estate taxes, and utilities;</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Difficulties in our ability to evaluate, finance, complete, and integrate acquisitions, developments, and expansions successfully;</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Competitive market forces;</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ability of purchasers of manufactured homes to obtain financing;</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level of repossessions of manufactured homes;</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maintain effective internal control over financial reporting and disclosure controls and procedures;</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Expectations regarding the amount or frequency of impairment losses;</w:t>
      </w:r>
    </w:p>
    <w:p>
      <w:pPr>
        <w:spacing w:after="0" w:line="12" w:lineRule="exact"/>
        <w:rPr>
          <w:rFonts w:ascii="Times New Roman" w:cs="Times New Roman" w:eastAsia="Times New Roman" w:hAnsi="Times New Roman"/>
          <w:sz w:val="15"/>
          <w:szCs w:val="15"/>
          <w:color w:val="auto"/>
        </w:rPr>
      </w:pPr>
    </w:p>
    <w:p>
      <w:pPr>
        <w:ind w:left="540" w:right="20" w:hanging="270"/>
        <w:spacing w:after="0" w:line="257" w:lineRule="auto"/>
        <w:tabs>
          <w:tab w:leader="none" w:pos="53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Changes in general economic conditions, including inflation, deflation, energy costs, the real estate industry, the effects of tariffs or threats of tariffs, wars or other international conflicts, trade wars, immigration issues, supply chain disruptions, and the markets within which we operate;</w:t>
      </w:r>
    </w:p>
    <w:p>
      <w:pPr>
        <w:ind w:left="540" w:hanging="270"/>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foreign currency exchange rates, including between the U.S. dollar and each of the British pound sterling, Canadian dollar, and Australian dollar;</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maintain our status as a REIT;</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real estate and zoning laws and regulations;</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maintain rental rates and occupancy levels;</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Legislative or regulatory changes, including changes to laws governing the taxation of REITs;</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Outbreaks of disease and related restrictions on business operations;</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Risks related to natural disasters such as hurricanes, earthquakes, floods, droughts, and wildfires; and</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Litigation, judgments or settlements, including costs associated with prosecuting or defending claims and any adverse outcomes.</w:t>
      </w:r>
    </w:p>
    <w:p>
      <w:pPr>
        <w:spacing w:after="0" w:line="91"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5"/>
          <w:szCs w:val="15"/>
          <w:color w:val="auto"/>
        </w:rPr>
        <w:t>Readers are cautioned not to place undue reliance on these forward-looking statements, which speak only as of the date the statement was made. We undertake no obligation to publicly update or revise any forward-looking statements included or incorporated by reference into this document, whether as a result of new information, future events, changes in our expectations or otherwise, except as required by law.</w:t>
      </w:r>
    </w:p>
    <w:p>
      <w:pPr>
        <w:spacing w:after="0" w:line="53"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color w:val="auto"/>
        </w:rPr>
        <w:t>Although we believe that the expectations reflected in the forward-looking statements are reasonable, we cannot guarantee future results, levels of activity, performance, or achievements. All written and oral forward-looking statements attributable to us or persons acting on our behalf are qualified in their entirety by these cautionary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1A. RISK FACTORS</w:t>
      </w:r>
    </w:p>
    <w:p>
      <w:pPr>
        <w:spacing w:after="0" w:line="10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Our prospects are subject to certain uncertainties and risks. Our future results could differ materially from current results, and our actual results could differ materially from those projected in forward-looking statements as a result of certain risk factors. These risk factors include, but are not limited to, those set forth below, other one-time events, and important factors disclosed previously and from time to time in our other filings with the SEC.</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MATERIAL RISKS RELATING TO OUR MH, RV, AND UK BUSINESSES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General economic conditions and the concentration of our MH, RV, and UK properties in certain geographic areas may affect our ability to generate revenue.</w:t>
      </w:r>
    </w:p>
    <w:p>
      <w:pPr>
        <w:spacing w:after="0" w:line="10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The market and economic conditions in our current markets generally, and specifically in metropolitan areas of our current markets, may significantly affect occupancy or rental rates. Occupancy and rental rates, in turn, may significantly affect our revenues, and if our properties do not generate revenues sufficient to meet our operating expenses, including debt service and capital expenditures, our cash flows, and ability to pay or refinance our debt obligations could be adversely affected.</w:t>
      </w:r>
    </w:p>
    <w:p>
      <w:pPr>
        <w:spacing w:after="0" w:line="5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As of December 31, 2025, 125 of our MH, RV, and UK communities, representing 26.4% of developed sites, are located in Florida; 89 communities, representing 19.4% of developed sites, are located in Michigan; 53 communities, representing 12.1% of developed sites, are located in the UK; 29 communities, representing 6.1% of developed sites, are located in Texas; and 37 communities, representing 4.9% of developed sites, are located in California. As a result of the geographic concentration of our communities in Florida, Michigan, the UK, Texas, and California, we are exposed to the risks of downturns in local economies or other local real estate market conditions which could adversely affect occupancy rates, rental rates, and property values in these markets.</w:t>
      </w:r>
    </w:p>
    <w:p>
      <w:pPr>
        <w:spacing w:after="0" w:line="59"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5"/>
          <w:szCs w:val="15"/>
          <w:color w:val="auto"/>
        </w:rPr>
        <w:t>Our revenue would also be adversely affected if tenants and guests were unable to pay rent or if sites were unable to be rented on favorable terms. If we were unable to promptly relet or renew the leases for a significant number of the sites, or if the rental rates upon such renewal or reletting were significantly lower than expected rates, then our business and results of operations could be adversely affected. In addition, certain expenditures associated with each property (such as real estate taxes and maintenance costs) generally are not reduced when circumstances cause a reduction in income from the property. Furthermore, real estate investments are relatively illiquid and, therefore, will tend to limit our ability to vary our portfolio promptly in response to changes in economic or other conditions.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factors, among others, may adversely affect the revenues generated by our properties:</w:t>
      </w:r>
    </w:p>
    <w:p>
      <w:pPr>
        <w:spacing w:after="0" w:line="105" w:lineRule="exact"/>
        <w:rPr>
          <w:sz w:val="20"/>
          <w:szCs w:val="20"/>
          <w:color w:val="auto"/>
        </w:rPr>
      </w:pPr>
    </w:p>
    <w:p>
      <w:pPr>
        <w:ind w:left="540" w:right="20" w:hanging="270"/>
        <w:spacing w:after="0" w:line="267" w:lineRule="auto"/>
        <w:tabs>
          <w:tab w:leader="none" w:pos="536"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international, national, and local economic climate which may be adversely impacted by, among other factors, plant closings, industry slowdowns, inflation, tariffs or threats of tariffs, wars or other international conflicts, trade wars, immigration issues, and supply chain disruptions;</w:t>
      </w:r>
    </w:p>
    <w:p>
      <w:pPr>
        <w:ind w:left="540" w:hanging="270"/>
        <w:spacing w:after="0" w:line="257" w:lineRule="auto"/>
        <w:tabs>
          <w:tab w:leader="none" w:pos="536"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local real estate market conditions such as the oversupply of MH or RV sites or a reduction in demand for MH or RV sites in an area, and an oversupply of, or a reduced demand for, manufactured homes;</w:t>
      </w:r>
    </w:p>
    <w:p>
      <w:pPr>
        <w:ind w:left="540" w:hanging="270"/>
        <w:spacing w:after="0"/>
        <w:tabs>
          <w:tab w:leader="none" w:pos="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increased operating costs, including insurance premiums, real estate taxes, and utilities;</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competition from other available MH and RV communities and alternative forms of housing (such as apartment buildings and site-built single-family homes);</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decrease in the number of people interested in the RV lifestyle;</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outbreaks of disease and related restrictions on business operations;</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foreign currency exchange rates, including between the U.S. dollar and each of the British pound sterling, Canadian dollar, and Australian dollar;</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difficulty facing potential purchasers in obtaining affordable financing as a result of heightened lending criteria;</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increase or decrease in the rate of manufactured home repossessions which provide aggressively priced competition to new manufactured home sales;</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lack of an established MH dealer network;</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housing rental market which may limit the extent to which rents may be increased to meet increased expenses without decreasing occupancy rates;</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perceptions by prospective tenants of the safety, convenience and attractiveness of our MH properties, and the neighborhoods where they are located;</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zoning or other environmental regulatory restrictions;</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effectively manage, maintain, and insure our properties; and</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enactment of rent control laws or laws taxing the owners of manufactured homes.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Competition affects occupancy levels and rents, which could adversely affect our revenues.</w:t>
      </w:r>
    </w:p>
    <w:p>
      <w:pPr>
        <w:spacing w:after="0" w:line="10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The MH and RV industries are highly-fragmented. There are many international, national, and regional competitors in the markets we currently serve and in new markets that we may enter. Our properties are located in developed areas that include other MH or RV communities. The number of competitive communities in a particular area could have a material adverse effect on our ability to lease sites and increase rents charged at our properties or at any newly acquired properties. We may be competing with others with greater resources. In addition, other forms of multi-family residential properties, such as private and federally funded or assisted multi-family housing projects and single-family housing, provide housing alternatives to potential tenants of MH or RV communities.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cyclical and seasonal nature of the RV and UK segments may lead to fluctuations in our operating results</w:t>
      </w:r>
      <w:r>
        <w:rPr>
          <w:rFonts w:ascii="Times New Roman" w:cs="Times New Roman" w:eastAsia="Times New Roman" w:hAnsi="Times New Roman"/>
          <w:sz w:val="15"/>
          <w:szCs w:val="15"/>
          <w:b w:val="1"/>
          <w:bCs w:val="1"/>
          <w:color w:val="auto"/>
        </w:rPr>
        <w:t>.</w:t>
      </w:r>
    </w:p>
    <w:p>
      <w:pPr>
        <w:spacing w:after="0" w:line="10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The RV and UK segments can experience cycles of growth and downturn due to seasonality patterns in demand and cyclicality. Results of operations in any one period may not be indicative of results in future periods. In the RV segment, certain properties maintain higher occupancy during the summer months, while other properties maintain higher occupancy during the winter months, based on geographical considerations related to when the parks are open. The RV segment typically shows a decline in demand over the winter months, yet usually produces higher growth in the spring and summer months due to higher use by vacationers. In the UK segment, vacation rental sites generally produce higher revenues between March and October. In addition, since our RV and UK properties are designed to offer vacation opportunities, economic cyclicality resulting in a downtown that affects discretionary spending and disposable income for leisure activities could adversely affect demand. Our results on a quarterly basis can fluctuate due to this cyclicality and seasonality.</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not be able to integrate or finance our acquisitions and our acquisitions may not perform as expected.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have acquired and intend to continue to selectively acquire MH and RV properties. Our acquisition activities and their success are subject to the following risks:</w:t>
      </w:r>
    </w:p>
    <w:p>
      <w:pPr>
        <w:spacing w:after="0" w:line="105" w:lineRule="exact"/>
        <w:rPr>
          <w:sz w:val="20"/>
          <w:szCs w:val="20"/>
          <w:color w:val="auto"/>
        </w:rPr>
      </w:pPr>
    </w:p>
    <w:p>
      <w:pPr>
        <w:ind w:left="540" w:right="20" w:hanging="270"/>
        <w:spacing w:after="0" w:line="267" w:lineRule="auto"/>
        <w:tabs>
          <w:tab w:leader="none" w:pos="536"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be unable to acquire a desired property because of competition from other well-capitalized real estate investors, including both publicly traded REITs and institutional investment funds;</w:t>
      </w:r>
    </w:p>
    <w:p>
      <w:pPr>
        <w:ind w:left="540" w:right="20" w:hanging="270"/>
        <w:spacing w:after="0" w:line="257" w:lineRule="auto"/>
        <w:tabs>
          <w:tab w:leader="none" w:pos="536"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even if we enter into an acquisition agreement for a property, it is usually subject to customary conditions to closing, including completion of due diligence investigations to our satisfaction, which may not be satisfied;</w:t>
      </w:r>
    </w:p>
    <w:p>
      <w:pPr>
        <w:ind w:left="540" w:hanging="270"/>
        <w:spacing w:after="0"/>
        <w:tabs>
          <w:tab w:leader="none" w:pos="5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even if we are able to acquire a desired property, competition from other real estate investors may significantly increase the purchase price;</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be unable to finance acquisitions on favorable terms;</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acquired properties may fail to perform as expected;</w:t>
      </w:r>
    </w:p>
    <w:p>
      <w:pPr>
        <w:spacing w:after="0" w:line="12" w:lineRule="exact"/>
        <w:rPr>
          <w:rFonts w:ascii="Times New Roman" w:cs="Times New Roman" w:eastAsia="Times New Roman" w:hAnsi="Times New Roman"/>
          <w:sz w:val="15"/>
          <w:szCs w:val="15"/>
          <w:color w:val="auto"/>
        </w:rPr>
      </w:pPr>
    </w:p>
    <w:p>
      <w:pPr>
        <w:ind w:left="540" w:hanging="270"/>
        <w:spacing w:after="0" w:line="257" w:lineRule="auto"/>
        <w:tabs>
          <w:tab w:leader="none" w:pos="536"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acquired properties may be located in new markets where we face risks associated with a lack of market knowledge or understanding of the local economy, lack of business relationships in the area, and unfamiliarity with local governmental and permitting procedures; and</w:t>
      </w:r>
    </w:p>
    <w:p>
      <w:pPr>
        <w:ind w:left="540" w:hanging="270"/>
        <w:spacing w:after="0"/>
        <w:tabs>
          <w:tab w:leader="none" w:pos="5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be unable to quickly and efficiently integrate new acquisitions, particularly acquisitions of portfolios of properties, into our existing operations.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If any of the above risks occur, our business and results of operations could be adversely affected.</w:t>
      </w:r>
    </w:p>
    <w:p>
      <w:pPr>
        <w:spacing w:after="0" w:line="105"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color w:val="auto"/>
        </w:rPr>
        <w:t>In addition, we may acquire properties subject to liabilities and we may be left with no, or limited, recourse, with respect to unknown liabilities. As a result, we may have to pay substantial sums to settle any liabilities asserted against us based upon ownership of newly acquired properties, which could adversely affect our cash flows.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Investments through joint ventures involve risks not present in properties in which we are the sole owner.</w:t>
      </w:r>
    </w:p>
    <w:p>
      <w:pPr>
        <w:spacing w:after="0" w:line="10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We have invested and may continue to invest as a joint venture partner in joint ventures. These investments involve risks, including, but not limited to, the possibility the other joint venture partner may have business goals which are inconsistent with ours, possess the ability to take or force action or withhold consent contrary to our requests, fail to provide capital or fulfill its obligations, or become insolvent and require us to assume and fulfill the joint venture's financial obligations. Conflicts arising between us and our joint venture partners may be difficult to manage or resolve and it could be difficult to manage or otherwise monitor the existing business arrangements. We and our joint venture partners may each have the right to initiate a buy-sell arrangement, which could cause us to sell our interest, or acquire a joint venture partner's interest, at a time when we otherwise would not have entered into such a transaction. Each joint venture agreement is individually negotiated, and our ability to operate, finance, or dispose of a property in our sole discretion may be limited to varying degrees depending on the terms of the applicable joint venture agreement.</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Many of our properties are located in areas that experience extreme weather conditions and natural disasters and climate change may adversely affect our business.</w:t>
      </w:r>
    </w:p>
    <w:p>
      <w:pPr>
        <w:spacing w:after="0" w:line="10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color w:val="auto"/>
        </w:rPr>
        <w:t>Extreme weather or weather-related conditions and other natural disasters, including hurricanes, flash floods, sea-level rise, droughts, tornadoes, wildfires or earthquakes, may interrupt our operations, damage our properties and reduce the number of customers who utilize our properties in the affected areas. Many of our properties are on coastlines that are subject to hurricane seasons, flash flooding and sea level rise; in areas adversely affected by wildfires, such as the western U.S.; and in earthquake-prone areas, such as the West Coast. If there are prolonged disruptions at our properties due to extreme weather or natural disasters, our results of operations and financial condition could be materially adversely affected.</w:t>
      </w:r>
    </w:p>
    <w:p>
      <w:pPr>
        <w:spacing w:after="0" w:line="24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While we maintain insurance coverage that may cover certain of the costs and loss of revenue associated with the effect of extreme weather and natural disasters at our properties, our coverage is subject to deductibles and limits on maximum benefits. We cannot assure you that we will be able to fully collect, if at all, on any claims resulting from extreme weather or natural disasters.</w:t>
      </w:r>
    </w:p>
    <w:p>
      <w:pPr>
        <w:spacing w:after="0" w:line="5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If any of our properties are damaged or if their operations are disrupted as a result of extreme weather or natural disasters, or if extreme weather or natural disasters adversely impact general economic or other conditions in the areas in which our properties are located or from which they draw their tenants and customers, our business, financial condition, and results of operations could be materially adversely affected.</w:t>
      </w:r>
    </w:p>
    <w:p>
      <w:pPr>
        <w:spacing w:after="0" w:line="5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5"/>
          <w:szCs w:val="15"/>
          <w:color w:val="auto"/>
        </w:rPr>
        <w:t>Significant changes in the climate could exacerbate extreme weather conditions or natural disasters that may occur in areas where our properties are located, all of which may result in additional physical damage to, or a decrease in demand for, properties located in these areas or affected by these conditions. If the impact of climate change is material in nature, including significant property damage to or destruction of our properties, or occurs for lengthy periods of time, our financial condition or results of operations may be adversely affected.</w:t>
      </w:r>
    </w:p>
    <w:p>
      <w:pPr>
        <w:spacing w:after="0" w:line="245"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5"/>
          <w:szCs w:val="15"/>
          <w:color w:val="auto"/>
        </w:rPr>
        <w:t>While they are unpredictable, the impacts of climate change may change residential migration and vacation trends, which could reduce demand for our properties. If the areas in which our properties are located become less desirable places to live or vacation, the value of our properties and their ability to generate revenue may be materially adversely affected.</w:t>
      </w:r>
    </w:p>
    <w:p>
      <w:pPr>
        <w:spacing w:after="0" w:line="23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In addition, changes in federal, state, local, and foreign legislation and regulation based on concerns about climate change, as well as voluntary measures we take to combat climate change, could result in increased capital expenditures at our properties. For example, these could include expenditures to improve energy efficiency, improve resistance to inclement weather and provide for infrastructure improvement to support existing and emerging low-carbon technologies. These expenditures may not result in a corresponding increase in revenue, resulting in material adverse impacts to our financial results.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incur liability under environmental laws arising from conditions at properties we acquire or operations at the properties we own and operate.</w:t>
      </w:r>
    </w:p>
    <w:p>
      <w:pPr>
        <w:spacing w:after="0" w:line="10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Under various federal, state, local, and foreign laws, ordinances and regulations, an owner or operator of real estate is liable for the costs of removal or remediation of certain hazardous substances at, on, under, or in such property. Such hazardous substances may be used at or located on our properties. Such laws often impose liability without regard to whether the owner knew of, or was responsible for, the presence of such hazardous substances. The presence of such substances, or the failure to properly remediate such substances, may adversely affect the owner's ability to sell or rent the property, to borrow using the property as collateral or to develop the property. Persons who arrange for the disposal or treatment of hazardous substances also may be liable for the costs of removal or remediation of such substances at a disposal or treatment facility owned or operated by another person. In addition, certain environmental laws impose liability for the management and disposal of asbestos-containing materials and for the release of such materials into the air. These laws may result in fines or penalties and may permit third parties to seek recovery from owners or operators of real properties for personal injury associated with asbestos-containing materials.</w:t>
      </w:r>
    </w:p>
    <w:p>
      <w:pPr>
        <w:spacing w:after="0" w:line="25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As the purchaser of properties we acquire, or in connection with the operation of properties we own or manage, we may be liable for removal or remediation costs, governmental fines and injuries to persons and property. When we arrange for the treatment or disposal of hazardous substances at landfills or other facilities owned by other persons, we may be liable for the removal or remediation costs at such facilities.</w:t>
      </w:r>
    </w:p>
    <w:p>
      <w:pPr>
        <w:spacing w:after="0" w:line="5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As part of our standard acquisition due diligence, we subject our properties to a Phase I or similar environmental assessment as well as limited compliance evaluations (which involve general inspections without soil sampling or ground water analysis) completed by independent environmental and engineering consultants. In some cases, where these evaluations have recommended further, invasive investigations, those have also been conducted. While these environmental evaluations have not revealed any significant environmental liability that would have a material adverse effect on our business, they cannot reflect conditions arising after the studies were completed. No assurances can be given that existing environmental studies reveal all environmental liabilities, that any prior owner or operator of a property or neighboring owner or operator did not create any material environmental condition not known to us, or that a material environmental condition does not otherwise exist with respect to any one or more properties.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Moreover, we cannot be sure that future laws, ordinances or regulations will not impose any material environmental liability, or that the current environmental condition of our properties will not be affected by tenants and occupants of the properties, by the condition of land or operations in the vicinity of our properties (such as the presence of underground storage tanks), or by unrelated third parties. Environmental liabilities that we may incur could have an adverse effect on our financial condition, results of operations, and cash flows.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are subject to additional risks from our international investments.</w:t>
      </w:r>
    </w:p>
    <w:p>
      <w:pPr>
        <w:spacing w:after="0" w:line="109"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color w:val="auto"/>
        </w:rPr>
        <w:t>We have significant ownership in the UK through our ownership of Park Holidays and other subsidiaries. Our investments in the UK and any other international investments we may acquire, subject us to additional risks, including:</w:t>
      </w:r>
    </w:p>
    <w:p>
      <w:pPr>
        <w:spacing w:after="0" w:line="39" w:lineRule="exact"/>
        <w:rPr>
          <w:sz w:val="20"/>
          <w:szCs w:val="20"/>
          <w:color w:val="auto"/>
        </w:rPr>
      </w:pPr>
    </w:p>
    <w:p>
      <w:pPr>
        <w:jc w:val="both"/>
        <w:ind w:left="540" w:hanging="270"/>
        <w:spacing w:after="0" w:line="264" w:lineRule="auto"/>
        <w:tabs>
          <w:tab w:leader="none" w:pos="536"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laws, rules, and regulations applicable in such jurisdictions outside of the U.S., including those related to property ownership by foreign entities, consumer and data protection, privacy, network security, encryption, payments, and restricting us from removing profits earned from activities within the country to the U.S. (i.e., nationalization of assets located within a country);</w:t>
      </w:r>
    </w:p>
    <w:p>
      <w:pPr>
        <w:ind w:left="540" w:hanging="270"/>
        <w:spacing w:after="0"/>
        <w:tabs>
          <w:tab w:leader="none" w:pos="54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complying with a wide variety of foreign laws;</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fluctuations in exchange rates between foreign currencies and the U.S. dollar, and exchange controls;</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limited experience with local business and cultural factors that differ from our usual standards and practices;</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the availability, cost and terms of mortgage funds and other borrowings resulting from varying national economic policies or changes in interest rates;</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reliance on local management;</w:t>
      </w:r>
    </w:p>
    <w:p>
      <w:pPr>
        <w:spacing w:after="0" w:line="12" w:lineRule="exact"/>
        <w:rPr>
          <w:rFonts w:ascii="Times New Roman" w:cs="Times New Roman" w:eastAsia="Times New Roman" w:hAnsi="Times New Roman"/>
          <w:sz w:val="15"/>
          <w:szCs w:val="15"/>
          <w:color w:val="auto"/>
        </w:rPr>
      </w:pPr>
    </w:p>
    <w:p>
      <w:pPr>
        <w:ind w:left="540" w:right="20" w:hanging="270"/>
        <w:spacing w:after="0" w:line="257" w:lineRule="auto"/>
        <w:tabs>
          <w:tab w:leader="none" w:pos="536"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challenges in establishing effective controls and procedures to regulate operations in different regions and to monitor and ensure compliance with applicable regulations, such as applicable laws related to corrupt practices, employment, licensing, construction, climate change or environmental compliance;</w:t>
      </w:r>
    </w:p>
    <w:p>
      <w:pPr>
        <w:ind w:left="540" w:hanging="270"/>
        <w:spacing w:after="0"/>
        <w:tabs>
          <w:tab w:leader="none" w:pos="54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unexpected changes in regulatory requirements, tax, tariffs, trade barriers, and other laws within jurisdictions outside the U.S. or between the U.S. and such jurisdictions;</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potentially adverse tax consequences with respect to our properties;</w:t>
      </w:r>
    </w:p>
    <w:p>
      <w:pPr>
        <w:spacing w:after="0" w:line="12" w:lineRule="exact"/>
        <w:rPr>
          <w:rFonts w:ascii="Times New Roman" w:cs="Times New Roman" w:eastAsia="Times New Roman" w:hAnsi="Times New Roman"/>
          <w:sz w:val="15"/>
          <w:szCs w:val="15"/>
          <w:color w:val="auto"/>
        </w:rPr>
      </w:pPr>
    </w:p>
    <w:p>
      <w:pPr>
        <w:ind w:left="540" w:right="20" w:hanging="270"/>
        <w:spacing w:after="0" w:line="257" w:lineRule="auto"/>
        <w:tabs>
          <w:tab w:leader="none" w:pos="536"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regional or country-specific business cycles and economic instability, including deterioration in political relations with the U.S., instability in, or further withdrawals from, the European Union or other international trade alliances or agreements;</w:t>
      </w:r>
    </w:p>
    <w:p>
      <w:pPr>
        <w:ind w:left="540" w:hanging="270"/>
        <w:spacing w:after="0"/>
        <w:tabs>
          <w:tab w:leader="none" w:pos="54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disruptions in global, regional or local supply chains, including disruptions occurring as a result of outbreaks of disease; and</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political instability, uncertainty over property rights, civil unrest, drug trafficking, political activism or the continuation or escalation of terrorist activities.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If we are unable to adequately address these risks, they could have a significant adverse effect on our operations.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not be able to integrate or finance our expansion and development activities.</w:t>
      </w:r>
    </w:p>
    <w:p>
      <w:pPr>
        <w:spacing w:after="0" w:line="109"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5"/>
          <w:szCs w:val="15"/>
          <w:color w:val="auto"/>
        </w:rPr>
        <w:t>We build and develop new MH and RV communities and we expand existing communities. Our construction and development pipeline may be exposed to the following risks which are in addition to those risks associated with the ownership and operation of established MH and RV communities:</w:t>
      </w:r>
    </w:p>
    <w:p>
      <w:pPr>
        <w:spacing w:after="0" w:line="39" w:lineRule="exact"/>
        <w:rPr>
          <w:sz w:val="20"/>
          <w:szCs w:val="20"/>
          <w:color w:val="auto"/>
        </w:rPr>
      </w:pPr>
    </w:p>
    <w:p>
      <w:pPr>
        <w:ind w:left="540" w:hanging="270"/>
        <w:spacing w:after="0"/>
        <w:tabs>
          <w:tab w:leader="none" w:pos="54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not be able to obtain financing with favorable terms for development which may make us unable to proceed with the development;</w:t>
      </w:r>
    </w:p>
    <w:p>
      <w:pPr>
        <w:spacing w:after="0" w:line="26" w:lineRule="exact"/>
        <w:rPr>
          <w:rFonts w:ascii="Times New Roman" w:cs="Times New Roman" w:eastAsia="Times New Roman" w:hAnsi="Times New Roman"/>
          <w:sz w:val="15"/>
          <w:szCs w:val="15"/>
          <w:color w:val="auto"/>
        </w:rPr>
      </w:pPr>
    </w:p>
    <w:p>
      <w:pPr>
        <w:ind w:left="540" w:hanging="270"/>
        <w:spacing w:after="0" w:line="257" w:lineRule="auto"/>
        <w:tabs>
          <w:tab w:leader="none" w:pos="536"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be unable to obtain, or face delays in obtaining, necessary zoning, building and other governmental permits and authorizations, which could result in increased costs and delays, and even require us to abandon development of the property entirely if we are unable to obtain such permits or authorizations;</w:t>
      </w:r>
    </w:p>
    <w:p>
      <w:pPr>
        <w:ind w:left="540" w:right="20" w:hanging="270"/>
        <w:spacing w:after="0" w:line="257" w:lineRule="auto"/>
        <w:tabs>
          <w:tab w:leader="none" w:pos="536"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abandon development opportunities that we have already begun to explore and as a result we may not recover expenses already incurred in connection with exploring such development opportunities;</w:t>
      </w:r>
    </w:p>
    <w:p>
      <w:pPr>
        <w:ind w:left="540" w:hanging="270"/>
        <w:spacing w:after="0"/>
        <w:tabs>
          <w:tab w:leader="none" w:pos="54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be unable to complete construction and lease-up of a property on schedule resulting in increased debt service expense and construction costs;</w:t>
      </w:r>
    </w:p>
    <w:p>
      <w:pPr>
        <w:spacing w:after="0" w:line="12" w:lineRule="exact"/>
        <w:rPr>
          <w:rFonts w:ascii="Times New Roman" w:cs="Times New Roman" w:eastAsia="Times New Roman" w:hAnsi="Times New Roman"/>
          <w:sz w:val="15"/>
          <w:szCs w:val="15"/>
          <w:color w:val="auto"/>
        </w:rPr>
      </w:pPr>
    </w:p>
    <w:p>
      <w:pPr>
        <w:jc w:val="both"/>
        <w:ind w:left="540" w:right="20" w:hanging="270"/>
        <w:spacing w:after="0" w:line="257" w:lineRule="auto"/>
        <w:tabs>
          <w:tab w:leader="none" w:pos="536"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incur construction and development costs for a property which exceed our original estimates due to increased materials, labor, or other costs, which could make completing the development uneconomical and we may not be able to increase rents to compensate for the increase in development costs which may impact our profitability;</w:t>
      </w:r>
    </w:p>
    <w:p>
      <w:pPr>
        <w:ind w:left="540" w:hanging="270"/>
        <w:spacing w:after="0"/>
        <w:tabs>
          <w:tab w:leader="none" w:pos="54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be unable to secure long-term financing on completion of development resulting in increased debt service and lower profitability; and</w:t>
      </w:r>
    </w:p>
    <w:p>
      <w:pPr>
        <w:spacing w:after="0" w:line="12" w:lineRule="exact"/>
        <w:rPr>
          <w:rFonts w:ascii="Times New Roman" w:cs="Times New Roman" w:eastAsia="Times New Roman" w:hAnsi="Times New Roman"/>
          <w:sz w:val="15"/>
          <w:szCs w:val="15"/>
          <w:color w:val="auto"/>
        </w:rPr>
      </w:pPr>
    </w:p>
    <w:p>
      <w:pPr>
        <w:ind w:left="540" w:hanging="270"/>
        <w:spacing w:after="0" w:line="275" w:lineRule="auto"/>
        <w:tabs>
          <w:tab w:leader="none" w:pos="536"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occupancy rates and rents at a newly developed property may fluctuate depending on several factors, including market and economic conditions, which may result in the property not being profitable.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If any of these risks occur, our business and results of operations could be adversely affected.</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Public health crises, such as outbreaks of disease, could materially and adversely affect our financial condition, operating results and cash flows.</w:t>
      </w:r>
    </w:p>
    <w:p>
      <w:pPr>
        <w:spacing w:after="0" w:line="10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A public health crisis, such as the COVID-19 pandemic, could have material and adverse effects on our ability to successfully operate our business and on our financial condition. The government and societal responses to public health crises are highly uncertain and we cannot predict with confidence the impact a public health crisis would have on our operations and financial condition.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Rent control legislation may harm our ability to increase rents.</w:t>
      </w:r>
    </w:p>
    <w:p>
      <w:pPr>
        <w:spacing w:after="0" w:line="10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National, state, and local rent control laws in certain jurisdictions may limit our ability to increase rents at our MH properties to recover increases in operating expenses and the costs of capital improvements. Enactment of such laws has been considered from time to time in other jurisdictions. Certain properties are located, and we may purchase additional properties, in markets that are either subject to rent control or in which rent-limiting legislation exists or may be enacted.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RISKS RELATED TO OUR DEBT FINANCINGS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debt could limit our operational flexibility or otherwise adversely affect our financial condition, and we may incur more debt in the future.</w:t>
      </w:r>
    </w:p>
    <w:p>
      <w:pPr>
        <w:spacing w:after="0" w:line="1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Our business is subject to risks normally associated with debt financing. As of December 31, 2025, we had approximately $4.3 billion of total debt outstanding, consisting of approximately $2.5 billion in collateralized term loans and debt that is secured by mortgage liens on 110 of our properties, and $1.8 billion of senior unsecured notes. As of December 31, 2025, 100% of our total debt was fixed rate financing. If we fail to meet our obligations under our secured debt, the lenders would be entitled to foreclose on all or some of the collateral securing such debt, which could have a material adverse effect on us and our ability to make expected distributions, and could threaten our continued viability.</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are subject to the risks normally associated with debt financing, including the following risks:</w:t>
      </w:r>
    </w:p>
    <w:p>
      <w:pPr>
        <w:spacing w:after="0" w:line="105" w:lineRule="exact"/>
        <w:rPr>
          <w:sz w:val="20"/>
          <w:szCs w:val="20"/>
          <w:color w:val="auto"/>
        </w:rPr>
      </w:pPr>
    </w:p>
    <w:p>
      <w:pPr>
        <w:ind w:left="540" w:right="20" w:hanging="270"/>
        <w:spacing w:after="0" w:line="267" w:lineRule="auto"/>
        <w:tabs>
          <w:tab w:leader="none" w:pos="536"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cash flows may be insufficient to meet required debt payments, or we may need to dedicate a substantial portion of our cash flows to pay our debt rather than to other areas of our business;</w:t>
      </w:r>
    </w:p>
    <w:p>
      <w:pPr>
        <w:ind w:left="540" w:hanging="270"/>
        <w:spacing w:after="0"/>
        <w:tabs>
          <w:tab w:leader="none" w:pos="54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existing debt may limit our operating flexibility due to financial and other restrictive covenants, including restrictions on incurring additional debt;</w:t>
      </w:r>
    </w:p>
    <w:p>
      <w:pPr>
        <w:spacing w:after="0" w:line="12" w:lineRule="exact"/>
        <w:rPr>
          <w:rFonts w:ascii="Times New Roman" w:cs="Times New Roman" w:eastAsia="Times New Roman" w:hAnsi="Times New Roman"/>
          <w:sz w:val="15"/>
          <w:szCs w:val="15"/>
          <w:color w:val="auto"/>
        </w:rPr>
      </w:pPr>
    </w:p>
    <w:p>
      <w:pPr>
        <w:ind w:left="540" w:right="20" w:hanging="270"/>
        <w:spacing w:after="0" w:line="257" w:lineRule="auto"/>
        <w:tabs>
          <w:tab w:leader="none" w:pos="536"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 may be more difficult for us to obtain additional financing for our operations, working capital requirements, capital expenditures, debt service or other general requirements;</w:t>
      </w:r>
    </w:p>
    <w:p>
      <w:pPr>
        <w:spacing w:after="0" w:line="185"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increases in interest rates will make obtaining new debt more expensive;</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be more vulnerable in the event of adverse economic and industry conditions or a downturn in our business;</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be placed at a competitive disadvantage compared to our competitors that have less debt; and</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not be able to refinance at all or on favorable terms, as our debt matures.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If any of the above risks occurred, our financial condition and results of operations could be materially adversely affected.</w:t>
      </w:r>
    </w:p>
    <w:p>
      <w:pPr>
        <w:spacing w:after="0" w:line="10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5"/>
          <w:szCs w:val="15"/>
          <w:color w:val="auto"/>
        </w:rPr>
        <w:t>Despite our current debt levels, we may incur substantially more debt in the future. If new debt is added to our current debt levels, an even greater portion of our cash flows will be needed to satisfy our debt service obligations. As a result, the related risks that we now face could intensify and increase the risk of a default on our debt.</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Covenants in our credit agreements and senior unsecured note indentures could limit our flexibility and adversely affect our financial condition.</w:t>
      </w:r>
    </w:p>
    <w:p>
      <w:pPr>
        <w:spacing w:after="0" w:line="10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The terms of our financing agreements and other debt require us to comply with a number of customary financial and other covenants. These covenants may limit our flexibility in our operations, and breaches of these covenants could result in defaults under the instruments governing the applicable debt even if we have satisfied our payment obligations. Our financing agreements contain certain cross-default provisions that could be triggered in the event that we default on our other debt. These cross-default provisions may require us to repay or restructure our senior credit facility in addition to any mortgage or other debt that is in default. If our properties were foreclosed upon, or if we are unable to refinance our debt at maturity or meet our payment obligations, the amount of our distributable cash flows, and our financial condition would be adversely affected.</w:t>
      </w:r>
    </w:p>
    <w:p>
      <w:pPr>
        <w:spacing w:after="0" w:line="5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Our senior credit facility contains various financial covenants including, but not limited to a maximum leverage ratio, a minimum fixed charge coverage ratio, and a maximum secured leverage ratio. In addition to our senior credit facility, our senior unsecured notes also contain various covenants including an aggregate debt test, a secured debt test, a debt service test, and a maintenance of total unencumbered assets test. These covenants may restrict our ability to pursue certain business initiatives or certain transactions that might otherwise be advantageous. Furthermore, failure to meet certain of these financial covenants could cause an event of default under and / or accelerate some or all of such debt which could have a material adverse effect on us.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15"/>
          <w:szCs w:val="15"/>
          <w:b w:val="1"/>
          <w:bCs w:val="1"/>
          <w:i w:val="1"/>
          <w:iCs w:val="1"/>
          <w:color w:val="auto"/>
        </w:rPr>
        <w:t>An increase in market interest rates could raise our interest costs on future debt or adversely affect our stock price, and a decrease in interest rates may lead to additional competition for the acquisition of real estate or adversely affect our results of operations.</w:t>
      </w:r>
    </w:p>
    <w:p>
      <w:pPr>
        <w:spacing w:after="0" w:line="3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Our interest costs for any new debt may rise if interest rates increase. This increased cost could make the financing of any new acquisition more expensive, as well as lower our current period earnings. Rising interest rates could limit our ability to refinance existing debt when it matures or cause us to pay higher interest rates upon refinancing. In addition, an increase in interest rates could decrease our customers' access to credit, thereby decreasing the demand for manufactured homes and recreational vehicles. An increase in market interest rates may lead prospective purchasers of our common stock to expect a higher dividend yield, which could adversely affect the market price of our common stock. Decreases in interest rates may lead to additional competition for the acquisition of real estate due to a reduction in desirable alternative income-producing investments. Increased competition for the acquisition of real estate may lead to a decrease in the yields on real estate targeted for acquisition. In such circumstances, if we are not able to offset the decrease in yields by obtaining lower interest costs on our borrowings, our results of operations may be adversely affected.</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hedging strategies may not be successful in mitigating our risks associated with interest rates and could reduce the overall returns on your investment.</w:t>
      </w:r>
    </w:p>
    <w:p>
      <w:pPr>
        <w:spacing w:after="0" w:line="10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We have historically used various derivative financial instruments to provide a level of protection against interest rate risks, but no hedging strategy can protect us completely. These instruments involve risks, such as the risk that the counterparties may fail to honor their obligations under these arrangements, that these arrangements may not be effective in reducing our exposure to interest rate changes, that a court could rule that such agreements are not legally enforceable and that we may have to post collateral to enter into hedging transactions, which we may lose if we are unable to honor our obligations. These instruments may also generate income that may not be treated as qualifying REIT income for purposes of the REIT income tests. In addition, the nature and timing of hedging transactions may influence the effectiveness of our hedging strategies. Poorly designed strategies or improperly executed transactions could actually increase our risk and losses. Moreover, hedging strategies involve transaction and other costs. We cannot assure you that our hedging strategy and the derivatives that we use will adequately offset the risk of interest rate volatility or that our hedging transactions will not result in losses that may reduce the overall return on your investment.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 downgrade in our credit ratings could have material adverse effects on our business and financial condition.</w:t>
      </w:r>
    </w:p>
    <w:p>
      <w:pPr>
        <w:spacing w:after="0" w:line="1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We intend to manage our operations to maintain our investment grade credit ratings from S&amp;P Global and Moody's. These ratings are based on a number of factors, which include assessments of our financial strength, liquidity, capital structure, asset quality, and sustainability of cash flows and earnings. Changes in these factors could lead to a downgrade of our ratings, resulting in an adverse impact on our cost and availability of capital, which could in turn have a material adverse impact on our financial condition, results of operations, and liquidity.</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TAX RISKS RELATED TO OUR STATUS AS A REIT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suffer adverse tax consequences and be unable to attract capital if we fail to qualify as a REIT.</w:t>
      </w:r>
    </w:p>
    <w:p>
      <w:pPr>
        <w:spacing w:after="0" w:line="1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We believe that since our taxable year ended December 31, 1994, we have been organized and operated, and intend to continue to operate, so as to qualify for taxation as a REIT under the Code. Although we believe that we have been and will continue to be organized and have operated and will continue to operate so as to qualify for taxation as a REIT, we cannot be assured that we have been or will continue to qualify as a REIT. Qualification as a REIT involves the satisfaction of numerous requirements on an annual and quarterly basis established under highly technical and complex Code provisions for which there are limited judicial or administrative interpretations and involves the determination of various factual matters and circumstances not entirely within our control. In addition, frequent changes occur in the area of REIT taxation, which requires us to continually monitor our tax status.</w:t>
      </w:r>
    </w:p>
    <w:p>
      <w:pPr>
        <w:spacing w:after="0" w:line="24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If we fail to qualify as a REIT in any taxable year, our taxable income could be subject to U.S. federal income tax at regular corporate rates. Moreover, unless entitled to relief under certain statutory provisions, we also would be disqualified from treatment as a REIT for the four taxable years following the year during which qualification was lost. This treatment would reduce our net earnings available for investment or distribution to shareholders because of the additional tax liability to us for the years involved. In addition, distributions to shareholders would no longer be required to be made.</w:t>
      </w:r>
    </w:p>
    <w:p>
      <w:pPr>
        <w:spacing w:after="0" w:line="53"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15"/>
          <w:szCs w:val="15"/>
          <w:b w:val="1"/>
          <w:bCs w:val="1"/>
          <w:i w:val="1"/>
          <w:iCs w:val="1"/>
          <w:color w:val="auto"/>
        </w:rPr>
        <w:t>Federal, state, and foreign income tax laws governing REITs and related interpretations may change at any time, and any such legislative or other actions affecting REITs could have a negative effect on us.</w:t>
      </w:r>
    </w:p>
    <w:p>
      <w:pPr>
        <w:spacing w:after="0" w:line="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Federal, state, and foreign income tax laws governing REITs, or the administrative interpretations of those laws may be amended at any time. Changes to tax laws, regulations or administrative interpretations, which may be applied retroactively, could adversely affect us. We cannot predict whether, when, in what forms, or with what effective dates, the tax laws, regulations, and administrative interpretations applicable to us may be changed. Such changes could significantly affect either our ability to qualify for taxation as a REIT or the income tax consequences to us.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intend for the Operating Partnership to be taxed as a partnership, but we cannot guarantee that it will qualify.</w:t>
      </w:r>
    </w:p>
    <w:p>
      <w:pPr>
        <w:spacing w:after="0" w:line="109"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5"/>
          <w:szCs w:val="15"/>
          <w:color w:val="auto"/>
        </w:rPr>
        <w:t>We believe that the Operating Partnership has been organized as a partnership and will qualify for treatment as such under the Code. However, if the Operating Partnership is deemed to be a "publicly traded partnership," it will be treated as a corporation instead of a partnership for federal income tax purposes unless at least 90% of its income is qualifying income as defined in the Code. The income requirements applicable to REITs and the definition of "qualifying income" for purposes of this 90% test are similar in most respects. Qualifying income for the 90% test generally includes passive income, such as specified types of real property rents, dividends, and interest. We believe that the Operating Partnership has and will continue to meet this 90% test, but we cannot guarantee that it has or will. If the Operating Partnership were to be taxed as a regular corporation, it would incur substantial tax liabilities, we would fail to qualify as a REIT for federal income tax purposes and our ability to raise additional capital could be significantly impaired.</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Partnership tax audit rules could have a material adverse effect on us.</w:t>
      </w:r>
    </w:p>
    <w:p>
      <w:pPr>
        <w:spacing w:after="0" w:line="10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Under the rules applicable to U.S. federal income tax audits of partnerships, subject to certain exceptions, any audit adjustment to items of income, gain, loss, deduction or credit of a partnership (and a partner's allocable share thereof) is determined, and taxes, interest, and penalties attributable thereto are assessed and collected, at the partnership level. Unless the partnership makes an election or takes certain steps to require the partners to pay their tax on their allocable shares of the adjustment, it is possible that partnerships in which we directly or indirectly invest, including the Operating Partnership, would be required to pay additional taxes, interest and penalties as a result of an audit adjustment. We, as a direct or indirect partner of the Operating Partnership and other partnerships, could be required to bear the economic burden of those taxes, interest, and penalties even though the Company, as a REIT, may not otherwise have been required to pay additional corporate-level tax. These rules are significant for collecting tax in partnership audits and there can be no assurance that these rules will not have a material adverse effect on us.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ability to accumulate cash may be restricted due to certain REIT distribution requirements.</w:t>
      </w:r>
    </w:p>
    <w:p>
      <w:pPr>
        <w:spacing w:after="0" w:line="1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In order to qualify as a REIT, we must distribute to our shareholders at least 90% of our REIT taxable income (calculated without any deduction for dividends paid and excluding net capital gain) and to avoid federal income taxation, our distributions must not be less than 100% of our REIT taxable income, including net capital gains. As a result of the distribution requirements, we do not expect to accumulate significant amounts of cash. Accordingly, these distributions could significantly reduce the cash available to us in subsequent periods to fund our operations and future growth.</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taxable REIT subsidiaries, or TRSs, are subject to special rules that may result in increased taxes.</w:t>
      </w:r>
    </w:p>
    <w:p>
      <w:pPr>
        <w:spacing w:after="0" w:line="10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As a REIT, we must pay a 100% penalty tax on certain payments that we receive if the economic arrangements between us and any of our TRSs are not comparable to similar arrangements between unrelated parties. The Internal Revenue Service may successfully assert that the economic arrangements of any of our inter-company transactions are not comparable to similar arrangements between unrelated parties. This would result in unexpected tax liability which would adversely affect our cash flows.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Dividends payable by REITs do not qualify for the reduced tax rates applicable to certain dividends.</w:t>
      </w:r>
    </w:p>
    <w:p>
      <w:pPr>
        <w:spacing w:after="0" w:line="1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The maximum federal tax rate for certain qualified dividends payable to domestic shareholders that are individuals, trusts, and estates is 20%. Dividends payable by REITs, however, are generally not eligible for this reduced rate, although Federal tax law permits a 20% deduction equal to the amount of qualifying REIT dividends received, thus bringing the maximum federal tax rate on qualifying REIT dividends to 29.6%. While this rule does not adversely affect the taxation of REITs or dividends paid by REITs, the more favorable rates applicable to regular qualified corporate dividends could cause investors who are individuals, trusts, and estates to perceive investments in REITs to be relatively less competitive than investments in stock of non-REIT corporations that pay dividends, which could adversely affect the comparative value of the stock of REITs, including our common stock and any preferred stock.</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Complying with REIT requirements may cause us to forego otherwise attractive opportunities.</w:t>
      </w:r>
    </w:p>
    <w:p>
      <w:pPr>
        <w:spacing w:after="0" w:line="1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To remain qualified as a REIT for federal income tax purposes, we must continually satisfy requirements and tests under the tax law concerning, among other things, the sources of our income, the nature and diversification of our assets, the amounts we distribute to our shareholders, and the ownership of our stock. In order to meet these tests, we may be required to forego or limit attractive business or investment opportunities and distribute all of our net earnings rather than invest in attractive opportunities or hold larger liquid reserves. Therefore, compliance with the REIT requirements may hinder our ability to operate solely to maximize profits.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RISKS RELATED TO OUR STRUCTURE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Certain provisions in our governing documents may make it difficult for a third-party to acquire us.</w:t>
      </w:r>
    </w:p>
    <w:p>
      <w:pPr>
        <w:spacing w:after="0" w:line="10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i w:val="1"/>
          <w:iCs w:val="1"/>
          <w:color w:val="auto"/>
        </w:rPr>
        <w:t xml:space="preserve">9.8% Ownership Limit. </w:t>
      </w:r>
      <w:r>
        <w:rPr>
          <w:rFonts w:ascii="Times New Roman" w:cs="Times New Roman" w:eastAsia="Times New Roman" w:hAnsi="Times New Roman"/>
          <w:sz w:val="15"/>
          <w:szCs w:val="15"/>
          <w:color w:val="auto"/>
        </w:rPr>
        <w:t>In order to qualify and maintain our qualification as a REIT, not more than 50% of the outstanding shares of our capital stock may be owned, directly 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indirectly, by five or fewer individuals. Thus, ownership of more than 9.8%, in number of shares or value, of the issued and outstanding shares of our capital stock by any single shareholder has been restricted, with certain exceptions, for the purpose of maintaining our qualification as a REIT under the Code. Such restrictions in our charter do not apply to Milton M. Shiffman, Gary A. Shiffman, and Robert B. Bayer; trustees, personal representatives, and agents to the extent acting for them or their respective estates; or certain of their respective relatives.</w:t>
      </w:r>
    </w:p>
    <w:p>
      <w:pPr>
        <w:spacing w:after="0" w:line="2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 9.8% ownership limit, as well as our ability to issue additional shares of common stock or shares of other stock (which may have rights and preferences over the common stock), may discourage a change of control of the Company and may also: (a) deter tender offers for the common stock, which offers may be advantageous to shareholders; and (b) limit the opportunity for shareholders to receive a premium for their common stock that might otherwise exist if an investor were attempting to assemble a block of common stock in excess of 9.8% of our outstanding shares or otherwise effect a change of control of the Company.</w:t>
      </w:r>
    </w:p>
    <w:p>
      <w:pPr>
        <w:spacing w:after="0" w:line="5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5"/>
          <w:szCs w:val="15"/>
          <w:i w:val="1"/>
          <w:iCs w:val="1"/>
          <w:color w:val="auto"/>
        </w:rPr>
        <w:t xml:space="preserve">Preferred Stock. </w:t>
      </w:r>
      <w:r>
        <w:rPr>
          <w:rFonts w:ascii="Times New Roman" w:cs="Times New Roman" w:eastAsia="Times New Roman" w:hAnsi="Times New Roman"/>
          <w:sz w:val="15"/>
          <w:szCs w:val="15"/>
          <w:color w:val="auto"/>
        </w:rPr>
        <w:t>Our charter authorizes the Board of Directors to issue up to 20,000,000 shares of preferred stock, none of which is currently outstanding, and to establish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preferences and rights (including the right to vote and the right to convert into shares of common stock) of any shares issued. The power to issue preferred stock could have the effect of delaying or preventing a change in control of the Company even if a change in control were in the shareholders' interest.</w:t>
      </w:r>
    </w:p>
    <w:p>
      <w:pPr>
        <w:spacing w:after="0" w:line="47"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15"/>
          <w:szCs w:val="15"/>
          <w:b w:val="1"/>
          <w:bCs w:val="1"/>
          <w:i w:val="1"/>
          <w:iCs w:val="1"/>
          <w:color w:val="auto"/>
        </w:rPr>
        <w:t>Certain provisions of Maryland law could inhibit changes in control, which may discourage third parties from conducting a tender offer or seeking other change of control transactions that could involve a premium price for our common stock or that our shareholders otherwise believe to be in their best interest.</w:t>
      </w:r>
    </w:p>
    <w:p>
      <w:pPr>
        <w:spacing w:after="0" w:line="36"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5"/>
          <w:szCs w:val="15"/>
          <w:color w:val="auto"/>
        </w:rPr>
        <w:t>Certain provisions of the Maryland General Corporation Law ("MGCL") may have the effect of inhibiting a third-party from making a proposal to acquire us or of impeding a change of control under circumstances that otherwise could provide the holders of shares of our capital stock with the opportunity to realize a premium over the then-prevailing market price of such shares, including:</w:t>
      </w:r>
    </w:p>
    <w:p>
      <w:pPr>
        <w:spacing w:after="0" w:line="53" w:lineRule="exact"/>
        <w:rPr>
          <w:sz w:val="20"/>
          <w:szCs w:val="20"/>
          <w:color w:val="auto"/>
        </w:rPr>
      </w:pPr>
    </w:p>
    <w:p>
      <w:pPr>
        <w:jc w:val="both"/>
        <w:ind w:left="540" w:hanging="270"/>
        <w:spacing w:after="0" w:line="267" w:lineRule="auto"/>
        <w:tabs>
          <w:tab w:leader="none" w:pos="536"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"Business combination" provisions that, subject to limitations, prohibit certain business combinations between us and an "interested shareholder" (defined generally as any person who beneficially owns 10% or more of the voting power of our shares or an affiliate thereof or an affiliate or associate of ours who was the beneficial owner, directly or indirectly, of 10% or more of the voting power of our then outstanding voting stock at any time within the two-year period immediately prior to the date in question) for five years after the most recent date on which the shareholder becomes an interested shareholder, and thereafter impose fair price and / or supermajority and shareholder voting requirements on these combinations; and</w:t>
      </w:r>
    </w:p>
    <w:p>
      <w:pPr>
        <w:spacing w:after="0" w:line="59" w:lineRule="exact"/>
        <w:rPr>
          <w:rFonts w:ascii="Times New Roman" w:cs="Times New Roman" w:eastAsia="Times New Roman" w:hAnsi="Times New Roman"/>
          <w:sz w:val="15"/>
          <w:szCs w:val="15"/>
          <w:color w:val="auto"/>
        </w:rPr>
      </w:pPr>
    </w:p>
    <w:p>
      <w:pPr>
        <w:jc w:val="both"/>
        <w:ind w:left="540" w:hanging="270"/>
        <w:spacing w:after="0" w:line="270" w:lineRule="auto"/>
        <w:tabs>
          <w:tab w:leader="none" w:pos="536"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"Control share" provisions that provide that "control shares" of our company (defined as shares that, when aggregated with other shares controlled by the shareholder, entitle the shareholder to exercise one of three increasing ranges of voting power in electing directors) acquired in a "control share acquisition" (defined as the direct or indirect acquisition of ownership or control of issued and outstanding "control shares") have no voting rights except to the extent approved by our shareholder by the affirmative vote of at least two-thirds of all the votes entitled to be cast on the matter, excluding all interested shares.</w:t>
      </w:r>
    </w:p>
    <w:p>
      <w:pPr>
        <w:spacing w:after="0" w:line="5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The provisions of the MGCL relating to business combinations do not apply, however, to business combinations that are approved or exempted by our Board of Directors prior to the time that the interested shareholder becomes an interested shareholder. As permitted by the statute, our Board of Directors has by resolution exempted Milton M. Shiffman, Robert B. Bayer, and Gary A. Shiffman, their affiliates and all persons acting in concert or as a group with the foregoing, from the business combination provisions of the MGCL and, consequently, the five-year prohibition and the supermajority vote requirements will not apply to business combinations between us and these persons. As a result, these persons may be able to enter into business combinations with us that may not be in the best interests of our shareholder without compliance by our company with the supermajority vote requirements and the other provisions of the statute.</w:t>
      </w:r>
    </w:p>
    <w:p>
      <w:pPr>
        <w:spacing w:after="0" w:line="6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5"/>
          <w:szCs w:val="15"/>
          <w:color w:val="auto"/>
        </w:rPr>
        <w:t>Also, pursuant to a provision in our bylaws, we have exempted any acquisition of our stock from the control share provisions of the MGCL. However, our Board of Directors may, by amendment to our bylaws, opt into the control share provisions of the MGCL at any time in the future.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color w:val="auto"/>
        </w:rPr>
        <w:t>Additionally, Subtitle 8 of Title 3 of the MGCL permits our Board of Directors, without shareholder approval and regardless of what is currently provided in our charter or bylaws, to elect to be subject to certain provisions relating to corporate governance that may have the effect of delaying, deferring or preventing a transaction or a change of control of our company that might involve a premium to the market price of our common stock or otherwise be in our shareholders' best interests. These provisions include a classified board; two-thirds vote to remove a director; that the number of directors may only be fixed by the Board of Directors; that vacancies on the board as a result of an increase in the size of the board or due to death, resignation or removal can only be filled by the board, and the director appointed to fill the vacancy serves for the remainder of the full term of the class of director in which the vacancy occurred; and a majority requirement for the calling by shareholders of special meetings. Other than a classified board, the filling of vacancies as a result of the removal of a director and a majority requirement for the calling by shareholders of special meetings, we are already subject to these provisions, either by provisions of our charter and bylaws unrelated to Subtitle 8 or by reason of an election to be subject to certain provisions of Subtitle 8. In the future, our Board of Directors may elect, without shareholder approval, to make us subject to the provisions of Subtitle 8, to which we are not currently subject.</w:t>
      </w:r>
    </w:p>
    <w:p>
      <w:pPr>
        <w:spacing w:after="0" w:line="6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5"/>
          <w:szCs w:val="15"/>
          <w:color w:val="auto"/>
        </w:rPr>
        <w:t>Our Board of Directors has power to adopt, alter or repeal any provision of our bylaws or make new bylaws, provided, however, that our shareholders may alter or repeal any provision of our bylaws and adopt new bylaws if any such alteration, repeal or adoption is approved by the affirmative vote of a majority of all votes entitled to be cast on the matter.</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GENERAL RISK FACTORS</w:t>
      </w:r>
    </w:p>
    <w:p>
      <w:pPr>
        <w:spacing w:after="0" w:line="105"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15"/>
          <w:szCs w:val="15"/>
          <w:b w:val="1"/>
          <w:bCs w:val="1"/>
          <w:i w:val="1"/>
          <w:iCs w:val="1"/>
          <w:color w:val="auto"/>
        </w:rPr>
        <w:t>If we fail to maintain an effective system of internal controls, we may not be able to accurately report financial results, which could result in a loss of investor confidence and adversely affect the market price of our common stock.</w:t>
      </w:r>
    </w:p>
    <w:p>
      <w:pPr>
        <w:spacing w:after="0" w:line="3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We are required to establish and maintain internal control over financial reporting and disclosure controls and procedures. Internal control over financial reporting is a process designed to provide reasonable assurance regarding the reliability of financial reporting and the preparation of financial statements in accordance with US generally accepted accounting principles ("GAAP"). Disclosure controls and procedures are processes designed to ensure that information required to be disclosed is communicated to management and reported in a timely manner. We cannot be certain that we will successfully maintain adequate control over our financial reporting and disclosure controls and procedures. As described in Part II, Item 9A, "Controls and Procedures," management identified a material weakness as of December 31, 2024, which was remediated in 2025, relating to the lack of an effective risk assessment process that defined clear financial reporting objectives, that identified and evaluated risks of misstatement due to errors over certain financial reporting processes, or that developed internal controls to mitigate those risks. As part of management's evaluation of this material weakness, it had been identified that certain other deficiencies in control activities had materialized as a result of the deficiency in the Company's risk assessment.</w:t>
      </w:r>
    </w:p>
    <w:p>
      <w:pPr>
        <w:spacing w:after="0" w:line="6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Although such material weakness was remediated in 2025, we can give no assurances that additional material weaknesses will not occur in the future. In addition, to the extent we make additional significant acquisitions, our internal controls will become more complex and may require significantly more resources to ensure that our disclosure controls and procedures remain effective. Acquisitions can pose challenges in implementing the required processes, procedures, and controls in the operations of the companies that we acquire. Companies that are acquired by us may not have disclosure controls and procedures or internal control over financial reporting that are as thorough or effective as those required by the securities laws that currently apply to us.</w:t>
      </w:r>
    </w:p>
    <w:p>
      <w:pPr>
        <w:spacing w:after="0" w:line="5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If we cannot remediate future material weaknesses in a timely manner, they may adversely affect our ability to record, process, summarize, and report financial information timely and accurately and our financial statements may contain material misstatements or omissions. In addition, we may experience delays or be unable to meet our reporting obligations or to comply with SEC rules and regulations, which could result in investigations and sanctions by regulatory authorities. Any of these results may, among other adverse consequences, cause investors to lose confidence in our reported financial information, incur the expense of remediation, result in regulatory scrutiny, litigation, investigations or enforcement actions, limit our ability to access the capital markets, lead to a decline in our stock price, and otherwise have a material adverse effect on our business, financial condition, results of operations, and cash flows.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share price could be volatile and could decline, resulting in a substantial or complete loss on our shareholders' investment.</w:t>
      </w:r>
    </w:p>
    <w:p>
      <w:pPr>
        <w:spacing w:after="0" w:line="10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Our common stock has experienced significant price and volume fluctuations. In the future, the market price of our common stock and preferred stock could be similarly volatile, and investors in our common stock and preferred stock may experience a decrease in the value of their shares, including decreases unrelated to our operating performance or prospects. The price of our common stock and preferred stock could be subject to wide fluctuations in response to a number of factors, including:</w:t>
      </w:r>
    </w:p>
    <w:p>
      <w:pPr>
        <w:spacing w:after="0" w:line="53" w:lineRule="exact"/>
        <w:rPr>
          <w:sz w:val="20"/>
          <w:szCs w:val="20"/>
          <w:color w:val="auto"/>
        </w:rPr>
      </w:pPr>
    </w:p>
    <w:p>
      <w:pPr>
        <w:ind w:left="540" w:hanging="270"/>
        <w:spacing w:after="0"/>
        <w:tabs>
          <w:tab w:leader="none" w:pos="54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issuances of other equity securities in the future, including new series or classes of preferred stock;</w:t>
      </w:r>
    </w:p>
    <w:p>
      <w:pPr>
        <w:spacing w:after="0" w:line="26"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operating performance and the performance of other similar companies;</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maintain compliance with covenants contained in our debt facilities and our unsecured notes;</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actual or anticipated variations in our operating results, funds from operations ("FFO"), cash flows or liquidity;</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expectations of future financial performance or changes in our earnings estimates or those of analysts;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40" w:hanging="270"/>
        <w:spacing w:after="0"/>
        <w:tabs>
          <w:tab w:leader="none" w:pos="5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our distribution policy;</w:t>
      </w:r>
    </w:p>
    <w:p>
      <w:pPr>
        <w:spacing w:after="0" w:line="26"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publication of research reports about us or the real estate industry generally;</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increases in market interest rates that lead purchasers of our common stock and preferred stock to demand a higher dividend yield;</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foreign currency exchange rates, including between the U.S. dollar and each of the British pound sterling, Canadian dollar, and Australian dollar;</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market valuations of similar companies;</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outbreaks of disease, and related restrictions on business operations;</w:t>
      </w:r>
    </w:p>
    <w:p>
      <w:pPr>
        <w:spacing w:after="0" w:line="12" w:lineRule="exact"/>
        <w:rPr>
          <w:rFonts w:ascii="Times New Roman" w:cs="Times New Roman" w:eastAsia="Times New Roman" w:hAnsi="Times New Roman"/>
          <w:sz w:val="15"/>
          <w:szCs w:val="15"/>
          <w:color w:val="auto"/>
        </w:rPr>
      </w:pPr>
    </w:p>
    <w:p>
      <w:pPr>
        <w:ind w:left="540" w:right="20" w:hanging="270"/>
        <w:spacing w:after="0" w:line="257" w:lineRule="auto"/>
        <w:tabs>
          <w:tab w:leader="none" w:pos="536"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adverse market reaction to the amount of our debt outstanding at any time, the amount of our debt maturing in the near-term and medium-term and our ability to refinance our debt, or our plans to incur additional debt in the future;</w:t>
      </w:r>
    </w:p>
    <w:p>
      <w:pPr>
        <w:ind w:left="540" w:hanging="270"/>
        <w:spacing w:after="0"/>
        <w:tabs>
          <w:tab w:leader="none" w:pos="5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additions or departures of key management personnel;</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speculation in the press or investment community;</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equity issuances by us, or share resales by our shareholders or the perception that such issuances or resales may occur;</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actions by institutional shareholders;</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litigation or threatened litigation, which may divert our management's time and attention, require us to pay damages and expenses or restrict the operation of our business;</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to qualify and maintain our qualification as a REIT; and</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general market and economic conditions.</w:t>
      </w:r>
    </w:p>
    <w:p>
      <w:pPr>
        <w:spacing w:after="0" w:line="9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5"/>
          <w:szCs w:val="15"/>
          <w:color w:val="auto"/>
        </w:rPr>
        <w:t>Many of the factors listed above are beyond our control. Those factors may cause the market price of our common stock or preferred stock to decline significantly, regardless of our financial condition, results of operations, and prospects. It is impossible to provide any assurance that the market price of our common stock or preferred stock will not fall in the future, and it may be difficult for holders to resell shares of our common stock or preferred stock at prices they find attractive, or at all. In the past, securities class action litigation has often been instituted against companies following periods of volatility in their stock price. This type of litigation could result in substantial costs and divert our management's attention and resources.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Substantial sales or issuances of our common or preferred stock could cause our stock price to fall</w:t>
      </w:r>
      <w:r>
        <w:rPr>
          <w:rFonts w:ascii="Times New Roman" w:cs="Times New Roman" w:eastAsia="Times New Roman" w:hAnsi="Times New Roman"/>
          <w:sz w:val="15"/>
          <w:szCs w:val="15"/>
          <w:b w:val="1"/>
          <w:bCs w:val="1"/>
          <w:color w:val="auto"/>
        </w:rPr>
        <w:t>.</w:t>
      </w:r>
    </w:p>
    <w:p>
      <w:pPr>
        <w:spacing w:after="0" w:line="109"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5"/>
          <w:szCs w:val="15"/>
          <w:color w:val="auto"/>
        </w:rPr>
        <w:t>The sale or issuance of substantial amounts of our common stock or preferred stock, whether directly by us or in the secondary market, the perception that such sales could occur or the availability of future issuances of shares of our common stock, preferred stock, OP units or other securities convertible into or exchangeable or exercisable for our common stock or preferred stock, could materially and adversely affect the market price of our common stock or preferred stock and our ability to raise capital through future offerings of equity or equity-related securities. In addition, we may issue capital stock that is senior to our common stock in the future for a number of reasons, including to finance our operations and business strategy, to adjust our ratio of debt to equity or for other reasons.</w:t>
      </w:r>
    </w:p>
    <w:p>
      <w:pPr>
        <w:spacing w:after="0" w:line="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Based on the applicable conversion ratios then in effect, as of February 17, 2026, in the future we may issue to the limited partners of the Operating Partnership, up to approximately 4.6 million shares of our common stock in exchange for their OP units. The limited partners may sell such shares pursuant to registration rights, if available, or an available exemption from registration. As of February 17, 2026, there were no outstanding options to purchase shares of our common stock under our equity incentive plans, and we had the authority to issue restricted stock awards or options to purchase up to an additional 2.6 million shares of our common stock pursuant to our equity incentive plans. In addition, we have entered into an At the Market Offering Sales Agreement to sell shares of common stock. As of December 31, 2025, we have remaining capacity to sell up to an additional $725.2 million of common stock under this agreement. No prediction can be made regarding the effect that future sales of shares of our common stock or our other securities will have on the market price of shares.</w:t>
      </w:r>
    </w:p>
    <w:p>
      <w:pPr>
        <w:spacing w:after="0" w:line="24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b w:val="1"/>
          <w:bCs w:val="1"/>
          <w:i w:val="1"/>
          <w:iCs w:val="1"/>
          <w:color w:val="auto"/>
        </w:rPr>
        <w:t>Our business operations may not generate the cash needed to make distributions on our capital stock or to service our debt, and we may adjust our common stock distribution policy.</w:t>
      </w:r>
    </w:p>
    <w:p>
      <w:pPr>
        <w:spacing w:after="0" w:line="27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Our ability to make distributions on our common stock and preferred stock, and payments on our debt and to fund planned capital expenditures will depend on our ability to generate cash in the future. We cannot assure you that our business will generate sufficient cash flows from operations or that future borrowings will be available to us in an amount sufficient to enable us to make distributions on our common stock or preferred stock, to pay our debt, or to fund our other liquidity needs.</w:t>
      </w:r>
    </w:p>
    <w:p>
      <w:pPr>
        <w:spacing w:after="0" w:line="5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 decision to declare and pay distributions on shares of our common stock in the future, as well as the timing, amount, and composition of any such future distributions, will be at the sole discretion of our Board of Directors in light of conditions then existing, including our earnings, financial condition, capital requirements, debt maturities, the availability of debt and equity capital, applicable REIT and legal restrictions, general overall economic conditions, and other factors. Any change in our distribution policy could have a material adverse effect on the market price of our common stock.</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rely on key management</w:t>
      </w:r>
      <w:r>
        <w:rPr>
          <w:rFonts w:ascii="Times New Roman" w:cs="Times New Roman" w:eastAsia="Times New Roman" w:hAnsi="Times New Roman"/>
          <w:sz w:val="15"/>
          <w:szCs w:val="15"/>
          <w:b w:val="1"/>
          <w:bCs w:val="1"/>
          <w:color w:val="auto"/>
        </w:rPr>
        <w:t>.</w:t>
      </w:r>
    </w:p>
    <w:p>
      <w:pPr>
        <w:spacing w:after="0" w:line="10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We depend on the efforts of our executive officers, including Charles D. Young, Fernando Castro-Caratini, John B. McLaren, Bruce D. Thelen, Marc Farrugia, and Aaron Weiss. The loss of services of one or more of these executive officers could have a temporary adverse effect on our operations. We do not currently maintain or contemplate obtaining any "key-man" life insurance on our executive officers.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Cybersecurity breaches and other disruptions could compromise our information and expose us to liability, which would cause our business and reputation to suffer.</w:t>
      </w:r>
    </w:p>
    <w:p>
      <w:pPr>
        <w:spacing w:after="0" w:line="10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We rely intensively on information technology to account for tenant transactions, manage the privacy of tenant data, communicate internally and externally, and analyze our financial and operating results. In the ordinary course of our business, we collect and store sensitive data, including our proprietary business information and that of our tenants, clients, vendors, and employees in our facilities and on our network. In addition, we engage third-party service providers that may have access to such information in connection with providing necessary information technology and security and other business services to us. This information may include personally identifiable information such as social security numbers, banking information, and credit card information.</w:t>
      </w:r>
    </w:p>
    <w:p>
      <w:pPr>
        <w:spacing w:after="0" w:line="5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We address potential breaches or disclosure of this confidential information by implementing a variety of security measures intended to protect the confidentiality and security of this information, including (among others) engaging reputable, recognized firms to help us design and maintain our information technology and data security systems, including testing and verification of their proper and secure operations on a periodic basis. We also maintain cyber risk insurance to provide some coverage for certain risks arising out of data and network breaches. Our senior leadership regularly updates the Board of Directors on security matters and meets at least annually to review program progress and plans, incidents if any, and emerging risks.</w:t>
      </w:r>
    </w:p>
    <w:p>
      <w:pPr>
        <w:spacing w:after="0" w:line="5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Despite our security measures, our information technology and infrastructure, as well as that of our third-party vendors, may be vulnerable to attacks by hackers (including through malware, ransomware, computer viruses, and email phishing schemes) or breached due to employee error, malfeasance, fire, flood or other physical event, or other disruptions. Furthermore, the risk of a breach or security failure, particularly through cyberattacks or cyber intrusion, has generally increased because of the rise in new technologies, including artificial intelligence, and the increased sophistication and activities of the perpetrators of attempted attacks and intrusions. Any such breach or disruption could compromise our or a third-party vendor's network and the information stored there could be accessed, publicly disclosed, lost, or stolen. Any such access, disclosure, or other loss of information could:</w:t>
      </w:r>
    </w:p>
    <w:p>
      <w:pPr>
        <w:spacing w:after="0" w:line="59" w:lineRule="exact"/>
        <w:rPr>
          <w:sz w:val="20"/>
          <w:szCs w:val="20"/>
          <w:color w:val="auto"/>
        </w:rPr>
      </w:pPr>
    </w:p>
    <w:p>
      <w:pPr>
        <w:ind w:left="540" w:hanging="270"/>
        <w:spacing w:after="0"/>
        <w:tabs>
          <w:tab w:leader="none" w:pos="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result in legal claims or proceedings,</w:t>
      </w:r>
    </w:p>
    <w:p>
      <w:pPr>
        <w:spacing w:after="0" w:line="26"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disrupt our operations, including our ability to service our tenants and our ability to analyze and report our financial and operating results,</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decrease our revenues,</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damage our reputation,</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cause a loss of confidence,</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 our insurance premiums, or</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have other material adverse effects on our business.</w:t>
      </w:r>
    </w:p>
    <w:p>
      <w:pPr>
        <w:spacing w:after="0" w:line="91"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5"/>
          <w:szCs w:val="15"/>
          <w:color w:val="auto"/>
        </w:rPr>
        <w:t>We depend on continuous access to the internet to use our cloud-based applications. Damage to, or failure of our information technology systems, including as a result of any of the reasons described above, could adversely affect our results of operations as we may incur significant costs or data loss. We continually assess new and enhanced information technology solutions to manage the risk of system failure or interruption.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development and use of artificial intelligence ("AI") in the workplace presents risks and challenges that may adversely impact our business and operating results.</w:t>
      </w:r>
    </w:p>
    <w:p>
      <w:pPr>
        <w:spacing w:after="0" w:line="109"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5"/>
          <w:szCs w:val="15"/>
          <w:color w:val="auto"/>
        </w:rPr>
        <w:t>We have begun leveraging AI and machine learning capabilities for our employees to use in their day-to-day operations. Failure to invest adequately in such capabilities may result in us lagging behind our competitors in terms of improving operational efficiency and achieving superior outcomes for our business and our customers. As we embark on these initiatives, we may encounter challenges such as a shortage of appropriate data to train internal AI models, a lack of skilled talent to effectively execute our strategy of leveraging AI internally, or the possibility that the tools we utilize may not deliver the intended value. Use of third-party AI tools can also bring information security, data privacy, and legal risks. Failure to successfully harness these AI tools could negatively impact our business and operating results.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5"/>
          <w:szCs w:val="15"/>
          <w:b w:val="1"/>
          <w:bCs w:val="1"/>
          <w:i w:val="1"/>
          <w:iCs w:val="1"/>
          <w:color w:val="auto"/>
        </w:rPr>
        <w:t>Losses in excess of our insurance coverage or uninsured losses could adversely affect our operating results and cash flows and upon renewal of our insurance policies, our coverage may change and our costs may increase, including our assumption of a greater proportion of risk through self-insurance.</w:t>
      </w:r>
    </w:p>
    <w:p>
      <w:pPr>
        <w:spacing w:after="0" w:line="3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color w:val="auto"/>
        </w:rPr>
        <w:t>We have a significant concentration of MH and RV properties on coastlines and in other areas where natural disasters or other catastrophic events such as hurricanes, flash floods, sea-level rise, droughts, tornadoes, wildfires, or earthquakes could negatively impact our operating results and cash flows. We maintain comprehensive liability, fire, property, business interruption, general liability, and (where appropriate) flood and earthquake insurance, and other lines of insurance we have determined to be appropriate for our business through a combination of self-insurance and insurance provided by third-party providers with commercially reasonable coverage, including deductibles and limits. We believe the policy specifications and insured limits are appropriate and adequate given the relative risk of loss, the cost of the coverage, and industry practice. However, certain types of losses including, but not limited to, riots or acts of war, may be either uninsurable or not economically insurable. In the event an uninsured loss occurs, we could lose both our investment in and anticipated profits and cash flows from the affected property. We would also continue to be obligated to repay any mortgage debt or other obligations related to the community. If an uninsured liability to a third party were to occur, we would incur the cost of defense and settlement with, or court ordered damages to, that third party. A significant uninsured property or liability loss could have a material adverse effect on our business and our financial condition and results of operations.</w:t>
      </w:r>
    </w:p>
    <w:p>
      <w:pPr>
        <w:spacing w:after="0" w:line="6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We renew our insurance policies annually. As a result of increased insurance claims across the industry and other market conditions, it has been more difficult to obtain insurance, but in particular property insurance covering named windstorms, business interruption, flood, and earthquake insurance. There are fewer insurers willing to provide policies, and policies increasingly include lower coverage limits, higher deductibles, and higher premiums. These conditions may cause us to change the types and amounts of insurance we carry and may provide us with reduced coverage and / or higher costs. This has resulted in a change in our insurance purchasing philosophy and strategy, which has resulted in the assumption of greater risks to offset insurance market fluctuations.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Expanding social media platforms present new challenges.</w:t>
      </w:r>
    </w:p>
    <w:p>
      <w:pPr>
        <w:spacing w:after="0" w:line="109"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color w:val="auto"/>
        </w:rPr>
        <w:t>Social media outlets continue to grow and expand, which presents us with new risks. Adverse content about us and our properties on social media platforms could result in damage to our reputation or brand. Improper posts by employees or others could result in disclosure of confidential or proprietary information regarding our operations.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operations are subject to regulation under various federal, state, local, and foreign laws and regulations that may expose us to significant costs and liabilities.</w:t>
      </w:r>
    </w:p>
    <w:p>
      <w:pPr>
        <w:spacing w:after="0" w:line="10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Our properties and the operations at them are subject to regulation under various federal, state, local, and foreign laws and regulations. Compliance with laws and regulations that govern our operations may require expenditures and modifications of development plans and operations that could have a detrimental effect on the operations of our properties and our financial condition, results of operations, and cash flows. There can be no assurance that the application of laws, regulations, or policies, including proposed federal or state legislative or regulatory initiatives or policy recommendations that may limit or restrict ownership of housing or real estate by certain classes of institutional investors, or changes in such laws, regulations and policies, will not occur in a manner that could have a detrimental effect on any property.</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be adversely impacted by fluctuations in foreign currency exchange rates.</w:t>
      </w:r>
    </w:p>
    <w:p>
      <w:pPr>
        <w:spacing w:after="0" w:line="10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Our current and future investments in and operations of UK, Canadian, and Australian, properties are or will be exposed to the effects of changes in the British pound sterling, Canadian dollar, and Australian dollar, respectively, against the U.S. dollar. Changes in foreign currency exchange rates cannot always be predicted; as a result, substantial unfavorable changes in exchange rates could have a material adverse effect on our financial condition and results of operations.</w:t>
      </w:r>
    </w:p>
    <w:p>
      <w:pPr>
        <w:spacing w:after="0" w:line="49"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15"/>
          <w:szCs w:val="15"/>
          <w:b w:val="1"/>
          <w:bCs w:val="1"/>
          <w:i w:val="1"/>
          <w:iCs w:val="1"/>
          <w:color w:val="auto"/>
        </w:rPr>
        <w:t>Deterioration in general economic conditions in the United States, and globally, including the effect of prolonged periods of inflation, could harm our business and results of operations.</w:t>
      </w:r>
    </w:p>
    <w:p>
      <w:pPr>
        <w:spacing w:after="0" w:line="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Our business and results of operations could be adversely affected by changes in national or global economic conditions. These conditions include but are not limited to inflation, deflation, rising interest rates, availability of capital markets, energy availability and costs, the negative impacts caused by outbreaks of disease and public health crises, negative impacts resulting from military conflicts, tariffs or threats of tariffs, wars or other international conflicts, trade wars, immigration issues, supply chain disruptions, and the effects of other governmental initiatives to manage economic conditions.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1B. UNRESOLVED STAFF COMMENTS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None.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1C. CYBERSECURITY</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Risk Management</w:t>
      </w:r>
    </w:p>
    <w:p>
      <w:pPr>
        <w:spacing w:after="0" w:line="1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Our business operations rely on the consistent availability of our communication platforms, enterprise applications, and related systems. We have implemented protocols to ensure the secure collection, storage, and transmission of data and have invested in the development and enhancement of controls designed to prevent, detect, and respond to unauthorized access, computer viruses, malware, data exfiltration, and other threats. Cybersecurity risk management is integrated into the Company's broader enterprise risk management framework and is evaluated alongside other operational, financial, and strategic risks.</w:t>
      </w:r>
    </w:p>
    <w:p>
      <w:pPr>
        <w:spacing w:after="0" w:line="57"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5"/>
          <w:szCs w:val="15"/>
          <w:color w:val="auto"/>
        </w:rPr>
        <w:t>We have established an Information Security Management Committee to manage information security in accordance with the ISO 27001.2022 standard to ensure the consistent application of security principles, policy statements, and controls. By adhering to this industry standard, we manage and mitigate material risks from threats to our systems and data through the following actions:</w:t>
      </w:r>
    </w:p>
    <w:p>
      <w:pPr>
        <w:spacing w:after="0" w:line="53" w:lineRule="exact"/>
        <w:rPr>
          <w:sz w:val="20"/>
          <w:szCs w:val="20"/>
          <w:color w:val="auto"/>
        </w:rPr>
      </w:pPr>
    </w:p>
    <w:p>
      <w:pPr>
        <w:ind w:left="540" w:hanging="270"/>
        <w:spacing w:after="0"/>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Partnering with reputable, recognized security firms</w:t>
      </w:r>
    </w:p>
    <w:p>
      <w:pPr>
        <w:spacing w:after="0" w:line="26"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Conducting regular internal and external audits and risk assessments</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Providing frequent employee security awareness training</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Conducting tabletop exercises</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Running anti-phishing and social engineering campaigns</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Deploying tools for continuous vulnerability monitoring and management</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Performing penetration testing and continuous system monitoring activities</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Conducting recovery simulations for core systems and data centers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Our comprehensive policies and procedures address critical areas including:</w:t>
      </w:r>
    </w:p>
    <w:p>
      <w:pPr>
        <w:spacing w:after="0" w:line="105" w:lineRule="exact"/>
        <w:rPr>
          <w:sz w:val="20"/>
          <w:szCs w:val="20"/>
          <w:color w:val="auto"/>
        </w:rPr>
      </w:pPr>
    </w:p>
    <w:p>
      <w:pPr>
        <w:ind w:left="540" w:hanging="270"/>
        <w:spacing w:after="0"/>
        <w:tabs>
          <w:tab w:leader="none" w:pos="5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Vulnerability management</w:t>
      </w:r>
    </w:p>
    <w:p>
      <w:pPr>
        <w:spacing w:after="0" w:line="26"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Business continuity planning</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Incidence response</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Encryption of sensitive data</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Backup and recovery</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Physical security</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User access controls</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Vendor risk management</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Teleworking protocols</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Mobile device management</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Comprehensive system monitoring</w:t>
      </w:r>
    </w:p>
    <w:p>
      <w:pPr>
        <w:spacing w:after="0" w:line="9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5"/>
          <w:szCs w:val="15"/>
          <w:color w:val="auto"/>
        </w:rPr>
        <w:t>These initiatives collectively reinforce our commitment to safeguarding information and ensuring the resilience of our security infrastructure. Comprehensive contingency and recovery plans are in place to ensure the ongoing provision of services to customers in the event of a cybersecurity incident. These are tested on a regular basis against scenarios of varying degrees by both internal and external resources. Our resilience planning is designed to maintain critical business operations and customer services during and following a cybersecurity incident.</w:t>
      </w:r>
    </w:p>
    <w:p>
      <w:pPr>
        <w:spacing w:after="0" w:line="24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To manage vendor risk, we conduct ongoing risk assessments based on the vendor's published Systems and Operational Controls ("SOC") reports, information provided in vendor security questionnaires, and any publicly available information including ongoing litigation or external disclosures. We evaluate third-party service providers prior to engagement and perform ongoing monitoring throughout the vendor lifecycle based on risk tiering, contractual security requirements, and review of independent assurance reports.</w:t>
      </w:r>
    </w:p>
    <w:p>
      <w:pPr>
        <w:spacing w:after="0" w:line="5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Our incident response framework includes defined escalation protocols designed to ensure that significant cybersecurity events are promptly evaluated for potential materiality and reported to senior leadership and the Board of Directors, as appropriate. We also maintain cybersecurity insurance coverage intended to help mitigate potential losses associated with certain cybersecurity incidents.</w:t>
      </w:r>
    </w:p>
    <w:p>
      <w:pPr>
        <w:spacing w:after="0" w:line="5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As of the time of this filing, we are not aware of any cybersecurity incidents that have materially affected or are reasonably likely to materially affect our business strategy, results of operations, or financial conditions. Refer to "Risk Factors" in Part I, Item 1A in this Annual Report on Form 10-K under the heading "Cybersecurity breaches and other disruptions could compromise our information and expose us to liability, which would cause our business and reputation to suffer," for additional discussion about cybersecurity related risks.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Governance</w:t>
      </w:r>
    </w:p>
    <w:p>
      <w:pPr>
        <w:spacing w:after="0" w:line="10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Senior leadership provides the Board of Directors with ongoing security updates, which include notable changes to program plans, changes to the risk environment, information regarding material incidents that may have occurred, third-party audit reports on recent assessments of our security controls, and details regarding forward-looking plans and strategies to mitigate cyber risk. The Audit Committee of the Board of Directors provides oversight and is responsible for assessing risks to our business, in accordance with its charter. The Audit Committee engages in regular conversations with senior leadership about our security systems in order to monitor and mitigate risks from cybersecurity incidents, in accordance with our security principles and protocols. The Board of Directors and the Audit Committee receive periodic briefings, and additional updates are provided as needed in response to emerging threats or significant incidents.</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 Chief Information Officer (CIO) and the Director of Information Security are directly responsible for managing cyber risk on a daily basis. The CIO reports to the Chief Administrative Officer (CAO), who oversees the Company's overall information technology strategy and governance. Executive oversight, spearheaded by the CAO, ensures strategic alignment across the organization. These leaders collectively bring significant experience across public and private sector organizations in information technology operations, cybersecurity, and risk management, including experience managing enterprise security programs and responding to cybersecurity incidents.</w:t>
      </w:r>
    </w:p>
    <w:p>
      <w:pPr>
        <w:spacing w:after="0" w:line="57"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5"/>
          <w:szCs w:val="15"/>
          <w:color w:val="auto"/>
        </w:rPr>
        <w:t>The Information Security Management Committee (ISMC) and Enterprise Risk Management Committees (ERM) meet regularly to provide oversight of cyber risk management functions. Committee composition includes members from cross-functional departments, including technology, innovation, human resources, accounting and finance, internal audit, operations, and executive management. Various members of these committees hold industry certifications representing expertise in information security risk and compliance management, including the Certified Information Technology Professional (CITP), Certified Information Systems Security Professional (CISSP), Certified Information Security Auditor (CISA), and Certified in Risk and Information Systems Control (CRISC) designations.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2. PROPERTIES</w:t>
      </w:r>
    </w:p>
    <w:p>
      <w:pPr>
        <w:spacing w:after="0" w:line="1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As of December 31, 2025, our properties were located in the U.S., the UK, and Canada and consisted of 294 MH communities, 166 RV communities, and 53 UK communities. Most of our properties include amenities oriented toward family and retirement living. Of our 513 properties, 249 properties have 300 or more developed sites, with the largest having 2,340 developed MH and RV sites. For a list of our properties and details on properties that are encumbered, refer to "Real Estate and Accumulated Depreciation, Schedule III," included in our Consolidated Financial Statements. For details regarding our largest MH and RV markets by total sites, including occupancy rates and revenue percentages for each major market, refer to "Executive Summary" in Part II, Item 7, "Management's Discussion and Analysis of Financial Condition and Results of Operations" of this Annual Report on Form 10-K.</w:t>
      </w:r>
    </w:p>
    <w:p>
      <w:pPr>
        <w:spacing w:after="0" w:line="24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As of December 31, 2025, our MH and RV properties had an occupancy rate of 97.9% excluding transient RV sites. Since January 1, 2021, our MH and RV properties have a five-year average annual turnover of homes (where the home is moved out of the community) of approximately 4.0% and a five-year average annual turnover of residents (where the resident-owned home is sold and remains within the community, typically without interruption of rental income) of approximately 5.7%. The average renewal rate for residents in our Rental Program was 68.3% for the year ended December 31, 2025.</w:t>
      </w:r>
    </w:p>
    <w:p>
      <w:pPr>
        <w:spacing w:after="0" w:line="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We believe that our properties' high amenity levels, customer service loyalty, and customer retention program contribute to low turnover and generally high occupancy rates. All of the properties provide residents with attractive amenities with most offering a clubhouse, a swimming pool, and laundry facilities. Many of the properties offer additional amenities such as sauna / whirlpool spas, tennis courts, shuffleboard, basketball courts, and / or exercise rooms. Many RV communities offer incremental amenities including golf, pro shops, restaurants, waterparks, watersports, and thematic experiences.</w:t>
      </w:r>
    </w:p>
    <w:p>
      <w:pPr>
        <w:spacing w:after="0" w:line="5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Our MH and RV communities are principally located in the midwestern, southern, and southeastern regions of the U.S., as well as in California, in the south of England in the UK, and in Canada. We believe that geographic diversification helps to insulate the portfolio from regional economic influences. We have concentrated our properties within certain areas of the regions in order to achieve economies of scale in management and operations.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3. LEGAL PROCEEDINGS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Legal Proceedings</w:t>
      </w:r>
    </w:p>
    <w:p>
      <w:pPr>
        <w:spacing w:after="0" w:line="109"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color w:val="auto"/>
        </w:rPr>
        <w:t>We are involved in various legal proceedings. Refer to "Legal Proceedings - Class Action Litigation" and "Other Legal Proceedings" in Note 15, "Commitments and Contingencies," in our accompanying Notes to the Consolidated Financial Statements.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Environmental Matters</w:t>
      </w:r>
    </w:p>
    <w:p>
      <w:pPr>
        <w:spacing w:after="0" w:line="10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Item 103 of Regulation S-K requires disclosure of certain environmental matters when a governmental authority is a party to the proceedings and such proceedings involve potential monetary sanctions that we reasonably believe will exceed an applied threshold not to exceed $1.0 million. Applying this threshold, there are no environmental matters to disclose for the year ended December 31, 2025.</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4. MINE SAFETY DISCLOSURES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Not applicable.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PART II</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5. MARKET FOR REGISTRANT'S COMMON EQUITY, RELATED SHAREHOLDER MATTERS, AND ISSUER</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5"/>
          <w:szCs w:val="15"/>
          <w:b w:val="1"/>
          <w:bCs w:val="1"/>
          <w:color w:val="auto"/>
        </w:rPr>
        <w:t>PURCHASES OF EQUITY SECURITIES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Market Information</w:t>
      </w:r>
    </w:p>
    <w:p>
      <w:pPr>
        <w:spacing w:after="0" w:line="10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5"/>
          <w:szCs w:val="15"/>
          <w:color w:val="auto"/>
        </w:rPr>
        <w:t>Our common stock has been listed on the New York Stock Exchange ("NYSE") since December 8, 1993, and trades under the symbol "SUI." On February 17, 2026, the closing share price of our common stock was $131.47 per share on the NYSE, and there were 522 holders of record of 123,184,632 outstanding shares of common stock.</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 February 17, 2026, the following OP units of the Operating Partnership were outstanding: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20" w:type="dxa"/>
            <w:vAlign w:val="bottom"/>
            <w:gridSpan w:val="2"/>
          </w:tcPr>
          <w:p>
            <w:pPr>
              <w:ind w:left="2160"/>
              <w:spacing w:after="0"/>
              <w:rPr>
                <w:sz w:val="20"/>
                <w:szCs w:val="20"/>
                <w:color w:val="auto"/>
              </w:rPr>
            </w:pPr>
            <w:r>
              <w:rPr>
                <w:rFonts w:ascii="Times New Roman" w:cs="Times New Roman" w:eastAsia="Times New Roman" w:hAnsi="Times New Roman"/>
                <w:sz w:val="13"/>
                <w:szCs w:val="13"/>
                <w:b w:val="1"/>
                <w:bCs w:val="1"/>
                <w:color w:val="auto"/>
              </w:rPr>
              <w:t>OP Units</w:t>
            </w:r>
          </w:p>
        </w:tc>
        <w:tc>
          <w:tcPr>
            <w:tcW w:w="3220" w:type="dxa"/>
            <w:vAlign w:val="bottom"/>
            <w:gridSpan w:val="2"/>
          </w:tcPr>
          <w:p>
            <w:pPr>
              <w:ind w:left="620"/>
              <w:spacing w:after="0"/>
              <w:rPr>
                <w:sz w:val="20"/>
                <w:szCs w:val="20"/>
                <w:color w:val="auto"/>
              </w:rPr>
            </w:pPr>
            <w:r>
              <w:rPr>
                <w:rFonts w:ascii="Times New Roman" w:cs="Times New Roman" w:eastAsia="Times New Roman" w:hAnsi="Times New Roman"/>
                <w:sz w:val="13"/>
                <w:szCs w:val="13"/>
                <w:b w:val="1"/>
                <w:bCs w:val="1"/>
                <w:color w:val="auto"/>
              </w:rPr>
              <w:t>OP Units Issued and Outstanding</w:t>
            </w:r>
          </w:p>
        </w:tc>
        <w:tc>
          <w:tcPr>
            <w:tcW w:w="312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Exchangeable Shares of Common Stock</w:t>
            </w:r>
          </w:p>
        </w:tc>
      </w:tr>
      <w:tr>
        <w:trPr>
          <w:trHeight w:val="168"/>
        </w:trPr>
        <w:tc>
          <w:tcPr>
            <w:tcW w:w="4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A-1 preferred OP units</w:t>
            </w:r>
          </w:p>
        </w:tc>
        <w:tc>
          <w:tcPr>
            <w:tcW w:w="80" w:type="dxa"/>
            <w:vAlign w:val="bottom"/>
            <w:tcBorders>
              <w:top w:val="single" w:sz="8" w:color="CCEEFF"/>
            </w:tcBorders>
            <w:shd w:val="clear" w:color="auto" w:fill="CCEEFF"/>
          </w:tcPr>
          <w:p>
            <w:pPr>
              <w:spacing w:after="0"/>
              <w:rPr>
                <w:sz w:val="14"/>
                <w:szCs w:val="14"/>
                <w:color w:val="auto"/>
              </w:rPr>
            </w:pPr>
          </w:p>
        </w:tc>
        <w:tc>
          <w:tcPr>
            <w:tcW w:w="3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154,336</w:t>
            </w:r>
          </w:p>
        </w:tc>
        <w:tc>
          <w:tcPr>
            <w:tcW w:w="100" w:type="dxa"/>
            <w:vAlign w:val="bottom"/>
            <w:tcBorders>
              <w:top w:val="single" w:sz="8" w:color="CCEEFF"/>
            </w:tcBorders>
            <w:shd w:val="clear" w:color="auto" w:fill="CCEEFF"/>
          </w:tcPr>
          <w:p>
            <w:pPr>
              <w:spacing w:after="0"/>
              <w:rPr>
                <w:sz w:val="14"/>
                <w:szCs w:val="14"/>
                <w:color w:val="auto"/>
              </w:rPr>
            </w:pPr>
          </w:p>
        </w:tc>
        <w:tc>
          <w:tcPr>
            <w:tcW w:w="3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376,429</w:t>
            </w:r>
          </w:p>
        </w:tc>
      </w:tr>
      <w:tr>
        <w:trPr>
          <w:trHeight w:val="172"/>
        </w:trPr>
        <w:tc>
          <w:tcPr>
            <w:tcW w:w="49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Series A-3 preferred OP units</w:t>
            </w:r>
          </w:p>
        </w:tc>
        <w:tc>
          <w:tcPr>
            <w:tcW w:w="3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40,268</w:t>
            </w:r>
          </w:p>
        </w:tc>
        <w:tc>
          <w:tcPr>
            <w:tcW w:w="100" w:type="dxa"/>
            <w:vAlign w:val="bottom"/>
          </w:tcPr>
          <w:p>
            <w:pPr>
              <w:spacing w:after="0"/>
              <w:rPr>
                <w:sz w:val="14"/>
                <w:szCs w:val="14"/>
                <w:color w:val="auto"/>
              </w:rPr>
            </w:pPr>
          </w:p>
        </w:tc>
        <w:tc>
          <w:tcPr>
            <w:tcW w:w="3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74,917</w:t>
            </w:r>
          </w:p>
        </w:tc>
      </w:tr>
      <w:tr>
        <w:trPr>
          <w:trHeight w:val="175"/>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C preferred OP units</w:t>
            </w:r>
          </w:p>
        </w:tc>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291,703</w:t>
            </w:r>
          </w:p>
        </w:tc>
        <w:tc>
          <w:tcPr>
            <w:tcW w:w="100" w:type="dxa"/>
            <w:vAlign w:val="bottom"/>
            <w:shd w:val="clear" w:color="auto" w:fill="CCEEFF"/>
          </w:tcPr>
          <w:p>
            <w:pPr>
              <w:spacing w:after="0"/>
              <w:rPr>
                <w:sz w:val="15"/>
                <w:szCs w:val="15"/>
                <w:color w:val="auto"/>
              </w:rPr>
            </w:pPr>
          </w:p>
        </w:tc>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323,790</w:t>
            </w:r>
          </w:p>
        </w:tc>
      </w:tr>
      <w:tr>
        <w:trPr>
          <w:trHeight w:val="172"/>
        </w:trPr>
        <w:tc>
          <w:tcPr>
            <w:tcW w:w="49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Series D preferred OP units</w:t>
            </w:r>
          </w:p>
        </w:tc>
        <w:tc>
          <w:tcPr>
            <w:tcW w:w="3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488,958</w:t>
            </w:r>
          </w:p>
        </w:tc>
        <w:tc>
          <w:tcPr>
            <w:tcW w:w="100" w:type="dxa"/>
            <w:vAlign w:val="bottom"/>
          </w:tcPr>
          <w:p>
            <w:pPr>
              <w:spacing w:after="0"/>
              <w:rPr>
                <w:sz w:val="14"/>
                <w:szCs w:val="14"/>
                <w:color w:val="auto"/>
              </w:rPr>
            </w:pPr>
          </w:p>
        </w:tc>
        <w:tc>
          <w:tcPr>
            <w:tcW w:w="3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391,166</w:t>
            </w:r>
          </w:p>
        </w:tc>
      </w:tr>
      <w:tr>
        <w:trPr>
          <w:trHeight w:val="175"/>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E preferred OP units</w:t>
            </w:r>
          </w:p>
        </w:tc>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80,000</w:t>
            </w:r>
          </w:p>
        </w:tc>
        <w:tc>
          <w:tcPr>
            <w:tcW w:w="100" w:type="dxa"/>
            <w:vAlign w:val="bottom"/>
            <w:shd w:val="clear" w:color="auto" w:fill="CCEEFF"/>
          </w:tcPr>
          <w:p>
            <w:pPr>
              <w:spacing w:after="0"/>
              <w:rPr>
                <w:sz w:val="15"/>
                <w:szCs w:val="15"/>
                <w:color w:val="auto"/>
              </w:rPr>
            </w:pPr>
          </w:p>
        </w:tc>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55,172</w:t>
            </w:r>
          </w:p>
        </w:tc>
      </w:tr>
      <w:tr>
        <w:trPr>
          <w:trHeight w:val="172"/>
        </w:trPr>
        <w:tc>
          <w:tcPr>
            <w:tcW w:w="49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Series F preferred OP units</w:t>
            </w:r>
          </w:p>
        </w:tc>
        <w:tc>
          <w:tcPr>
            <w:tcW w:w="3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60,000</w:t>
            </w:r>
          </w:p>
        </w:tc>
        <w:tc>
          <w:tcPr>
            <w:tcW w:w="100" w:type="dxa"/>
            <w:vAlign w:val="bottom"/>
          </w:tcPr>
          <w:p>
            <w:pPr>
              <w:spacing w:after="0"/>
              <w:rPr>
                <w:sz w:val="14"/>
                <w:szCs w:val="14"/>
                <w:color w:val="auto"/>
              </w:rPr>
            </w:pPr>
          </w:p>
        </w:tc>
        <w:tc>
          <w:tcPr>
            <w:tcW w:w="3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37,500</w:t>
            </w:r>
          </w:p>
        </w:tc>
      </w:tr>
      <w:tr>
        <w:trPr>
          <w:trHeight w:val="175"/>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G preferred OP units</w:t>
            </w:r>
          </w:p>
        </w:tc>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4,898</w:t>
            </w:r>
          </w:p>
        </w:tc>
        <w:tc>
          <w:tcPr>
            <w:tcW w:w="100" w:type="dxa"/>
            <w:vAlign w:val="bottom"/>
            <w:shd w:val="clear" w:color="auto" w:fill="CCEEFF"/>
          </w:tcPr>
          <w:p>
            <w:pPr>
              <w:spacing w:after="0"/>
              <w:rPr>
                <w:sz w:val="15"/>
                <w:szCs w:val="15"/>
                <w:color w:val="auto"/>
              </w:rPr>
            </w:pPr>
          </w:p>
        </w:tc>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3,160</w:t>
            </w:r>
          </w:p>
        </w:tc>
      </w:tr>
      <w:tr>
        <w:trPr>
          <w:trHeight w:val="172"/>
        </w:trPr>
        <w:tc>
          <w:tcPr>
            <w:tcW w:w="49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Series H preferred OP units</w:t>
            </w:r>
          </w:p>
        </w:tc>
        <w:tc>
          <w:tcPr>
            <w:tcW w:w="3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130,879</w:t>
            </w:r>
          </w:p>
        </w:tc>
        <w:tc>
          <w:tcPr>
            <w:tcW w:w="100" w:type="dxa"/>
            <w:vAlign w:val="bottom"/>
          </w:tcPr>
          <w:p>
            <w:pPr>
              <w:spacing w:after="0"/>
              <w:rPr>
                <w:sz w:val="14"/>
                <w:szCs w:val="14"/>
                <w:color w:val="auto"/>
              </w:rPr>
            </w:pPr>
          </w:p>
        </w:tc>
        <w:tc>
          <w:tcPr>
            <w:tcW w:w="3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79,804</w:t>
            </w:r>
          </w:p>
        </w:tc>
      </w:tr>
      <w:tr>
        <w:trPr>
          <w:trHeight w:val="175"/>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J preferred OP units</w:t>
            </w:r>
          </w:p>
        </w:tc>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235,250</w:t>
            </w:r>
          </w:p>
        </w:tc>
        <w:tc>
          <w:tcPr>
            <w:tcW w:w="100" w:type="dxa"/>
            <w:vAlign w:val="bottom"/>
            <w:shd w:val="clear" w:color="auto" w:fill="CCEEFF"/>
          </w:tcPr>
          <w:p>
            <w:pPr>
              <w:spacing w:after="0"/>
              <w:rPr>
                <w:sz w:val="15"/>
                <w:szCs w:val="15"/>
                <w:color w:val="auto"/>
              </w:rPr>
            </w:pPr>
          </w:p>
        </w:tc>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142,576</w:t>
            </w:r>
          </w:p>
        </w:tc>
      </w:tr>
      <w:tr>
        <w:trPr>
          <w:trHeight w:val="172"/>
        </w:trPr>
        <w:tc>
          <w:tcPr>
            <w:tcW w:w="49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Series K preferred OP units</w:t>
            </w:r>
          </w:p>
        </w:tc>
        <w:tc>
          <w:tcPr>
            <w:tcW w:w="3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1,000,000</w:t>
            </w:r>
          </w:p>
        </w:tc>
        <w:tc>
          <w:tcPr>
            <w:tcW w:w="100" w:type="dxa"/>
            <w:vAlign w:val="bottom"/>
          </w:tcPr>
          <w:p>
            <w:pPr>
              <w:spacing w:after="0"/>
              <w:rPr>
                <w:sz w:val="14"/>
                <w:szCs w:val="14"/>
                <w:color w:val="auto"/>
              </w:rPr>
            </w:pPr>
          </w:p>
        </w:tc>
        <w:tc>
          <w:tcPr>
            <w:tcW w:w="3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588,235</w:t>
            </w:r>
          </w:p>
        </w:tc>
      </w:tr>
      <w:tr>
        <w:trPr>
          <w:trHeight w:val="175"/>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L preferred OP units</w:t>
            </w:r>
          </w:p>
        </w:tc>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20,000</w:t>
            </w:r>
          </w:p>
        </w:tc>
        <w:tc>
          <w:tcPr>
            <w:tcW w:w="100" w:type="dxa"/>
            <w:vAlign w:val="bottom"/>
            <w:shd w:val="clear" w:color="auto" w:fill="CCEEFF"/>
          </w:tcPr>
          <w:p>
            <w:pPr>
              <w:spacing w:after="0"/>
              <w:rPr>
                <w:sz w:val="15"/>
                <w:szCs w:val="15"/>
                <w:color w:val="auto"/>
              </w:rPr>
            </w:pPr>
          </w:p>
        </w:tc>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12,500</w:t>
            </w:r>
          </w:p>
        </w:tc>
      </w:tr>
      <w:tr>
        <w:trPr>
          <w:trHeight w:val="172"/>
        </w:trPr>
        <w:tc>
          <w:tcPr>
            <w:tcW w:w="49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Common OP units</w:t>
            </w:r>
          </w:p>
        </w:tc>
        <w:tc>
          <w:tcPr>
            <w:tcW w:w="3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2,544,819</w:t>
            </w:r>
          </w:p>
        </w:tc>
        <w:tc>
          <w:tcPr>
            <w:tcW w:w="100" w:type="dxa"/>
            <w:vAlign w:val="bottom"/>
            <w:tcBorders>
              <w:bottom w:val="single" w:sz="8" w:color="CCEEFF"/>
            </w:tcBorders>
          </w:tcPr>
          <w:p>
            <w:pPr>
              <w:spacing w:after="0"/>
              <w:rPr>
                <w:sz w:val="14"/>
                <w:szCs w:val="14"/>
                <w:color w:val="auto"/>
              </w:rPr>
            </w:pPr>
          </w:p>
        </w:tc>
        <w:tc>
          <w:tcPr>
            <w:tcW w:w="3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2,544,819</w:t>
            </w:r>
          </w:p>
        </w:tc>
      </w:tr>
      <w:tr>
        <w:trPr>
          <w:trHeight w:val="192"/>
        </w:trPr>
        <w:tc>
          <w:tcPr>
            <w:tcW w:w="49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3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5,051,111</w:t>
            </w:r>
          </w:p>
        </w:tc>
        <w:tc>
          <w:tcPr>
            <w:tcW w:w="100" w:type="dxa"/>
            <w:vAlign w:val="bottom"/>
            <w:tcBorders>
              <w:bottom w:val="single" w:sz="8" w:color="CCEEFF"/>
            </w:tcBorders>
            <w:shd w:val="clear" w:color="auto" w:fill="CCEEFF"/>
          </w:tcPr>
          <w:p>
            <w:pPr>
              <w:spacing w:after="0"/>
              <w:rPr>
                <w:sz w:val="16"/>
                <w:szCs w:val="16"/>
                <w:color w:val="auto"/>
              </w:rPr>
            </w:pPr>
          </w:p>
        </w:tc>
        <w:tc>
          <w:tcPr>
            <w:tcW w:w="3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4,630,068</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We have historically paid regular quarterly distributions to holders of our common stock and common OP units. In addition, we are obligated to make distributions to holders of each series of our preferred OP units. See "Structure of the Company" under Part I, Item 1 of this Annual Report on Form 10-K. Our ability to make distributions on our common stock and preferred OP units, payments on our indebtedness, and to fund planned capital expenditures will depend on our ability to generate cash in the future. The decision to declare and pay distributions on shares of our common stock and common OP units in the future, as well as the timing, amount, and composition of any such future distributions, will be at the sole discretion of our Board of Directors in light of conditions then existing, including our earnings, financial condition, capital requirements, debt maturities, the availability of debt and equity capital, applicable REIT and legal restrictions, general overall economic conditions, and other factors.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Securities Authorized for Issuance Under Equity Compensation Plans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reflects information about the securities authorized for issuance under our equity compensation plans as of December 31, 2025:</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Number of securities to be</w:t>
            </w:r>
          </w:p>
        </w:tc>
        <w:tc>
          <w:tcPr>
            <w:tcW w:w="80" w:type="dxa"/>
            <w:vAlign w:val="bottom"/>
          </w:tcPr>
          <w:p>
            <w:pPr>
              <w:spacing w:after="0"/>
              <w:rPr>
                <w:sz w:val="12"/>
                <w:szCs w:val="12"/>
                <w:color w:val="auto"/>
              </w:rPr>
            </w:pPr>
          </w:p>
        </w:tc>
        <w:tc>
          <w:tcPr>
            <w:tcW w:w="16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Weighted-average exercise</w:t>
            </w:r>
          </w:p>
        </w:tc>
        <w:tc>
          <w:tcPr>
            <w:tcW w:w="33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 shares of common stock remaining available</w:t>
            </w:r>
          </w:p>
        </w:tc>
        <w:tc>
          <w:tcPr>
            <w:tcW w:w="0" w:type="dxa"/>
            <w:vAlign w:val="bottom"/>
          </w:tcPr>
          <w:p>
            <w:pPr>
              <w:spacing w:after="0"/>
              <w:rPr>
                <w:sz w:val="1"/>
                <w:szCs w:val="1"/>
                <w:color w:val="auto"/>
              </w:rPr>
            </w:pPr>
          </w:p>
        </w:tc>
      </w:tr>
      <w:tr>
        <w:trPr>
          <w:trHeight w:val="127"/>
        </w:trPr>
        <w:tc>
          <w:tcPr>
            <w:tcW w:w="4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6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3"/>
                <w:szCs w:val="13"/>
                <w:b w:val="1"/>
                <w:bCs w:val="1"/>
                <w:color w:val="auto"/>
              </w:rPr>
              <w:t>issued upon exercise of</w:t>
            </w:r>
          </w:p>
        </w:tc>
        <w:tc>
          <w:tcPr>
            <w:tcW w:w="80" w:type="dxa"/>
            <w:vAlign w:val="bottom"/>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3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6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3"/>
                <w:szCs w:val="13"/>
                <w:b w:val="1"/>
                <w:bCs w:val="1"/>
                <w:color w:val="auto"/>
              </w:rPr>
              <w:t>outstanding options, warrants</w:t>
            </w:r>
          </w:p>
        </w:tc>
        <w:tc>
          <w:tcPr>
            <w:tcW w:w="1740" w:type="dxa"/>
            <w:vAlign w:val="bottom"/>
            <w:gridSpan w:val="3"/>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rPr>
              <w:t>price of outstanding options,</w:t>
            </w:r>
          </w:p>
        </w:tc>
        <w:tc>
          <w:tcPr>
            <w:tcW w:w="33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rPr>
              <w:t>for future issuance under equity compensation plans</w:t>
            </w:r>
          </w:p>
        </w:tc>
        <w:tc>
          <w:tcPr>
            <w:tcW w:w="0" w:type="dxa"/>
            <w:vAlign w:val="bottom"/>
          </w:tcPr>
          <w:p>
            <w:pPr>
              <w:spacing w:after="0"/>
              <w:rPr>
                <w:sz w:val="1"/>
                <w:szCs w:val="1"/>
                <w:color w:val="auto"/>
              </w:rPr>
            </w:pPr>
          </w:p>
        </w:tc>
      </w:tr>
      <w:tr>
        <w:trPr>
          <w:trHeight w:val="179"/>
        </w:trPr>
        <w:tc>
          <w:tcPr>
            <w:tcW w:w="4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and rights</w:t>
            </w:r>
          </w:p>
        </w:tc>
        <w:tc>
          <w:tcPr>
            <w:tcW w:w="80" w:type="dxa"/>
            <w:vAlign w:val="bottom"/>
          </w:tcPr>
          <w:p>
            <w:pPr>
              <w:spacing w:after="0"/>
              <w:rPr>
                <w:sz w:val="15"/>
                <w:szCs w:val="15"/>
                <w:color w:val="auto"/>
              </w:rPr>
            </w:pPr>
          </w:p>
        </w:tc>
        <w:tc>
          <w:tcPr>
            <w:tcW w:w="16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warrants and rights</w:t>
            </w:r>
          </w:p>
        </w:tc>
        <w:tc>
          <w:tcPr>
            <w:tcW w:w="3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(excluding securities reflected in column a)</w:t>
            </w:r>
          </w:p>
        </w:tc>
        <w:tc>
          <w:tcPr>
            <w:tcW w:w="0" w:type="dxa"/>
            <w:vAlign w:val="bottom"/>
          </w:tcPr>
          <w:p>
            <w:pPr>
              <w:spacing w:after="0"/>
              <w:rPr>
                <w:sz w:val="1"/>
                <w:szCs w:val="1"/>
                <w:color w:val="auto"/>
              </w:rPr>
            </w:pPr>
          </w:p>
        </w:tc>
      </w:tr>
      <w:tr>
        <w:trPr>
          <w:trHeight w:val="177"/>
        </w:trPr>
        <w:tc>
          <w:tcPr>
            <w:tcW w:w="4220" w:type="dxa"/>
            <w:vAlign w:val="bottom"/>
            <w:gridSpan w:val="2"/>
          </w:tcPr>
          <w:p>
            <w:pPr>
              <w:ind w:left="1660"/>
              <w:spacing w:after="0"/>
              <w:rPr>
                <w:sz w:val="20"/>
                <w:szCs w:val="20"/>
                <w:color w:val="auto"/>
              </w:rPr>
            </w:pPr>
            <w:r>
              <w:rPr>
                <w:rFonts w:ascii="Times New Roman" w:cs="Times New Roman" w:eastAsia="Times New Roman" w:hAnsi="Times New Roman"/>
                <w:sz w:val="13"/>
                <w:szCs w:val="13"/>
                <w:b w:val="1"/>
                <w:bCs w:val="1"/>
                <w:color w:val="auto"/>
              </w:rPr>
              <w:t>Plan Category</w:t>
            </w:r>
          </w:p>
        </w:tc>
        <w:tc>
          <w:tcPr>
            <w:tcW w:w="19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(a)</w:t>
            </w:r>
          </w:p>
        </w:tc>
        <w:tc>
          <w:tcPr>
            <w:tcW w:w="80" w:type="dxa"/>
            <w:vAlign w:val="bottom"/>
          </w:tcPr>
          <w:p>
            <w:pPr>
              <w:spacing w:after="0"/>
              <w:rPr>
                <w:sz w:val="15"/>
                <w:szCs w:val="15"/>
                <w:color w:val="auto"/>
              </w:rPr>
            </w:pPr>
          </w:p>
        </w:tc>
        <w:tc>
          <w:tcPr>
            <w:tcW w:w="16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(b)</w:t>
            </w:r>
          </w:p>
        </w:tc>
        <w:tc>
          <w:tcPr>
            <w:tcW w:w="3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w:t>
            </w:r>
          </w:p>
        </w:tc>
        <w:tc>
          <w:tcPr>
            <w:tcW w:w="0" w:type="dxa"/>
            <w:vAlign w:val="bottom"/>
          </w:tcPr>
          <w:p>
            <w:pPr>
              <w:spacing w:after="0"/>
              <w:rPr>
                <w:sz w:val="1"/>
                <w:szCs w:val="1"/>
                <w:color w:val="auto"/>
              </w:rPr>
            </w:pPr>
          </w:p>
        </w:tc>
      </w:tr>
      <w:tr>
        <w:trPr>
          <w:trHeight w:val="168"/>
        </w:trPr>
        <w:tc>
          <w:tcPr>
            <w:tcW w:w="4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Equity compensation plans approved by shareholders</w:t>
            </w:r>
          </w:p>
        </w:tc>
        <w:tc>
          <w:tcPr>
            <w:tcW w:w="80" w:type="dxa"/>
            <w:vAlign w:val="bottom"/>
            <w:tcBorders>
              <w:top w:val="single" w:sz="8" w:color="CCEEFF"/>
            </w:tcBorders>
            <w:shd w:val="clear" w:color="auto" w:fill="CCEEFF"/>
          </w:tcPr>
          <w:p>
            <w:pPr>
              <w:spacing w:after="0"/>
              <w:rPr>
                <w:sz w:val="14"/>
                <w:szCs w:val="14"/>
                <w:color w:val="auto"/>
              </w:rPr>
            </w:pPr>
          </w:p>
        </w:tc>
        <w:tc>
          <w:tcPr>
            <w:tcW w:w="1880" w:type="dxa"/>
            <w:vAlign w:val="bottom"/>
            <w:tcBorders>
              <w:top w:val="single" w:sz="8" w:color="auto"/>
              <w:bottom w:val="single" w:sz="8" w:color="auto"/>
            </w:tcBorders>
            <w:shd w:val="clear" w:color="auto" w:fill="CCEEFF"/>
          </w:tcPr>
          <w:p>
            <w:pPr>
              <w:ind w:left="16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top w:val="single" w:sz="8" w:color="auto"/>
              <w:bottom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3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2,616,305</w:t>
            </w:r>
          </w:p>
        </w:tc>
        <w:tc>
          <w:tcPr>
            <w:tcW w:w="0" w:type="dxa"/>
            <w:vAlign w:val="bottom"/>
          </w:tcPr>
          <w:p>
            <w:pPr>
              <w:spacing w:after="0"/>
              <w:rPr>
                <w:sz w:val="1"/>
                <w:szCs w:val="1"/>
                <w:color w:val="auto"/>
              </w:rPr>
            </w:pPr>
          </w:p>
        </w:tc>
      </w:tr>
      <w:tr>
        <w:trPr>
          <w:trHeight w:val="165"/>
        </w:trPr>
        <w:tc>
          <w:tcPr>
            <w:tcW w:w="422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88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3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2,616,305</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5" w:name="page26"/>
    <w:bookmarkEnd w:id="25"/>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Recent Sales of Unregistered Securities</w:t>
      </w:r>
    </w:p>
    <w:p>
      <w:pPr>
        <w:spacing w:after="0" w:line="109" w:lineRule="exact"/>
        <w:rPr>
          <w:sz w:val="20"/>
          <w:szCs w:val="20"/>
          <w:color w:val="auto"/>
        </w:rPr>
      </w:pPr>
    </w:p>
    <w:p>
      <w:pPr>
        <w:jc w:val="both"/>
        <w:ind w:left="7"/>
        <w:spacing w:after="0" w:line="276" w:lineRule="auto"/>
        <w:rPr>
          <w:sz w:val="20"/>
          <w:szCs w:val="20"/>
          <w:color w:val="auto"/>
        </w:rPr>
      </w:pPr>
      <w:r>
        <w:rPr>
          <w:rFonts w:ascii="Times New Roman" w:cs="Times New Roman" w:eastAsia="Times New Roman" w:hAnsi="Times New Roman"/>
          <w:sz w:val="15"/>
          <w:szCs w:val="15"/>
          <w:color w:val="auto"/>
        </w:rPr>
        <w:t>From time to time, we may issue shares of common stock or common OP units in exchange for OP units in accordance with the terms and provisions of the limited partnership agreement of the Operating Partnership. Such shares are issued based on the exchange ratios and formulas described in "Structure of the Company" under Part I, Item 1 of this Annual Report on Form 10-K. Below is the activity of conversions for the three months and year ended December 31, 2025:</w:t>
      </w:r>
    </w:p>
    <w:p>
      <w:pPr>
        <w:spacing w:after="0" w:line="85" w:lineRule="exact"/>
        <w:rPr>
          <w:sz w:val="20"/>
          <w:szCs w:val="20"/>
          <w:color w:val="auto"/>
        </w:rPr>
      </w:pPr>
    </w:p>
    <w:tbl>
      <w:tblPr>
        <w:tblLayout w:type="fixed"/>
        <w:tblInd w:w="7" w:type="dxa"/>
        <w:tblCellMar>
          <w:top w:w="0" w:type="dxa"/>
          <w:left w:w="0" w:type="dxa"/>
          <w:bottom w:w="0" w:type="dxa"/>
          <w:right w:w="0" w:type="dxa"/>
        </w:tblCellMar>
      </w:tblPr>
      <w:tr>
        <w:trPr>
          <w:trHeight w:val="173"/>
        </w:trPr>
        <w:tc>
          <w:tcPr>
            <w:tcW w:w="2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80" w:type="dxa"/>
            <w:vAlign w:val="bottom"/>
            <w:gridSpan w:val="4"/>
          </w:tcPr>
          <w:p>
            <w:pPr>
              <w:ind w:left="600"/>
              <w:spacing w:after="0"/>
              <w:rPr>
                <w:sz w:val="20"/>
                <w:szCs w:val="20"/>
                <w:color w:val="auto"/>
              </w:rPr>
            </w:pPr>
            <w:r>
              <w:rPr>
                <w:rFonts w:ascii="Times New Roman" w:cs="Times New Roman" w:eastAsia="Times New Roman" w:hAnsi="Times New Roman"/>
                <w:sz w:val="13"/>
                <w:szCs w:val="13"/>
                <w:b w:val="1"/>
                <w:bCs w:val="1"/>
                <w:color w:val="auto"/>
              </w:rPr>
              <w:t>Three Months Ended December 31, 2025</w:t>
            </w:r>
          </w:p>
        </w:tc>
        <w:tc>
          <w:tcPr>
            <w:tcW w:w="3520" w:type="dxa"/>
            <w:vAlign w:val="bottom"/>
            <w:gridSpan w:val="3"/>
          </w:tcPr>
          <w:p>
            <w:pPr>
              <w:jc w:val="right"/>
              <w:ind w:right="814"/>
              <w:spacing w:after="0"/>
              <w:rPr>
                <w:sz w:val="20"/>
                <w:szCs w:val="20"/>
                <w:color w:val="auto"/>
              </w:rPr>
            </w:pPr>
            <w:r>
              <w:rPr>
                <w:rFonts w:ascii="Times New Roman" w:cs="Times New Roman" w:eastAsia="Times New Roman" w:hAnsi="Times New Roman"/>
                <w:sz w:val="13"/>
                <w:szCs w:val="13"/>
                <w:b w:val="1"/>
                <w:bCs w:val="1"/>
                <w:color w:val="auto"/>
              </w:rPr>
              <w:t>Year Ended December 31, 2025</w:t>
            </w:r>
          </w:p>
        </w:tc>
      </w:tr>
      <w:tr>
        <w:trPr>
          <w:trHeight w:val="172"/>
        </w:trPr>
        <w:tc>
          <w:tcPr>
            <w:tcW w:w="26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Series</w:t>
            </w: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Conversion Rate</w:t>
            </w:r>
          </w:p>
        </w:tc>
        <w:tc>
          <w:tcPr>
            <w:tcW w:w="208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Units / Shares Converted</w:t>
            </w:r>
          </w:p>
        </w:tc>
        <w:tc>
          <w:tcPr>
            <w:tcW w:w="1420" w:type="dxa"/>
            <w:vAlign w:val="bottom"/>
            <w:tcBorders>
              <w:top w:val="single" w:sz="8" w:color="auto"/>
            </w:tcBorders>
          </w:tcPr>
          <w:p>
            <w:pPr>
              <w:jc w:val="right"/>
              <w:ind w:right="154"/>
              <w:spacing w:after="0" w:line="172" w:lineRule="exact"/>
              <w:rPr>
                <w:sz w:val="20"/>
                <w:szCs w:val="20"/>
                <w:color w:val="auto"/>
              </w:rPr>
            </w:pPr>
            <w:r>
              <w:rPr>
                <w:rFonts w:ascii="Times New Roman" w:cs="Times New Roman" w:eastAsia="Times New Roman" w:hAnsi="Times New Roman"/>
                <w:sz w:val="13"/>
                <w:szCs w:val="13"/>
                <w:b w:val="1"/>
                <w:bCs w:val="1"/>
                <w:color w:val="auto"/>
              </w:rPr>
              <w:t>Common Stock</w:t>
            </w:r>
            <w:r>
              <w:rPr>
                <w:rFonts w:ascii="Times New Roman" w:cs="Times New Roman" w:eastAsia="Times New Roman" w:hAnsi="Times New Roman"/>
                <w:sz w:val="17"/>
                <w:szCs w:val="17"/>
                <w:b w:val="1"/>
                <w:bCs w:val="1"/>
                <w:color w:val="auto"/>
                <w:vertAlign w:val="superscript"/>
              </w:rPr>
              <w:t>(1)</w:t>
            </w:r>
          </w:p>
        </w:tc>
        <w:tc>
          <w:tcPr>
            <w:tcW w:w="180" w:type="dxa"/>
            <w:vAlign w:val="bottom"/>
          </w:tcPr>
          <w:p>
            <w:pPr>
              <w:spacing w:after="0"/>
              <w:rPr>
                <w:sz w:val="14"/>
                <w:szCs w:val="14"/>
                <w:color w:val="auto"/>
              </w:rPr>
            </w:pPr>
          </w:p>
        </w:tc>
        <w:tc>
          <w:tcPr>
            <w:tcW w:w="210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Units / Shares Converted</w:t>
            </w:r>
          </w:p>
        </w:tc>
        <w:tc>
          <w:tcPr>
            <w:tcW w:w="1420" w:type="dxa"/>
            <w:vAlign w:val="bottom"/>
            <w:tcBorders>
              <w:top w:val="single" w:sz="8" w:color="auto"/>
            </w:tcBorders>
          </w:tcPr>
          <w:p>
            <w:pPr>
              <w:jc w:val="right"/>
              <w:ind w:right="174"/>
              <w:spacing w:after="0" w:line="172" w:lineRule="exact"/>
              <w:rPr>
                <w:sz w:val="20"/>
                <w:szCs w:val="20"/>
                <w:color w:val="auto"/>
              </w:rPr>
            </w:pPr>
            <w:r>
              <w:rPr>
                <w:rFonts w:ascii="Times New Roman" w:cs="Times New Roman" w:eastAsia="Times New Roman" w:hAnsi="Times New Roman"/>
                <w:sz w:val="13"/>
                <w:szCs w:val="13"/>
                <w:b w:val="1"/>
                <w:bCs w:val="1"/>
                <w:color w:val="auto"/>
              </w:rPr>
              <w:t>Common Stock</w:t>
            </w:r>
            <w:r>
              <w:rPr>
                <w:rFonts w:ascii="Times New Roman" w:cs="Times New Roman" w:eastAsia="Times New Roman" w:hAnsi="Times New Roman"/>
                <w:sz w:val="17"/>
                <w:szCs w:val="17"/>
                <w:b w:val="1"/>
                <w:bCs w:val="1"/>
                <w:color w:val="auto"/>
                <w:vertAlign w:val="superscript"/>
              </w:rPr>
              <w:t>(1)</w:t>
            </w:r>
          </w:p>
        </w:tc>
      </w:tr>
      <w:tr>
        <w:trPr>
          <w:trHeight w:val="165"/>
        </w:trPr>
        <w:tc>
          <w:tcPr>
            <w:tcW w:w="2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Common OP units</w:t>
            </w:r>
          </w:p>
        </w:tc>
        <w:tc>
          <w:tcPr>
            <w:tcW w:w="8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80" w:type="dxa"/>
            <w:vAlign w:val="bottom"/>
            <w:tcBorders>
              <w:top w:val="single" w:sz="8" w:color="CCEEFF"/>
            </w:tcBorders>
            <w:shd w:val="clear" w:color="auto" w:fill="CCEEFF"/>
          </w:tcPr>
          <w:p>
            <w:pPr>
              <w:spacing w:after="0"/>
              <w:rPr>
                <w:sz w:val="14"/>
                <w:szCs w:val="14"/>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159,875</w:t>
            </w:r>
          </w:p>
        </w:tc>
        <w:tc>
          <w:tcPr>
            <w:tcW w:w="8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159,875</w:t>
            </w:r>
          </w:p>
        </w:tc>
        <w:tc>
          <w:tcPr>
            <w:tcW w:w="180" w:type="dxa"/>
            <w:vAlign w:val="bottom"/>
            <w:tcBorders>
              <w:top w:val="single" w:sz="8" w:color="CCEEFF"/>
            </w:tcBorders>
            <w:shd w:val="clear" w:color="auto" w:fill="CCEEFF"/>
          </w:tcPr>
          <w:p>
            <w:pPr>
              <w:spacing w:after="0"/>
              <w:rPr>
                <w:sz w:val="14"/>
                <w:szCs w:val="14"/>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268,595</w:t>
            </w:r>
          </w:p>
        </w:tc>
        <w:tc>
          <w:tcPr>
            <w:tcW w:w="8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268,595</w:t>
            </w:r>
          </w:p>
        </w:tc>
      </w:tr>
      <w:tr>
        <w:trPr>
          <w:trHeight w:val="172"/>
        </w:trPr>
        <w:tc>
          <w:tcPr>
            <w:tcW w:w="26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Series A-1 preferred OP units</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2.4390</w:t>
            </w:r>
          </w:p>
        </w:tc>
        <w:tc>
          <w:tcPr>
            <w:tcW w:w="80" w:type="dxa"/>
            <w:vAlign w:val="bottom"/>
          </w:tcPr>
          <w:p>
            <w:pPr>
              <w:spacing w:after="0"/>
              <w:rPr>
                <w:sz w:val="14"/>
                <w:szCs w:val="14"/>
                <w:color w:val="auto"/>
              </w:rPr>
            </w:pPr>
          </w:p>
        </w:tc>
        <w:tc>
          <w:tcPr>
            <w:tcW w:w="20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6,884</w:t>
            </w:r>
          </w:p>
        </w:tc>
        <w:tc>
          <w:tcPr>
            <w:tcW w:w="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16,788</w:t>
            </w:r>
          </w:p>
        </w:tc>
      </w:tr>
      <w:tr>
        <w:trPr>
          <w:trHeight w:val="175"/>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C preferred OP units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1.1100</w:t>
            </w:r>
          </w:p>
        </w:tc>
        <w:tc>
          <w:tcPr>
            <w:tcW w:w="80" w:type="dxa"/>
            <w:vAlign w:val="bottom"/>
            <w:shd w:val="clear" w:color="auto" w:fill="CCEEFF"/>
          </w:tcPr>
          <w:p>
            <w:pPr>
              <w:spacing w:after="0"/>
              <w:rPr>
                <w:sz w:val="15"/>
                <w:szCs w:val="15"/>
                <w:color w:val="auto"/>
              </w:rPr>
            </w:pPr>
          </w:p>
        </w:tc>
        <w:tc>
          <w:tcPr>
            <w:tcW w:w="2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4,309</w:t>
            </w: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4,782</w:t>
            </w:r>
          </w:p>
        </w:tc>
      </w:tr>
      <w:tr>
        <w:trPr>
          <w:trHeight w:val="171"/>
        </w:trPr>
        <w:tc>
          <w:tcPr>
            <w:tcW w:w="26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Series H preferred OP units</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0.6098</w:t>
            </w:r>
          </w:p>
        </w:tc>
        <w:tc>
          <w:tcPr>
            <w:tcW w:w="80" w:type="dxa"/>
            <w:vAlign w:val="bottom"/>
          </w:tcPr>
          <w:p>
            <w:pPr>
              <w:spacing w:after="0"/>
              <w:rPr>
                <w:sz w:val="14"/>
                <w:szCs w:val="14"/>
                <w:color w:val="auto"/>
              </w:rPr>
            </w:pPr>
          </w:p>
        </w:tc>
        <w:tc>
          <w:tcPr>
            <w:tcW w:w="20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765</w:t>
            </w:r>
          </w:p>
        </w:tc>
        <w:tc>
          <w:tcPr>
            <w:tcW w:w="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465</w:t>
            </w:r>
          </w:p>
        </w:tc>
      </w:tr>
    </w:tbl>
    <w:p>
      <w:pPr>
        <w:spacing w:after="0" w:line="52" w:lineRule="exact"/>
        <w:rPr>
          <w:sz w:val="20"/>
          <w:szCs w:val="20"/>
          <w:color w:val="auto"/>
        </w:rPr>
      </w:pPr>
    </w:p>
    <w:p>
      <w:pPr>
        <w:ind w:left="127" w:hanging="127"/>
        <w:spacing w:after="0"/>
        <w:tabs>
          <w:tab w:leader="none" w:pos="127" w:val="left"/>
        </w:tabs>
        <w:numPr>
          <w:ilvl w:val="0"/>
          <w:numId w:val="1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Calculation may yield minor differences due to rounding incorporated in the above numbers.</w:t>
      </w:r>
    </w:p>
    <w:p>
      <w:pPr>
        <w:spacing w:after="0" w:line="88" w:lineRule="exact"/>
        <w:rPr>
          <w:sz w:val="20"/>
          <w:szCs w:val="20"/>
          <w:color w:val="auto"/>
        </w:rPr>
      </w:pPr>
    </w:p>
    <w:p>
      <w:pPr>
        <w:ind w:left="7"/>
        <w:spacing w:after="0" w:line="295" w:lineRule="auto"/>
        <w:rPr>
          <w:sz w:val="20"/>
          <w:szCs w:val="20"/>
          <w:color w:val="auto"/>
        </w:rPr>
      </w:pPr>
      <w:r>
        <w:rPr>
          <w:rFonts w:ascii="Times New Roman" w:cs="Times New Roman" w:eastAsia="Times New Roman" w:hAnsi="Times New Roman"/>
          <w:sz w:val="15"/>
          <w:szCs w:val="15"/>
          <w:color w:val="auto"/>
        </w:rPr>
        <w:t>On October 1, 2025, the Company granted 7,782 shares of unrestricted stock as an inducement award in connection with Charles D. Young’s appointment as our CEO, which was granted outside of our 2015 Equity Incentive Plan in accordance with New York Stock Exchange Listed Company Manual Rule 303A.08.</w:t>
      </w:r>
    </w:p>
    <w:p>
      <w:pPr>
        <w:spacing w:after="0" w:line="39" w:lineRule="exact"/>
        <w:rPr>
          <w:sz w:val="20"/>
          <w:szCs w:val="20"/>
          <w:color w:val="auto"/>
        </w:rPr>
      </w:pPr>
    </w:p>
    <w:p>
      <w:pPr>
        <w:ind w:left="7"/>
        <w:spacing w:after="0" w:line="295" w:lineRule="auto"/>
        <w:rPr>
          <w:sz w:val="20"/>
          <w:szCs w:val="20"/>
          <w:color w:val="auto"/>
        </w:rPr>
      </w:pPr>
      <w:r>
        <w:rPr>
          <w:rFonts w:ascii="Times New Roman" w:cs="Times New Roman" w:eastAsia="Times New Roman" w:hAnsi="Times New Roman"/>
          <w:sz w:val="15"/>
          <w:szCs w:val="15"/>
          <w:color w:val="auto"/>
        </w:rPr>
        <w:t>All of the securities described above were issued in private placements in reliance on Section 4(a)(2) of the Securities Act, including Regulation D promulgated thereunder. No underwriters were used in connection with any of such issuances.</w:t>
      </w:r>
    </w:p>
    <w:p>
      <w:pPr>
        <w:spacing w:after="0" w:line="3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Purchases of Equity Securities</w:t>
      </w:r>
    </w:p>
    <w:p>
      <w:pPr>
        <w:spacing w:after="0" w:line="10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The following table summarizes our common stock repurchases during the three months ended December 31, 2025 (in millions, except for number of shares and per share amounts):</w:t>
      </w:r>
    </w:p>
    <w:p>
      <w:pPr>
        <w:spacing w:after="0" w:line="121" w:lineRule="exact"/>
        <w:rPr>
          <w:sz w:val="20"/>
          <w:szCs w:val="20"/>
          <w:color w:val="auto"/>
        </w:rPr>
      </w:pPr>
    </w:p>
    <w:tbl>
      <w:tblPr>
        <w:tblLayout w:type="fixed"/>
        <w:tblInd w:w="7" w:type="dxa"/>
        <w:tblCellMar>
          <w:top w:w="0" w:type="dxa"/>
          <w:left w:w="0" w:type="dxa"/>
          <w:bottom w:w="0" w:type="dxa"/>
          <w:right w:w="0" w:type="dxa"/>
        </w:tblCellMar>
      </w:tblPr>
      <w:tr>
        <w:trPr>
          <w:trHeight w:val="149"/>
        </w:trPr>
        <w:tc>
          <w:tcPr>
            <w:tcW w:w="3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Total number of shares</w:t>
            </w:r>
          </w:p>
        </w:tc>
        <w:tc>
          <w:tcPr>
            <w:tcW w:w="80" w:type="dxa"/>
            <w:vAlign w:val="bottom"/>
          </w:tcPr>
          <w:p>
            <w:pPr>
              <w:spacing w:after="0"/>
              <w:rPr>
                <w:sz w:val="12"/>
                <w:szCs w:val="12"/>
                <w:color w:val="auto"/>
              </w:rPr>
            </w:pPr>
          </w:p>
        </w:tc>
        <w:tc>
          <w:tcPr>
            <w:tcW w:w="14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Average price paid per</w:t>
            </w:r>
          </w:p>
        </w:tc>
        <w:tc>
          <w:tcPr>
            <w:tcW w:w="1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Total number of shares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4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Maximum number (or approximate dollar</w:t>
            </w:r>
          </w:p>
        </w:tc>
        <w:tc>
          <w:tcPr>
            <w:tcW w:w="0" w:type="dxa"/>
            <w:vAlign w:val="bottom"/>
          </w:tcPr>
          <w:p>
            <w:pPr>
              <w:spacing w:after="0"/>
              <w:rPr>
                <w:sz w:val="1"/>
                <w:szCs w:val="1"/>
                <w:color w:val="auto"/>
              </w:rPr>
            </w:pPr>
          </w:p>
        </w:tc>
      </w:tr>
      <w:tr>
        <w:trPr>
          <w:trHeight w:val="127"/>
        </w:trPr>
        <w:tc>
          <w:tcPr>
            <w:tcW w:w="3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8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rPr>
              <w:t>purchased as part of publicly</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40" w:type="dxa"/>
            <w:vAlign w:val="bottom"/>
          </w:tcPr>
          <w:p>
            <w:pPr>
              <w:jc w:val="center"/>
              <w:ind w:right="54"/>
              <w:spacing w:after="0" w:line="128" w:lineRule="exact"/>
              <w:rPr>
                <w:sz w:val="20"/>
                <w:szCs w:val="20"/>
                <w:color w:val="auto"/>
              </w:rPr>
            </w:pPr>
            <w:r>
              <w:rPr>
                <w:rFonts w:ascii="Times New Roman" w:cs="Times New Roman" w:eastAsia="Times New Roman" w:hAnsi="Times New Roman"/>
                <w:sz w:val="13"/>
                <w:szCs w:val="13"/>
                <w:b w:val="1"/>
                <w:bCs w:val="1"/>
                <w:color w:val="auto"/>
              </w:rPr>
              <w:t>value) of shares that may yet be purchased</w:t>
            </w:r>
          </w:p>
        </w:tc>
        <w:tc>
          <w:tcPr>
            <w:tcW w:w="0" w:type="dxa"/>
            <w:vAlign w:val="bottom"/>
          </w:tcPr>
          <w:p>
            <w:pPr>
              <w:spacing w:after="0"/>
              <w:rPr>
                <w:sz w:val="1"/>
                <w:szCs w:val="1"/>
                <w:color w:val="auto"/>
              </w:rPr>
            </w:pPr>
          </w:p>
        </w:tc>
      </w:tr>
      <w:tr>
        <w:trPr>
          <w:trHeight w:val="185"/>
        </w:trPr>
        <w:tc>
          <w:tcPr>
            <w:tcW w:w="3480" w:type="dxa"/>
            <w:vAlign w:val="bottom"/>
            <w:gridSpan w:val="2"/>
          </w:tcPr>
          <w:p>
            <w:pPr>
              <w:ind w:left="1500"/>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1640" w:type="dxa"/>
            <w:vAlign w:val="bottom"/>
            <w:gridSpan w:val="2"/>
          </w:tcPr>
          <w:p>
            <w:pPr>
              <w:jc w:val="center"/>
              <w:ind w:right="80"/>
              <w:spacing w:after="0" w:line="185" w:lineRule="exact"/>
              <w:rPr>
                <w:sz w:val="20"/>
                <w:szCs w:val="20"/>
                <w:color w:val="auto"/>
              </w:rPr>
            </w:pPr>
            <w:r>
              <w:rPr>
                <w:rFonts w:ascii="Times New Roman" w:cs="Times New Roman" w:eastAsia="Times New Roman" w:hAnsi="Times New Roman"/>
                <w:sz w:val="13"/>
                <w:szCs w:val="13"/>
                <w:b w:val="1"/>
                <w:bCs w:val="1"/>
                <w:color w:val="auto"/>
                <w:w w:val="95"/>
              </w:rPr>
              <w:t>purchased</w:t>
            </w:r>
            <w:r>
              <w:rPr>
                <w:rFonts w:ascii="Times New Roman" w:cs="Times New Roman" w:eastAsia="Times New Roman" w:hAnsi="Times New Roman"/>
                <w:sz w:val="17"/>
                <w:szCs w:val="17"/>
                <w:b w:val="1"/>
                <w:bCs w:val="1"/>
                <w:color w:val="auto"/>
                <w:w w:val="95"/>
                <w:vertAlign w:val="superscript"/>
              </w:rPr>
              <w:t>(1)</w:t>
            </w:r>
          </w:p>
        </w:tc>
        <w:tc>
          <w:tcPr>
            <w:tcW w:w="80" w:type="dxa"/>
            <w:vAlign w:val="bottom"/>
          </w:tcPr>
          <w:p>
            <w:pPr>
              <w:spacing w:after="0"/>
              <w:rPr>
                <w:sz w:val="16"/>
                <w:szCs w:val="16"/>
                <w:color w:val="auto"/>
              </w:rPr>
            </w:pPr>
          </w:p>
        </w:tc>
        <w:tc>
          <w:tcPr>
            <w:tcW w:w="14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share</w:t>
            </w:r>
          </w:p>
        </w:tc>
        <w:tc>
          <w:tcPr>
            <w:tcW w:w="1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announced plans or programs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tcPr>
          <w:p>
            <w:pPr>
              <w:jc w:val="center"/>
              <w:ind w:right="54"/>
              <w:spacing w:after="0" w:line="185" w:lineRule="exact"/>
              <w:rPr>
                <w:sz w:val="20"/>
                <w:szCs w:val="20"/>
                <w:color w:val="auto"/>
              </w:rPr>
            </w:pPr>
            <w:r>
              <w:rPr>
                <w:rFonts w:ascii="Times New Roman" w:cs="Times New Roman" w:eastAsia="Times New Roman" w:hAnsi="Times New Roman"/>
                <w:sz w:val="13"/>
                <w:szCs w:val="13"/>
                <w:b w:val="1"/>
                <w:bCs w:val="1"/>
                <w:color w:val="auto"/>
                <w:w w:val="98"/>
              </w:rPr>
              <w:t>under the plans or programs</w:t>
            </w:r>
            <w:r>
              <w:rPr>
                <w:rFonts w:ascii="Times New Roman" w:cs="Times New Roman" w:eastAsia="Times New Roman" w:hAnsi="Times New Roman"/>
                <w:sz w:val="17"/>
                <w:szCs w:val="17"/>
                <w:b w:val="1"/>
                <w:bCs w:val="1"/>
                <w:color w:val="auto"/>
                <w:w w:val="98"/>
                <w:vertAlign w:val="superscript"/>
              </w:rPr>
              <w:t>(2)</w:t>
            </w:r>
          </w:p>
        </w:tc>
        <w:tc>
          <w:tcPr>
            <w:tcW w:w="0" w:type="dxa"/>
            <w:vAlign w:val="bottom"/>
          </w:tcPr>
          <w:p>
            <w:pPr>
              <w:spacing w:after="0"/>
              <w:rPr>
                <w:sz w:val="1"/>
                <w:szCs w:val="1"/>
                <w:color w:val="auto"/>
              </w:rPr>
            </w:pPr>
          </w:p>
        </w:tc>
      </w:tr>
      <w:tr>
        <w:trPr>
          <w:trHeight w:val="165"/>
        </w:trPr>
        <w:tc>
          <w:tcPr>
            <w:tcW w:w="3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October 1, 2025 - October 31, 2025</w:t>
            </w:r>
          </w:p>
        </w:tc>
        <w:tc>
          <w:tcPr>
            <w:tcW w:w="8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5,390</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126.97</w:t>
            </w:r>
          </w:p>
        </w:tc>
        <w:tc>
          <w:tcPr>
            <w:tcW w:w="80" w:type="dxa"/>
            <w:vAlign w:val="bottom"/>
            <w:tcBorders>
              <w:top w:val="single" w:sz="8" w:color="CCEEFF"/>
            </w:tcBorders>
            <w:shd w:val="clear" w:color="auto" w:fill="CCEEFF"/>
          </w:tcPr>
          <w:p>
            <w:pPr>
              <w:spacing w:after="0"/>
              <w:rPr>
                <w:sz w:val="14"/>
                <w:szCs w:val="14"/>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499.7</w:t>
            </w:r>
          </w:p>
        </w:tc>
        <w:tc>
          <w:tcPr>
            <w:tcW w:w="0" w:type="dxa"/>
            <w:vAlign w:val="bottom"/>
          </w:tcPr>
          <w:p>
            <w:pPr>
              <w:spacing w:after="0"/>
              <w:rPr>
                <w:sz w:val="1"/>
                <w:szCs w:val="1"/>
                <w:color w:val="auto"/>
              </w:rPr>
            </w:pPr>
          </w:p>
        </w:tc>
      </w:tr>
      <w:tr>
        <w:trPr>
          <w:trHeight w:val="172"/>
        </w:trPr>
        <w:tc>
          <w:tcPr>
            <w:tcW w:w="3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November 1, 2025 - November 30, 2025</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1,864</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124.20</w:t>
            </w:r>
          </w:p>
        </w:tc>
        <w:tc>
          <w:tcPr>
            <w:tcW w:w="8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499.7</w:t>
            </w:r>
          </w:p>
        </w:tc>
        <w:tc>
          <w:tcPr>
            <w:tcW w:w="0" w:type="dxa"/>
            <w:vAlign w:val="bottom"/>
          </w:tcPr>
          <w:p>
            <w:pPr>
              <w:spacing w:after="0"/>
              <w:rPr>
                <w:sz w:val="1"/>
                <w:szCs w:val="1"/>
                <w:color w:val="auto"/>
              </w:rPr>
            </w:pPr>
          </w:p>
        </w:tc>
      </w:tr>
      <w:tr>
        <w:trPr>
          <w:trHeight w:val="174"/>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December 1, 2025 - December 31, 2025</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338,120</w:t>
            </w: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124.22</w:t>
            </w:r>
          </w:p>
        </w:tc>
        <w:tc>
          <w:tcPr>
            <w:tcW w:w="80" w:type="dxa"/>
            <w:vAlign w:val="bottom"/>
            <w:shd w:val="clear" w:color="auto" w:fill="CCEEFF"/>
          </w:tcPr>
          <w:p>
            <w:pPr>
              <w:spacing w:after="0"/>
              <w:rPr>
                <w:sz w:val="15"/>
                <w:szCs w:val="15"/>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312,330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460.9</w:t>
            </w:r>
          </w:p>
        </w:tc>
        <w:tc>
          <w:tcPr>
            <w:tcW w:w="0" w:type="dxa"/>
            <w:vAlign w:val="bottom"/>
          </w:tcPr>
          <w:p>
            <w:pPr>
              <w:spacing w:after="0"/>
              <w:rPr>
                <w:sz w:val="1"/>
                <w:szCs w:val="1"/>
                <w:color w:val="auto"/>
              </w:rPr>
            </w:pPr>
          </w:p>
        </w:tc>
      </w:tr>
      <w:tr>
        <w:trPr>
          <w:trHeight w:val="167"/>
        </w:trPr>
        <w:tc>
          <w:tcPr>
            <w:tcW w:w="348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345,374</w:t>
            </w:r>
          </w:p>
        </w:tc>
        <w:tc>
          <w:tcPr>
            <w:tcW w:w="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124.26</w:t>
            </w:r>
          </w:p>
        </w:tc>
        <w:tc>
          <w:tcPr>
            <w:tcW w:w="80" w:type="dxa"/>
            <w:vAlign w:val="bottom"/>
          </w:tcPr>
          <w:p>
            <w:pPr>
              <w:spacing w:after="0"/>
              <w:rPr>
                <w:sz w:val="14"/>
                <w:szCs w:val="14"/>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312,330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ind w:left="147" w:right="20" w:hanging="147"/>
        <w:spacing w:after="0" w:line="226" w:lineRule="auto"/>
        <w:tabs>
          <w:tab w:leader="none" w:pos="133" w:val="left"/>
        </w:tabs>
        <w:numPr>
          <w:ilvl w:val="0"/>
          <w:numId w:val="1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During the three months ended December 31, 2025, we withheld 33,044 shares from employees to satisfy estimated statutory income tax obligations related to vesting of restricted stock awards. The value of the common stock withheld was based on the closing price of our common stock on the applicable vesting date.</w:t>
      </w:r>
    </w:p>
    <w:p>
      <w:pPr>
        <w:jc w:val="both"/>
        <w:ind w:left="147" w:hanging="147"/>
        <w:spacing w:after="0" w:line="265" w:lineRule="auto"/>
        <w:tabs>
          <w:tab w:leader="none" w:pos="148" w:val="left"/>
        </w:tabs>
        <w:numPr>
          <w:ilvl w:val="0"/>
          <w:numId w:val="16"/>
        </w:numPr>
        <w:rPr>
          <w:rFonts w:ascii="Times New Roman" w:cs="Times New Roman" w:eastAsia="Times New Roman" w:hAnsi="Times New Roman"/>
          <w:sz w:val="8"/>
          <w:szCs w:val="8"/>
          <w:color w:val="auto"/>
        </w:rPr>
      </w:pPr>
      <w:r>
        <w:rPr>
          <w:rFonts w:ascii="Times New Roman" w:cs="Times New Roman" w:eastAsia="Times New Roman" w:hAnsi="Times New Roman"/>
          <w:sz w:val="12"/>
          <w:szCs w:val="12"/>
          <w:color w:val="auto"/>
        </w:rPr>
        <w:t>In April 2025, we announced by press release that our Board of Directors authorized a stock repurchase program (the "Stock Repurchase Program") under which we may repurchase up to $1.0 billion in shares of our outstanding common stock through April 30, 2026. Under the Stock Repurchase Program, we may repurchase shares of our common stock in open market transactions, through privately negotiated transactions, through one or more accelerated repurchases, or otherwise, in accordance with the terms set forth in Rule 10b5-1 and Rule 10b-18 of the Exchange Act and other applicable legal requirements. The Stock Repurchase Program does not obligate us to repurchase any specific number of shares, and we may initiate, suspend, or discontinue purchases under the Stock Repurchase Program at any time. Refer to Note 8, "Equity and Temporary Equity," for additional information regarding our Stock Repurchase Program.</w:t>
      </w:r>
    </w:p>
    <w:p>
      <w:pPr>
        <w:spacing w:after="0" w:line="5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ITEM 6. [Reserved]</w:t>
      </w:r>
    </w:p>
    <w:p>
      <w:pPr>
        <w:spacing w:after="0" w:line="10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ITEM 7. MANAGEMENT'S DISCUSSION AND ANALYSIS OF FINANCIAL CONDITION AND RESULTS OF</w:t>
      </w:r>
    </w:p>
    <w:p>
      <w:pPr>
        <w:spacing w:after="0" w:line="31" w:lineRule="exact"/>
        <w:rPr>
          <w:sz w:val="20"/>
          <w:szCs w:val="20"/>
          <w:color w:val="auto"/>
        </w:rPr>
      </w:pPr>
    </w:p>
    <w:p>
      <w:pPr>
        <w:ind w:left="607"/>
        <w:spacing w:after="0"/>
        <w:rPr>
          <w:sz w:val="20"/>
          <w:szCs w:val="20"/>
          <w:color w:val="auto"/>
        </w:rPr>
      </w:pPr>
      <w:r>
        <w:rPr>
          <w:rFonts w:ascii="Times New Roman" w:cs="Times New Roman" w:eastAsia="Times New Roman" w:hAnsi="Times New Roman"/>
          <w:sz w:val="15"/>
          <w:szCs w:val="15"/>
          <w:b w:val="1"/>
          <w:bCs w:val="1"/>
          <w:color w:val="auto"/>
        </w:rPr>
        <w:t>OPERATIONS</w:t>
      </w:r>
    </w:p>
    <w:p>
      <w:pPr>
        <w:spacing w:after="0" w:line="91" w:lineRule="exact"/>
        <w:rPr>
          <w:sz w:val="20"/>
          <w:szCs w:val="20"/>
          <w:color w:val="auto"/>
        </w:rPr>
      </w:pPr>
    </w:p>
    <w:p>
      <w:pPr>
        <w:jc w:val="both"/>
        <w:ind w:left="7"/>
        <w:spacing w:after="0" w:line="276" w:lineRule="auto"/>
        <w:rPr>
          <w:sz w:val="20"/>
          <w:szCs w:val="20"/>
          <w:color w:val="auto"/>
        </w:rPr>
      </w:pPr>
      <w:r>
        <w:rPr>
          <w:rFonts w:ascii="Times New Roman" w:cs="Times New Roman" w:eastAsia="Times New Roman" w:hAnsi="Times New Roman"/>
          <w:sz w:val="15"/>
          <w:szCs w:val="15"/>
          <w:color w:val="auto"/>
        </w:rPr>
        <w:t xml:space="preserve">The following discussion and analysis of the consolidated financial condition and results of operations should be read in conjunction with the Consolidated Financial Statements and accompanying footnotes thereto included in this Annual Report on Form 10-K. In addition to the results presented in accordance with GAAP below, we have provided net operating income ("NOI") and FFO information as supplemental performance measures. Refer to </w:t>
      </w:r>
      <w:r>
        <w:rPr>
          <w:rFonts w:ascii="Times New Roman" w:cs="Times New Roman" w:eastAsia="Times New Roman" w:hAnsi="Times New Roman"/>
          <w:sz w:val="15"/>
          <w:szCs w:val="15"/>
          <w:i w:val="1"/>
          <w:iCs w:val="1"/>
          <w:color w:val="auto"/>
        </w:rPr>
        <w:t>Non-GAAP Financial Measures</w:t>
      </w:r>
      <w:r>
        <w:rPr>
          <w:rFonts w:ascii="Times New Roman" w:cs="Times New Roman" w:eastAsia="Times New Roman" w:hAnsi="Times New Roman"/>
          <w:sz w:val="15"/>
          <w:szCs w:val="15"/>
          <w:color w:val="auto"/>
        </w:rPr>
        <w:t xml:space="preserve"> in this Item 7 for additional information.</w:t>
      </w:r>
    </w:p>
    <w:p>
      <w:pPr>
        <w:spacing w:after="0" w:line="4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OVERVIEW AND OUTLOOK</w:t>
      </w:r>
    </w:p>
    <w:p>
      <w:pPr>
        <w:spacing w:after="0" w:line="109" w:lineRule="exact"/>
        <w:rPr>
          <w:sz w:val="20"/>
          <w:szCs w:val="20"/>
          <w:color w:val="auto"/>
        </w:rPr>
      </w:pPr>
    </w:p>
    <w:p>
      <w:pPr>
        <w:jc w:val="both"/>
        <w:ind w:left="7" w:right="20"/>
        <w:spacing w:after="0" w:line="295" w:lineRule="auto"/>
        <w:rPr>
          <w:sz w:val="20"/>
          <w:szCs w:val="20"/>
          <w:color w:val="auto"/>
        </w:rPr>
      </w:pPr>
      <w:r>
        <w:rPr>
          <w:rFonts w:ascii="Times New Roman" w:cs="Times New Roman" w:eastAsia="Times New Roman" w:hAnsi="Times New Roman"/>
          <w:sz w:val="15"/>
          <w:szCs w:val="15"/>
          <w:color w:val="auto"/>
        </w:rPr>
        <w:t>We are a fully integrated REIT. As of December 31, 2025, we owned and operated, directly or indirectly, or had an interest in, a portfolio of 513 developed properties located in the U.S., Canada, and the UK including 294 MH communities, 166 RV communities, and 53 UK communities.</w:t>
      </w:r>
    </w:p>
    <w:p>
      <w:pPr>
        <w:spacing w:after="0" w:line="200" w:lineRule="exact"/>
        <w:rPr>
          <w:sz w:val="20"/>
          <w:szCs w:val="20"/>
          <w:color w:val="auto"/>
        </w:rPr>
      </w:pPr>
    </w:p>
    <w:p>
      <w:pPr>
        <w:spacing w:after="0" w:line="25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121920</wp:posOffset>
            </wp:positionV>
            <wp:extent cx="7177405" cy="400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121" w:right="31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We have been in the business of operating, acquiring, developing and expanding MH and RV communities since 1975, and communities in the United Kingdom since 2022. We lease individual parcels of land, or sites, with utility access for the placement of manufactured homes and RVs to our MH, RV, and UK customers. Our MH communities are designed to offer affordable housing to individuals and families, while also providing certain amenities. In the U.S., we are also engaged in the marketing, selling and leasing of new and pre-owned homes to current and future residents in our MH communities. The rental program operations within our MH communities support and enhance our occupancy levels, property performance and cash flows. Our RV communities are designed to offer affordable vacation opportunities to individuals and families complemented by a diverse selection of high-quality amenities. In the United Kingdom, our UK communities are referred to as "holiday parks" and are located predominantly at irreplaceable seaside destinations in the south of England. We provide holiday home sales and associated site license activities to holiday homeowners in our communities.</w:t>
      </w:r>
    </w:p>
    <w:p>
      <w:pPr>
        <w:spacing w:after="0" w:line="6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In 2025, we continued our portfolio optimization and simplification strategy by completing the Safe Harbor Sale for total net cash proceeds of $5.5 billion, generating a total gain on sale of $1.5 billion. The Safe Harbor Sale accelerates our strategy of focusing on our core business and significantly enhances our leverage profile and financial flexibility. We have deployed the majority of the cash proceeds from the Safe Harbor Sale to implement a capital allocation plan that reflects a balanced, tax-efficient approach to optimize shareholder value through significantly lower leverage, greater financial flexibility to drive sustainable cash flow growth, and a thoughtful capital return strategy. Refer to Note 2, "Assets Held for Sale and Discontinued Operations," in our accompanying Consolidated Financial Statements for additional details related to the Safe Harbor Sale.</w:t>
      </w:r>
    </w:p>
    <w:p>
      <w:pPr>
        <w:spacing w:after="0" w:line="59"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5"/>
          <w:szCs w:val="15"/>
          <w:color w:val="auto"/>
        </w:rPr>
        <w:t>Pursuant to our portfolio optimization strategy, we completed targeted, growth-oriented investment and acquisition opportunities in 2025, while also continuing our targeted disposition program to divest non-strategic assets in an effort to simplify management and maintain financial flexibility. During the year ended December 31, 2025, we acquired 11 MH and three RV properties for total cash consideration of $457.0 million and repurchased the titles to all 32 UK properties that were previously controlled via ground leases for total cash consideration of $386.8 million. Also during the year, we sold four MH properties, three RV properties, and three development land parcels in the U.S. and UK for a gross sale price of $202.6 million. The property dispositions have strengthened our financial position by enabling us to reduce debt while also exiting non-core markets. We remain focused on maximizing real property income, Same Property NOI growth, and Core FFO per share growth, which we believe will enhance long-term shareholder value.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Leadership Transition</w:t>
      </w:r>
    </w:p>
    <w:p>
      <w:pPr>
        <w:spacing w:after="0" w:line="109"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5"/>
          <w:szCs w:val="15"/>
          <w:color w:val="auto"/>
        </w:rPr>
        <w:t>Charles D. Young began serving as our CEO and as a Director on October 1, 2025. Mr. Young succeeds Gary Shiffman, who retired as our CEO after a distinguished 40 years leading Sun Communities. We entered into an employment agreement with Mr. Young under which he will serve as our CEO for a five year term, which is automatically renewable thereafter for successive one-year terms unless either party timely terminates the agreement. Refer to the Form 8-K filed with the SEC on July 23, 2025 for additional details related to Mr. Young's employment agreement.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Mr. Shiffman will continue to serve as the Chairman of our Board of Directors. Refer to the Form 8-K filed with the SEC on December 16, 2025 for additional details related to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Shiffman's transition services agreement.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7" w:name="page28"/>
    <w:bookmarkEnd w:id="27"/>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EXECUTIVE SUMMARY</w:t>
      </w:r>
    </w:p>
    <w:p>
      <w:pPr>
        <w:spacing w:after="0" w:line="10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i w:val="1"/>
          <w:iCs w:val="1"/>
          <w:color w:val="auto"/>
        </w:rPr>
        <w:t>2025 General Overview</w:t>
      </w:r>
    </w:p>
    <w:p>
      <w:pPr>
        <w:spacing w:after="0" w:line="10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Key operational and financial highlights included the following:</w:t>
      </w:r>
    </w:p>
    <w:p>
      <w:pPr>
        <w:spacing w:after="0" w:line="105" w:lineRule="exact"/>
        <w:rPr>
          <w:sz w:val="20"/>
          <w:szCs w:val="20"/>
          <w:color w:val="auto"/>
        </w:rPr>
      </w:pPr>
    </w:p>
    <w:p>
      <w:pPr>
        <w:ind w:left="547" w:hanging="270"/>
        <w:spacing w:after="0"/>
        <w:tabs>
          <w:tab w:leader="none" w:pos="547"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Completed the disposition of the Safe Harbor Marinas business for an aggregate purchase price of $5.65 billion.</w:t>
      </w:r>
    </w:p>
    <w:p>
      <w:pPr>
        <w:spacing w:after="0" w:line="26" w:lineRule="exact"/>
        <w:rPr>
          <w:rFonts w:ascii="Times New Roman" w:cs="Times New Roman" w:eastAsia="Times New Roman" w:hAnsi="Times New Roman"/>
          <w:sz w:val="15"/>
          <w:szCs w:val="15"/>
          <w:color w:val="auto"/>
        </w:rPr>
      </w:pPr>
    </w:p>
    <w:p>
      <w:pPr>
        <w:ind w:left="547" w:right="20" w:hanging="270"/>
        <w:spacing w:after="0" w:line="257" w:lineRule="auto"/>
        <w:tabs>
          <w:tab w:leader="none" w:pos="543"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Acquired 11 MH and three RV properties for total cash consideration of $457.0 million, which was primarily sourced from 1031 exchange escrow accounts to minimize the tax impact from the Safe Harbor Sale.</w:t>
      </w:r>
    </w:p>
    <w:p>
      <w:pPr>
        <w:ind w:left="547" w:hanging="270"/>
        <w:spacing w:after="0"/>
        <w:tabs>
          <w:tab w:leader="none" w:pos="547"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Repurchased 4.3 million shares of our common stock at an average cost of $125.62 per share for a total of $539.1 million.</w:t>
      </w:r>
    </w:p>
    <w:p>
      <w:pPr>
        <w:spacing w:after="0" w:line="12" w:lineRule="exact"/>
        <w:rPr>
          <w:rFonts w:ascii="Times New Roman" w:cs="Times New Roman" w:eastAsia="Times New Roman" w:hAnsi="Times New Roman"/>
          <w:sz w:val="15"/>
          <w:szCs w:val="15"/>
          <w:color w:val="auto"/>
        </w:rPr>
      </w:pPr>
    </w:p>
    <w:p>
      <w:pPr>
        <w:ind w:left="547" w:hanging="270"/>
        <w:spacing w:after="0"/>
        <w:tabs>
          <w:tab w:leader="none" w:pos="547"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Completed the redemption of $956.5 million in outstanding unsecured senior notes, inclusive of prepayment costs of $56.5 million.</w:t>
      </w:r>
    </w:p>
    <w:p>
      <w:pPr>
        <w:spacing w:after="0" w:line="12" w:lineRule="exact"/>
        <w:rPr>
          <w:rFonts w:ascii="Times New Roman" w:cs="Times New Roman" w:eastAsia="Times New Roman" w:hAnsi="Times New Roman"/>
          <w:sz w:val="15"/>
          <w:szCs w:val="15"/>
          <w:color w:val="auto"/>
        </w:rPr>
      </w:pPr>
    </w:p>
    <w:p>
      <w:pPr>
        <w:ind w:left="547" w:hanging="270"/>
        <w:spacing w:after="0"/>
        <w:tabs>
          <w:tab w:leader="none" w:pos="547"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Completed the repayment of $1.6 billion under our senior credit facility and $737.7 million of secured mortgage debt, inclusive of prepayments costs of $45.9 million.</w:t>
      </w:r>
    </w:p>
    <w:p>
      <w:pPr>
        <w:spacing w:after="0" w:line="12" w:lineRule="exact"/>
        <w:rPr>
          <w:rFonts w:ascii="Times New Roman" w:cs="Times New Roman" w:eastAsia="Times New Roman" w:hAnsi="Times New Roman"/>
          <w:sz w:val="15"/>
          <w:szCs w:val="15"/>
          <w:color w:val="auto"/>
        </w:rPr>
      </w:pPr>
    </w:p>
    <w:p>
      <w:pPr>
        <w:ind w:left="547" w:hanging="270"/>
        <w:spacing w:after="0"/>
        <w:tabs>
          <w:tab w:leader="none" w:pos="547"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Entered into a new $2.0 billion multi-currency revolving credit facility that matures on January 31, 2030.</w:t>
      </w:r>
    </w:p>
    <w:p>
      <w:pPr>
        <w:spacing w:after="0" w:line="12" w:lineRule="exact"/>
        <w:rPr>
          <w:rFonts w:ascii="Times New Roman" w:cs="Times New Roman" w:eastAsia="Times New Roman" w:hAnsi="Times New Roman"/>
          <w:sz w:val="15"/>
          <w:szCs w:val="15"/>
          <w:color w:val="auto"/>
        </w:rPr>
      </w:pPr>
    </w:p>
    <w:p>
      <w:pPr>
        <w:ind w:left="547" w:hanging="270"/>
        <w:spacing w:after="0"/>
        <w:tabs>
          <w:tab w:leader="none" w:pos="547"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Completed the repurchase of titles to 32 UK properties that were previously controlled via ground leases, reducing our financial liability by $355.9 million.</w:t>
      </w:r>
    </w:p>
    <w:p>
      <w:pPr>
        <w:spacing w:after="0" w:line="12" w:lineRule="exact"/>
        <w:rPr>
          <w:rFonts w:ascii="Times New Roman" w:cs="Times New Roman" w:eastAsia="Times New Roman" w:hAnsi="Times New Roman"/>
          <w:sz w:val="15"/>
          <w:szCs w:val="15"/>
          <w:color w:val="auto"/>
        </w:rPr>
      </w:pPr>
    </w:p>
    <w:p>
      <w:pPr>
        <w:ind w:left="547" w:hanging="270"/>
        <w:spacing w:after="0"/>
        <w:tabs>
          <w:tab w:leader="none" w:pos="547"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Total revenues from continuing operations for 2025 were $2.3 billion, consistent with 2024 total revenues.</w:t>
      </w:r>
    </w:p>
    <w:p>
      <w:pPr>
        <w:spacing w:after="0" w:line="12" w:lineRule="exact"/>
        <w:rPr>
          <w:rFonts w:ascii="Times New Roman" w:cs="Times New Roman" w:eastAsia="Times New Roman" w:hAnsi="Times New Roman"/>
          <w:sz w:val="15"/>
          <w:szCs w:val="15"/>
          <w:color w:val="auto"/>
        </w:rPr>
      </w:pPr>
    </w:p>
    <w:p>
      <w:pPr>
        <w:ind w:left="547" w:hanging="270"/>
        <w:spacing w:after="0"/>
        <w:tabs>
          <w:tab w:leader="none" w:pos="547"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Net income from continuing operations was $0.6 million in 2025, as compared to $32.9 million in 2024.</w:t>
      </w:r>
    </w:p>
    <w:p>
      <w:pPr>
        <w:spacing w:after="0" w:line="12" w:lineRule="exact"/>
        <w:rPr>
          <w:rFonts w:ascii="Times New Roman" w:cs="Times New Roman" w:eastAsia="Times New Roman" w:hAnsi="Times New Roman"/>
          <w:sz w:val="15"/>
          <w:szCs w:val="15"/>
          <w:color w:val="auto"/>
        </w:rPr>
      </w:pPr>
    </w:p>
    <w:p>
      <w:pPr>
        <w:ind w:left="547" w:hanging="270"/>
        <w:spacing w:after="0" w:line="257" w:lineRule="auto"/>
        <w:tabs>
          <w:tab w:leader="none" w:pos="543"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Net income attributable to SUI common shareholders was $1.4 billion, as compared to a net income attributable to SUI common shareholders of $89.0 million in the prior year, driven primarily by a total gain of $1.5 billion from the Safe Harbor Sale in 2025.</w:t>
      </w:r>
    </w:p>
    <w:p>
      <w:pPr>
        <w:ind w:left="547" w:hanging="270"/>
        <w:spacing w:after="0"/>
        <w:tabs>
          <w:tab w:leader="none" w:pos="547"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Achieved annual Core FFO of $6.68 per diluted share and OP unit.</w:t>
      </w:r>
    </w:p>
    <w:p>
      <w:pPr>
        <w:spacing w:after="0" w:line="12" w:lineRule="exact"/>
        <w:rPr>
          <w:rFonts w:ascii="Times New Roman" w:cs="Times New Roman" w:eastAsia="Times New Roman" w:hAnsi="Times New Roman"/>
          <w:sz w:val="15"/>
          <w:szCs w:val="15"/>
          <w:color w:val="auto"/>
        </w:rPr>
      </w:pPr>
    </w:p>
    <w:p>
      <w:pPr>
        <w:ind w:left="547" w:hanging="270"/>
        <w:spacing w:after="0" w:line="257" w:lineRule="auto"/>
        <w:tabs>
          <w:tab w:leader="none" w:pos="543"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Achieved real property Same Property NOI growth of 8.9% for MH and 3.5% for the UK over 2024. For the RV segment, we experienced a decline in Same Property NOI growth of 1.4%, driven by lower than anticipated real property - transient revenues.</w:t>
      </w:r>
    </w:p>
    <w:p>
      <w:pPr>
        <w:ind w:left="547" w:hanging="270"/>
        <w:spacing w:after="0"/>
        <w:tabs>
          <w:tab w:leader="none" w:pos="547"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Increased Same Property adjusted blended occupancy for MH and RV by 40 basis points to 99.1% as compared to 98.7% in 2024.</w:t>
      </w:r>
    </w:p>
    <w:p>
      <w:pPr>
        <w:spacing w:after="0" w:line="8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i w:val="1"/>
          <w:iCs w:val="1"/>
          <w:color w:val="auto"/>
        </w:rPr>
        <w:t>Property Operations</w:t>
      </w:r>
    </w:p>
    <w:p>
      <w:pPr>
        <w:spacing w:after="0" w:line="109" w:lineRule="exact"/>
        <w:rPr>
          <w:sz w:val="20"/>
          <w:szCs w:val="20"/>
          <w:color w:val="auto"/>
        </w:rPr>
      </w:pPr>
    </w:p>
    <w:p>
      <w:pPr>
        <w:ind w:left="7"/>
        <w:spacing w:after="0" w:line="295" w:lineRule="auto"/>
        <w:rPr>
          <w:sz w:val="20"/>
          <w:szCs w:val="20"/>
          <w:color w:val="auto"/>
        </w:rPr>
      </w:pPr>
      <w:r>
        <w:rPr>
          <w:rFonts w:ascii="Times New Roman" w:cs="Times New Roman" w:eastAsia="Times New Roman" w:hAnsi="Times New Roman"/>
          <w:sz w:val="15"/>
          <w:szCs w:val="15"/>
          <w:color w:val="auto"/>
        </w:rPr>
        <w:t>Occupancy in our MH and annual RV properties, as well as our ability to increase rental rates, directly affect revenues. Our revenue streams are predominantly derived from customers renting our sites on a long-term basis. Our Same Property communities continue to achieve revenue and occupancy increases which drive continued NOI growth.</w:t>
      </w:r>
    </w:p>
    <w:p>
      <w:pPr>
        <w:spacing w:after="0" w:line="71" w:lineRule="exact"/>
        <w:rPr>
          <w:sz w:val="20"/>
          <w:szCs w:val="20"/>
          <w:color w:val="auto"/>
        </w:rPr>
      </w:pPr>
    </w:p>
    <w:tbl>
      <w:tblPr>
        <w:tblLayout w:type="fixed"/>
        <w:tblInd w:w="7"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71"/>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Portfolio Information:</w:t>
            </w:r>
          </w:p>
        </w:tc>
        <w:tc>
          <w:tcPr>
            <w:tcW w:w="340" w:type="dxa"/>
            <w:vAlign w:val="bottom"/>
          </w:tcPr>
          <w:p>
            <w:pPr>
              <w:spacing w:after="0"/>
              <w:rPr>
                <w:sz w:val="14"/>
                <w:szCs w:val="14"/>
                <w:color w:val="auto"/>
              </w:rPr>
            </w:pPr>
          </w:p>
        </w:tc>
        <w:tc>
          <w:tcPr>
            <w:tcW w:w="1160" w:type="dxa"/>
            <w:vAlign w:val="bottom"/>
          </w:tcPr>
          <w:p>
            <w:pPr>
              <w:jc w:val="right"/>
              <w:ind w:right="55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5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554"/>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6"/>
        </w:trPr>
        <w:tc>
          <w:tcPr>
            <w:tcW w:w="6480" w:type="dxa"/>
            <w:vAlign w:val="bottom"/>
            <w:tcBorders>
              <w:top w:val="single" w:sz="8" w:color="auto"/>
            </w:tcBorders>
            <w:shd w:val="clear" w:color="auto" w:fill="CCEEFF"/>
          </w:tcPr>
          <w:p>
            <w:pPr>
              <w:ind w:left="20"/>
              <w:spacing w:after="0" w:line="166" w:lineRule="exact"/>
              <w:rPr>
                <w:sz w:val="20"/>
                <w:szCs w:val="20"/>
                <w:color w:val="auto"/>
              </w:rPr>
            </w:pPr>
            <w:r>
              <w:rPr>
                <w:rFonts w:ascii="Times New Roman" w:cs="Times New Roman" w:eastAsia="Times New Roman" w:hAnsi="Times New Roman"/>
                <w:sz w:val="13"/>
                <w:szCs w:val="13"/>
                <w:color w:val="auto"/>
              </w:rPr>
              <w:t>Occupancy % - Total Portfolio - MH and Annual RV Occupancy</w:t>
            </w:r>
            <w:r>
              <w:rPr>
                <w:rFonts w:ascii="Times New Roman" w:cs="Times New Roman" w:eastAsia="Times New Roman" w:hAnsi="Times New Roman"/>
                <w:sz w:val="17"/>
                <w:szCs w:val="17"/>
                <w:color w:val="auto"/>
                <w:vertAlign w:val="superscript"/>
              </w:rPr>
              <w:t>(1)</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96.9 %</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97.0 %</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96.4 %</w:t>
            </w:r>
          </w:p>
        </w:tc>
      </w:tr>
      <w:tr>
        <w:trPr>
          <w:trHeight w:val="174"/>
        </w:trPr>
        <w:tc>
          <w:tcPr>
            <w:tcW w:w="656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3"/>
                <w:szCs w:val="13"/>
                <w:color w:val="auto"/>
              </w:rPr>
              <w:t>Occupancy % - Same Property - Adjusted MH and Annual RV Occupancy</w:t>
            </w:r>
            <w:r>
              <w:rPr>
                <w:rFonts w:ascii="Times New Roman" w:cs="Times New Roman" w:eastAsia="Times New Roman" w:hAnsi="Times New Roman"/>
                <w:sz w:val="17"/>
                <w:szCs w:val="17"/>
                <w:color w:val="auto"/>
                <w:vertAlign w:val="superscript"/>
              </w:rPr>
              <w:t>(1)(2)</w:t>
            </w: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99.1 %</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98.7 %</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97.4 %</w:t>
            </w:r>
          </w:p>
        </w:tc>
      </w:tr>
      <w:tr>
        <w:trPr>
          <w:trHeight w:val="174"/>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Core FFO per share</w:t>
            </w:r>
          </w:p>
        </w:tc>
        <w:tc>
          <w:tcPr>
            <w:tcW w:w="34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6.68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6.81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7.10</w:t>
            </w:r>
          </w:p>
        </w:tc>
      </w:tr>
      <w:tr>
        <w:trPr>
          <w:trHeight w:val="173"/>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 xml:space="preserve">Real property NOI - Total Portfolio </w:t>
            </w:r>
            <w:r>
              <w:rPr>
                <w:rFonts w:ascii="Times New Roman" w:cs="Times New Roman" w:eastAsia="Times New Roman" w:hAnsi="Times New Roman"/>
                <w:sz w:val="13"/>
                <w:szCs w:val="13"/>
                <w:i w:val="1"/>
                <w:iCs w:val="1"/>
                <w:color w:val="auto"/>
              </w:rPr>
              <w:t>(in millions)</w:t>
            </w:r>
          </w:p>
        </w:tc>
        <w:tc>
          <w:tcPr>
            <w:tcW w:w="34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1,058.8</w:t>
            </w:r>
          </w:p>
        </w:tc>
        <w:tc>
          <w:tcPr>
            <w:tcW w:w="100" w:type="dxa"/>
            <w:vAlign w:val="bottom"/>
          </w:tcPr>
          <w:p>
            <w:pPr>
              <w:spacing w:after="0"/>
              <w:rPr>
                <w:sz w:val="15"/>
                <w:szCs w:val="15"/>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1,015.3</w:t>
            </w:r>
          </w:p>
        </w:tc>
        <w:tc>
          <w:tcPr>
            <w:tcW w:w="80" w:type="dxa"/>
            <w:vAlign w:val="bottom"/>
          </w:tcPr>
          <w:p>
            <w:pPr>
              <w:spacing w:after="0"/>
              <w:rPr>
                <w:sz w:val="15"/>
                <w:szCs w:val="15"/>
                <w:color w:val="auto"/>
              </w:rPr>
            </w:pPr>
          </w:p>
        </w:tc>
        <w:tc>
          <w:tcPr>
            <w:tcW w:w="36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976.6</w:t>
            </w:r>
          </w:p>
        </w:tc>
      </w:tr>
      <w:tr>
        <w:trPr>
          <w:trHeight w:val="174"/>
        </w:trPr>
        <w:tc>
          <w:tcPr>
            <w:tcW w:w="656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3"/>
                <w:szCs w:val="13"/>
                <w:color w:val="auto"/>
              </w:rPr>
              <w:t xml:space="preserve">Real property NOI - Same Property </w:t>
            </w:r>
            <w:r>
              <w:rPr>
                <w:rFonts w:ascii="Times New Roman" w:cs="Times New Roman" w:eastAsia="Times New Roman" w:hAnsi="Times New Roman"/>
                <w:sz w:val="13"/>
                <w:szCs w:val="13"/>
                <w:i w:val="1"/>
                <w:iCs w:val="1"/>
                <w:color w:val="auto"/>
              </w:rPr>
              <w:t>(in millions) -</w:t>
            </w:r>
            <w:r>
              <w:rPr>
                <w:rFonts w:ascii="Times New Roman" w:cs="Times New Roman" w:eastAsia="Times New Roman" w:hAnsi="Times New Roman"/>
                <w:sz w:val="13"/>
                <w:szCs w:val="13"/>
                <w:color w:val="auto"/>
              </w:rPr>
              <w:t xml:space="preserve"> MH and RV</w:t>
            </w:r>
            <w:r>
              <w:rPr>
                <w:rFonts w:ascii="Times New Roman" w:cs="Times New Roman" w:eastAsia="Times New Roman" w:hAnsi="Times New Roman"/>
                <w:sz w:val="17"/>
                <w:szCs w:val="17"/>
                <w:color w:val="auto"/>
                <w:vertAlign w:val="superscript"/>
              </w:rPr>
              <w:t>(3)</w:t>
            </w:r>
          </w:p>
        </w:tc>
        <w:tc>
          <w:tcPr>
            <w:tcW w:w="34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963.7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911.8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872.1</w:t>
            </w:r>
          </w:p>
        </w:tc>
      </w:tr>
      <w:tr>
        <w:trPr>
          <w:trHeight w:val="173"/>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 xml:space="preserve">Real property NOI - Same Property </w:t>
            </w:r>
            <w:r>
              <w:rPr>
                <w:rFonts w:ascii="Times New Roman" w:cs="Times New Roman" w:eastAsia="Times New Roman" w:hAnsi="Times New Roman"/>
                <w:sz w:val="13"/>
                <w:szCs w:val="13"/>
                <w:i w:val="1"/>
                <w:iCs w:val="1"/>
                <w:color w:val="auto"/>
              </w:rPr>
              <w:t>(in millions) -</w:t>
            </w:r>
            <w:r>
              <w:rPr>
                <w:rFonts w:ascii="Times New Roman" w:cs="Times New Roman" w:eastAsia="Times New Roman" w:hAnsi="Times New Roman"/>
                <w:sz w:val="13"/>
                <w:szCs w:val="13"/>
                <w:color w:val="auto"/>
              </w:rPr>
              <w:t xml:space="preserve"> UK</w:t>
            </w:r>
          </w:p>
        </w:tc>
        <w:tc>
          <w:tcPr>
            <w:tcW w:w="34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81.6</w:t>
            </w:r>
          </w:p>
        </w:tc>
        <w:tc>
          <w:tcPr>
            <w:tcW w:w="100" w:type="dxa"/>
            <w:vAlign w:val="bottom"/>
          </w:tcPr>
          <w:p>
            <w:pPr>
              <w:spacing w:after="0"/>
              <w:rPr>
                <w:sz w:val="15"/>
                <w:szCs w:val="15"/>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78.9</w:t>
            </w:r>
          </w:p>
        </w:tc>
        <w:tc>
          <w:tcPr>
            <w:tcW w:w="80" w:type="dxa"/>
            <w:vAlign w:val="bottom"/>
          </w:tcPr>
          <w:p>
            <w:pPr>
              <w:spacing w:after="0"/>
              <w:rPr>
                <w:sz w:val="15"/>
                <w:szCs w:val="15"/>
                <w:color w:val="auto"/>
              </w:rPr>
            </w:pPr>
          </w:p>
        </w:tc>
        <w:tc>
          <w:tcPr>
            <w:tcW w:w="36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69.8</w:t>
            </w:r>
          </w:p>
        </w:tc>
      </w:tr>
    </w:tbl>
    <w:p>
      <w:pPr>
        <w:spacing w:after="0" w:line="74" w:lineRule="exact"/>
        <w:rPr>
          <w:sz w:val="20"/>
          <w:szCs w:val="20"/>
          <w:color w:val="auto"/>
        </w:rPr>
      </w:pPr>
    </w:p>
    <w:p>
      <w:pPr>
        <w:ind w:left="107" w:hanging="107"/>
        <w:spacing w:after="0"/>
        <w:tabs>
          <w:tab w:leader="none" w:pos="107" w:val="left"/>
        </w:tabs>
        <w:numPr>
          <w:ilvl w:val="0"/>
          <w:numId w:val="18"/>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Occupancy percentage includes annual RV sites and excludes transient RV sites.</w:t>
      </w:r>
    </w:p>
    <w:p>
      <w:pPr>
        <w:spacing w:after="0" w:line="14" w:lineRule="exact"/>
        <w:rPr>
          <w:rFonts w:ascii="Times New Roman" w:cs="Times New Roman" w:eastAsia="Times New Roman" w:hAnsi="Times New Roman"/>
          <w:sz w:val="13"/>
          <w:szCs w:val="13"/>
          <w:color w:val="auto"/>
          <w:vertAlign w:val="superscript"/>
        </w:rPr>
      </w:pPr>
    </w:p>
    <w:p>
      <w:pPr>
        <w:ind w:left="107" w:hanging="107"/>
        <w:spacing w:after="0" w:line="234" w:lineRule="auto"/>
        <w:tabs>
          <w:tab w:leader="none" w:pos="107" w:val="left"/>
        </w:tabs>
        <w:numPr>
          <w:ilvl w:val="0"/>
          <w:numId w:val="18"/>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Occupancy percentage excludes recently completed but vacant expansion sites.</w:t>
      </w:r>
    </w:p>
    <w:p>
      <w:pPr>
        <w:spacing w:after="0" w:line="200" w:lineRule="exact"/>
        <w:rPr>
          <w:sz w:val="20"/>
          <w:szCs w:val="20"/>
          <w:color w:val="auto"/>
        </w:rPr>
      </w:pPr>
    </w:p>
    <w:p>
      <w:pPr>
        <w:spacing w:after="0" w:line="30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121920</wp:posOffset>
            </wp:positionV>
            <wp:extent cx="7177405" cy="400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121" w:right="31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Markets</w:t>
      </w:r>
    </w:p>
    <w:p>
      <w:pPr>
        <w:spacing w:after="0" w:line="10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Our MH and RV properties are largely concentrated in the U.S. in Florida, Michigan, Texas, and California, which collectively contain 64.7% of our total MH and RV sites. We have expanded our market share in multiple states through acquisitions and increased our property holdings in high-growth areas of the U.S. including retirement and vacation destinations. The age demographic of RV communities is attractive, as the population of retirement age adults in the U.S. is growing.</w:t>
      </w:r>
    </w:p>
    <w:p>
      <w:pPr>
        <w:spacing w:after="0" w:line="5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5"/>
          <w:szCs w:val="15"/>
          <w:color w:val="auto"/>
        </w:rPr>
        <w:t>Our UK properties are located in irreplaceable coastal destination locations that are a short drive from London and other urban locations. Our UK properties are largely concentrated in England, which contain 93.2% of our total holiday parks.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identifies our largest MH and RV markets by total sites: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3"/>
          </w:tcPr>
          <w:p>
            <w:pPr>
              <w:jc w:val="right"/>
              <w:ind w:right="574"/>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r>
      <w:tr>
        <w:trPr>
          <w:trHeight w:val="172"/>
        </w:trPr>
        <w:tc>
          <w:tcPr>
            <w:tcW w:w="1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Major Market</w:t>
            </w: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Segment</w:t>
            </w:r>
          </w:p>
        </w:tc>
        <w:tc>
          <w:tcPr>
            <w:tcW w:w="178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Number of Properties</w:t>
            </w: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Total Sites</w:t>
            </w:r>
          </w:p>
        </w:tc>
        <w:tc>
          <w:tcPr>
            <w:tcW w:w="140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 of Total Sites</w:t>
            </w:r>
          </w:p>
        </w:tc>
        <w:tc>
          <w:tcPr>
            <w:tcW w:w="80" w:type="dxa"/>
            <w:vAlign w:val="bottom"/>
          </w:tcPr>
          <w:p>
            <w:pPr>
              <w:spacing w:after="0"/>
              <w:rPr>
                <w:sz w:val="14"/>
                <w:szCs w:val="14"/>
                <w:color w:val="auto"/>
              </w:rPr>
            </w:pPr>
          </w:p>
        </w:tc>
        <w:tc>
          <w:tcPr>
            <w:tcW w:w="1500" w:type="dxa"/>
            <w:vAlign w:val="bottom"/>
            <w:gridSpan w:val="2"/>
          </w:tcPr>
          <w:p>
            <w:pPr>
              <w:ind w:left="260"/>
              <w:spacing w:after="0" w:line="172" w:lineRule="exact"/>
              <w:rPr>
                <w:sz w:val="20"/>
                <w:szCs w:val="20"/>
                <w:color w:val="auto"/>
              </w:rPr>
            </w:pPr>
            <w:r>
              <w:rPr>
                <w:rFonts w:ascii="Times New Roman" w:cs="Times New Roman" w:eastAsia="Times New Roman" w:hAnsi="Times New Roman"/>
                <w:sz w:val="13"/>
                <w:szCs w:val="13"/>
                <w:b w:val="1"/>
                <w:bCs w:val="1"/>
                <w:color w:val="auto"/>
              </w:rPr>
              <w:t>Occupancy %</w:t>
            </w:r>
            <w:r>
              <w:rPr>
                <w:rFonts w:ascii="Times New Roman" w:cs="Times New Roman" w:eastAsia="Times New Roman" w:hAnsi="Times New Roman"/>
                <w:sz w:val="17"/>
                <w:szCs w:val="17"/>
                <w:b w:val="1"/>
                <w:bCs w:val="1"/>
                <w:color w:val="auto"/>
                <w:vertAlign w:val="superscript"/>
              </w:rPr>
              <w:t>(1)</w:t>
            </w:r>
          </w:p>
        </w:tc>
        <w:tc>
          <w:tcPr>
            <w:tcW w:w="106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Revenue %</w:t>
            </w:r>
          </w:p>
        </w:tc>
      </w:tr>
      <w:tr>
        <w:trPr>
          <w:trHeight w:val="165"/>
        </w:trPr>
        <w:tc>
          <w:tcPr>
            <w:tcW w:w="1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Florida</w:t>
            </w:r>
          </w:p>
        </w:tc>
        <w:tc>
          <w:tcPr>
            <w:tcW w:w="18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MH</w:t>
            </w:r>
          </w:p>
        </w:tc>
        <w:tc>
          <w:tcPr>
            <w:tcW w:w="80" w:type="dxa"/>
            <w:vAlign w:val="bottom"/>
            <w:tcBorders>
              <w:top w:val="single" w:sz="8" w:color="CCEEFF"/>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8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26,600</w:t>
            </w:r>
          </w:p>
        </w:tc>
        <w:tc>
          <w:tcPr>
            <w:tcW w:w="8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16.9 %</w:t>
            </w:r>
          </w:p>
        </w:tc>
        <w:tc>
          <w:tcPr>
            <w:tcW w:w="8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95.4 %</w:t>
            </w:r>
          </w:p>
        </w:tc>
        <w:tc>
          <w:tcPr>
            <w:tcW w:w="10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15.6 %</w:t>
            </w:r>
          </w:p>
        </w:tc>
      </w:tr>
      <w:tr>
        <w:trPr>
          <w:trHeight w:val="172"/>
        </w:trPr>
        <w:tc>
          <w:tcPr>
            <w:tcW w:w="170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8"/>
              </w:rPr>
              <w:t>RV</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20,590</w:t>
            </w:r>
          </w:p>
        </w:tc>
        <w:tc>
          <w:tcPr>
            <w:tcW w:w="8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13.2 %</w:t>
            </w:r>
          </w:p>
        </w:tc>
        <w:tc>
          <w:tcPr>
            <w:tcW w:w="14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11.4 %</w:t>
            </w:r>
          </w:p>
        </w:tc>
      </w:tr>
      <w:tr>
        <w:trPr>
          <w:trHeight w:val="167"/>
        </w:trPr>
        <w:tc>
          <w:tcPr>
            <w:tcW w:w="1700" w:type="dxa"/>
            <w:vAlign w:val="bottom"/>
            <w:shd w:val="clear" w:color="auto" w:fill="CCEEFF"/>
          </w:tcPr>
          <w:p>
            <w:pPr>
              <w:spacing w:after="0"/>
              <w:rPr>
                <w:sz w:val="14"/>
                <w:szCs w:val="14"/>
                <w:color w:val="auto"/>
              </w:rPr>
            </w:pPr>
          </w:p>
        </w:tc>
        <w:tc>
          <w:tcPr>
            <w:tcW w:w="2760" w:type="dxa"/>
            <w:vAlign w:val="bottom"/>
            <w:gridSpan w:val="4"/>
            <w:shd w:val="clear" w:color="auto" w:fill="CCEEFF"/>
          </w:tcPr>
          <w:p>
            <w:pPr>
              <w:jc w:val="right"/>
              <w:ind w:right="920"/>
              <w:spacing w:after="0"/>
              <w:rPr>
                <w:sz w:val="20"/>
                <w:szCs w:val="20"/>
                <w:color w:val="auto"/>
              </w:rPr>
            </w:pPr>
            <w:r>
              <w:rPr>
                <w:rFonts w:ascii="Times New Roman" w:cs="Times New Roman" w:eastAsia="Times New Roman" w:hAnsi="Times New Roman"/>
                <w:sz w:val="13"/>
                <w:szCs w:val="13"/>
                <w:b w:val="1"/>
                <w:bCs w:val="1"/>
                <w:i w:val="1"/>
                <w:iCs w:val="1"/>
                <w:color w:val="auto"/>
              </w:rPr>
              <w:t>Florida Total</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8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47,190</w:t>
            </w:r>
          </w:p>
        </w:tc>
        <w:tc>
          <w:tcPr>
            <w:tcW w:w="80" w:type="dxa"/>
            <w:vAlign w:val="bottom"/>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30.1 %</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97.1 %</w:t>
            </w:r>
          </w:p>
        </w:tc>
        <w:tc>
          <w:tcPr>
            <w:tcW w:w="10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27.0 %</w:t>
            </w:r>
          </w:p>
        </w:tc>
      </w:tr>
      <w:tr>
        <w:trPr>
          <w:trHeight w:val="164"/>
        </w:trPr>
        <w:tc>
          <w:tcPr>
            <w:tcW w:w="1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Michigan</w:t>
            </w: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5"/>
              </w:rPr>
              <w:t>MH</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33,020</w:t>
            </w:r>
          </w:p>
        </w:tc>
        <w:tc>
          <w:tcPr>
            <w:tcW w:w="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97.8 %</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21.6 %</w:t>
            </w:r>
          </w:p>
        </w:tc>
      </w:tr>
      <w:tr>
        <w:trPr>
          <w:trHeight w:val="175"/>
        </w:trPr>
        <w:tc>
          <w:tcPr>
            <w:tcW w:w="17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88"/>
              </w:rPr>
              <w:t>RV</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1,640</w:t>
            </w:r>
          </w:p>
        </w:tc>
        <w:tc>
          <w:tcPr>
            <w:tcW w:w="80" w:type="dxa"/>
            <w:vAlign w:val="bottom"/>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0.7 %</w:t>
            </w:r>
          </w:p>
        </w:tc>
      </w:tr>
      <w:tr>
        <w:trPr>
          <w:trHeight w:val="164"/>
        </w:trPr>
        <w:tc>
          <w:tcPr>
            <w:tcW w:w="1700" w:type="dxa"/>
            <w:vAlign w:val="bottom"/>
            <w:tcBorders>
              <w:bottom w:val="single" w:sz="8" w:color="CCEEFF"/>
            </w:tcBorders>
          </w:tcPr>
          <w:p>
            <w:pPr>
              <w:spacing w:after="0"/>
              <w:rPr>
                <w:sz w:val="14"/>
                <w:szCs w:val="14"/>
                <w:color w:val="auto"/>
              </w:rPr>
            </w:pPr>
          </w:p>
        </w:tc>
        <w:tc>
          <w:tcPr>
            <w:tcW w:w="2760" w:type="dxa"/>
            <w:vAlign w:val="bottom"/>
            <w:tcBorders>
              <w:bottom w:val="single" w:sz="8" w:color="CCEEFF"/>
            </w:tcBorders>
            <w:gridSpan w:val="4"/>
          </w:tcPr>
          <w:p>
            <w:pPr>
              <w:jc w:val="right"/>
              <w:ind w:right="920"/>
              <w:spacing w:after="0"/>
              <w:rPr>
                <w:sz w:val="20"/>
                <w:szCs w:val="20"/>
                <w:color w:val="auto"/>
              </w:rPr>
            </w:pPr>
            <w:r>
              <w:rPr>
                <w:rFonts w:ascii="Times New Roman" w:cs="Times New Roman" w:eastAsia="Times New Roman" w:hAnsi="Times New Roman"/>
                <w:sz w:val="13"/>
                <w:szCs w:val="13"/>
                <w:b w:val="1"/>
                <w:bCs w:val="1"/>
                <w:i w:val="1"/>
                <w:iCs w:val="1"/>
                <w:color w:val="auto"/>
              </w:rPr>
              <w:t>Michigan Total</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34,660</w:t>
            </w:r>
          </w:p>
        </w:tc>
        <w:tc>
          <w:tcPr>
            <w:tcW w:w="8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22.1 %</w:t>
            </w:r>
          </w:p>
        </w:tc>
        <w:tc>
          <w:tcPr>
            <w:tcW w:w="14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97.9 %</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22.3 %</w:t>
            </w:r>
          </w:p>
        </w:tc>
      </w:tr>
      <w:tr>
        <w:trPr>
          <w:trHeight w:val="167"/>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California</w:t>
            </w:r>
          </w:p>
        </w:tc>
        <w:tc>
          <w:tcPr>
            <w:tcW w:w="1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5"/>
              </w:rPr>
              <w:t>MH</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6,210</w:t>
            </w: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3.9 %</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99.5 %</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5.7 %</w:t>
            </w:r>
          </w:p>
        </w:tc>
      </w:tr>
      <w:tr>
        <w:trPr>
          <w:trHeight w:val="172"/>
        </w:trPr>
        <w:tc>
          <w:tcPr>
            <w:tcW w:w="170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8"/>
              </w:rPr>
              <w:t>RV</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2,610</w:t>
            </w:r>
          </w:p>
        </w:tc>
        <w:tc>
          <w:tcPr>
            <w:tcW w:w="8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1.7 %</w:t>
            </w:r>
          </w:p>
        </w:tc>
        <w:tc>
          <w:tcPr>
            <w:tcW w:w="14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3.2 %</w:t>
            </w:r>
          </w:p>
        </w:tc>
      </w:tr>
      <w:tr>
        <w:trPr>
          <w:trHeight w:val="167"/>
        </w:trPr>
        <w:tc>
          <w:tcPr>
            <w:tcW w:w="1700" w:type="dxa"/>
            <w:vAlign w:val="bottom"/>
            <w:shd w:val="clear" w:color="auto" w:fill="CCEEFF"/>
          </w:tcPr>
          <w:p>
            <w:pPr>
              <w:spacing w:after="0"/>
              <w:rPr>
                <w:sz w:val="14"/>
                <w:szCs w:val="14"/>
                <w:color w:val="auto"/>
              </w:rPr>
            </w:pPr>
          </w:p>
        </w:tc>
        <w:tc>
          <w:tcPr>
            <w:tcW w:w="2760" w:type="dxa"/>
            <w:vAlign w:val="bottom"/>
            <w:gridSpan w:val="4"/>
            <w:shd w:val="clear" w:color="auto" w:fill="CCEEFF"/>
          </w:tcPr>
          <w:p>
            <w:pPr>
              <w:jc w:val="right"/>
              <w:ind w:right="920"/>
              <w:spacing w:after="0"/>
              <w:rPr>
                <w:sz w:val="20"/>
                <w:szCs w:val="20"/>
                <w:color w:val="auto"/>
              </w:rPr>
            </w:pPr>
            <w:r>
              <w:rPr>
                <w:rFonts w:ascii="Times New Roman" w:cs="Times New Roman" w:eastAsia="Times New Roman" w:hAnsi="Times New Roman"/>
                <w:sz w:val="13"/>
                <w:szCs w:val="13"/>
                <w:b w:val="1"/>
                <w:bCs w:val="1"/>
                <w:i w:val="1"/>
                <w:iCs w:val="1"/>
                <w:color w:val="auto"/>
              </w:rPr>
              <w:t>California Total</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8,820</w:t>
            </w:r>
          </w:p>
        </w:tc>
        <w:tc>
          <w:tcPr>
            <w:tcW w:w="80" w:type="dxa"/>
            <w:vAlign w:val="bottom"/>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5.6 %</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99.5 %</w:t>
            </w:r>
          </w:p>
        </w:tc>
        <w:tc>
          <w:tcPr>
            <w:tcW w:w="10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8.9 %</w:t>
            </w:r>
          </w:p>
        </w:tc>
      </w:tr>
      <w:tr>
        <w:trPr>
          <w:trHeight w:val="164"/>
        </w:trPr>
        <w:tc>
          <w:tcPr>
            <w:tcW w:w="1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Texas</w:t>
            </w: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5"/>
              </w:rPr>
              <w:t>MH</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8,030</w:t>
            </w:r>
          </w:p>
        </w:tc>
        <w:tc>
          <w:tcPr>
            <w:tcW w:w="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98.4 %</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5.8 %</w:t>
            </w:r>
          </w:p>
        </w:tc>
      </w:tr>
      <w:tr>
        <w:trPr>
          <w:trHeight w:val="175"/>
        </w:trPr>
        <w:tc>
          <w:tcPr>
            <w:tcW w:w="17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88"/>
              </w:rPr>
              <w:t>RV</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2,870</w:t>
            </w:r>
          </w:p>
        </w:tc>
        <w:tc>
          <w:tcPr>
            <w:tcW w:w="80" w:type="dxa"/>
            <w:vAlign w:val="bottom"/>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1.8 %</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1.8 %</w:t>
            </w:r>
          </w:p>
        </w:tc>
      </w:tr>
      <w:tr>
        <w:trPr>
          <w:trHeight w:val="164"/>
        </w:trPr>
        <w:tc>
          <w:tcPr>
            <w:tcW w:w="1700" w:type="dxa"/>
            <w:vAlign w:val="bottom"/>
            <w:tcBorders>
              <w:bottom w:val="single" w:sz="8" w:color="CCEEFF"/>
            </w:tcBorders>
          </w:tcPr>
          <w:p>
            <w:pPr>
              <w:spacing w:after="0"/>
              <w:rPr>
                <w:sz w:val="14"/>
                <w:szCs w:val="14"/>
                <w:color w:val="auto"/>
              </w:rPr>
            </w:pPr>
          </w:p>
        </w:tc>
        <w:tc>
          <w:tcPr>
            <w:tcW w:w="2760" w:type="dxa"/>
            <w:vAlign w:val="bottom"/>
            <w:tcBorders>
              <w:bottom w:val="single" w:sz="8" w:color="CCEEFF"/>
            </w:tcBorders>
            <w:gridSpan w:val="4"/>
          </w:tcPr>
          <w:p>
            <w:pPr>
              <w:jc w:val="right"/>
              <w:ind w:right="920"/>
              <w:spacing w:after="0"/>
              <w:rPr>
                <w:sz w:val="20"/>
                <w:szCs w:val="20"/>
                <w:color w:val="auto"/>
              </w:rPr>
            </w:pPr>
            <w:r>
              <w:rPr>
                <w:rFonts w:ascii="Times New Roman" w:cs="Times New Roman" w:eastAsia="Times New Roman" w:hAnsi="Times New Roman"/>
                <w:sz w:val="13"/>
                <w:szCs w:val="13"/>
                <w:b w:val="1"/>
                <w:bCs w:val="1"/>
                <w:i w:val="1"/>
                <w:iCs w:val="1"/>
                <w:color w:val="auto"/>
              </w:rPr>
              <w:t>Texas Total</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10,900</w:t>
            </w:r>
          </w:p>
        </w:tc>
        <w:tc>
          <w:tcPr>
            <w:tcW w:w="8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6.9 %</w:t>
            </w:r>
          </w:p>
        </w:tc>
        <w:tc>
          <w:tcPr>
            <w:tcW w:w="14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98.6 %</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7.6 %</w:t>
            </w:r>
          </w:p>
        </w:tc>
      </w:tr>
      <w:tr>
        <w:trPr>
          <w:trHeight w:val="167"/>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Connecticut</w:t>
            </w:r>
          </w:p>
        </w:tc>
        <w:tc>
          <w:tcPr>
            <w:tcW w:w="1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5"/>
              </w:rPr>
              <w:t>MH</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1,850</w:t>
            </w: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1.2 %</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96.7 %</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0.8 %</w:t>
            </w:r>
          </w:p>
        </w:tc>
      </w:tr>
      <w:tr>
        <w:trPr>
          <w:trHeight w:val="172"/>
        </w:trPr>
        <w:tc>
          <w:tcPr>
            <w:tcW w:w="170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8"/>
              </w:rPr>
              <w:t>RV</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8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14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0.1 %</w:t>
            </w:r>
          </w:p>
        </w:tc>
      </w:tr>
      <w:tr>
        <w:trPr>
          <w:trHeight w:val="167"/>
        </w:trPr>
        <w:tc>
          <w:tcPr>
            <w:tcW w:w="1700" w:type="dxa"/>
            <w:vAlign w:val="bottom"/>
            <w:shd w:val="clear" w:color="auto" w:fill="CCEEFF"/>
          </w:tcPr>
          <w:p>
            <w:pPr>
              <w:spacing w:after="0"/>
              <w:rPr>
                <w:sz w:val="14"/>
                <w:szCs w:val="14"/>
                <w:color w:val="auto"/>
              </w:rPr>
            </w:pPr>
          </w:p>
        </w:tc>
        <w:tc>
          <w:tcPr>
            <w:tcW w:w="2760" w:type="dxa"/>
            <w:vAlign w:val="bottom"/>
            <w:gridSpan w:val="4"/>
            <w:shd w:val="clear" w:color="auto" w:fill="CCEEFF"/>
          </w:tcPr>
          <w:p>
            <w:pPr>
              <w:jc w:val="right"/>
              <w:ind w:right="920"/>
              <w:spacing w:after="0"/>
              <w:rPr>
                <w:sz w:val="20"/>
                <w:szCs w:val="20"/>
                <w:color w:val="auto"/>
              </w:rPr>
            </w:pPr>
            <w:r>
              <w:rPr>
                <w:rFonts w:ascii="Times New Roman" w:cs="Times New Roman" w:eastAsia="Times New Roman" w:hAnsi="Times New Roman"/>
                <w:sz w:val="13"/>
                <w:szCs w:val="13"/>
                <w:b w:val="1"/>
                <w:bCs w:val="1"/>
                <w:i w:val="1"/>
                <w:iCs w:val="1"/>
                <w:color w:val="auto"/>
              </w:rPr>
              <w:t>Connecticut Total</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80" w:type="dxa"/>
            <w:vAlign w:val="bottom"/>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1.3 %</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96.8 %</w:t>
            </w:r>
          </w:p>
        </w:tc>
        <w:tc>
          <w:tcPr>
            <w:tcW w:w="10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0.9 %</w:t>
            </w:r>
          </w:p>
        </w:tc>
      </w:tr>
      <w:tr>
        <w:trPr>
          <w:trHeight w:val="164"/>
        </w:trPr>
        <w:tc>
          <w:tcPr>
            <w:tcW w:w="1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Maine</w:t>
            </w: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5"/>
              </w:rPr>
              <w:t>MH</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1,670</w:t>
            </w:r>
          </w:p>
        </w:tc>
        <w:tc>
          <w:tcPr>
            <w:tcW w:w="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95.9 %</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0.7 %</w:t>
            </w:r>
          </w:p>
        </w:tc>
      </w:tr>
      <w:tr>
        <w:trPr>
          <w:trHeight w:val="175"/>
        </w:trPr>
        <w:tc>
          <w:tcPr>
            <w:tcW w:w="17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88"/>
              </w:rPr>
              <w:t>RV</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1,860</w:t>
            </w:r>
          </w:p>
        </w:tc>
        <w:tc>
          <w:tcPr>
            <w:tcW w:w="80" w:type="dxa"/>
            <w:vAlign w:val="bottom"/>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1.2 %</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0.9 %</w:t>
            </w:r>
          </w:p>
        </w:tc>
      </w:tr>
      <w:tr>
        <w:trPr>
          <w:trHeight w:val="164"/>
        </w:trPr>
        <w:tc>
          <w:tcPr>
            <w:tcW w:w="1700" w:type="dxa"/>
            <w:vAlign w:val="bottom"/>
            <w:tcBorders>
              <w:bottom w:val="single" w:sz="8" w:color="CCEEFF"/>
            </w:tcBorders>
          </w:tcPr>
          <w:p>
            <w:pPr>
              <w:spacing w:after="0"/>
              <w:rPr>
                <w:sz w:val="14"/>
                <w:szCs w:val="14"/>
                <w:color w:val="auto"/>
              </w:rPr>
            </w:pPr>
          </w:p>
        </w:tc>
        <w:tc>
          <w:tcPr>
            <w:tcW w:w="2760" w:type="dxa"/>
            <w:vAlign w:val="bottom"/>
            <w:tcBorders>
              <w:bottom w:val="single" w:sz="8" w:color="CCEEFF"/>
            </w:tcBorders>
            <w:gridSpan w:val="4"/>
          </w:tcPr>
          <w:p>
            <w:pPr>
              <w:jc w:val="right"/>
              <w:ind w:right="920"/>
              <w:spacing w:after="0"/>
              <w:rPr>
                <w:sz w:val="20"/>
                <w:szCs w:val="20"/>
                <w:color w:val="auto"/>
              </w:rPr>
            </w:pPr>
            <w:r>
              <w:rPr>
                <w:rFonts w:ascii="Times New Roman" w:cs="Times New Roman" w:eastAsia="Times New Roman" w:hAnsi="Times New Roman"/>
                <w:sz w:val="13"/>
                <w:szCs w:val="13"/>
                <w:b w:val="1"/>
                <w:bCs w:val="1"/>
                <w:i w:val="1"/>
                <w:iCs w:val="1"/>
                <w:color w:val="auto"/>
              </w:rPr>
              <w:t>Maine Total</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3,530</w:t>
            </w:r>
          </w:p>
        </w:tc>
        <w:tc>
          <w:tcPr>
            <w:tcW w:w="8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2.2 %</w:t>
            </w:r>
          </w:p>
        </w:tc>
        <w:tc>
          <w:tcPr>
            <w:tcW w:w="14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97.4 %</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1.6 %</w:t>
            </w:r>
          </w:p>
        </w:tc>
      </w:tr>
      <w:tr>
        <w:trPr>
          <w:trHeight w:val="167"/>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New Jersey</w:t>
            </w:r>
          </w:p>
        </w:tc>
        <w:tc>
          <w:tcPr>
            <w:tcW w:w="1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5"/>
              </w:rPr>
              <w:t>MH</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w:t>
            </w: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0.2 %</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0.1 %</w:t>
            </w:r>
          </w:p>
        </w:tc>
      </w:tr>
      <w:tr>
        <w:trPr>
          <w:trHeight w:val="172"/>
        </w:trPr>
        <w:tc>
          <w:tcPr>
            <w:tcW w:w="170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8"/>
              </w:rPr>
              <w:t>RV</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4,190</w:t>
            </w:r>
          </w:p>
        </w:tc>
        <w:tc>
          <w:tcPr>
            <w:tcW w:w="8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2.7 %</w:t>
            </w:r>
          </w:p>
        </w:tc>
        <w:tc>
          <w:tcPr>
            <w:tcW w:w="14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2.1 %</w:t>
            </w:r>
          </w:p>
        </w:tc>
      </w:tr>
      <w:tr>
        <w:trPr>
          <w:trHeight w:val="167"/>
        </w:trPr>
        <w:tc>
          <w:tcPr>
            <w:tcW w:w="1700" w:type="dxa"/>
            <w:vAlign w:val="bottom"/>
            <w:shd w:val="clear" w:color="auto" w:fill="CCEEFF"/>
          </w:tcPr>
          <w:p>
            <w:pPr>
              <w:spacing w:after="0"/>
              <w:rPr>
                <w:sz w:val="14"/>
                <w:szCs w:val="14"/>
                <w:color w:val="auto"/>
              </w:rPr>
            </w:pPr>
          </w:p>
        </w:tc>
        <w:tc>
          <w:tcPr>
            <w:tcW w:w="2760" w:type="dxa"/>
            <w:vAlign w:val="bottom"/>
            <w:gridSpan w:val="4"/>
            <w:shd w:val="clear" w:color="auto" w:fill="CCEEFF"/>
          </w:tcPr>
          <w:p>
            <w:pPr>
              <w:jc w:val="right"/>
              <w:ind w:right="920"/>
              <w:spacing w:after="0"/>
              <w:rPr>
                <w:sz w:val="20"/>
                <w:szCs w:val="20"/>
                <w:color w:val="auto"/>
              </w:rPr>
            </w:pPr>
            <w:r>
              <w:rPr>
                <w:rFonts w:ascii="Times New Roman" w:cs="Times New Roman" w:eastAsia="Times New Roman" w:hAnsi="Times New Roman"/>
                <w:sz w:val="13"/>
                <w:szCs w:val="13"/>
                <w:b w:val="1"/>
                <w:bCs w:val="1"/>
                <w:i w:val="1"/>
                <w:iCs w:val="1"/>
                <w:color w:val="auto"/>
              </w:rPr>
              <w:t>New Jersey Total</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4,500</w:t>
            </w:r>
          </w:p>
        </w:tc>
        <w:tc>
          <w:tcPr>
            <w:tcW w:w="80" w:type="dxa"/>
            <w:vAlign w:val="bottom"/>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2.9 %</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2.2 %</w:t>
            </w:r>
          </w:p>
        </w:tc>
      </w:tr>
      <w:tr>
        <w:trPr>
          <w:trHeight w:val="164"/>
        </w:trPr>
        <w:tc>
          <w:tcPr>
            <w:tcW w:w="1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Arizona</w:t>
            </w: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5"/>
              </w:rPr>
              <w:t>MH</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2,650</w:t>
            </w:r>
          </w:p>
        </w:tc>
        <w:tc>
          <w:tcPr>
            <w:tcW w:w="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96.8 %</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1.4 %</w:t>
            </w:r>
          </w:p>
        </w:tc>
      </w:tr>
      <w:tr>
        <w:trPr>
          <w:trHeight w:val="175"/>
        </w:trPr>
        <w:tc>
          <w:tcPr>
            <w:tcW w:w="17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88"/>
              </w:rPr>
              <w:t>RV</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2,350</w:t>
            </w:r>
          </w:p>
        </w:tc>
        <w:tc>
          <w:tcPr>
            <w:tcW w:w="80" w:type="dxa"/>
            <w:vAlign w:val="bottom"/>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1.5 %</w:t>
            </w:r>
          </w:p>
        </w:tc>
      </w:tr>
      <w:tr>
        <w:trPr>
          <w:trHeight w:val="164"/>
        </w:trPr>
        <w:tc>
          <w:tcPr>
            <w:tcW w:w="1700" w:type="dxa"/>
            <w:vAlign w:val="bottom"/>
            <w:tcBorders>
              <w:bottom w:val="single" w:sz="8" w:color="CCEEFF"/>
            </w:tcBorders>
          </w:tcPr>
          <w:p>
            <w:pPr>
              <w:spacing w:after="0"/>
              <w:rPr>
                <w:sz w:val="14"/>
                <w:szCs w:val="14"/>
                <w:color w:val="auto"/>
              </w:rPr>
            </w:pPr>
          </w:p>
        </w:tc>
        <w:tc>
          <w:tcPr>
            <w:tcW w:w="2760" w:type="dxa"/>
            <w:vAlign w:val="bottom"/>
            <w:tcBorders>
              <w:bottom w:val="single" w:sz="8" w:color="CCEEFF"/>
            </w:tcBorders>
            <w:gridSpan w:val="4"/>
          </w:tcPr>
          <w:p>
            <w:pPr>
              <w:jc w:val="right"/>
              <w:ind w:right="920"/>
              <w:spacing w:after="0"/>
              <w:rPr>
                <w:sz w:val="20"/>
                <w:szCs w:val="20"/>
                <w:color w:val="auto"/>
              </w:rPr>
            </w:pPr>
            <w:r>
              <w:rPr>
                <w:rFonts w:ascii="Times New Roman" w:cs="Times New Roman" w:eastAsia="Times New Roman" w:hAnsi="Times New Roman"/>
                <w:sz w:val="13"/>
                <w:szCs w:val="13"/>
                <w:b w:val="1"/>
                <w:bCs w:val="1"/>
                <w:i w:val="1"/>
                <w:iCs w:val="1"/>
                <w:color w:val="auto"/>
              </w:rPr>
              <w:t>Arizona Total</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8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3.2 %</w:t>
            </w:r>
          </w:p>
        </w:tc>
        <w:tc>
          <w:tcPr>
            <w:tcW w:w="14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98.0 %</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2.9 %</w:t>
            </w:r>
          </w:p>
        </w:tc>
      </w:tr>
      <w:tr>
        <w:trPr>
          <w:trHeight w:val="167"/>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Colorado</w:t>
            </w:r>
          </w:p>
        </w:tc>
        <w:tc>
          <w:tcPr>
            <w:tcW w:w="1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5"/>
              </w:rPr>
              <w:t>MH</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2,900</w:t>
            </w: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1.9 %</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92.4 %</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2.1 %</w:t>
            </w:r>
          </w:p>
        </w:tc>
      </w:tr>
      <w:tr>
        <w:trPr>
          <w:trHeight w:val="172"/>
        </w:trPr>
        <w:tc>
          <w:tcPr>
            <w:tcW w:w="170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8"/>
              </w:rPr>
              <w:t>RV</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970</w:t>
            </w:r>
          </w:p>
        </w:tc>
        <w:tc>
          <w:tcPr>
            <w:tcW w:w="8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0.6 %</w:t>
            </w:r>
          </w:p>
        </w:tc>
        <w:tc>
          <w:tcPr>
            <w:tcW w:w="14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0.8 %</w:t>
            </w:r>
          </w:p>
        </w:tc>
      </w:tr>
      <w:tr>
        <w:trPr>
          <w:trHeight w:val="167"/>
        </w:trPr>
        <w:tc>
          <w:tcPr>
            <w:tcW w:w="1700" w:type="dxa"/>
            <w:vAlign w:val="bottom"/>
            <w:shd w:val="clear" w:color="auto" w:fill="CCEEFF"/>
          </w:tcPr>
          <w:p>
            <w:pPr>
              <w:spacing w:after="0"/>
              <w:rPr>
                <w:sz w:val="14"/>
                <w:szCs w:val="14"/>
                <w:color w:val="auto"/>
              </w:rPr>
            </w:pPr>
          </w:p>
        </w:tc>
        <w:tc>
          <w:tcPr>
            <w:tcW w:w="2760" w:type="dxa"/>
            <w:vAlign w:val="bottom"/>
            <w:gridSpan w:val="4"/>
            <w:shd w:val="clear" w:color="auto" w:fill="CCEEFF"/>
          </w:tcPr>
          <w:p>
            <w:pPr>
              <w:jc w:val="right"/>
              <w:ind w:right="920"/>
              <w:spacing w:after="0"/>
              <w:rPr>
                <w:sz w:val="20"/>
                <w:szCs w:val="20"/>
                <w:color w:val="auto"/>
              </w:rPr>
            </w:pPr>
            <w:r>
              <w:rPr>
                <w:rFonts w:ascii="Times New Roman" w:cs="Times New Roman" w:eastAsia="Times New Roman" w:hAnsi="Times New Roman"/>
                <w:sz w:val="13"/>
                <w:szCs w:val="13"/>
                <w:b w:val="1"/>
                <w:bCs w:val="1"/>
                <w:i w:val="1"/>
                <w:iCs w:val="1"/>
                <w:color w:val="auto"/>
              </w:rPr>
              <w:t>Colorado Total</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3,870</w:t>
            </w:r>
          </w:p>
        </w:tc>
        <w:tc>
          <w:tcPr>
            <w:tcW w:w="80" w:type="dxa"/>
            <w:vAlign w:val="bottom"/>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2.5 %</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92.4 %</w:t>
            </w:r>
          </w:p>
        </w:tc>
        <w:tc>
          <w:tcPr>
            <w:tcW w:w="10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2.9 %</w:t>
            </w:r>
          </w:p>
        </w:tc>
      </w:tr>
      <w:tr>
        <w:trPr>
          <w:trHeight w:val="164"/>
        </w:trPr>
        <w:tc>
          <w:tcPr>
            <w:tcW w:w="1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Indiana</w:t>
            </w: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5"/>
              </w:rPr>
              <w:t>MH</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2,740</w:t>
            </w:r>
          </w:p>
        </w:tc>
        <w:tc>
          <w:tcPr>
            <w:tcW w:w="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98.8 %</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1.9 %</w:t>
            </w:r>
          </w:p>
        </w:tc>
      </w:tr>
      <w:tr>
        <w:trPr>
          <w:trHeight w:val="175"/>
        </w:trPr>
        <w:tc>
          <w:tcPr>
            <w:tcW w:w="17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88"/>
              </w:rPr>
              <w:t>RV</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1,080</w:t>
            </w:r>
          </w:p>
        </w:tc>
        <w:tc>
          <w:tcPr>
            <w:tcW w:w="80" w:type="dxa"/>
            <w:vAlign w:val="bottom"/>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0.7 %</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0.8 %</w:t>
            </w:r>
          </w:p>
        </w:tc>
      </w:tr>
      <w:tr>
        <w:trPr>
          <w:trHeight w:val="164"/>
        </w:trPr>
        <w:tc>
          <w:tcPr>
            <w:tcW w:w="1700" w:type="dxa"/>
            <w:vAlign w:val="bottom"/>
            <w:tcBorders>
              <w:bottom w:val="single" w:sz="8" w:color="CCEEFF"/>
            </w:tcBorders>
          </w:tcPr>
          <w:p>
            <w:pPr>
              <w:spacing w:after="0"/>
              <w:rPr>
                <w:sz w:val="14"/>
                <w:szCs w:val="14"/>
                <w:color w:val="auto"/>
              </w:rPr>
            </w:pPr>
          </w:p>
        </w:tc>
        <w:tc>
          <w:tcPr>
            <w:tcW w:w="2760" w:type="dxa"/>
            <w:vAlign w:val="bottom"/>
            <w:tcBorders>
              <w:bottom w:val="single" w:sz="8" w:color="CCEEFF"/>
            </w:tcBorders>
            <w:gridSpan w:val="4"/>
          </w:tcPr>
          <w:p>
            <w:pPr>
              <w:jc w:val="right"/>
              <w:ind w:right="920"/>
              <w:spacing w:after="0"/>
              <w:rPr>
                <w:sz w:val="20"/>
                <w:szCs w:val="20"/>
                <w:color w:val="auto"/>
              </w:rPr>
            </w:pPr>
            <w:r>
              <w:rPr>
                <w:rFonts w:ascii="Times New Roman" w:cs="Times New Roman" w:eastAsia="Times New Roman" w:hAnsi="Times New Roman"/>
                <w:sz w:val="13"/>
                <w:szCs w:val="13"/>
                <w:b w:val="1"/>
                <w:bCs w:val="1"/>
                <w:i w:val="1"/>
                <w:iCs w:val="1"/>
                <w:color w:val="auto"/>
              </w:rPr>
              <w:t>Indiana Total</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3,820</w:t>
            </w:r>
          </w:p>
        </w:tc>
        <w:tc>
          <w:tcPr>
            <w:tcW w:w="8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2.4 %</w:t>
            </w:r>
          </w:p>
        </w:tc>
        <w:tc>
          <w:tcPr>
            <w:tcW w:w="14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98.8 %</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2.7 %</w:t>
            </w:r>
          </w:p>
        </w:tc>
      </w:tr>
      <w:tr>
        <w:trPr>
          <w:trHeight w:val="167"/>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New York</w:t>
            </w:r>
          </w:p>
        </w:tc>
        <w:tc>
          <w:tcPr>
            <w:tcW w:w="1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5"/>
              </w:rPr>
              <w:t>MH</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970</w:t>
            </w: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0.6 %</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98.7 %</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0.5 %</w:t>
            </w:r>
          </w:p>
        </w:tc>
      </w:tr>
      <w:tr>
        <w:trPr>
          <w:trHeight w:val="172"/>
        </w:trPr>
        <w:tc>
          <w:tcPr>
            <w:tcW w:w="170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8"/>
              </w:rPr>
              <w:t>RV</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1,980</w:t>
            </w:r>
          </w:p>
        </w:tc>
        <w:tc>
          <w:tcPr>
            <w:tcW w:w="8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1.3 %</w:t>
            </w:r>
          </w:p>
        </w:tc>
        <w:tc>
          <w:tcPr>
            <w:tcW w:w="14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1.1 %</w:t>
            </w:r>
          </w:p>
        </w:tc>
      </w:tr>
      <w:tr>
        <w:trPr>
          <w:trHeight w:val="167"/>
        </w:trPr>
        <w:tc>
          <w:tcPr>
            <w:tcW w:w="1700" w:type="dxa"/>
            <w:vAlign w:val="bottom"/>
            <w:shd w:val="clear" w:color="auto" w:fill="CCEEFF"/>
          </w:tcPr>
          <w:p>
            <w:pPr>
              <w:spacing w:after="0"/>
              <w:rPr>
                <w:sz w:val="14"/>
                <w:szCs w:val="14"/>
                <w:color w:val="auto"/>
              </w:rPr>
            </w:pPr>
          </w:p>
        </w:tc>
        <w:tc>
          <w:tcPr>
            <w:tcW w:w="2760" w:type="dxa"/>
            <w:vAlign w:val="bottom"/>
            <w:gridSpan w:val="4"/>
            <w:shd w:val="clear" w:color="auto" w:fill="CCEEFF"/>
          </w:tcPr>
          <w:p>
            <w:pPr>
              <w:jc w:val="right"/>
              <w:ind w:right="920"/>
              <w:spacing w:after="0"/>
              <w:rPr>
                <w:sz w:val="20"/>
                <w:szCs w:val="20"/>
                <w:color w:val="auto"/>
              </w:rPr>
            </w:pPr>
            <w:r>
              <w:rPr>
                <w:rFonts w:ascii="Times New Roman" w:cs="Times New Roman" w:eastAsia="Times New Roman" w:hAnsi="Times New Roman"/>
                <w:sz w:val="13"/>
                <w:szCs w:val="13"/>
                <w:b w:val="1"/>
                <w:bCs w:val="1"/>
                <w:i w:val="1"/>
                <w:iCs w:val="1"/>
                <w:color w:val="auto"/>
              </w:rPr>
              <w:t>New York Total</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2,950</w:t>
            </w:r>
          </w:p>
        </w:tc>
        <w:tc>
          <w:tcPr>
            <w:tcW w:w="80" w:type="dxa"/>
            <w:vAlign w:val="bottom"/>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1.9 %</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99.2 %</w:t>
            </w:r>
          </w:p>
        </w:tc>
        <w:tc>
          <w:tcPr>
            <w:tcW w:w="10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1.6 %</w:t>
            </w:r>
          </w:p>
        </w:tc>
      </w:tr>
      <w:tr>
        <w:trPr>
          <w:trHeight w:val="164"/>
        </w:trPr>
        <w:tc>
          <w:tcPr>
            <w:tcW w:w="1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Maryland</w:t>
            </w: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5"/>
              </w:rPr>
              <w:t>MH</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770</w:t>
            </w:r>
          </w:p>
        </w:tc>
        <w:tc>
          <w:tcPr>
            <w:tcW w:w="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99.1 %</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0.2 %</w:t>
            </w:r>
          </w:p>
        </w:tc>
      </w:tr>
      <w:tr>
        <w:trPr>
          <w:trHeight w:val="175"/>
        </w:trPr>
        <w:tc>
          <w:tcPr>
            <w:tcW w:w="17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88"/>
              </w:rPr>
              <w:t>RV</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1,520</w:t>
            </w:r>
          </w:p>
        </w:tc>
        <w:tc>
          <w:tcPr>
            <w:tcW w:w="80" w:type="dxa"/>
            <w:vAlign w:val="bottom"/>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1.7 %</w:t>
            </w:r>
          </w:p>
        </w:tc>
      </w:tr>
      <w:tr>
        <w:trPr>
          <w:trHeight w:val="164"/>
        </w:trPr>
        <w:tc>
          <w:tcPr>
            <w:tcW w:w="1700" w:type="dxa"/>
            <w:vAlign w:val="bottom"/>
            <w:tcBorders>
              <w:bottom w:val="single" w:sz="8" w:color="CCEEFF"/>
            </w:tcBorders>
          </w:tcPr>
          <w:p>
            <w:pPr>
              <w:spacing w:after="0"/>
              <w:rPr>
                <w:sz w:val="14"/>
                <w:szCs w:val="14"/>
                <w:color w:val="auto"/>
              </w:rPr>
            </w:pPr>
          </w:p>
        </w:tc>
        <w:tc>
          <w:tcPr>
            <w:tcW w:w="2760" w:type="dxa"/>
            <w:vAlign w:val="bottom"/>
            <w:tcBorders>
              <w:bottom w:val="single" w:sz="8" w:color="CCEEFF"/>
            </w:tcBorders>
            <w:gridSpan w:val="4"/>
          </w:tcPr>
          <w:p>
            <w:pPr>
              <w:jc w:val="right"/>
              <w:ind w:right="920"/>
              <w:spacing w:after="0"/>
              <w:rPr>
                <w:sz w:val="20"/>
                <w:szCs w:val="20"/>
                <w:color w:val="auto"/>
              </w:rPr>
            </w:pPr>
            <w:r>
              <w:rPr>
                <w:rFonts w:ascii="Times New Roman" w:cs="Times New Roman" w:eastAsia="Times New Roman" w:hAnsi="Times New Roman"/>
                <w:sz w:val="13"/>
                <w:szCs w:val="13"/>
                <w:b w:val="1"/>
                <w:bCs w:val="1"/>
                <w:i w:val="1"/>
                <w:iCs w:val="1"/>
                <w:color w:val="auto"/>
              </w:rPr>
              <w:t>Maryland Total</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2,290</w:t>
            </w:r>
          </w:p>
        </w:tc>
        <w:tc>
          <w:tcPr>
            <w:tcW w:w="8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14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99.1 %</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1.9 %</w:t>
            </w:r>
          </w:p>
        </w:tc>
      </w:tr>
      <w:tr>
        <w:trPr>
          <w:trHeight w:val="167"/>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5"/>
              </w:rPr>
              <w:t>MH</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12,430</w:t>
            </w: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7.9 %</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98.8 %</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7.5 %</w:t>
            </w:r>
          </w:p>
        </w:tc>
      </w:tr>
      <w:tr>
        <w:trPr>
          <w:trHeight w:val="172"/>
        </w:trPr>
        <w:tc>
          <w:tcPr>
            <w:tcW w:w="170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8"/>
              </w:rPr>
              <w:t>RV</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15,070</w:t>
            </w:r>
          </w:p>
        </w:tc>
        <w:tc>
          <w:tcPr>
            <w:tcW w:w="8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9.5 %</w:t>
            </w:r>
          </w:p>
        </w:tc>
        <w:tc>
          <w:tcPr>
            <w:tcW w:w="14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10.0 %</w:t>
            </w:r>
          </w:p>
        </w:tc>
      </w:tr>
      <w:tr>
        <w:trPr>
          <w:trHeight w:val="167"/>
        </w:trPr>
        <w:tc>
          <w:tcPr>
            <w:tcW w:w="1700" w:type="dxa"/>
            <w:vAlign w:val="bottom"/>
            <w:shd w:val="clear" w:color="auto" w:fill="CCEEFF"/>
          </w:tcPr>
          <w:p>
            <w:pPr>
              <w:spacing w:after="0"/>
              <w:rPr>
                <w:sz w:val="14"/>
                <w:szCs w:val="14"/>
                <w:color w:val="auto"/>
              </w:rPr>
            </w:pPr>
          </w:p>
        </w:tc>
        <w:tc>
          <w:tcPr>
            <w:tcW w:w="2760" w:type="dxa"/>
            <w:vAlign w:val="bottom"/>
            <w:gridSpan w:val="4"/>
            <w:shd w:val="clear" w:color="auto" w:fill="CCEEFF"/>
          </w:tcPr>
          <w:p>
            <w:pPr>
              <w:jc w:val="right"/>
              <w:ind w:right="920"/>
              <w:spacing w:after="0"/>
              <w:rPr>
                <w:sz w:val="20"/>
                <w:szCs w:val="20"/>
                <w:color w:val="auto"/>
              </w:rPr>
            </w:pPr>
            <w:r>
              <w:rPr>
                <w:rFonts w:ascii="Times New Roman" w:cs="Times New Roman" w:eastAsia="Times New Roman" w:hAnsi="Times New Roman"/>
                <w:sz w:val="13"/>
                <w:szCs w:val="13"/>
                <w:b w:val="1"/>
                <w:bCs w:val="1"/>
                <w:i w:val="1"/>
                <w:iCs w:val="1"/>
                <w:color w:val="auto"/>
              </w:rPr>
              <w:t>Other Total</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8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27,500</w:t>
            </w:r>
          </w:p>
        </w:tc>
        <w:tc>
          <w:tcPr>
            <w:tcW w:w="80" w:type="dxa"/>
            <w:vAlign w:val="bottom"/>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17.4 %</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99.2 %</w:t>
            </w:r>
          </w:p>
        </w:tc>
        <w:tc>
          <w:tcPr>
            <w:tcW w:w="10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17.5 %</w:t>
            </w:r>
          </w:p>
        </w:tc>
      </w:tr>
      <w:tr>
        <w:trPr>
          <w:trHeight w:val="164"/>
        </w:trPr>
        <w:tc>
          <w:tcPr>
            <w:tcW w:w="1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5"/>
              </w:rPr>
              <w:t>MH</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100,150</w:t>
            </w:r>
          </w:p>
        </w:tc>
        <w:tc>
          <w:tcPr>
            <w:tcW w:w="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63.7 %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97.2 %</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63.9 %</w:t>
            </w:r>
          </w:p>
        </w:tc>
      </w:tr>
      <w:tr>
        <w:trPr>
          <w:trHeight w:val="174"/>
        </w:trPr>
        <w:tc>
          <w:tcPr>
            <w:tcW w:w="17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88"/>
              </w:rPr>
              <w:t>RV</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8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56,880</w:t>
            </w:r>
          </w:p>
        </w:tc>
        <w:tc>
          <w:tcPr>
            <w:tcW w:w="80" w:type="dxa"/>
            <w:vAlign w:val="bottom"/>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w:t>
            </w:r>
          </w:p>
        </w:tc>
      </w:tr>
      <w:tr>
        <w:trPr>
          <w:trHeight w:val="167"/>
        </w:trPr>
        <w:tc>
          <w:tcPr>
            <w:tcW w:w="1700" w:type="dxa"/>
            <w:vAlign w:val="bottom"/>
          </w:tcPr>
          <w:p>
            <w:pPr>
              <w:spacing w:after="0"/>
              <w:rPr>
                <w:sz w:val="14"/>
                <w:szCs w:val="14"/>
                <w:color w:val="auto"/>
              </w:rPr>
            </w:pPr>
          </w:p>
        </w:tc>
        <w:tc>
          <w:tcPr>
            <w:tcW w:w="2760" w:type="dxa"/>
            <w:vAlign w:val="bottom"/>
            <w:gridSpan w:val="4"/>
          </w:tcPr>
          <w:p>
            <w:pPr>
              <w:jc w:val="right"/>
              <w:ind w:right="920"/>
              <w:spacing w:after="0"/>
              <w:rPr>
                <w:sz w:val="20"/>
                <w:szCs w:val="20"/>
                <w:color w:val="auto"/>
              </w:rPr>
            </w:pPr>
            <w:r>
              <w:rPr>
                <w:rFonts w:ascii="Times New Roman" w:cs="Times New Roman" w:eastAsia="Times New Roman" w:hAnsi="Times New Roman"/>
                <w:sz w:val="13"/>
                <w:szCs w:val="13"/>
                <w:b w:val="1"/>
                <w:bCs w:val="1"/>
                <w:i w:val="1"/>
                <w:iCs w:val="1"/>
                <w:color w:val="auto"/>
              </w:rPr>
              <w:t>MH / RV Total</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460</w:t>
            </w:r>
          </w:p>
        </w:tc>
        <w:tc>
          <w:tcPr>
            <w:tcW w:w="8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157,030</w:t>
            </w:r>
          </w:p>
        </w:tc>
        <w:tc>
          <w:tcPr>
            <w:tcW w:w="80" w:type="dxa"/>
            <w:vAlign w:val="bottom"/>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97.9 %</w:t>
            </w:r>
          </w:p>
        </w:tc>
        <w:tc>
          <w:tcPr>
            <w:tcW w:w="100" w:type="dxa"/>
            <w:vAlign w:val="bottom"/>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100.0 %</w:t>
            </w:r>
          </w:p>
        </w:tc>
      </w:tr>
      <w:tr>
        <w:trPr>
          <w:trHeight w:val="20"/>
        </w:trPr>
        <w:tc>
          <w:tcPr>
            <w:tcW w:w="17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9" w:name="page30"/>
    <w:bookmarkEnd w:id="29"/>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7"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3"/>
          </w:tcPr>
          <w:p>
            <w:pPr>
              <w:jc w:val="right"/>
              <w:ind w:right="574"/>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r>
      <w:tr>
        <w:trPr>
          <w:trHeight w:val="172"/>
        </w:trPr>
        <w:tc>
          <w:tcPr>
            <w:tcW w:w="1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Major Market</w:t>
            </w: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Segment</w:t>
            </w:r>
          </w:p>
        </w:tc>
        <w:tc>
          <w:tcPr>
            <w:tcW w:w="178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Number of Properties</w:t>
            </w: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Total Sites</w:t>
            </w:r>
          </w:p>
        </w:tc>
        <w:tc>
          <w:tcPr>
            <w:tcW w:w="140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 of Total Sites</w:t>
            </w:r>
          </w:p>
        </w:tc>
        <w:tc>
          <w:tcPr>
            <w:tcW w:w="80" w:type="dxa"/>
            <w:vAlign w:val="bottom"/>
          </w:tcPr>
          <w:p>
            <w:pPr>
              <w:spacing w:after="0"/>
              <w:rPr>
                <w:sz w:val="14"/>
                <w:szCs w:val="14"/>
                <w:color w:val="auto"/>
              </w:rPr>
            </w:pPr>
          </w:p>
        </w:tc>
        <w:tc>
          <w:tcPr>
            <w:tcW w:w="1500" w:type="dxa"/>
            <w:vAlign w:val="bottom"/>
            <w:gridSpan w:val="2"/>
          </w:tcPr>
          <w:p>
            <w:pPr>
              <w:ind w:left="260"/>
              <w:spacing w:after="0" w:line="172" w:lineRule="exact"/>
              <w:rPr>
                <w:sz w:val="20"/>
                <w:szCs w:val="20"/>
                <w:color w:val="auto"/>
              </w:rPr>
            </w:pPr>
            <w:r>
              <w:rPr>
                <w:rFonts w:ascii="Times New Roman" w:cs="Times New Roman" w:eastAsia="Times New Roman" w:hAnsi="Times New Roman"/>
                <w:sz w:val="13"/>
                <w:szCs w:val="13"/>
                <w:b w:val="1"/>
                <w:bCs w:val="1"/>
                <w:color w:val="auto"/>
              </w:rPr>
              <w:t>Occupancy %</w:t>
            </w:r>
            <w:r>
              <w:rPr>
                <w:rFonts w:ascii="Times New Roman" w:cs="Times New Roman" w:eastAsia="Times New Roman" w:hAnsi="Times New Roman"/>
                <w:sz w:val="17"/>
                <w:szCs w:val="17"/>
                <w:b w:val="1"/>
                <w:bCs w:val="1"/>
                <w:color w:val="auto"/>
                <w:vertAlign w:val="superscript"/>
              </w:rPr>
              <w:t>(1)</w:t>
            </w:r>
          </w:p>
        </w:tc>
        <w:tc>
          <w:tcPr>
            <w:tcW w:w="106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 Revenue</w:t>
            </w:r>
          </w:p>
        </w:tc>
      </w:tr>
      <w:tr>
        <w:trPr>
          <w:trHeight w:val="165"/>
        </w:trPr>
        <w:tc>
          <w:tcPr>
            <w:tcW w:w="1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Florida</w:t>
            </w:r>
          </w:p>
        </w:tc>
        <w:tc>
          <w:tcPr>
            <w:tcW w:w="18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MH</w:t>
            </w:r>
          </w:p>
        </w:tc>
        <w:tc>
          <w:tcPr>
            <w:tcW w:w="80" w:type="dxa"/>
            <w:vAlign w:val="bottom"/>
            <w:tcBorders>
              <w:top w:val="single" w:sz="8" w:color="CCEEFF"/>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8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25,800</w:t>
            </w:r>
          </w:p>
        </w:tc>
        <w:tc>
          <w:tcPr>
            <w:tcW w:w="8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16.7 %</w:t>
            </w:r>
          </w:p>
        </w:tc>
        <w:tc>
          <w:tcPr>
            <w:tcW w:w="8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96.6 %</w:t>
            </w:r>
          </w:p>
        </w:tc>
        <w:tc>
          <w:tcPr>
            <w:tcW w:w="10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15.5 %</w:t>
            </w:r>
          </w:p>
        </w:tc>
      </w:tr>
      <w:tr>
        <w:trPr>
          <w:trHeight w:val="172"/>
        </w:trPr>
        <w:tc>
          <w:tcPr>
            <w:tcW w:w="170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8"/>
              </w:rPr>
              <w:t>RV</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19,650</w:t>
            </w:r>
          </w:p>
        </w:tc>
        <w:tc>
          <w:tcPr>
            <w:tcW w:w="8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12.7 %</w:t>
            </w:r>
          </w:p>
        </w:tc>
        <w:tc>
          <w:tcPr>
            <w:tcW w:w="14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11.5 %</w:t>
            </w:r>
          </w:p>
        </w:tc>
      </w:tr>
      <w:tr>
        <w:trPr>
          <w:trHeight w:val="167"/>
        </w:trPr>
        <w:tc>
          <w:tcPr>
            <w:tcW w:w="1700" w:type="dxa"/>
            <w:vAlign w:val="bottom"/>
            <w:shd w:val="clear" w:color="auto" w:fill="CCEEFF"/>
          </w:tcPr>
          <w:p>
            <w:pPr>
              <w:spacing w:after="0"/>
              <w:rPr>
                <w:sz w:val="14"/>
                <w:szCs w:val="14"/>
                <w:color w:val="auto"/>
              </w:rPr>
            </w:pPr>
          </w:p>
        </w:tc>
        <w:tc>
          <w:tcPr>
            <w:tcW w:w="2760" w:type="dxa"/>
            <w:vAlign w:val="bottom"/>
            <w:gridSpan w:val="4"/>
            <w:shd w:val="clear" w:color="auto" w:fill="CCEEFF"/>
          </w:tcPr>
          <w:p>
            <w:pPr>
              <w:jc w:val="right"/>
              <w:ind w:right="920"/>
              <w:spacing w:after="0"/>
              <w:rPr>
                <w:sz w:val="20"/>
                <w:szCs w:val="20"/>
                <w:color w:val="auto"/>
              </w:rPr>
            </w:pPr>
            <w:r>
              <w:rPr>
                <w:rFonts w:ascii="Times New Roman" w:cs="Times New Roman" w:eastAsia="Times New Roman" w:hAnsi="Times New Roman"/>
                <w:sz w:val="13"/>
                <w:szCs w:val="13"/>
                <w:b w:val="1"/>
                <w:bCs w:val="1"/>
                <w:i w:val="1"/>
                <w:iCs w:val="1"/>
                <w:color w:val="auto"/>
              </w:rPr>
              <w:t>Florida Total</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8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45,450</w:t>
            </w:r>
          </w:p>
        </w:tc>
        <w:tc>
          <w:tcPr>
            <w:tcW w:w="80" w:type="dxa"/>
            <w:vAlign w:val="bottom"/>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29.4 %</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97.9 %</w:t>
            </w:r>
          </w:p>
        </w:tc>
        <w:tc>
          <w:tcPr>
            <w:tcW w:w="10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27.0 %</w:t>
            </w:r>
          </w:p>
        </w:tc>
      </w:tr>
      <w:tr>
        <w:trPr>
          <w:trHeight w:val="164"/>
        </w:trPr>
        <w:tc>
          <w:tcPr>
            <w:tcW w:w="1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Michigan</w:t>
            </w: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5"/>
              </w:rPr>
              <w:t>MH</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31,890</w:t>
            </w:r>
          </w:p>
        </w:tc>
        <w:tc>
          <w:tcPr>
            <w:tcW w:w="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97.6 %</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20.6 %</w:t>
            </w:r>
          </w:p>
        </w:tc>
      </w:tr>
      <w:tr>
        <w:trPr>
          <w:trHeight w:val="175"/>
        </w:trPr>
        <w:tc>
          <w:tcPr>
            <w:tcW w:w="17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88"/>
              </w:rPr>
              <w:t>RV</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1,640</w:t>
            </w:r>
          </w:p>
        </w:tc>
        <w:tc>
          <w:tcPr>
            <w:tcW w:w="80" w:type="dxa"/>
            <w:vAlign w:val="bottom"/>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0.7 %</w:t>
            </w:r>
          </w:p>
        </w:tc>
      </w:tr>
      <w:tr>
        <w:trPr>
          <w:trHeight w:val="164"/>
        </w:trPr>
        <w:tc>
          <w:tcPr>
            <w:tcW w:w="1700" w:type="dxa"/>
            <w:vAlign w:val="bottom"/>
            <w:tcBorders>
              <w:bottom w:val="single" w:sz="8" w:color="CCEEFF"/>
            </w:tcBorders>
          </w:tcPr>
          <w:p>
            <w:pPr>
              <w:spacing w:after="0"/>
              <w:rPr>
                <w:sz w:val="14"/>
                <w:szCs w:val="14"/>
                <w:color w:val="auto"/>
              </w:rPr>
            </w:pPr>
          </w:p>
        </w:tc>
        <w:tc>
          <w:tcPr>
            <w:tcW w:w="2760" w:type="dxa"/>
            <w:vAlign w:val="bottom"/>
            <w:tcBorders>
              <w:bottom w:val="single" w:sz="8" w:color="CCEEFF"/>
            </w:tcBorders>
            <w:gridSpan w:val="4"/>
          </w:tcPr>
          <w:p>
            <w:pPr>
              <w:jc w:val="right"/>
              <w:ind w:right="920"/>
              <w:spacing w:after="0"/>
              <w:rPr>
                <w:sz w:val="20"/>
                <w:szCs w:val="20"/>
                <w:color w:val="auto"/>
              </w:rPr>
            </w:pPr>
            <w:r>
              <w:rPr>
                <w:rFonts w:ascii="Times New Roman" w:cs="Times New Roman" w:eastAsia="Times New Roman" w:hAnsi="Times New Roman"/>
                <w:sz w:val="13"/>
                <w:szCs w:val="13"/>
                <w:b w:val="1"/>
                <w:bCs w:val="1"/>
                <w:i w:val="1"/>
                <w:iCs w:val="1"/>
                <w:color w:val="auto"/>
              </w:rPr>
              <w:t>Michigan Total</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33,530</w:t>
            </w:r>
          </w:p>
        </w:tc>
        <w:tc>
          <w:tcPr>
            <w:tcW w:w="8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21.7 %</w:t>
            </w:r>
          </w:p>
        </w:tc>
        <w:tc>
          <w:tcPr>
            <w:tcW w:w="14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97.7 %</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21.3 %</w:t>
            </w:r>
          </w:p>
        </w:tc>
      </w:tr>
      <w:tr>
        <w:trPr>
          <w:trHeight w:val="167"/>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California</w:t>
            </w:r>
          </w:p>
        </w:tc>
        <w:tc>
          <w:tcPr>
            <w:tcW w:w="1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5"/>
              </w:rPr>
              <w:t>MH</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6,210</w:t>
            </w: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4.0 %</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99.2 %</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5.6 %</w:t>
            </w:r>
          </w:p>
        </w:tc>
      </w:tr>
      <w:tr>
        <w:trPr>
          <w:trHeight w:val="172"/>
        </w:trPr>
        <w:tc>
          <w:tcPr>
            <w:tcW w:w="170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8"/>
              </w:rPr>
              <w:t>RV</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2,620</w:t>
            </w:r>
          </w:p>
        </w:tc>
        <w:tc>
          <w:tcPr>
            <w:tcW w:w="8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1.7 %</w:t>
            </w:r>
          </w:p>
        </w:tc>
        <w:tc>
          <w:tcPr>
            <w:tcW w:w="14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3.3 %</w:t>
            </w:r>
          </w:p>
        </w:tc>
      </w:tr>
      <w:tr>
        <w:trPr>
          <w:trHeight w:val="167"/>
        </w:trPr>
        <w:tc>
          <w:tcPr>
            <w:tcW w:w="1700" w:type="dxa"/>
            <w:vAlign w:val="bottom"/>
            <w:shd w:val="clear" w:color="auto" w:fill="CCEEFF"/>
          </w:tcPr>
          <w:p>
            <w:pPr>
              <w:spacing w:after="0"/>
              <w:rPr>
                <w:sz w:val="14"/>
                <w:szCs w:val="14"/>
                <w:color w:val="auto"/>
              </w:rPr>
            </w:pPr>
          </w:p>
        </w:tc>
        <w:tc>
          <w:tcPr>
            <w:tcW w:w="2760" w:type="dxa"/>
            <w:vAlign w:val="bottom"/>
            <w:gridSpan w:val="4"/>
            <w:shd w:val="clear" w:color="auto" w:fill="CCEEFF"/>
          </w:tcPr>
          <w:p>
            <w:pPr>
              <w:jc w:val="right"/>
              <w:ind w:right="920"/>
              <w:spacing w:after="0"/>
              <w:rPr>
                <w:sz w:val="20"/>
                <w:szCs w:val="20"/>
                <w:color w:val="auto"/>
              </w:rPr>
            </w:pPr>
            <w:r>
              <w:rPr>
                <w:rFonts w:ascii="Times New Roman" w:cs="Times New Roman" w:eastAsia="Times New Roman" w:hAnsi="Times New Roman"/>
                <w:sz w:val="13"/>
                <w:szCs w:val="13"/>
                <w:b w:val="1"/>
                <w:bCs w:val="1"/>
                <w:i w:val="1"/>
                <w:iCs w:val="1"/>
                <w:color w:val="auto"/>
              </w:rPr>
              <w:t>California Total</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8,830</w:t>
            </w:r>
          </w:p>
        </w:tc>
        <w:tc>
          <w:tcPr>
            <w:tcW w:w="80" w:type="dxa"/>
            <w:vAlign w:val="bottom"/>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5.7 %</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99.3 %</w:t>
            </w:r>
          </w:p>
        </w:tc>
        <w:tc>
          <w:tcPr>
            <w:tcW w:w="10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8.9 %</w:t>
            </w:r>
          </w:p>
        </w:tc>
      </w:tr>
      <w:tr>
        <w:trPr>
          <w:trHeight w:val="164"/>
        </w:trPr>
        <w:tc>
          <w:tcPr>
            <w:tcW w:w="1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Texas</w:t>
            </w: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5"/>
              </w:rPr>
              <w:t>MH</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8,030</w:t>
            </w:r>
          </w:p>
        </w:tc>
        <w:tc>
          <w:tcPr>
            <w:tcW w:w="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97.0 %</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5.5 %</w:t>
            </w:r>
          </w:p>
        </w:tc>
      </w:tr>
      <w:tr>
        <w:trPr>
          <w:trHeight w:val="175"/>
        </w:trPr>
        <w:tc>
          <w:tcPr>
            <w:tcW w:w="17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88"/>
              </w:rPr>
              <w:t>RV</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2,880</w:t>
            </w:r>
          </w:p>
        </w:tc>
        <w:tc>
          <w:tcPr>
            <w:tcW w:w="80" w:type="dxa"/>
            <w:vAlign w:val="bottom"/>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1.9 %</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2.0 %</w:t>
            </w:r>
          </w:p>
        </w:tc>
      </w:tr>
      <w:tr>
        <w:trPr>
          <w:trHeight w:val="164"/>
        </w:trPr>
        <w:tc>
          <w:tcPr>
            <w:tcW w:w="1700" w:type="dxa"/>
            <w:vAlign w:val="bottom"/>
            <w:tcBorders>
              <w:bottom w:val="single" w:sz="8" w:color="CCEEFF"/>
            </w:tcBorders>
          </w:tcPr>
          <w:p>
            <w:pPr>
              <w:spacing w:after="0"/>
              <w:rPr>
                <w:sz w:val="14"/>
                <w:szCs w:val="14"/>
                <w:color w:val="auto"/>
              </w:rPr>
            </w:pPr>
          </w:p>
        </w:tc>
        <w:tc>
          <w:tcPr>
            <w:tcW w:w="2760" w:type="dxa"/>
            <w:vAlign w:val="bottom"/>
            <w:tcBorders>
              <w:bottom w:val="single" w:sz="8" w:color="CCEEFF"/>
            </w:tcBorders>
            <w:gridSpan w:val="4"/>
          </w:tcPr>
          <w:p>
            <w:pPr>
              <w:jc w:val="right"/>
              <w:ind w:right="920"/>
              <w:spacing w:after="0"/>
              <w:rPr>
                <w:sz w:val="20"/>
                <w:szCs w:val="20"/>
                <w:color w:val="auto"/>
              </w:rPr>
            </w:pPr>
            <w:r>
              <w:rPr>
                <w:rFonts w:ascii="Times New Roman" w:cs="Times New Roman" w:eastAsia="Times New Roman" w:hAnsi="Times New Roman"/>
                <w:sz w:val="13"/>
                <w:szCs w:val="13"/>
                <w:b w:val="1"/>
                <w:bCs w:val="1"/>
                <w:i w:val="1"/>
                <w:iCs w:val="1"/>
                <w:color w:val="auto"/>
              </w:rPr>
              <w:t>Texas Total</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10,910</w:t>
            </w:r>
          </w:p>
        </w:tc>
        <w:tc>
          <w:tcPr>
            <w:tcW w:w="8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7.1 %</w:t>
            </w:r>
          </w:p>
        </w:tc>
        <w:tc>
          <w:tcPr>
            <w:tcW w:w="14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97.4 %</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7.5 %</w:t>
            </w:r>
          </w:p>
        </w:tc>
      </w:tr>
      <w:tr>
        <w:trPr>
          <w:trHeight w:val="167"/>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Connecticut</w:t>
            </w:r>
          </w:p>
        </w:tc>
        <w:tc>
          <w:tcPr>
            <w:tcW w:w="1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5"/>
              </w:rPr>
              <w:t>MH</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1,850</w:t>
            </w: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1.2 %</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95.7 %</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0.8 %</w:t>
            </w:r>
          </w:p>
        </w:tc>
      </w:tr>
      <w:tr>
        <w:trPr>
          <w:trHeight w:val="172"/>
        </w:trPr>
        <w:tc>
          <w:tcPr>
            <w:tcW w:w="170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8"/>
              </w:rPr>
              <w:t>RV</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8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14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0.1 %</w:t>
            </w:r>
          </w:p>
        </w:tc>
      </w:tr>
      <w:tr>
        <w:trPr>
          <w:trHeight w:val="167"/>
        </w:trPr>
        <w:tc>
          <w:tcPr>
            <w:tcW w:w="1700" w:type="dxa"/>
            <w:vAlign w:val="bottom"/>
            <w:shd w:val="clear" w:color="auto" w:fill="CCEEFF"/>
          </w:tcPr>
          <w:p>
            <w:pPr>
              <w:spacing w:after="0"/>
              <w:rPr>
                <w:sz w:val="14"/>
                <w:szCs w:val="14"/>
                <w:color w:val="auto"/>
              </w:rPr>
            </w:pPr>
          </w:p>
        </w:tc>
        <w:tc>
          <w:tcPr>
            <w:tcW w:w="2760" w:type="dxa"/>
            <w:vAlign w:val="bottom"/>
            <w:gridSpan w:val="4"/>
            <w:shd w:val="clear" w:color="auto" w:fill="CCEEFF"/>
          </w:tcPr>
          <w:p>
            <w:pPr>
              <w:jc w:val="right"/>
              <w:ind w:right="920"/>
              <w:spacing w:after="0"/>
              <w:rPr>
                <w:sz w:val="20"/>
                <w:szCs w:val="20"/>
                <w:color w:val="auto"/>
              </w:rPr>
            </w:pPr>
            <w:r>
              <w:rPr>
                <w:rFonts w:ascii="Times New Roman" w:cs="Times New Roman" w:eastAsia="Times New Roman" w:hAnsi="Times New Roman"/>
                <w:sz w:val="13"/>
                <w:szCs w:val="13"/>
                <w:b w:val="1"/>
                <w:bCs w:val="1"/>
                <w:i w:val="1"/>
                <w:iCs w:val="1"/>
                <w:color w:val="auto"/>
              </w:rPr>
              <w:t>Connecticut Total</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80" w:type="dxa"/>
            <w:vAlign w:val="bottom"/>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1.3 %</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95.8 %</w:t>
            </w:r>
          </w:p>
        </w:tc>
        <w:tc>
          <w:tcPr>
            <w:tcW w:w="10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0.9 %</w:t>
            </w:r>
          </w:p>
        </w:tc>
      </w:tr>
      <w:tr>
        <w:trPr>
          <w:trHeight w:val="164"/>
        </w:trPr>
        <w:tc>
          <w:tcPr>
            <w:tcW w:w="1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Maine</w:t>
            </w: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5"/>
              </w:rPr>
              <w:t>MH</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1,670</w:t>
            </w:r>
          </w:p>
        </w:tc>
        <w:tc>
          <w:tcPr>
            <w:tcW w:w="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95.7 %</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0.7 %</w:t>
            </w:r>
          </w:p>
        </w:tc>
      </w:tr>
      <w:tr>
        <w:trPr>
          <w:trHeight w:val="175"/>
        </w:trPr>
        <w:tc>
          <w:tcPr>
            <w:tcW w:w="17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88"/>
              </w:rPr>
              <w:t>RV</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1,860</w:t>
            </w:r>
          </w:p>
        </w:tc>
        <w:tc>
          <w:tcPr>
            <w:tcW w:w="80" w:type="dxa"/>
            <w:vAlign w:val="bottom"/>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1.2 %</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1.0 %</w:t>
            </w:r>
          </w:p>
        </w:tc>
      </w:tr>
      <w:tr>
        <w:trPr>
          <w:trHeight w:val="164"/>
        </w:trPr>
        <w:tc>
          <w:tcPr>
            <w:tcW w:w="1700" w:type="dxa"/>
            <w:vAlign w:val="bottom"/>
            <w:tcBorders>
              <w:bottom w:val="single" w:sz="8" w:color="CCEEFF"/>
            </w:tcBorders>
          </w:tcPr>
          <w:p>
            <w:pPr>
              <w:spacing w:after="0"/>
              <w:rPr>
                <w:sz w:val="14"/>
                <w:szCs w:val="14"/>
                <w:color w:val="auto"/>
              </w:rPr>
            </w:pPr>
          </w:p>
        </w:tc>
        <w:tc>
          <w:tcPr>
            <w:tcW w:w="2760" w:type="dxa"/>
            <w:vAlign w:val="bottom"/>
            <w:tcBorders>
              <w:bottom w:val="single" w:sz="8" w:color="CCEEFF"/>
            </w:tcBorders>
            <w:gridSpan w:val="4"/>
          </w:tcPr>
          <w:p>
            <w:pPr>
              <w:jc w:val="right"/>
              <w:ind w:right="920"/>
              <w:spacing w:after="0"/>
              <w:rPr>
                <w:sz w:val="20"/>
                <w:szCs w:val="20"/>
                <w:color w:val="auto"/>
              </w:rPr>
            </w:pPr>
            <w:r>
              <w:rPr>
                <w:rFonts w:ascii="Times New Roman" w:cs="Times New Roman" w:eastAsia="Times New Roman" w:hAnsi="Times New Roman"/>
                <w:sz w:val="13"/>
                <w:szCs w:val="13"/>
                <w:b w:val="1"/>
                <w:bCs w:val="1"/>
                <w:i w:val="1"/>
                <w:iCs w:val="1"/>
                <w:color w:val="auto"/>
              </w:rPr>
              <w:t>Maine Total</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3,530</w:t>
            </w:r>
          </w:p>
        </w:tc>
        <w:tc>
          <w:tcPr>
            <w:tcW w:w="8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2.3 %</w:t>
            </w:r>
          </w:p>
        </w:tc>
        <w:tc>
          <w:tcPr>
            <w:tcW w:w="14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97.2 %</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1.7 %</w:t>
            </w:r>
          </w:p>
        </w:tc>
      </w:tr>
      <w:tr>
        <w:trPr>
          <w:trHeight w:val="167"/>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New Jersey</w:t>
            </w:r>
          </w:p>
        </w:tc>
        <w:tc>
          <w:tcPr>
            <w:tcW w:w="1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5"/>
              </w:rPr>
              <w:t>MH</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w:t>
            </w: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0.2 %</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0.1 %</w:t>
            </w:r>
          </w:p>
        </w:tc>
      </w:tr>
      <w:tr>
        <w:trPr>
          <w:trHeight w:val="172"/>
        </w:trPr>
        <w:tc>
          <w:tcPr>
            <w:tcW w:w="170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8"/>
              </w:rPr>
              <w:t>RV</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3,690</w:t>
            </w:r>
          </w:p>
        </w:tc>
        <w:tc>
          <w:tcPr>
            <w:tcW w:w="8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2.4 %</w:t>
            </w:r>
          </w:p>
        </w:tc>
        <w:tc>
          <w:tcPr>
            <w:tcW w:w="14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2.1 %</w:t>
            </w:r>
          </w:p>
        </w:tc>
      </w:tr>
      <w:tr>
        <w:trPr>
          <w:trHeight w:val="167"/>
        </w:trPr>
        <w:tc>
          <w:tcPr>
            <w:tcW w:w="1700" w:type="dxa"/>
            <w:vAlign w:val="bottom"/>
            <w:shd w:val="clear" w:color="auto" w:fill="CCEEFF"/>
          </w:tcPr>
          <w:p>
            <w:pPr>
              <w:spacing w:after="0"/>
              <w:rPr>
                <w:sz w:val="14"/>
                <w:szCs w:val="14"/>
                <w:color w:val="auto"/>
              </w:rPr>
            </w:pPr>
          </w:p>
        </w:tc>
        <w:tc>
          <w:tcPr>
            <w:tcW w:w="2760" w:type="dxa"/>
            <w:vAlign w:val="bottom"/>
            <w:gridSpan w:val="4"/>
            <w:shd w:val="clear" w:color="auto" w:fill="CCEEFF"/>
          </w:tcPr>
          <w:p>
            <w:pPr>
              <w:jc w:val="right"/>
              <w:ind w:right="920"/>
              <w:spacing w:after="0"/>
              <w:rPr>
                <w:sz w:val="20"/>
                <w:szCs w:val="20"/>
                <w:color w:val="auto"/>
              </w:rPr>
            </w:pPr>
            <w:r>
              <w:rPr>
                <w:rFonts w:ascii="Times New Roman" w:cs="Times New Roman" w:eastAsia="Times New Roman" w:hAnsi="Times New Roman"/>
                <w:sz w:val="13"/>
                <w:szCs w:val="13"/>
                <w:b w:val="1"/>
                <w:bCs w:val="1"/>
                <w:i w:val="1"/>
                <w:iCs w:val="1"/>
                <w:color w:val="auto"/>
              </w:rPr>
              <w:t>New Jersey Total</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w:t>
            </w:r>
          </w:p>
        </w:tc>
        <w:tc>
          <w:tcPr>
            <w:tcW w:w="80" w:type="dxa"/>
            <w:vAlign w:val="bottom"/>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2.6 %</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2.2 %</w:t>
            </w:r>
          </w:p>
        </w:tc>
      </w:tr>
      <w:tr>
        <w:trPr>
          <w:trHeight w:val="164"/>
        </w:trPr>
        <w:tc>
          <w:tcPr>
            <w:tcW w:w="1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Arizona</w:t>
            </w: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5"/>
              </w:rPr>
              <w:t>MH</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2,640</w:t>
            </w:r>
          </w:p>
        </w:tc>
        <w:tc>
          <w:tcPr>
            <w:tcW w:w="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96.2 %</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1.5 %</w:t>
            </w:r>
          </w:p>
        </w:tc>
      </w:tr>
      <w:tr>
        <w:trPr>
          <w:trHeight w:val="175"/>
        </w:trPr>
        <w:tc>
          <w:tcPr>
            <w:tcW w:w="17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88"/>
              </w:rPr>
              <w:t>RV</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2,360</w:t>
            </w:r>
          </w:p>
        </w:tc>
        <w:tc>
          <w:tcPr>
            <w:tcW w:w="80" w:type="dxa"/>
            <w:vAlign w:val="bottom"/>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1.5 %</w:t>
            </w:r>
          </w:p>
        </w:tc>
      </w:tr>
      <w:tr>
        <w:trPr>
          <w:trHeight w:val="164"/>
        </w:trPr>
        <w:tc>
          <w:tcPr>
            <w:tcW w:w="1700" w:type="dxa"/>
            <w:vAlign w:val="bottom"/>
            <w:tcBorders>
              <w:bottom w:val="single" w:sz="8" w:color="CCEEFF"/>
            </w:tcBorders>
          </w:tcPr>
          <w:p>
            <w:pPr>
              <w:spacing w:after="0"/>
              <w:rPr>
                <w:sz w:val="14"/>
                <w:szCs w:val="14"/>
                <w:color w:val="auto"/>
              </w:rPr>
            </w:pPr>
          </w:p>
        </w:tc>
        <w:tc>
          <w:tcPr>
            <w:tcW w:w="2760" w:type="dxa"/>
            <w:vAlign w:val="bottom"/>
            <w:tcBorders>
              <w:bottom w:val="single" w:sz="8" w:color="CCEEFF"/>
            </w:tcBorders>
            <w:gridSpan w:val="4"/>
          </w:tcPr>
          <w:p>
            <w:pPr>
              <w:jc w:val="right"/>
              <w:ind w:right="920"/>
              <w:spacing w:after="0"/>
              <w:rPr>
                <w:sz w:val="20"/>
                <w:szCs w:val="20"/>
                <w:color w:val="auto"/>
              </w:rPr>
            </w:pPr>
            <w:r>
              <w:rPr>
                <w:rFonts w:ascii="Times New Roman" w:cs="Times New Roman" w:eastAsia="Times New Roman" w:hAnsi="Times New Roman"/>
                <w:sz w:val="13"/>
                <w:szCs w:val="13"/>
                <w:b w:val="1"/>
                <w:bCs w:val="1"/>
                <w:i w:val="1"/>
                <w:iCs w:val="1"/>
                <w:color w:val="auto"/>
              </w:rPr>
              <w:t>Arizona Total</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8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3.2 %</w:t>
            </w:r>
          </w:p>
        </w:tc>
        <w:tc>
          <w:tcPr>
            <w:tcW w:w="14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97.6 %</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3.0 %</w:t>
            </w:r>
          </w:p>
        </w:tc>
      </w:tr>
      <w:tr>
        <w:trPr>
          <w:trHeight w:val="167"/>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Colorado</w:t>
            </w:r>
          </w:p>
        </w:tc>
        <w:tc>
          <w:tcPr>
            <w:tcW w:w="1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5"/>
              </w:rPr>
              <w:t>MH</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2,900</w:t>
            </w: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1.9 %</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90.4 %</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2.0 %</w:t>
            </w:r>
          </w:p>
        </w:tc>
      </w:tr>
      <w:tr>
        <w:trPr>
          <w:trHeight w:val="172"/>
        </w:trPr>
        <w:tc>
          <w:tcPr>
            <w:tcW w:w="170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8"/>
              </w:rPr>
              <w:t>RV</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980</w:t>
            </w:r>
          </w:p>
        </w:tc>
        <w:tc>
          <w:tcPr>
            <w:tcW w:w="8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0.6 %</w:t>
            </w:r>
          </w:p>
        </w:tc>
        <w:tc>
          <w:tcPr>
            <w:tcW w:w="14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0.8 %</w:t>
            </w:r>
          </w:p>
        </w:tc>
      </w:tr>
      <w:tr>
        <w:trPr>
          <w:trHeight w:val="167"/>
        </w:trPr>
        <w:tc>
          <w:tcPr>
            <w:tcW w:w="1700" w:type="dxa"/>
            <w:vAlign w:val="bottom"/>
            <w:shd w:val="clear" w:color="auto" w:fill="CCEEFF"/>
          </w:tcPr>
          <w:p>
            <w:pPr>
              <w:spacing w:after="0"/>
              <w:rPr>
                <w:sz w:val="14"/>
                <w:szCs w:val="14"/>
                <w:color w:val="auto"/>
              </w:rPr>
            </w:pPr>
          </w:p>
        </w:tc>
        <w:tc>
          <w:tcPr>
            <w:tcW w:w="2760" w:type="dxa"/>
            <w:vAlign w:val="bottom"/>
            <w:gridSpan w:val="4"/>
            <w:shd w:val="clear" w:color="auto" w:fill="CCEEFF"/>
          </w:tcPr>
          <w:p>
            <w:pPr>
              <w:jc w:val="right"/>
              <w:ind w:right="920"/>
              <w:spacing w:after="0"/>
              <w:rPr>
                <w:sz w:val="20"/>
                <w:szCs w:val="20"/>
                <w:color w:val="auto"/>
              </w:rPr>
            </w:pPr>
            <w:r>
              <w:rPr>
                <w:rFonts w:ascii="Times New Roman" w:cs="Times New Roman" w:eastAsia="Times New Roman" w:hAnsi="Times New Roman"/>
                <w:sz w:val="13"/>
                <w:szCs w:val="13"/>
                <w:b w:val="1"/>
                <w:bCs w:val="1"/>
                <w:i w:val="1"/>
                <w:iCs w:val="1"/>
                <w:color w:val="auto"/>
              </w:rPr>
              <w:t>Colorado Total</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3,880</w:t>
            </w:r>
          </w:p>
        </w:tc>
        <w:tc>
          <w:tcPr>
            <w:tcW w:w="80" w:type="dxa"/>
            <w:vAlign w:val="bottom"/>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2.5 %</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90.5 %</w:t>
            </w:r>
          </w:p>
        </w:tc>
        <w:tc>
          <w:tcPr>
            <w:tcW w:w="10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2.8 %</w:t>
            </w:r>
          </w:p>
        </w:tc>
      </w:tr>
      <w:tr>
        <w:trPr>
          <w:trHeight w:val="164"/>
        </w:trPr>
        <w:tc>
          <w:tcPr>
            <w:tcW w:w="1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Indiana</w:t>
            </w: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5"/>
              </w:rPr>
              <w:t>MH</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2,870</w:t>
            </w:r>
          </w:p>
        </w:tc>
        <w:tc>
          <w:tcPr>
            <w:tcW w:w="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99.2 %</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1.9 %</w:t>
            </w:r>
          </w:p>
        </w:tc>
      </w:tr>
      <w:tr>
        <w:trPr>
          <w:trHeight w:val="175"/>
        </w:trPr>
        <w:tc>
          <w:tcPr>
            <w:tcW w:w="17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88"/>
              </w:rPr>
              <w:t>RV</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1,090</w:t>
            </w:r>
          </w:p>
        </w:tc>
        <w:tc>
          <w:tcPr>
            <w:tcW w:w="80" w:type="dxa"/>
            <w:vAlign w:val="bottom"/>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0.7 %</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0.8 %</w:t>
            </w:r>
          </w:p>
        </w:tc>
      </w:tr>
      <w:tr>
        <w:trPr>
          <w:trHeight w:val="164"/>
        </w:trPr>
        <w:tc>
          <w:tcPr>
            <w:tcW w:w="1700" w:type="dxa"/>
            <w:vAlign w:val="bottom"/>
            <w:tcBorders>
              <w:bottom w:val="single" w:sz="8" w:color="CCEEFF"/>
            </w:tcBorders>
          </w:tcPr>
          <w:p>
            <w:pPr>
              <w:spacing w:after="0"/>
              <w:rPr>
                <w:sz w:val="14"/>
                <w:szCs w:val="14"/>
                <w:color w:val="auto"/>
              </w:rPr>
            </w:pPr>
          </w:p>
        </w:tc>
        <w:tc>
          <w:tcPr>
            <w:tcW w:w="2760" w:type="dxa"/>
            <w:vAlign w:val="bottom"/>
            <w:tcBorders>
              <w:bottom w:val="single" w:sz="8" w:color="CCEEFF"/>
            </w:tcBorders>
            <w:gridSpan w:val="4"/>
          </w:tcPr>
          <w:p>
            <w:pPr>
              <w:jc w:val="right"/>
              <w:ind w:right="920"/>
              <w:spacing w:after="0"/>
              <w:rPr>
                <w:sz w:val="20"/>
                <w:szCs w:val="20"/>
                <w:color w:val="auto"/>
              </w:rPr>
            </w:pPr>
            <w:r>
              <w:rPr>
                <w:rFonts w:ascii="Times New Roman" w:cs="Times New Roman" w:eastAsia="Times New Roman" w:hAnsi="Times New Roman"/>
                <w:sz w:val="13"/>
                <w:szCs w:val="13"/>
                <w:b w:val="1"/>
                <w:bCs w:val="1"/>
                <w:i w:val="1"/>
                <w:iCs w:val="1"/>
                <w:color w:val="auto"/>
              </w:rPr>
              <w:t>Indiana Total</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3,960</w:t>
            </w:r>
          </w:p>
        </w:tc>
        <w:tc>
          <w:tcPr>
            <w:tcW w:w="8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2.6 %</w:t>
            </w:r>
          </w:p>
        </w:tc>
        <w:tc>
          <w:tcPr>
            <w:tcW w:w="14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99.2 %</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2.7 %</w:t>
            </w:r>
          </w:p>
        </w:tc>
      </w:tr>
      <w:tr>
        <w:trPr>
          <w:trHeight w:val="167"/>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New York</w:t>
            </w:r>
          </w:p>
        </w:tc>
        <w:tc>
          <w:tcPr>
            <w:tcW w:w="1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5"/>
              </w:rPr>
              <w:t>MH</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970</w:t>
            </w: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0.6 %</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98.5 %</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0.5 %</w:t>
            </w:r>
          </w:p>
        </w:tc>
      </w:tr>
      <w:tr>
        <w:trPr>
          <w:trHeight w:val="172"/>
        </w:trPr>
        <w:tc>
          <w:tcPr>
            <w:tcW w:w="170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8"/>
              </w:rPr>
              <w:t>RV</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2,210</w:t>
            </w:r>
          </w:p>
        </w:tc>
        <w:tc>
          <w:tcPr>
            <w:tcW w:w="8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14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1.2 %</w:t>
            </w:r>
          </w:p>
        </w:tc>
      </w:tr>
      <w:tr>
        <w:trPr>
          <w:trHeight w:val="167"/>
        </w:trPr>
        <w:tc>
          <w:tcPr>
            <w:tcW w:w="1700" w:type="dxa"/>
            <w:vAlign w:val="bottom"/>
            <w:shd w:val="clear" w:color="auto" w:fill="CCEEFF"/>
          </w:tcPr>
          <w:p>
            <w:pPr>
              <w:spacing w:after="0"/>
              <w:rPr>
                <w:sz w:val="14"/>
                <w:szCs w:val="14"/>
                <w:color w:val="auto"/>
              </w:rPr>
            </w:pPr>
          </w:p>
        </w:tc>
        <w:tc>
          <w:tcPr>
            <w:tcW w:w="2760" w:type="dxa"/>
            <w:vAlign w:val="bottom"/>
            <w:gridSpan w:val="4"/>
            <w:shd w:val="clear" w:color="auto" w:fill="CCEEFF"/>
          </w:tcPr>
          <w:p>
            <w:pPr>
              <w:jc w:val="right"/>
              <w:ind w:right="920"/>
              <w:spacing w:after="0"/>
              <w:rPr>
                <w:sz w:val="20"/>
                <w:szCs w:val="20"/>
                <w:color w:val="auto"/>
              </w:rPr>
            </w:pPr>
            <w:r>
              <w:rPr>
                <w:rFonts w:ascii="Times New Roman" w:cs="Times New Roman" w:eastAsia="Times New Roman" w:hAnsi="Times New Roman"/>
                <w:sz w:val="13"/>
                <w:szCs w:val="13"/>
                <w:b w:val="1"/>
                <w:bCs w:val="1"/>
                <w:i w:val="1"/>
                <w:iCs w:val="1"/>
                <w:color w:val="auto"/>
              </w:rPr>
              <w:t>New York Total</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3,180</w:t>
            </w:r>
          </w:p>
        </w:tc>
        <w:tc>
          <w:tcPr>
            <w:tcW w:w="80" w:type="dxa"/>
            <w:vAlign w:val="bottom"/>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2.1 %</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99.0 %</w:t>
            </w:r>
          </w:p>
        </w:tc>
        <w:tc>
          <w:tcPr>
            <w:tcW w:w="10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1.7 %</w:t>
            </w:r>
          </w:p>
        </w:tc>
      </w:tr>
      <w:tr>
        <w:trPr>
          <w:trHeight w:val="164"/>
        </w:trPr>
        <w:tc>
          <w:tcPr>
            <w:tcW w:w="1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Maryland</w:t>
            </w: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5"/>
              </w:rPr>
              <w:t>MH</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w:t>
            </w:r>
          </w:p>
        </w:tc>
        <w:tc>
          <w:tcPr>
            <w:tcW w:w="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98.8 %</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0.2 %</w:t>
            </w:r>
          </w:p>
        </w:tc>
      </w:tr>
      <w:tr>
        <w:trPr>
          <w:trHeight w:val="175"/>
        </w:trPr>
        <w:tc>
          <w:tcPr>
            <w:tcW w:w="17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88"/>
              </w:rPr>
              <w:t>RV</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1,540</w:t>
            </w:r>
          </w:p>
        </w:tc>
        <w:tc>
          <w:tcPr>
            <w:tcW w:w="80" w:type="dxa"/>
            <w:vAlign w:val="bottom"/>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1.7 %</w:t>
            </w:r>
          </w:p>
        </w:tc>
      </w:tr>
      <w:tr>
        <w:trPr>
          <w:trHeight w:val="164"/>
        </w:trPr>
        <w:tc>
          <w:tcPr>
            <w:tcW w:w="1700" w:type="dxa"/>
            <w:vAlign w:val="bottom"/>
            <w:tcBorders>
              <w:bottom w:val="single" w:sz="8" w:color="CCEEFF"/>
            </w:tcBorders>
          </w:tcPr>
          <w:p>
            <w:pPr>
              <w:spacing w:after="0"/>
              <w:rPr>
                <w:sz w:val="14"/>
                <w:szCs w:val="14"/>
                <w:color w:val="auto"/>
              </w:rPr>
            </w:pPr>
          </w:p>
        </w:tc>
        <w:tc>
          <w:tcPr>
            <w:tcW w:w="2760" w:type="dxa"/>
            <w:vAlign w:val="bottom"/>
            <w:tcBorders>
              <w:bottom w:val="single" w:sz="8" w:color="CCEEFF"/>
            </w:tcBorders>
            <w:gridSpan w:val="4"/>
          </w:tcPr>
          <w:p>
            <w:pPr>
              <w:jc w:val="right"/>
              <w:ind w:right="920"/>
              <w:spacing w:after="0"/>
              <w:rPr>
                <w:sz w:val="20"/>
                <w:szCs w:val="20"/>
                <w:color w:val="auto"/>
              </w:rPr>
            </w:pPr>
            <w:r>
              <w:rPr>
                <w:rFonts w:ascii="Times New Roman" w:cs="Times New Roman" w:eastAsia="Times New Roman" w:hAnsi="Times New Roman"/>
                <w:sz w:val="13"/>
                <w:szCs w:val="13"/>
                <w:b w:val="1"/>
                <w:bCs w:val="1"/>
                <w:i w:val="1"/>
                <w:iCs w:val="1"/>
                <w:color w:val="auto"/>
              </w:rPr>
              <w:t>Maryland Total</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1,880</w:t>
            </w:r>
          </w:p>
        </w:tc>
        <w:tc>
          <w:tcPr>
            <w:tcW w:w="8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1.2 %</w:t>
            </w:r>
          </w:p>
        </w:tc>
        <w:tc>
          <w:tcPr>
            <w:tcW w:w="14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99.1 %</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1.9 %</w:t>
            </w:r>
          </w:p>
        </w:tc>
      </w:tr>
      <w:tr>
        <w:trPr>
          <w:trHeight w:val="167"/>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5"/>
              </w:rPr>
              <w:t>MH</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11,950</w:t>
            </w: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7.7 %</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99.0 %</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7.7 %</w:t>
            </w:r>
          </w:p>
        </w:tc>
      </w:tr>
      <w:tr>
        <w:trPr>
          <w:trHeight w:val="172"/>
        </w:trPr>
        <w:tc>
          <w:tcPr>
            <w:tcW w:w="170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8"/>
              </w:rPr>
              <w:t>RV</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16,260</w:t>
            </w:r>
          </w:p>
        </w:tc>
        <w:tc>
          <w:tcPr>
            <w:tcW w:w="8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10.6 %</w:t>
            </w:r>
          </w:p>
        </w:tc>
        <w:tc>
          <w:tcPr>
            <w:tcW w:w="14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10.7 %</w:t>
            </w:r>
          </w:p>
        </w:tc>
      </w:tr>
      <w:tr>
        <w:trPr>
          <w:trHeight w:val="167"/>
        </w:trPr>
        <w:tc>
          <w:tcPr>
            <w:tcW w:w="1700" w:type="dxa"/>
            <w:vAlign w:val="bottom"/>
            <w:shd w:val="clear" w:color="auto" w:fill="CCEEFF"/>
          </w:tcPr>
          <w:p>
            <w:pPr>
              <w:spacing w:after="0"/>
              <w:rPr>
                <w:sz w:val="14"/>
                <w:szCs w:val="14"/>
                <w:color w:val="auto"/>
              </w:rPr>
            </w:pPr>
          </w:p>
        </w:tc>
        <w:tc>
          <w:tcPr>
            <w:tcW w:w="2760" w:type="dxa"/>
            <w:vAlign w:val="bottom"/>
            <w:gridSpan w:val="4"/>
            <w:shd w:val="clear" w:color="auto" w:fill="CCEEFF"/>
          </w:tcPr>
          <w:p>
            <w:pPr>
              <w:jc w:val="right"/>
              <w:ind w:right="920"/>
              <w:spacing w:after="0"/>
              <w:rPr>
                <w:sz w:val="20"/>
                <w:szCs w:val="20"/>
                <w:color w:val="auto"/>
              </w:rPr>
            </w:pPr>
            <w:r>
              <w:rPr>
                <w:rFonts w:ascii="Times New Roman" w:cs="Times New Roman" w:eastAsia="Times New Roman" w:hAnsi="Times New Roman"/>
                <w:sz w:val="13"/>
                <w:szCs w:val="13"/>
                <w:b w:val="1"/>
                <w:bCs w:val="1"/>
                <w:i w:val="1"/>
                <w:iCs w:val="1"/>
                <w:color w:val="auto"/>
              </w:rPr>
              <w:t>Other Total</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8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28,210</w:t>
            </w:r>
          </w:p>
        </w:tc>
        <w:tc>
          <w:tcPr>
            <w:tcW w:w="80" w:type="dxa"/>
            <w:vAlign w:val="bottom"/>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18.3 %</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99.4 %</w:t>
            </w:r>
          </w:p>
        </w:tc>
        <w:tc>
          <w:tcPr>
            <w:tcW w:w="10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18.4 %</w:t>
            </w:r>
          </w:p>
        </w:tc>
      </w:tr>
      <w:tr>
        <w:trPr>
          <w:trHeight w:val="164"/>
        </w:trPr>
        <w:tc>
          <w:tcPr>
            <w:tcW w:w="1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5"/>
              </w:rPr>
              <w:t>MH</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97,430</w:t>
            </w:r>
          </w:p>
        </w:tc>
        <w:tc>
          <w:tcPr>
            <w:tcW w:w="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63.0 %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97.3 %</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62.6 %</w:t>
            </w:r>
          </w:p>
        </w:tc>
      </w:tr>
      <w:tr>
        <w:trPr>
          <w:trHeight w:val="174"/>
        </w:trPr>
        <w:tc>
          <w:tcPr>
            <w:tcW w:w="17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88"/>
              </w:rPr>
              <w:t>RV</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8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56,930</w:t>
            </w:r>
          </w:p>
        </w:tc>
        <w:tc>
          <w:tcPr>
            <w:tcW w:w="80" w:type="dxa"/>
            <w:vAlign w:val="bottom"/>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37.4%</w:t>
            </w:r>
          </w:p>
        </w:tc>
      </w:tr>
      <w:tr>
        <w:trPr>
          <w:trHeight w:val="167"/>
        </w:trPr>
        <w:tc>
          <w:tcPr>
            <w:tcW w:w="1700" w:type="dxa"/>
            <w:vAlign w:val="bottom"/>
          </w:tcPr>
          <w:p>
            <w:pPr>
              <w:spacing w:after="0"/>
              <w:rPr>
                <w:sz w:val="14"/>
                <w:szCs w:val="14"/>
                <w:color w:val="auto"/>
              </w:rPr>
            </w:pPr>
          </w:p>
        </w:tc>
        <w:tc>
          <w:tcPr>
            <w:tcW w:w="2760" w:type="dxa"/>
            <w:vAlign w:val="bottom"/>
            <w:gridSpan w:val="4"/>
          </w:tcPr>
          <w:p>
            <w:pPr>
              <w:jc w:val="right"/>
              <w:ind w:right="920"/>
              <w:spacing w:after="0"/>
              <w:rPr>
                <w:sz w:val="20"/>
                <w:szCs w:val="20"/>
                <w:color w:val="auto"/>
              </w:rPr>
            </w:pPr>
            <w:r>
              <w:rPr>
                <w:rFonts w:ascii="Times New Roman" w:cs="Times New Roman" w:eastAsia="Times New Roman" w:hAnsi="Times New Roman"/>
                <w:sz w:val="13"/>
                <w:szCs w:val="13"/>
                <w:b w:val="1"/>
                <w:bCs w:val="1"/>
                <w:i w:val="1"/>
                <w:iCs w:val="1"/>
                <w:color w:val="auto"/>
              </w:rPr>
              <w:t>MH / RV Total</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454</w:t>
            </w:r>
          </w:p>
        </w:tc>
        <w:tc>
          <w:tcPr>
            <w:tcW w:w="8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154,360</w:t>
            </w:r>
          </w:p>
        </w:tc>
        <w:tc>
          <w:tcPr>
            <w:tcW w:w="80" w:type="dxa"/>
            <w:vAlign w:val="bottom"/>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98.0 %</w:t>
            </w:r>
          </w:p>
        </w:tc>
        <w:tc>
          <w:tcPr>
            <w:tcW w:w="100" w:type="dxa"/>
            <w:vAlign w:val="bottom"/>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100.0 %</w:t>
            </w:r>
          </w:p>
        </w:tc>
      </w:tr>
      <w:tr>
        <w:trPr>
          <w:trHeight w:val="20"/>
        </w:trPr>
        <w:tc>
          <w:tcPr>
            <w:tcW w:w="17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The following table identifies our holiday park markets in the UK by total sites:</w:t>
      </w:r>
    </w:p>
    <w:p>
      <w:pPr>
        <w:spacing w:after="0" w:line="138" w:lineRule="exact"/>
        <w:rPr>
          <w:sz w:val="20"/>
          <w:szCs w:val="20"/>
          <w:color w:val="auto"/>
        </w:rPr>
      </w:pPr>
    </w:p>
    <w:tbl>
      <w:tblPr>
        <w:tblLayout w:type="fixed"/>
        <w:tblInd w:w="7" w:type="dxa"/>
        <w:tblCellMar>
          <w:top w:w="0" w:type="dxa"/>
          <w:left w:w="0" w:type="dxa"/>
          <w:bottom w:w="0" w:type="dxa"/>
          <w:right w:w="0" w:type="dxa"/>
        </w:tblCellMar>
      </w:tblPr>
      <w:tr>
        <w:trPr>
          <w:trHeight w:val="176"/>
        </w:trPr>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9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900" w:type="dxa"/>
            <w:vAlign w:val="bottom"/>
            <w:tcBorders>
              <w:bottom w:val="single" w:sz="8" w:color="auto"/>
            </w:tcBorders>
          </w:tcPr>
          <w:p>
            <w:pPr>
              <w:spacing w:after="0"/>
              <w:rPr>
                <w:sz w:val="15"/>
                <w:szCs w:val="15"/>
                <w:color w:val="auto"/>
              </w:rPr>
            </w:pPr>
          </w:p>
        </w:tc>
      </w:tr>
      <w:tr>
        <w:trPr>
          <w:trHeight w:val="122"/>
        </w:trPr>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ind w:left="160"/>
              <w:spacing w:after="0" w:line="122"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2"/>
          </w:tcPr>
          <w:p>
            <w:pPr>
              <w:ind w:left="160"/>
              <w:spacing w:after="0" w:line="122"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185"/>
        </w:trPr>
        <w:tc>
          <w:tcPr>
            <w:tcW w:w="13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Major Market</w:t>
            </w: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Properties</w:t>
            </w: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Total Sites</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 of Total Sites</w:t>
            </w:r>
          </w:p>
        </w:tc>
        <w:tc>
          <w:tcPr>
            <w:tcW w:w="80" w:type="dxa"/>
            <w:vAlign w:val="bottom"/>
          </w:tcPr>
          <w:p>
            <w:pPr>
              <w:spacing w:after="0"/>
              <w:rPr>
                <w:sz w:val="16"/>
                <w:szCs w:val="16"/>
                <w:color w:val="auto"/>
              </w:rPr>
            </w:pPr>
          </w:p>
        </w:tc>
        <w:tc>
          <w:tcPr>
            <w:tcW w:w="1120" w:type="dxa"/>
            <w:vAlign w:val="bottom"/>
            <w:gridSpan w:val="2"/>
          </w:tcPr>
          <w:p>
            <w:pPr>
              <w:ind w:left="80"/>
              <w:spacing w:after="0" w:line="185" w:lineRule="exact"/>
              <w:rPr>
                <w:sz w:val="20"/>
                <w:szCs w:val="20"/>
                <w:color w:val="auto"/>
              </w:rPr>
            </w:pPr>
            <w:r>
              <w:rPr>
                <w:rFonts w:ascii="Times New Roman" w:cs="Times New Roman" w:eastAsia="Times New Roman" w:hAnsi="Times New Roman"/>
                <w:sz w:val="13"/>
                <w:szCs w:val="13"/>
                <w:b w:val="1"/>
                <w:bCs w:val="1"/>
                <w:color w:val="auto"/>
              </w:rPr>
              <w:t>Occupancy %</w:t>
            </w:r>
            <w:r>
              <w:rPr>
                <w:rFonts w:ascii="Times New Roman" w:cs="Times New Roman" w:eastAsia="Times New Roman" w:hAnsi="Times New Roman"/>
                <w:sz w:val="17"/>
                <w:szCs w:val="17"/>
                <w:b w:val="1"/>
                <w:bCs w:val="1"/>
                <w:color w:val="auto"/>
                <w:vertAlign w:val="superscript"/>
              </w:rPr>
              <w:t>(1)</w:t>
            </w: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 Revenue</w:t>
            </w: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Properties</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Total Sites</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 of Total Sites</w:t>
            </w:r>
          </w:p>
        </w:tc>
        <w:tc>
          <w:tcPr>
            <w:tcW w:w="80" w:type="dxa"/>
            <w:vAlign w:val="bottom"/>
          </w:tcPr>
          <w:p>
            <w:pPr>
              <w:spacing w:after="0"/>
              <w:rPr>
                <w:sz w:val="16"/>
                <w:szCs w:val="16"/>
                <w:color w:val="auto"/>
              </w:rPr>
            </w:pPr>
          </w:p>
        </w:tc>
        <w:tc>
          <w:tcPr>
            <w:tcW w:w="1140" w:type="dxa"/>
            <w:vAlign w:val="bottom"/>
            <w:gridSpan w:val="2"/>
          </w:tcPr>
          <w:p>
            <w:pPr>
              <w:ind w:left="100"/>
              <w:spacing w:after="0" w:line="185" w:lineRule="exact"/>
              <w:rPr>
                <w:sz w:val="20"/>
                <w:szCs w:val="20"/>
                <w:color w:val="auto"/>
              </w:rPr>
            </w:pPr>
            <w:r>
              <w:rPr>
                <w:rFonts w:ascii="Times New Roman" w:cs="Times New Roman" w:eastAsia="Times New Roman" w:hAnsi="Times New Roman"/>
                <w:sz w:val="13"/>
                <w:szCs w:val="13"/>
                <w:b w:val="1"/>
                <w:bCs w:val="1"/>
                <w:color w:val="auto"/>
              </w:rPr>
              <w:t>Occupancy %</w:t>
            </w:r>
            <w:r>
              <w:rPr>
                <w:rFonts w:ascii="Times New Roman" w:cs="Times New Roman" w:eastAsia="Times New Roman" w:hAnsi="Times New Roman"/>
                <w:sz w:val="17"/>
                <w:szCs w:val="17"/>
                <w:b w:val="1"/>
                <w:bCs w:val="1"/>
                <w:color w:val="auto"/>
                <w:vertAlign w:val="superscript"/>
              </w:rPr>
              <w:t>(1)</w:t>
            </w:r>
          </w:p>
        </w:tc>
        <w:tc>
          <w:tcPr>
            <w:tcW w:w="90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 Revenue</w:t>
            </w:r>
          </w:p>
        </w:tc>
      </w:tr>
      <w:tr>
        <w:trPr>
          <w:trHeight w:val="165"/>
        </w:trPr>
        <w:tc>
          <w:tcPr>
            <w:tcW w:w="1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England</w:t>
            </w: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8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20,150</w:t>
            </w:r>
          </w:p>
        </w:tc>
        <w:tc>
          <w:tcPr>
            <w:tcW w:w="8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93.2 %</w:t>
            </w:r>
          </w:p>
        </w:tc>
        <w:tc>
          <w:tcPr>
            <w:tcW w:w="8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89.0 %</w:t>
            </w:r>
          </w:p>
        </w:tc>
        <w:tc>
          <w:tcPr>
            <w:tcW w:w="8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92.3 %</w:t>
            </w:r>
          </w:p>
        </w:tc>
        <w:tc>
          <w:tcPr>
            <w:tcW w:w="1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8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20,560</w:t>
            </w:r>
          </w:p>
        </w:tc>
        <w:tc>
          <w:tcPr>
            <w:tcW w:w="8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93.3 %</w:t>
            </w: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89.6 %</w:t>
            </w:r>
          </w:p>
        </w:tc>
        <w:tc>
          <w:tcPr>
            <w:tcW w:w="8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89.1 %</w:t>
            </w:r>
          </w:p>
        </w:tc>
      </w:tr>
      <w:tr>
        <w:trPr>
          <w:trHeight w:val="172"/>
        </w:trPr>
        <w:tc>
          <w:tcPr>
            <w:tcW w:w="13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Scotland / Wales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1,470</w:t>
            </w:r>
          </w:p>
        </w:tc>
        <w:tc>
          <w:tcPr>
            <w:tcW w:w="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6.8 %</w:t>
            </w:r>
          </w:p>
        </w:tc>
        <w:tc>
          <w:tcPr>
            <w:tcW w:w="11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91.4 %</w:t>
            </w:r>
          </w:p>
        </w:tc>
        <w:tc>
          <w:tcPr>
            <w:tcW w:w="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7.7 %</w:t>
            </w:r>
          </w:p>
        </w:tc>
        <w:tc>
          <w:tcPr>
            <w:tcW w:w="1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1,470</w:t>
            </w:r>
          </w:p>
        </w:tc>
        <w:tc>
          <w:tcPr>
            <w:tcW w:w="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6.7 %</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90.5 %</w:t>
            </w:r>
          </w:p>
        </w:tc>
        <w:tc>
          <w:tcPr>
            <w:tcW w:w="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10.9 %</w:t>
            </w:r>
          </w:p>
        </w:tc>
      </w:tr>
      <w:tr>
        <w:trPr>
          <w:trHeight w:val="192"/>
        </w:trPr>
        <w:tc>
          <w:tcPr>
            <w:tcW w:w="1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21,620</w:t>
            </w: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89.1 %</w:t>
            </w:r>
          </w:p>
        </w:tc>
        <w:tc>
          <w:tcPr>
            <w:tcW w:w="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22,030</w:t>
            </w: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89.7 %</w:t>
            </w:r>
          </w:p>
        </w:tc>
        <w:tc>
          <w:tcPr>
            <w:tcW w:w="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ind w:left="147" w:hanging="147"/>
        <w:spacing w:after="0" w:line="231" w:lineRule="auto"/>
        <w:tabs>
          <w:tab w:leader="none" w:pos="122" w:val="left"/>
        </w:tabs>
        <w:numPr>
          <w:ilvl w:val="0"/>
          <w:numId w:val="19"/>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Occupancy percentage excludes transient RV sites. Percentage calculated by dividing revenue producing sites by developed sites. A revenue producing site is defined as a site that is occupied by a paying resident or reserved by a customer with annual or seasonal usage rights. A developed site is defined as an adequately sized parcel of land that has road and utility access which is zoned and licensed (if required) for use as a home site.</w:t>
      </w:r>
    </w:p>
    <w:p>
      <w:pPr>
        <w:spacing w:after="0" w:line="200" w:lineRule="exact"/>
        <w:rPr>
          <w:sz w:val="20"/>
          <w:szCs w:val="20"/>
          <w:color w:val="auto"/>
        </w:rPr>
      </w:pPr>
    </w:p>
    <w:p>
      <w:pPr>
        <w:spacing w:after="0" w:line="30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121920</wp:posOffset>
            </wp:positionV>
            <wp:extent cx="7177405" cy="400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121" w:right="31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NON-GAAP FINANCIAL MEASURES</w:t>
      </w:r>
    </w:p>
    <w:p>
      <w:pPr>
        <w:spacing w:after="0" w:line="10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In addition to the results reported in accordance with GAAP in our "Results of Operations" below, we have provided information regarding NOI and FFO as supplemental performance measures. We believe NOI and FFO are appropriate measures given their wide use by and relevance to investors and analysts. Investors and analysts following the real estate industry use these supplemental non-GAAP measures to assess REITs. NOI provides a measure of rental operations and does not factor in depreciation, amortization, and non-property specific expenses such as general and administrative expenses. FFO, reflecting the assumption that real estate values rise or fall with market conditions, principally adjusts net income for the effects of GAAP depreciation / amortization of real estate assets and gains or losses on real estate dispositions. In addition, NOI, and FFO are commonly used in various ratios, pricing multiples / yields and returns, and valuation calculations used to measure financial position, performance, and value.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NOI</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b w:val="1"/>
          <w:bCs w:val="1"/>
          <w:color w:val="auto"/>
        </w:rPr>
        <w:t xml:space="preserve">Total Portfolio NOI - </w:t>
      </w:r>
      <w:r>
        <w:rPr>
          <w:rFonts w:ascii="Times New Roman" w:cs="Times New Roman" w:eastAsia="Times New Roman" w:hAnsi="Times New Roman"/>
          <w:sz w:val="15"/>
          <w:szCs w:val="15"/>
          <w:color w:val="auto"/>
        </w:rPr>
        <w:t>NOI is derived from property operating revenues minus property operating expenses and real estate taxes. NOI is a non-GAAP financial measure that we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believe is helpful to investors as a supplemental measure of operating performance because it is an indicator of the return on property investment and provides a method of comparing property performance over time. We use NOI as a key measure when evaluating performance and growth of particular properties and / or groups of properties. The principal limitation of NOI is that it excludes depreciation, amortization, interest expense, and non-property specific expenses such as general and administrative expenses, all of which are significant costs. Therefore, NOI is a measure of the operating performance of our properties rather than of the Company overall. We believe that NOI provides enhanced comparability for investor evaluation of property performance and growth over time.</w:t>
      </w:r>
    </w:p>
    <w:p>
      <w:pPr>
        <w:spacing w:after="0" w:line="6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We believe that GAAP net income (loss) is the most directly comparable measure to NOI. NOI should not be considered to be an alternative to GAAP net income (loss) as an indication of our financial performance or GAAP net cash provided by operating activities as a measure of our liquidity; nor is it indicative of funds available for our cash needs, including our ability to make cash distributions. Because of the inclusion of items such as interest, depreciation, and amortization, the use of GAAP net income (loss) as a performance measure is limited as these items may not accurately reflect the actual change in market value of a property, in the case of depreciation and in the case of interest, may not necessarily be linked to the operating performance of a real estate asset, as it is often incurred at a parent company level and not at a property level.</w:t>
      </w:r>
    </w:p>
    <w:p>
      <w:pPr>
        <w:spacing w:after="0" w:line="5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b w:val="1"/>
          <w:bCs w:val="1"/>
          <w:color w:val="auto"/>
        </w:rPr>
        <w:t xml:space="preserve">Same Property NOI </w:t>
      </w:r>
      <w:r>
        <w:rPr>
          <w:rFonts w:ascii="Times New Roman" w:cs="Times New Roman" w:eastAsia="Times New Roman" w:hAnsi="Times New Roman"/>
          <w:sz w:val="15"/>
          <w:szCs w:val="15"/>
          <w:color w:val="auto"/>
        </w:rPr>
        <w:t>- This is a key management tool used when evaluating the performance and growth of our Same Property portfolio. We define same properties as those we have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owned and operated continuously since January 1, 2024. Same properties exclude ground-up development properties, acquired properties, properties classified as discontinued operations, and properties sold after December 31, 2023. The Same Property data may change from time-to-time depending on acquisitions, dispositions, management discretion, significant transactions, or unique situations. Same Property NOI does not include the revenues and expenses related to home sales and ancillary activities at the properties. We believe that Same Property NOI is helpful to investors as a supplemental comparative performance measure of the income generated from the Same Property portfolio from one period to the next. For the UK segment, we present Same Property NOI growth rate information on a constant currency basis to provide a framework for assessing how our underlying properties performed after excluding the effects of changes in exchange rates. We believe that the presentation of UK Same Property NOI on a constant currency basis helps to improve the ability to understand our performance because it excludes the effects of foreign currency volatility which are not indicative of our core operating results in the region.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FFO</w:t>
      </w:r>
    </w:p>
    <w:p>
      <w:pPr>
        <w:spacing w:after="0" w:line="10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FFO is defined by the National Association of Real Estate Investment Trusts ("Nareit") as GAAP net income (loss), excluding gains (or losses) from sales of certain real estate assets, plus real estate related depreciation and amortization, impairments of certain real estate assets and investments, and after adjustments for nonconsolidated partnerships and joint ventures. FFO is a non-GAAP financial measure that management believes is a useful supplemental measure of our operating performance. By excluding gains and losses related to sales of previously depreciated operating real estate assets, real estate related to impairment and real estate asset depreciation and amortization (which can vary among owners of identical assets in similar condition based on historical cost accounting and useful life estimates), FFO provides a performance measure that, when compared period-over-period, reflects the impact to operations from trends in occupancy rates, rental rates, and operating costs, providing perspective not readily apparent from GAAP net income (loss). Management believes the use of FFO has been beneficial in improving the understanding of operating results of REITs among the investing public and making comparisons of REIT operating results more meaningful.</w:t>
      </w:r>
    </w:p>
    <w:p>
      <w:pPr>
        <w:spacing w:after="0" w:line="247"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5"/>
          <w:szCs w:val="15"/>
          <w:b w:val="1"/>
          <w:bCs w:val="1"/>
          <w:color w:val="auto"/>
        </w:rPr>
        <w:t xml:space="preserve">Core FFO </w:t>
      </w:r>
      <w:r>
        <w:rPr>
          <w:rFonts w:ascii="Times New Roman" w:cs="Times New Roman" w:eastAsia="Times New Roman" w:hAnsi="Times New Roman"/>
          <w:sz w:val="15"/>
          <w:szCs w:val="15"/>
          <w:color w:val="auto"/>
        </w:rPr>
        <w:t>- In addition to FFO, we use FFO excluding certain gain and loss items that management considers unrelated to the operational and financial performance of our core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business ("Core FFO") to evaluate our performance. These adjustments include acquisition and other transaction costs, gains and losses from the early extinguishment of debt, costs related to catastrophic weather events, net of insurance recoveries, gains and losses on foreign currency exchanges, and other miscellaneous non-comparable items.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1" w:name="page32"/>
    <w:bookmarkEnd w:id="31"/>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left="7"/>
        <w:spacing w:after="0" w:line="263" w:lineRule="auto"/>
        <w:rPr>
          <w:sz w:val="20"/>
          <w:szCs w:val="20"/>
          <w:color w:val="auto"/>
        </w:rPr>
      </w:pPr>
      <w:r>
        <w:rPr>
          <w:rFonts w:ascii="Times New Roman" w:cs="Times New Roman" w:eastAsia="Times New Roman" w:hAnsi="Times New Roman"/>
          <w:sz w:val="15"/>
          <w:szCs w:val="15"/>
          <w:color w:val="auto"/>
        </w:rPr>
        <w:t>We believe that FFO and Core FFO provide enhanced comparability for investor evaluations of period-over-period results. We believe that GAAP net income (loss) is the most directly comparable measure to FFO. The principal limitation of FFO is that it does not replace GAAP net income (loss) as a financial performance measure or GAAP cash flow from operating activities as a measure of our liquidity. Because FFO excludes significant economic components of GAAP net income (loss) including depreciation and amortization, FFO should be used as a supplement to GAAP net income (loss) and not as an alternative to it. Furthermore, FFO is not intended as a measure of a REIT's ability to meet debt principal repayments and other cash requirements, nor as a measure of working capital. FFO is calculated in accordance with our interpretation of standards established by Nareit, which may not be comparable to FFO reported by other REITs that interpret the Nareit definition differently. Certain financial information has been revised to reflect reclassifications in prior periods to conform to current period presentation.</w:t>
      </w:r>
    </w:p>
    <w:p>
      <w:pPr>
        <w:spacing w:after="0" w:line="6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RESULTS OF OPERATIONS</w:t>
      </w:r>
    </w:p>
    <w:p>
      <w:pPr>
        <w:spacing w:after="0" w:line="10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i w:val="1"/>
          <w:iCs w:val="1"/>
          <w:color w:val="auto"/>
        </w:rPr>
        <w:t>Summary Statements of Operations</w:t>
      </w:r>
    </w:p>
    <w:p>
      <w:pPr>
        <w:spacing w:after="0" w:line="10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The following tables reconcile the Net income / (loss) attributable to SUI common shareholders to NOI and summarize our consolidated financial results (in millions):</w:t>
      </w:r>
    </w:p>
    <w:p>
      <w:pPr>
        <w:spacing w:after="0" w:line="138" w:lineRule="exact"/>
        <w:rPr>
          <w:sz w:val="20"/>
          <w:szCs w:val="20"/>
          <w:color w:val="auto"/>
        </w:rPr>
      </w:pPr>
    </w:p>
    <w:tbl>
      <w:tblPr>
        <w:tblLayout w:type="fixed"/>
        <w:tblInd w:w="7" w:type="dxa"/>
        <w:tblCellMar>
          <w:top w:w="0" w:type="dxa"/>
          <w:left w:w="0" w:type="dxa"/>
          <w:bottom w:w="0" w:type="dxa"/>
          <w:right w:w="0" w:type="dxa"/>
        </w:tblCellMar>
      </w:tblPr>
      <w:tr>
        <w:trPr>
          <w:trHeight w:val="176"/>
        </w:trPr>
        <w:tc>
          <w:tcPr>
            <w:tcW w:w="716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3"/>
                <w:szCs w:val="13"/>
                <w:b w:val="1"/>
                <w:bCs w:val="1"/>
                <w:color w:val="auto"/>
                <w:w w:val="98"/>
              </w:rPr>
              <w:t>Year Ended December 31,</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68"/>
        </w:trPr>
        <w:tc>
          <w:tcPr>
            <w:tcW w:w="71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 / (Loss) Attributable to SUI Common Shareholders</w:t>
            </w:r>
          </w:p>
        </w:tc>
        <w:tc>
          <w:tcPr>
            <w:tcW w:w="80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1,361.2</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(213.3)</w:t>
            </w:r>
          </w:p>
        </w:tc>
      </w:tr>
      <w:tr>
        <w:trPr>
          <w:trHeight w:val="172"/>
        </w:trPr>
        <w:tc>
          <w:tcPr>
            <w:tcW w:w="71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 income</w:t>
            </w: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w:t>
            </w:r>
          </w:p>
        </w:tc>
      </w:tr>
      <w:tr>
        <w:trPr>
          <w:trHeight w:val="175"/>
        </w:trPr>
        <w:tc>
          <w:tcPr>
            <w:tcW w:w="7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Brokerage commissions and other revenues, net</w:t>
            </w: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(53.6)</w:t>
            </w:r>
          </w:p>
        </w:tc>
      </w:tr>
      <w:tr>
        <w:trPr>
          <w:trHeight w:val="172"/>
        </w:trPr>
        <w:tc>
          <w:tcPr>
            <w:tcW w:w="71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213.5</w:t>
            </w:r>
          </w:p>
        </w:tc>
      </w:tr>
      <w:tr>
        <w:trPr>
          <w:trHeight w:val="175"/>
        </w:trPr>
        <w:tc>
          <w:tcPr>
            <w:tcW w:w="7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Catastrophic event-related charges, net</w:t>
            </w: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72"/>
        </w:trPr>
        <w:tc>
          <w:tcPr>
            <w:tcW w:w="71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Business combination expense</w:t>
            </w: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175"/>
        </w:trPr>
        <w:tc>
          <w:tcPr>
            <w:tcW w:w="7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507.9</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490.5</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494.1</w:t>
            </w:r>
          </w:p>
        </w:tc>
      </w:tr>
      <w:tr>
        <w:trPr>
          <w:trHeight w:val="172"/>
        </w:trPr>
        <w:tc>
          <w:tcPr>
            <w:tcW w:w="71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Asset impairments</w:t>
            </w: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386.7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175"/>
        </w:trPr>
        <w:tc>
          <w:tcPr>
            <w:tcW w:w="7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Goodwill impairment</w:t>
            </w: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180.8</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369.9</w:t>
            </w:r>
          </w:p>
        </w:tc>
      </w:tr>
      <w:tr>
        <w:trPr>
          <w:trHeight w:val="172"/>
        </w:trPr>
        <w:tc>
          <w:tcPr>
            <w:tcW w:w="71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Loss on extinguishment of debt</w:t>
            </w: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7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Interest expense</w:t>
            </w: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221.0</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350.3</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325.7</w:t>
            </w:r>
          </w:p>
        </w:tc>
      </w:tr>
      <w:tr>
        <w:trPr>
          <w:trHeight w:val="172"/>
        </w:trPr>
        <w:tc>
          <w:tcPr>
            <w:tcW w:w="71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 on mandatorily redeemable preferred OP units / equity</w:t>
            </w: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75"/>
        </w:trPr>
        <w:tc>
          <w:tcPr>
            <w:tcW w:w="7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Loss on remeasurement of marketable securities</w:t>
            </w: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w:t>
            </w:r>
          </w:p>
        </w:tc>
      </w:tr>
      <w:tr>
        <w:trPr>
          <w:trHeight w:val="172"/>
        </w:trPr>
        <w:tc>
          <w:tcPr>
            <w:tcW w:w="71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(Gain) / loss on foreign currency exchanges</w:t>
            </w: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w:t>
            </w:r>
          </w:p>
        </w:tc>
      </w:tr>
      <w:tr>
        <w:trPr>
          <w:trHeight w:val="175"/>
        </w:trPr>
        <w:tc>
          <w:tcPr>
            <w:tcW w:w="7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Gain on disposition of properties</w:t>
            </w: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(202.9)</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w:t>
            </w:r>
          </w:p>
        </w:tc>
      </w:tr>
      <w:tr>
        <w:trPr>
          <w:trHeight w:val="172"/>
        </w:trPr>
        <w:tc>
          <w:tcPr>
            <w:tcW w:w="71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(income) / expense, net</w:t>
            </w: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r>
      <w:tr>
        <w:trPr>
          <w:trHeight w:val="175"/>
        </w:trPr>
        <w:tc>
          <w:tcPr>
            <w:tcW w:w="7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Loss on remeasurement of notes receivable</w:t>
            </w: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106.7</w:t>
            </w:r>
          </w:p>
        </w:tc>
      </w:tr>
      <w:tr>
        <w:trPr>
          <w:trHeight w:val="172"/>
        </w:trPr>
        <w:tc>
          <w:tcPr>
            <w:tcW w:w="71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Income from nonconsolidated affiliates</w:t>
            </w: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w:t>
            </w:r>
          </w:p>
        </w:tc>
      </w:tr>
      <w:tr>
        <w:trPr>
          <w:trHeight w:val="175"/>
        </w:trPr>
        <w:tc>
          <w:tcPr>
            <w:tcW w:w="7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(Gain) / loss on remeasurement of investment in nonconsolidated affiliates</w:t>
            </w: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r>
      <w:tr>
        <w:trPr>
          <w:trHeight w:val="172"/>
        </w:trPr>
        <w:tc>
          <w:tcPr>
            <w:tcW w:w="71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Current tax expense</w:t>
            </w: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w:t>
            </w:r>
          </w:p>
        </w:tc>
      </w:tr>
      <w:tr>
        <w:trPr>
          <w:trHeight w:val="175"/>
        </w:trPr>
        <w:tc>
          <w:tcPr>
            <w:tcW w:w="7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Deferred tax benefit</w:t>
            </w: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w:t>
            </w:r>
          </w:p>
        </w:tc>
      </w:tr>
      <w:tr>
        <w:trPr>
          <w:trHeight w:val="172"/>
        </w:trPr>
        <w:tc>
          <w:tcPr>
            <w:tcW w:w="71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income from discontinued operations, net</w:t>
            </w: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(1,429.6)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(82.3)</w:t>
            </w:r>
          </w:p>
        </w:tc>
      </w:tr>
      <w:tr>
        <w:trPr>
          <w:trHeight w:val="175"/>
        </w:trPr>
        <w:tc>
          <w:tcPr>
            <w:tcW w:w="7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Add: Preferred return to preferred OP units / equity interests</w:t>
            </w: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w:t>
            </w:r>
          </w:p>
        </w:tc>
      </w:tr>
      <w:tr>
        <w:trPr>
          <w:trHeight w:val="172"/>
        </w:trPr>
        <w:tc>
          <w:tcPr>
            <w:tcW w:w="71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Add: Income / (loss) attributable to noncontrolling interests</w:t>
            </w:r>
          </w:p>
        </w:tc>
        <w:tc>
          <w:tcPr>
            <w:tcW w:w="8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56.4</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w:t>
            </w:r>
          </w:p>
        </w:tc>
      </w:tr>
      <w:tr>
        <w:trPr>
          <w:trHeight w:val="192"/>
        </w:trPr>
        <w:tc>
          <w:tcPr>
            <w:tcW w:w="7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NOI</w:t>
            </w:r>
          </w:p>
        </w:tc>
        <w:tc>
          <w:tcPr>
            <w:tcW w:w="800" w:type="dxa"/>
            <w:vAlign w:val="bottom"/>
            <w:tcBorders>
              <w:bottom w:val="single" w:sz="8" w:color="auto"/>
            </w:tcBorders>
            <w:shd w:val="clear" w:color="auto" w:fill="CCEEFF"/>
          </w:tcPr>
          <w:p>
            <w:pPr>
              <w:jc w:val="right"/>
              <w:ind w:right="634"/>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1,156.8</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1,135.7</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1,120.2</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tbl>
      <w:tblPr>
        <w:tblLayout w:type="fixed"/>
        <w:tblInd w:w="7" w:type="dxa"/>
        <w:tblCellMar>
          <w:top w:w="0" w:type="dxa"/>
          <w:left w:w="0" w:type="dxa"/>
          <w:bottom w:w="0" w:type="dxa"/>
          <w:right w:w="0" w:type="dxa"/>
        </w:tblCellMar>
      </w:tblPr>
      <w:tr>
        <w:trPr>
          <w:trHeight w:val="176"/>
        </w:trPr>
        <w:tc>
          <w:tcPr>
            <w:tcW w:w="714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w w:val="98"/>
              </w:rPr>
              <w:t>Year Ended December 31,</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68"/>
        </w:trPr>
        <w:tc>
          <w:tcPr>
            <w:tcW w:w="71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6"/>
        </w:trPr>
        <w:tc>
          <w:tcPr>
            <w:tcW w:w="714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3"/>
                <w:szCs w:val="13"/>
                <w:color w:val="auto"/>
              </w:rPr>
              <w:t>Real property NOI</w:t>
            </w:r>
            <w:r>
              <w:rPr>
                <w:rFonts w:ascii="Times New Roman" w:cs="Times New Roman" w:eastAsia="Times New Roman" w:hAnsi="Times New Roman"/>
                <w:sz w:val="17"/>
                <w:szCs w:val="17"/>
                <w:color w:val="auto"/>
                <w:vertAlign w:val="superscript"/>
              </w:rPr>
              <w:t>(1)</w:t>
            </w:r>
          </w:p>
        </w:tc>
        <w:tc>
          <w:tcPr>
            <w:tcW w:w="82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1,058.8</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1,015.3</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976.6</w:t>
            </w:r>
          </w:p>
        </w:tc>
      </w:tr>
      <w:tr>
        <w:trPr>
          <w:trHeight w:val="174"/>
        </w:trPr>
        <w:tc>
          <w:tcPr>
            <w:tcW w:w="7140" w:type="dxa"/>
            <w:vAlign w:val="bottom"/>
          </w:tcPr>
          <w:p>
            <w:pPr>
              <w:spacing w:after="0" w:line="174" w:lineRule="exact"/>
              <w:rPr>
                <w:sz w:val="20"/>
                <w:szCs w:val="20"/>
                <w:color w:val="auto"/>
              </w:rPr>
            </w:pPr>
            <w:r>
              <w:rPr>
                <w:rFonts w:ascii="Times New Roman" w:cs="Times New Roman" w:eastAsia="Times New Roman" w:hAnsi="Times New Roman"/>
                <w:sz w:val="13"/>
                <w:szCs w:val="13"/>
                <w:color w:val="auto"/>
              </w:rPr>
              <w:t>Home sales NOI</w:t>
            </w:r>
            <w:r>
              <w:rPr>
                <w:rFonts w:ascii="Times New Roman" w:cs="Times New Roman" w:eastAsia="Times New Roman" w:hAnsi="Times New Roman"/>
                <w:sz w:val="17"/>
                <w:szCs w:val="17"/>
                <w:color w:val="auto"/>
                <w:vertAlign w:val="superscript"/>
              </w:rPr>
              <w:t>(1)</w:t>
            </w: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114.3</w:t>
            </w:r>
          </w:p>
        </w:tc>
      </w:tr>
      <w:tr>
        <w:trPr>
          <w:trHeight w:val="174"/>
        </w:trPr>
        <w:tc>
          <w:tcPr>
            <w:tcW w:w="714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3"/>
                <w:szCs w:val="13"/>
                <w:color w:val="auto"/>
              </w:rPr>
              <w:t>Ancillary NOI</w:t>
            </w:r>
            <w:r>
              <w:rPr>
                <w:rFonts w:ascii="Times New Roman" w:cs="Times New Roman" w:eastAsia="Times New Roman" w:hAnsi="Times New Roman"/>
                <w:sz w:val="17"/>
                <w:szCs w:val="17"/>
                <w:color w:val="auto"/>
                <w:vertAlign w:val="superscript"/>
              </w:rPr>
              <w:t>(1)</w:t>
            </w:r>
          </w:p>
        </w:tc>
        <w:tc>
          <w:tcPr>
            <w:tcW w:w="8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w:t>
            </w:r>
          </w:p>
        </w:tc>
      </w:tr>
      <w:tr>
        <w:trPr>
          <w:trHeight w:val="165"/>
        </w:trPr>
        <w:tc>
          <w:tcPr>
            <w:tcW w:w="714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NOI</w:t>
            </w:r>
          </w:p>
        </w:tc>
        <w:tc>
          <w:tcPr>
            <w:tcW w:w="82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1,156.8</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1,135.7</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1,120.2</w:t>
            </w:r>
          </w:p>
        </w:tc>
      </w:tr>
      <w:tr>
        <w:trPr>
          <w:trHeight w:val="20"/>
        </w:trPr>
        <w:tc>
          <w:tcPr>
            <w:tcW w:w="7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jc w:val="both"/>
        <w:ind w:left="147" w:hanging="147"/>
        <w:spacing w:after="0"/>
        <w:tabs>
          <w:tab w:leader="none" w:pos="150" w:val="left"/>
        </w:tabs>
        <w:numPr>
          <w:ilvl w:val="0"/>
          <w:numId w:val="2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Excludes properties classified as discontinued operations. During the years ended December 31, 2025, 2024, and 2023 our marina properties generated total NOI of $93.7 million, $322.7 million, and $312.0 million, respectively, which was recorded within Income from discontinued operations, net on the Consolidated Statements of Operations. Refer to Note 2, "Assets Held for Sale and Discontinued Operations,"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121920</wp:posOffset>
            </wp:positionV>
            <wp:extent cx="7177405" cy="400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121" w:right="319" w:bottom="1440" w:gutter="0" w:footer="0" w:header="0"/>
        </w:sectPr>
      </w:pPr>
    </w:p>
    <w:bookmarkStart w:id="32" w:name="page33"/>
    <w:bookmarkEnd w:id="32"/>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i w:val="1"/>
          <w:iCs w:val="1"/>
          <w:color w:val="auto"/>
        </w:rPr>
        <w:t>Seasonality of Revenue</w:t>
      </w:r>
    </w:p>
    <w:p>
      <w:pPr>
        <w:spacing w:after="0" w:line="10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The RV and UK segments are seasonal and the results of operations in any one period may not be indicative of results in future periods.</w:t>
      </w:r>
    </w:p>
    <w:p>
      <w:pPr>
        <w:spacing w:after="0" w:line="105" w:lineRule="exact"/>
        <w:rPr>
          <w:sz w:val="20"/>
          <w:szCs w:val="20"/>
          <w:color w:val="auto"/>
        </w:rPr>
      </w:pPr>
    </w:p>
    <w:p>
      <w:pPr>
        <w:jc w:val="both"/>
        <w:ind w:left="7"/>
        <w:spacing w:after="0" w:line="276" w:lineRule="auto"/>
        <w:rPr>
          <w:sz w:val="20"/>
          <w:szCs w:val="20"/>
          <w:color w:val="auto"/>
        </w:rPr>
      </w:pPr>
      <w:r>
        <w:rPr>
          <w:rFonts w:ascii="Times New Roman" w:cs="Times New Roman" w:eastAsia="Times New Roman" w:hAnsi="Times New Roman"/>
          <w:sz w:val="15"/>
          <w:szCs w:val="15"/>
          <w:color w:val="auto"/>
        </w:rPr>
        <w:t>In the RV segment, certain properties maintain higher occupancy during the summer months, while other properties maintain higher occupancy during the winter months. Based on the location of our properties with transient RV sites, our portfolio generally produces higher revenues between April and September than between October and March. In the UK segment, vacation rental sites generally produce higher revenues between March and October. The following table presents the seasonality of real property-transient revenue:</w:t>
      </w:r>
    </w:p>
    <w:p>
      <w:pPr>
        <w:spacing w:after="0" w:line="85" w:lineRule="exact"/>
        <w:rPr>
          <w:sz w:val="20"/>
          <w:szCs w:val="20"/>
          <w:color w:val="auto"/>
        </w:rPr>
      </w:pPr>
    </w:p>
    <w:tbl>
      <w:tblPr>
        <w:tblLayout w:type="fixed"/>
        <w:tblInd w:w="7" w:type="dxa"/>
        <w:tblCellMar>
          <w:top w:w="0" w:type="dxa"/>
          <w:left w:w="0" w:type="dxa"/>
          <w:bottom w:w="0" w:type="dxa"/>
          <w:right w:w="0" w:type="dxa"/>
        </w:tblCellMar>
      </w:tblPr>
      <w:tr>
        <w:trPr>
          <w:trHeight w:val="156"/>
        </w:trPr>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Real property - transient</w:t>
            </w: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20" w:type="dxa"/>
            <w:vAlign w:val="bottom"/>
            <w:gridSpan w:val="4"/>
          </w:tcPr>
          <w:p>
            <w:pPr>
              <w:ind w:left="82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13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20" w:type="dxa"/>
            <w:vAlign w:val="bottom"/>
            <w:gridSpan w:val="2"/>
            <w:vMerge w:val="restart"/>
          </w:tcPr>
          <w:p>
            <w:pPr>
              <w:jc w:val="center"/>
              <w:ind w:right="360"/>
              <w:spacing w:after="0" w:line="110" w:lineRule="exact"/>
              <w:rPr>
                <w:sz w:val="20"/>
                <w:szCs w:val="20"/>
                <w:color w:val="auto"/>
              </w:rPr>
            </w:pPr>
            <w:r>
              <w:rPr>
                <w:rFonts w:ascii="Times New Roman" w:cs="Times New Roman" w:eastAsia="Times New Roman" w:hAnsi="Times New Roman"/>
                <w:sz w:val="12"/>
                <w:szCs w:val="12"/>
                <w:b w:val="1"/>
                <w:bCs w:val="1"/>
                <w:color w:val="auto"/>
              </w:rPr>
              <w:t>revenue</w:t>
            </w:r>
          </w:p>
        </w:tc>
        <w:tc>
          <w:tcPr>
            <w:tcW w:w="1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1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1340" w:type="dxa"/>
            <w:vAlign w:val="bottom"/>
          </w:tcPr>
          <w:p>
            <w:pPr>
              <w:ind w:left="540"/>
              <w:spacing w:after="0"/>
              <w:rPr>
                <w:sz w:val="20"/>
                <w:szCs w:val="20"/>
                <w:color w:val="auto"/>
              </w:rPr>
            </w:pPr>
            <w:r>
              <w:rPr>
                <w:rFonts w:ascii="Times New Roman" w:cs="Times New Roman" w:eastAsia="Times New Roman" w:hAnsi="Times New Roman"/>
                <w:sz w:val="13"/>
                <w:szCs w:val="13"/>
                <w:b w:val="1"/>
                <w:bCs w:val="1"/>
                <w:color w:val="auto"/>
              </w:rPr>
              <w:t>Year</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1640" w:type="dxa"/>
            <w:vAlign w:val="bottom"/>
            <w:gridSpan w:val="2"/>
          </w:tcPr>
          <w:p>
            <w:pPr>
              <w:ind w:left="50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1640" w:type="dxa"/>
            <w:vAlign w:val="bottom"/>
            <w:gridSpan w:val="2"/>
          </w:tcPr>
          <w:p>
            <w:pPr>
              <w:ind w:left="58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1680" w:type="dxa"/>
            <w:vAlign w:val="bottom"/>
            <w:gridSpan w:val="2"/>
          </w:tcPr>
          <w:p>
            <w:pPr>
              <w:ind w:left="42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680" w:type="dxa"/>
            <w:vAlign w:val="bottom"/>
            <w:gridSpan w:val="2"/>
          </w:tcPr>
          <w:p>
            <w:pPr>
              <w:ind w:left="44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600" w:type="dxa"/>
            <w:vAlign w:val="bottom"/>
          </w:tcPr>
          <w:p>
            <w:pPr>
              <w:jc w:val="right"/>
              <w:ind w:right="59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8"/>
        </w:trPr>
        <w:tc>
          <w:tcPr>
            <w:tcW w:w="134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2025</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282.8</w:t>
            </w:r>
          </w:p>
        </w:tc>
        <w:tc>
          <w:tcPr>
            <w:tcW w:w="10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10.8 %</w:t>
            </w:r>
          </w:p>
        </w:tc>
        <w:tc>
          <w:tcPr>
            <w:tcW w:w="8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28.8 %</w:t>
            </w:r>
          </w:p>
        </w:tc>
        <w:tc>
          <w:tcPr>
            <w:tcW w:w="80" w:type="dxa"/>
            <w:vAlign w:val="bottom"/>
            <w:tcBorders>
              <w:top w:val="single" w:sz="8" w:color="CCEEFF"/>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47.2 %</w:t>
            </w:r>
          </w:p>
        </w:tc>
        <w:tc>
          <w:tcPr>
            <w:tcW w:w="80" w:type="dxa"/>
            <w:vAlign w:val="bottom"/>
            <w:tcBorders>
              <w:top w:val="single" w:sz="8" w:color="CCEEFF"/>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13.2 %</w:t>
            </w:r>
          </w:p>
        </w:tc>
        <w:tc>
          <w:tcPr>
            <w:tcW w:w="80" w:type="dxa"/>
            <w:vAlign w:val="bottom"/>
            <w:tcBorders>
              <w:top w:val="single" w:sz="8" w:color="CCEEFF"/>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0" w:type="dxa"/>
            <w:vAlign w:val="bottom"/>
          </w:tcPr>
          <w:p>
            <w:pPr>
              <w:spacing w:after="0"/>
              <w:rPr>
                <w:sz w:val="1"/>
                <w:szCs w:val="1"/>
                <w:color w:val="auto"/>
              </w:rPr>
            </w:pPr>
          </w:p>
        </w:tc>
      </w:tr>
      <w:tr>
        <w:trPr>
          <w:trHeight w:val="172"/>
        </w:trPr>
        <w:tc>
          <w:tcPr>
            <w:tcW w:w="134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2024</w:t>
            </w:r>
          </w:p>
        </w:tc>
        <w:tc>
          <w:tcPr>
            <w:tcW w:w="340" w:type="dxa"/>
            <w:vAlign w:val="bottom"/>
            <w:gridSpan w:val="2"/>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296.4</w:t>
            </w: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12.7 %</w:t>
            </w:r>
          </w:p>
        </w:tc>
        <w:tc>
          <w:tcPr>
            <w:tcW w:w="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27.6 %</w:t>
            </w:r>
          </w:p>
        </w:tc>
        <w:tc>
          <w:tcPr>
            <w:tcW w:w="8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46.6 %</w:t>
            </w:r>
          </w:p>
        </w:tc>
        <w:tc>
          <w:tcPr>
            <w:tcW w:w="8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13.1 %</w:t>
            </w:r>
          </w:p>
        </w:tc>
        <w:tc>
          <w:tcPr>
            <w:tcW w:w="8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0" w:type="dxa"/>
            <w:vAlign w:val="bottom"/>
          </w:tcPr>
          <w:p>
            <w:pPr>
              <w:spacing w:after="0"/>
              <w:rPr>
                <w:sz w:val="1"/>
                <w:szCs w:val="1"/>
                <w:color w:val="auto"/>
              </w:rPr>
            </w:pPr>
          </w:p>
        </w:tc>
      </w:tr>
      <w:tr>
        <w:trPr>
          <w:trHeight w:val="175"/>
        </w:trPr>
        <w:tc>
          <w:tcPr>
            <w:tcW w:w="13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2023</w:t>
            </w:r>
          </w:p>
        </w:tc>
        <w:tc>
          <w:tcPr>
            <w:tcW w:w="34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321.4</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12.4 %</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27.8 %</w:t>
            </w: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47.3 %</w:t>
            </w: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12.5 %</w:t>
            </w: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i w:val="1"/>
          <w:iCs w:val="1"/>
          <w:color w:val="auto"/>
        </w:rPr>
        <w:t>Real Property Operations - Total Portfolio</w:t>
      </w:r>
    </w:p>
    <w:p>
      <w:pPr>
        <w:spacing w:after="0" w:line="10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The following tables reflect certain financial and other information for our real estate operations by segment (in millions, except for statistical information):</w:t>
      </w:r>
    </w:p>
    <w:p>
      <w:pPr>
        <w:spacing w:after="0" w:line="138" w:lineRule="exact"/>
        <w:rPr>
          <w:sz w:val="20"/>
          <w:szCs w:val="20"/>
          <w:color w:val="auto"/>
        </w:rPr>
      </w:pPr>
    </w:p>
    <w:tbl>
      <w:tblPr>
        <w:tblLayout w:type="fixed"/>
        <w:tblInd w:w="7" w:type="dxa"/>
        <w:tblCellMar>
          <w:top w:w="0" w:type="dxa"/>
          <w:left w:w="0" w:type="dxa"/>
          <w:bottom w:w="0" w:type="dxa"/>
          <w:right w:w="0" w:type="dxa"/>
        </w:tblCellMar>
      </w:tblPr>
      <w:tr>
        <w:trPr>
          <w:trHeight w:val="176"/>
        </w:trPr>
        <w:tc>
          <w:tcPr>
            <w:tcW w:w="3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 2025</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 2024</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r>
      <w:tr>
        <w:trPr>
          <w:trHeight w:val="168"/>
        </w:trPr>
        <w:tc>
          <w:tcPr>
            <w:tcW w:w="3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MH</w:t>
            </w:r>
          </w:p>
        </w:tc>
        <w:tc>
          <w:tcPr>
            <w:tcW w:w="80" w:type="dxa"/>
            <w:vAlign w:val="bottom"/>
          </w:tcPr>
          <w:p>
            <w:pPr>
              <w:spacing w:after="0"/>
              <w:rPr>
                <w:sz w:val="14"/>
                <w:szCs w:val="14"/>
                <w:color w:val="auto"/>
              </w:rPr>
            </w:pPr>
          </w:p>
        </w:tc>
        <w:tc>
          <w:tcPr>
            <w:tcW w:w="90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RV</w:t>
            </w:r>
          </w:p>
        </w:tc>
        <w:tc>
          <w:tcPr>
            <w:tcW w:w="220" w:type="dxa"/>
            <w:vAlign w:val="bottom"/>
          </w:tcPr>
          <w:p>
            <w:pPr>
              <w:spacing w:after="0"/>
              <w:rPr>
                <w:sz w:val="14"/>
                <w:szCs w:val="14"/>
                <w:color w:val="auto"/>
              </w:rPr>
            </w:pP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UK</w:t>
            </w:r>
          </w:p>
        </w:tc>
        <w:tc>
          <w:tcPr>
            <w:tcW w:w="200" w:type="dxa"/>
            <w:vAlign w:val="bottom"/>
          </w:tcPr>
          <w:p>
            <w:pPr>
              <w:spacing w:after="0"/>
              <w:rPr>
                <w:sz w:val="14"/>
                <w:szCs w:val="14"/>
                <w:color w:val="auto"/>
              </w:rPr>
            </w:pPr>
          </w:p>
        </w:tc>
        <w:tc>
          <w:tcPr>
            <w:tcW w:w="740" w:type="dxa"/>
            <w:vAlign w:val="bottom"/>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MH</w:t>
            </w:r>
          </w:p>
        </w:tc>
        <w:tc>
          <w:tcPr>
            <w:tcW w:w="100" w:type="dxa"/>
            <w:vAlign w:val="bottom"/>
          </w:tcPr>
          <w:p>
            <w:pPr>
              <w:spacing w:after="0"/>
              <w:rPr>
                <w:sz w:val="14"/>
                <w:szCs w:val="14"/>
                <w:color w:val="auto"/>
              </w:rPr>
            </w:pPr>
          </w:p>
        </w:tc>
        <w:tc>
          <w:tcPr>
            <w:tcW w:w="90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RV</w:t>
            </w:r>
          </w:p>
        </w:tc>
        <w:tc>
          <w:tcPr>
            <w:tcW w:w="220" w:type="dxa"/>
            <w:vAlign w:val="bottom"/>
          </w:tcPr>
          <w:p>
            <w:pPr>
              <w:spacing w:after="0"/>
              <w:rPr>
                <w:sz w:val="14"/>
                <w:szCs w:val="14"/>
                <w:color w:val="auto"/>
              </w:rPr>
            </w:pP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UK</w:t>
            </w:r>
          </w:p>
        </w:tc>
        <w:tc>
          <w:tcPr>
            <w:tcW w:w="200" w:type="dxa"/>
            <w:vAlign w:val="bottom"/>
          </w:tcPr>
          <w:p>
            <w:pPr>
              <w:spacing w:after="0"/>
              <w:rPr>
                <w:sz w:val="14"/>
                <w:szCs w:val="14"/>
                <w:color w:val="auto"/>
              </w:rPr>
            </w:pPr>
          </w:p>
        </w:tc>
        <w:tc>
          <w:tcPr>
            <w:tcW w:w="740" w:type="dxa"/>
            <w:vAlign w:val="bottom"/>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54"/>
        </w:trPr>
        <w:tc>
          <w:tcPr>
            <w:tcW w:w="3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2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r>
      <w:tr>
        <w:trPr>
          <w:trHeight w:val="172"/>
        </w:trPr>
        <w:tc>
          <w:tcPr>
            <w:tcW w:w="31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Real property (excluding transient)</w:t>
            </w: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1,012.5</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337.2</w:t>
            </w:r>
          </w:p>
        </w:tc>
        <w:tc>
          <w:tcPr>
            <w:tcW w:w="80" w:type="dxa"/>
            <w:vAlign w:val="bottom"/>
          </w:tcPr>
          <w:p>
            <w:pPr>
              <w:spacing w:after="0"/>
              <w:rPr>
                <w:sz w:val="14"/>
                <w:szCs w:val="14"/>
                <w:color w:val="auto"/>
              </w:rPr>
            </w:pP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133.3</w:t>
            </w:r>
          </w:p>
        </w:tc>
        <w:tc>
          <w:tcPr>
            <w:tcW w:w="80" w:type="dxa"/>
            <w:vAlign w:val="bottom"/>
          </w:tcPr>
          <w:p>
            <w:pPr>
              <w:spacing w:after="0"/>
              <w:rPr>
                <w:sz w:val="14"/>
                <w:szCs w:val="14"/>
                <w:color w:val="auto"/>
              </w:rPr>
            </w:pP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1,483.0</w:t>
            </w:r>
          </w:p>
        </w:tc>
        <w:tc>
          <w:tcPr>
            <w:tcW w:w="180" w:type="dxa"/>
            <w:vAlign w:val="bottom"/>
          </w:tcPr>
          <w:p>
            <w:pPr>
              <w:spacing w:after="0"/>
              <w:rPr>
                <w:sz w:val="14"/>
                <w:szCs w:val="14"/>
                <w:color w:val="auto"/>
              </w:rPr>
            </w:pP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956.2</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318.8</w:t>
            </w:r>
          </w:p>
        </w:tc>
        <w:tc>
          <w:tcPr>
            <w:tcW w:w="80" w:type="dxa"/>
            <w:vAlign w:val="bottom"/>
          </w:tcPr>
          <w:p>
            <w:pPr>
              <w:spacing w:after="0"/>
              <w:rPr>
                <w:sz w:val="14"/>
                <w:szCs w:val="14"/>
                <w:color w:val="auto"/>
              </w:rPr>
            </w:pP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132.2</w:t>
            </w:r>
          </w:p>
        </w:tc>
        <w:tc>
          <w:tcPr>
            <w:tcW w:w="80" w:type="dxa"/>
            <w:vAlign w:val="bottom"/>
          </w:tcPr>
          <w:p>
            <w:pPr>
              <w:spacing w:after="0"/>
              <w:rPr>
                <w:sz w:val="14"/>
                <w:szCs w:val="14"/>
                <w:color w:val="auto"/>
              </w:rPr>
            </w:pP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1,407.2</w:t>
            </w:r>
          </w:p>
        </w:tc>
      </w:tr>
      <w:tr>
        <w:trPr>
          <w:trHeight w:val="175"/>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Real property - transient</w:t>
            </w:r>
          </w:p>
        </w:tc>
        <w:tc>
          <w:tcPr>
            <w:tcW w:w="2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229.4</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52.4</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282.8</w:t>
            </w:r>
          </w:p>
        </w:tc>
        <w:tc>
          <w:tcPr>
            <w:tcW w:w="1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249.7</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45.0</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295.9</w:t>
            </w:r>
          </w:p>
        </w:tc>
      </w:tr>
      <w:tr>
        <w:trPr>
          <w:trHeight w:val="164"/>
        </w:trPr>
        <w:tc>
          <w:tcPr>
            <w:tcW w:w="31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 operating revenues</w:t>
            </w:r>
          </w:p>
        </w:tc>
        <w:tc>
          <w:tcPr>
            <w:tcW w:w="220" w:type="dxa"/>
            <w:vAlign w:val="bottom"/>
          </w:tcPr>
          <w:p>
            <w:pPr>
              <w:spacing w:after="0"/>
              <w:rPr>
                <w:sz w:val="14"/>
                <w:szCs w:val="14"/>
                <w:color w:val="auto"/>
              </w:rPr>
            </w:pPr>
          </w:p>
        </w:tc>
        <w:tc>
          <w:tcPr>
            <w:tcW w:w="7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1,013.5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566.6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185.7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1,765.8</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957.4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568.5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177.2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1,703.1</w:t>
            </w:r>
          </w:p>
        </w:tc>
      </w:tr>
      <w:tr>
        <w:trPr>
          <w:trHeight w:val="175"/>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72"/>
        </w:trPr>
        <w:tc>
          <w:tcPr>
            <w:tcW w:w="31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Property operating expenses</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321.8</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color w:val="auto"/>
              </w:rPr>
              <w:t>280.2</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color w:val="auto"/>
              </w:rPr>
              <w:t>105.0</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707.0</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314.1</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color w:val="auto"/>
              </w:rPr>
              <w:t>275.6</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98.1</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687.8</w:t>
            </w:r>
          </w:p>
        </w:tc>
      </w:tr>
      <w:tr>
        <w:trPr>
          <w:trHeight w:val="168"/>
        </w:trPr>
        <w:tc>
          <w:tcPr>
            <w:tcW w:w="3120" w:type="dxa"/>
            <w:vAlign w:val="bottom"/>
            <w:tcBorders>
              <w:bottom w:val="single" w:sz="8" w:color="CCEEFF"/>
            </w:tcBorders>
            <w:shd w:val="clear" w:color="auto" w:fill="CCEEFF"/>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Real Property NOI</w:t>
            </w:r>
          </w:p>
        </w:tc>
        <w:tc>
          <w:tcPr>
            <w:tcW w:w="220" w:type="dxa"/>
            <w:vAlign w:val="bottom"/>
            <w:tcBorders>
              <w:bottom w:val="single" w:sz="8" w:color="auto"/>
            </w:tcBorders>
            <w:shd w:val="clear" w:color="auto" w:fill="CCEEFF"/>
          </w:tcPr>
          <w:p>
            <w:pPr>
              <w:jc w:val="right"/>
              <w:ind w:right="74"/>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ind w:right="54"/>
              <w:spacing w:after="0" w:line="144" w:lineRule="exact"/>
              <w:rPr>
                <w:sz w:val="20"/>
                <w:szCs w:val="20"/>
                <w:color w:val="auto"/>
              </w:rPr>
            </w:pPr>
            <w:r>
              <w:rPr>
                <w:rFonts w:ascii="Times New Roman" w:cs="Times New Roman" w:eastAsia="Times New Roman" w:hAnsi="Times New Roman"/>
                <w:sz w:val="13"/>
                <w:szCs w:val="13"/>
                <w:color w:val="auto"/>
              </w:rPr>
              <w:t>691.7</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286.4</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74"/>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80.7</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54"/>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1,058.8</w:t>
            </w:r>
          </w:p>
        </w:tc>
        <w:tc>
          <w:tcPr>
            <w:tcW w:w="1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54"/>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643.3</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292.9</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74"/>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79.1</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54"/>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ind w:right="54"/>
              <w:spacing w:after="0" w:line="144" w:lineRule="exact"/>
              <w:rPr>
                <w:sz w:val="20"/>
                <w:szCs w:val="20"/>
                <w:color w:val="auto"/>
              </w:rPr>
            </w:pPr>
            <w:r>
              <w:rPr>
                <w:rFonts w:ascii="Times New Roman" w:cs="Times New Roman" w:eastAsia="Times New Roman" w:hAnsi="Times New Roman"/>
                <w:sz w:val="13"/>
                <w:szCs w:val="13"/>
                <w:color w:val="auto"/>
              </w:rPr>
              <w:t>1,015.3</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tbl>
      <w:tblPr>
        <w:tblLayout w:type="fixed"/>
        <w:tblInd w:w="7" w:type="dxa"/>
        <w:tblCellMar>
          <w:top w:w="0" w:type="dxa"/>
          <w:left w:w="0" w:type="dxa"/>
          <w:bottom w:w="0" w:type="dxa"/>
          <w:right w:w="0" w:type="dxa"/>
        </w:tblCellMar>
      </w:tblPr>
      <w:tr>
        <w:trPr>
          <w:trHeight w:val="176"/>
        </w:trPr>
        <w:tc>
          <w:tcPr>
            <w:tcW w:w="31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3"/>
                <w:szCs w:val="13"/>
                <w:b w:val="1"/>
                <w:bCs w:val="1"/>
                <w:color w:val="auto"/>
              </w:rPr>
              <w:t>As of December 31, 2025</w:t>
            </w:r>
          </w:p>
        </w:tc>
        <w:tc>
          <w:tcPr>
            <w:tcW w:w="9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c>
          <w:tcPr>
            <w:tcW w:w="940" w:type="dxa"/>
            <w:vAlign w:val="bottom"/>
            <w:tcBorders>
              <w:bottom w:val="single" w:sz="8" w:color="auto"/>
            </w:tcBorders>
          </w:tcPr>
          <w:p>
            <w:pPr>
              <w:spacing w:after="0"/>
              <w:rPr>
                <w:sz w:val="15"/>
                <w:szCs w:val="15"/>
                <w:color w:val="auto"/>
              </w:rPr>
            </w:pPr>
          </w:p>
        </w:tc>
      </w:tr>
      <w:tr>
        <w:trPr>
          <w:trHeight w:val="168"/>
        </w:trPr>
        <w:tc>
          <w:tcPr>
            <w:tcW w:w="3120" w:type="dxa"/>
            <w:vAlign w:val="bottom"/>
          </w:tcPr>
          <w:p>
            <w:pPr>
              <w:spacing w:after="0"/>
              <w:rPr>
                <w:sz w:val="14"/>
                <w:szCs w:val="14"/>
                <w:color w:val="auto"/>
              </w:rPr>
            </w:pPr>
          </w:p>
        </w:tc>
        <w:tc>
          <w:tcPr>
            <w:tcW w:w="100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MH</w:t>
            </w:r>
          </w:p>
        </w:tc>
        <w:tc>
          <w:tcPr>
            <w:tcW w:w="980" w:type="dxa"/>
            <w:vAlign w:val="bottom"/>
            <w:gridSpan w:val="2"/>
          </w:tcPr>
          <w:p>
            <w:pPr>
              <w:ind w:left="360"/>
              <w:spacing w:after="0"/>
              <w:rPr>
                <w:sz w:val="20"/>
                <w:szCs w:val="20"/>
                <w:color w:val="auto"/>
              </w:rPr>
            </w:pPr>
            <w:r>
              <w:rPr>
                <w:rFonts w:ascii="Times New Roman" w:cs="Times New Roman" w:eastAsia="Times New Roman" w:hAnsi="Times New Roman"/>
                <w:sz w:val="13"/>
                <w:szCs w:val="13"/>
                <w:b w:val="1"/>
                <w:bCs w:val="1"/>
                <w:color w:val="auto"/>
              </w:rPr>
              <w:t>RV</w:t>
            </w:r>
          </w:p>
        </w:tc>
        <w:tc>
          <w:tcPr>
            <w:tcW w:w="980" w:type="dxa"/>
            <w:vAlign w:val="bottom"/>
            <w:gridSpan w:val="2"/>
          </w:tcPr>
          <w:p>
            <w:pPr>
              <w:ind w:left="360"/>
              <w:spacing w:after="0"/>
              <w:rPr>
                <w:sz w:val="20"/>
                <w:szCs w:val="20"/>
                <w:color w:val="auto"/>
              </w:rPr>
            </w:pPr>
            <w:r>
              <w:rPr>
                <w:rFonts w:ascii="Times New Roman" w:cs="Times New Roman" w:eastAsia="Times New Roman" w:hAnsi="Times New Roman"/>
                <w:sz w:val="13"/>
                <w:szCs w:val="13"/>
                <w:b w:val="1"/>
                <w:bCs w:val="1"/>
                <w:color w:val="auto"/>
              </w:rPr>
              <w:t>UK</w:t>
            </w:r>
          </w:p>
        </w:tc>
        <w:tc>
          <w:tcPr>
            <w:tcW w:w="940" w:type="dxa"/>
            <w:vAlign w:val="bottom"/>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80" w:type="dxa"/>
            <w:vAlign w:val="bottom"/>
          </w:tcPr>
          <w:p>
            <w:pPr>
              <w:spacing w:after="0"/>
              <w:rPr>
                <w:sz w:val="14"/>
                <w:szCs w:val="14"/>
                <w:color w:val="auto"/>
              </w:rPr>
            </w:pPr>
          </w:p>
        </w:tc>
        <w:tc>
          <w:tcPr>
            <w:tcW w:w="98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MH</w:t>
            </w:r>
          </w:p>
        </w:tc>
        <w:tc>
          <w:tcPr>
            <w:tcW w:w="1000" w:type="dxa"/>
            <w:vAlign w:val="bottom"/>
            <w:gridSpan w:val="2"/>
          </w:tcPr>
          <w:p>
            <w:pPr>
              <w:ind w:left="380"/>
              <w:spacing w:after="0"/>
              <w:rPr>
                <w:sz w:val="20"/>
                <w:szCs w:val="20"/>
                <w:color w:val="auto"/>
              </w:rPr>
            </w:pPr>
            <w:r>
              <w:rPr>
                <w:rFonts w:ascii="Times New Roman" w:cs="Times New Roman" w:eastAsia="Times New Roman" w:hAnsi="Times New Roman"/>
                <w:sz w:val="13"/>
                <w:szCs w:val="13"/>
                <w:b w:val="1"/>
                <w:bCs w:val="1"/>
                <w:color w:val="auto"/>
              </w:rPr>
              <w:t>RV</w:t>
            </w:r>
          </w:p>
        </w:tc>
        <w:tc>
          <w:tcPr>
            <w:tcW w:w="1000" w:type="dxa"/>
            <w:vAlign w:val="bottom"/>
            <w:gridSpan w:val="2"/>
          </w:tcPr>
          <w:p>
            <w:pPr>
              <w:ind w:left="360"/>
              <w:spacing w:after="0"/>
              <w:rPr>
                <w:sz w:val="20"/>
                <w:szCs w:val="20"/>
                <w:color w:val="auto"/>
              </w:rPr>
            </w:pPr>
            <w:r>
              <w:rPr>
                <w:rFonts w:ascii="Times New Roman" w:cs="Times New Roman" w:eastAsia="Times New Roman" w:hAnsi="Times New Roman"/>
                <w:sz w:val="13"/>
                <w:szCs w:val="13"/>
                <w:b w:val="1"/>
                <w:bCs w:val="1"/>
                <w:color w:val="auto"/>
              </w:rPr>
              <w:t>UK</w:t>
            </w:r>
          </w:p>
        </w:tc>
        <w:tc>
          <w:tcPr>
            <w:tcW w:w="940" w:type="dxa"/>
            <w:vAlign w:val="bottom"/>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6"/>
        </w:trPr>
        <w:tc>
          <w:tcPr>
            <w:tcW w:w="3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Number of Properties</w:t>
            </w:r>
          </w:p>
        </w:tc>
        <w:tc>
          <w:tcPr>
            <w:tcW w:w="92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294</w:t>
            </w:r>
          </w:p>
        </w:tc>
        <w:tc>
          <w:tcPr>
            <w:tcW w:w="8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166</w:t>
            </w:r>
          </w:p>
        </w:tc>
        <w:tc>
          <w:tcPr>
            <w:tcW w:w="8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53</w:t>
            </w:r>
          </w:p>
        </w:tc>
        <w:tc>
          <w:tcPr>
            <w:tcW w:w="8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513</w:t>
            </w:r>
          </w:p>
        </w:tc>
        <w:tc>
          <w:tcPr>
            <w:tcW w:w="18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287</w:t>
            </w: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167</w:t>
            </w: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53</w:t>
            </w:r>
          </w:p>
        </w:tc>
        <w:tc>
          <w:tcPr>
            <w:tcW w:w="8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507</w:t>
            </w:r>
          </w:p>
        </w:tc>
      </w:tr>
      <w:tr>
        <w:trPr>
          <w:trHeight w:val="173"/>
        </w:trPr>
        <w:tc>
          <w:tcPr>
            <w:tcW w:w="31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Sites</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4"/>
        </w:trPr>
        <w:tc>
          <w:tcPr>
            <w:tcW w:w="3120" w:type="dxa"/>
            <w:vAlign w:val="bottom"/>
            <w:shd w:val="clear" w:color="auto" w:fill="CCEEFF"/>
          </w:tcPr>
          <w:p>
            <w:pPr>
              <w:ind w:left="100"/>
              <w:spacing w:after="0" w:line="174" w:lineRule="exact"/>
              <w:rPr>
                <w:sz w:val="20"/>
                <w:szCs w:val="20"/>
                <w:color w:val="auto"/>
              </w:rPr>
            </w:pPr>
            <w:r>
              <w:rPr>
                <w:rFonts w:ascii="Times New Roman" w:cs="Times New Roman" w:eastAsia="Times New Roman" w:hAnsi="Times New Roman"/>
                <w:sz w:val="13"/>
                <w:szCs w:val="13"/>
                <w:color w:val="auto"/>
              </w:rPr>
              <w:t>Sites</w:t>
            </w:r>
            <w:r>
              <w:rPr>
                <w:rFonts w:ascii="Times New Roman" w:cs="Times New Roman" w:eastAsia="Times New Roman" w:hAnsi="Times New Roman"/>
                <w:sz w:val="17"/>
                <w:szCs w:val="17"/>
                <w:color w:val="auto"/>
                <w:vertAlign w:val="superscript"/>
              </w:rPr>
              <w:t>(1)</w:t>
            </w:r>
          </w:p>
        </w:tc>
        <w:tc>
          <w:tcPr>
            <w:tcW w:w="9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100,150</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33,330</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17,750</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151,230</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97,430</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32,100</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17,690</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147,220</w:t>
            </w:r>
          </w:p>
        </w:tc>
      </w:tr>
      <w:tr>
        <w:trPr>
          <w:trHeight w:val="172"/>
        </w:trPr>
        <w:tc>
          <w:tcPr>
            <w:tcW w:w="31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Transient sites</w:t>
            </w:r>
          </w:p>
        </w:tc>
        <w:tc>
          <w:tcPr>
            <w:tcW w:w="100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N/A</w:t>
            </w:r>
          </w:p>
        </w:tc>
        <w:tc>
          <w:tcPr>
            <w:tcW w:w="9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23,550</w:t>
            </w:r>
          </w:p>
        </w:tc>
        <w:tc>
          <w:tcPr>
            <w:tcW w:w="80" w:type="dxa"/>
            <w:vAlign w:val="bottom"/>
          </w:tcPr>
          <w:p>
            <w:pPr>
              <w:spacing w:after="0"/>
              <w:rPr>
                <w:sz w:val="14"/>
                <w:szCs w:val="14"/>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3,870</w:t>
            </w:r>
          </w:p>
        </w:tc>
        <w:tc>
          <w:tcPr>
            <w:tcW w:w="80" w:type="dxa"/>
            <w:vAlign w:val="bottom"/>
          </w:tcPr>
          <w:p>
            <w:pPr>
              <w:spacing w:after="0"/>
              <w:rPr>
                <w:sz w:val="14"/>
                <w:szCs w:val="14"/>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27,420</w:t>
            </w:r>
          </w:p>
        </w:tc>
        <w:tc>
          <w:tcPr>
            <w:tcW w:w="180" w:type="dxa"/>
            <w:vAlign w:val="bottom"/>
          </w:tcPr>
          <w:p>
            <w:pPr>
              <w:spacing w:after="0"/>
              <w:rPr>
                <w:sz w:val="14"/>
                <w:szCs w:val="14"/>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N/A</w:t>
            </w: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24,830</w:t>
            </w:r>
          </w:p>
        </w:tc>
        <w:tc>
          <w:tcPr>
            <w:tcW w:w="80" w:type="dxa"/>
            <w:vAlign w:val="bottom"/>
          </w:tcPr>
          <w:p>
            <w:pPr>
              <w:spacing w:after="0"/>
              <w:rPr>
                <w:sz w:val="14"/>
                <w:szCs w:val="14"/>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4,340</w:t>
            </w:r>
          </w:p>
        </w:tc>
        <w:tc>
          <w:tcPr>
            <w:tcW w:w="80" w:type="dxa"/>
            <w:vAlign w:val="bottom"/>
          </w:tcPr>
          <w:p>
            <w:pPr>
              <w:spacing w:after="0"/>
              <w:rPr>
                <w:sz w:val="14"/>
                <w:szCs w:val="14"/>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29,170</w:t>
            </w:r>
          </w:p>
        </w:tc>
      </w:tr>
      <w:tr>
        <w:trPr>
          <w:trHeight w:val="167"/>
        </w:trPr>
        <w:tc>
          <w:tcPr>
            <w:tcW w:w="31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Total</w:t>
            </w:r>
          </w:p>
        </w:tc>
        <w:tc>
          <w:tcPr>
            <w:tcW w:w="92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100,150</w:t>
            </w:r>
          </w:p>
        </w:tc>
        <w:tc>
          <w:tcPr>
            <w:tcW w:w="8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56,880</w:t>
            </w:r>
          </w:p>
        </w:tc>
        <w:tc>
          <w:tcPr>
            <w:tcW w:w="8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21,620</w:t>
            </w:r>
          </w:p>
        </w:tc>
        <w:tc>
          <w:tcPr>
            <w:tcW w:w="8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178,650</w:t>
            </w:r>
          </w:p>
        </w:tc>
        <w:tc>
          <w:tcPr>
            <w:tcW w:w="18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97,430</w:t>
            </w: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56,930</w:t>
            </w: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22,030</w:t>
            </w:r>
          </w:p>
        </w:tc>
        <w:tc>
          <w:tcPr>
            <w:tcW w:w="8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176,390</w:t>
            </w:r>
          </w:p>
        </w:tc>
      </w:tr>
      <w:tr>
        <w:trPr>
          <w:trHeight w:val="173"/>
        </w:trPr>
        <w:tc>
          <w:tcPr>
            <w:tcW w:w="31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Occupancy</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97.2 %</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89.1 %</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96.9 %</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97.3 %</w:t>
            </w: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89.7 %</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97.0 %</w:t>
            </w:r>
          </w:p>
        </w:tc>
      </w:tr>
    </w:tbl>
    <w:p>
      <w:pPr>
        <w:spacing w:after="0" w:line="7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color w:val="auto"/>
        </w:rPr>
        <w:t>N/A = Not applicable.</w:t>
      </w:r>
    </w:p>
    <w:p>
      <w:pPr>
        <w:spacing w:after="0" w:line="15" w:lineRule="exact"/>
        <w:rPr>
          <w:sz w:val="20"/>
          <w:szCs w:val="20"/>
          <w:color w:val="auto"/>
        </w:rPr>
      </w:pPr>
    </w:p>
    <w:p>
      <w:pPr>
        <w:ind w:left="147" w:right="20" w:hanging="147"/>
        <w:spacing w:after="0" w:line="275" w:lineRule="auto"/>
        <w:tabs>
          <w:tab w:leader="none" w:pos="134" w:val="left"/>
        </w:tabs>
        <w:numPr>
          <w:ilvl w:val="0"/>
          <w:numId w:val="21"/>
        </w:numPr>
        <w:rPr>
          <w:rFonts w:ascii="Times New Roman" w:cs="Times New Roman" w:eastAsia="Times New Roman" w:hAnsi="Times New Roman"/>
          <w:sz w:val="8"/>
          <w:szCs w:val="8"/>
          <w:color w:val="auto"/>
        </w:rPr>
      </w:pPr>
      <w:r>
        <w:rPr>
          <w:rFonts w:ascii="Times New Roman" w:cs="Times New Roman" w:eastAsia="Times New Roman" w:hAnsi="Times New Roman"/>
          <w:sz w:val="12"/>
          <w:szCs w:val="12"/>
          <w:color w:val="auto"/>
        </w:rPr>
        <w:t>MH annual sites included 12,518 and 10,923 rental homes in our Rental Program at December 31, 2025 and 2024, respectively. Our investment in occupied rental homes at December 31, 2025 was $921.3 million, an increase of 17.7% from $783.0 million at December 31, 2024.</w:t>
      </w:r>
    </w:p>
    <w:p>
      <w:pPr>
        <w:spacing w:after="0" w:line="69" w:lineRule="exact"/>
        <w:rPr>
          <w:sz w:val="20"/>
          <w:szCs w:val="20"/>
          <w:color w:val="auto"/>
        </w:rPr>
      </w:pPr>
    </w:p>
    <w:p>
      <w:pPr>
        <w:jc w:val="both"/>
        <w:ind w:left="7"/>
        <w:spacing w:after="0" w:line="273" w:lineRule="auto"/>
        <w:rPr>
          <w:sz w:val="20"/>
          <w:szCs w:val="20"/>
          <w:color w:val="auto"/>
        </w:rPr>
      </w:pPr>
      <w:r>
        <w:rPr>
          <w:rFonts w:ascii="Times New Roman" w:cs="Times New Roman" w:eastAsia="Times New Roman" w:hAnsi="Times New Roman"/>
          <w:sz w:val="15"/>
          <w:szCs w:val="15"/>
          <w:color w:val="auto"/>
        </w:rPr>
        <w:t>For the year ended December 31, 2025, the $43.5 million, or 4.3%, increase in Real Property NOI as compared to the same period in 2024, consists of an increase of $56.0 million from Same Property MH, and an increase of $2.7 million from Same Property UK, partially offset by an NOI decrease of $11.1 million, net from properties outside of the Same Property population due to portfolio disposition activity that took place in 2024, primarily driven by the disposition of 10 MH properties for total gross sales proceeds of $349.1 million.</w:t>
      </w:r>
    </w:p>
    <w:p>
      <w:pPr>
        <w:spacing w:after="0" w:line="24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i w:val="1"/>
          <w:iCs w:val="1"/>
          <w:color w:val="auto"/>
        </w:rPr>
        <w:t>Real Property Operations - North America Same Property Portfolio</w:t>
      </w:r>
    </w:p>
    <w:p>
      <w:pPr>
        <w:spacing w:after="0" w:line="109" w:lineRule="exact"/>
        <w:rPr>
          <w:sz w:val="20"/>
          <w:szCs w:val="20"/>
          <w:color w:val="auto"/>
        </w:rPr>
      </w:pPr>
    </w:p>
    <w:p>
      <w:pPr>
        <w:jc w:val="both"/>
        <w:ind w:left="7"/>
        <w:spacing w:after="0" w:line="276" w:lineRule="auto"/>
        <w:rPr>
          <w:sz w:val="20"/>
          <w:szCs w:val="20"/>
          <w:color w:val="auto"/>
        </w:rPr>
      </w:pPr>
      <w:r>
        <w:rPr>
          <w:rFonts w:ascii="Times New Roman" w:cs="Times New Roman" w:eastAsia="Times New Roman" w:hAnsi="Times New Roman"/>
          <w:sz w:val="15"/>
          <w:szCs w:val="15"/>
          <w:color w:val="auto"/>
        </w:rPr>
        <w:t>In order to evaluate the growth of the Same Property portfolio, management has classified certain items differently than our GAAP statements. The reclassification difference between our GAAP statements and our Same Property portfolio is the reclassification of utility revenues from real property revenue to operating expenses. A significant portion of our utility charges are re-billed to our residents. Additionally, for the UK segment, the amounts in the tables below reflect constant currency for comparative purposes.</w:t>
      </w:r>
    </w:p>
    <w:p>
      <w:pPr>
        <w:spacing w:after="0" w:line="200" w:lineRule="exact"/>
        <w:rPr>
          <w:sz w:val="20"/>
          <w:szCs w:val="20"/>
          <w:color w:val="auto"/>
        </w:rPr>
      </w:pPr>
    </w:p>
    <w:p>
      <w:pPr>
        <w:spacing w:after="0" w:line="27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121920</wp:posOffset>
            </wp:positionV>
            <wp:extent cx="7177405" cy="400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121" w:right="319" w:bottom="1440" w:gutter="0" w:footer="0" w:header="0"/>
        </w:sectPr>
      </w:pPr>
    </w:p>
    <w:bookmarkStart w:id="33" w:name="page34"/>
    <w:bookmarkEnd w:id="33"/>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7"/>
        <w:spacing w:after="0" w:line="295" w:lineRule="auto"/>
        <w:rPr>
          <w:sz w:val="20"/>
          <w:szCs w:val="20"/>
          <w:color w:val="auto"/>
        </w:rPr>
      </w:pPr>
      <w:r>
        <w:rPr>
          <w:rFonts w:ascii="Times New Roman" w:cs="Times New Roman" w:eastAsia="Times New Roman" w:hAnsi="Times New Roman"/>
          <w:sz w:val="15"/>
          <w:szCs w:val="15"/>
          <w:color w:val="auto"/>
        </w:rPr>
        <w:t>The following tables reflect certain financial and other information for our Same Property MH and RV portfolios as of and for the years ended December 31, 2025 and 2024 (in millions, except for statistical information):</w:t>
      </w:r>
    </w:p>
    <w:p>
      <w:pPr>
        <w:spacing w:after="0" w:line="71" w:lineRule="exact"/>
        <w:rPr>
          <w:sz w:val="20"/>
          <w:szCs w:val="20"/>
          <w:color w:val="auto"/>
        </w:rPr>
      </w:pPr>
    </w:p>
    <w:tbl>
      <w:tblPr>
        <w:tblLayout w:type="fixed"/>
        <w:tblInd w:w="7" w:type="dxa"/>
        <w:tblCellMar>
          <w:top w:w="0" w:type="dxa"/>
          <w:left w:w="0" w:type="dxa"/>
          <w:bottom w:w="0" w:type="dxa"/>
          <w:right w:w="0" w:type="dxa"/>
        </w:tblCellMar>
      </w:tblPr>
      <w:tr>
        <w:trPr>
          <w:trHeight w:val="176"/>
        </w:trPr>
        <w:tc>
          <w:tcPr>
            <w:tcW w:w="2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80"/>
              <w:spacing w:after="0" w:line="168" w:lineRule="exact"/>
              <w:rPr>
                <w:sz w:val="20"/>
                <w:szCs w:val="20"/>
                <w:color w:val="auto"/>
              </w:rPr>
            </w:pPr>
            <w:r>
              <w:rPr>
                <w:rFonts w:ascii="Times New Roman" w:cs="Times New Roman" w:eastAsia="Times New Roman" w:hAnsi="Times New Roman"/>
                <w:sz w:val="13"/>
                <w:szCs w:val="13"/>
                <w:b w:val="1"/>
                <w:bCs w:val="1"/>
                <w:color w:val="auto"/>
                <w:w w:val="94"/>
              </w:rPr>
              <w:t>% Change</w:t>
            </w:r>
            <w:r>
              <w:rPr>
                <w:rFonts w:ascii="Times New Roman" w:cs="Times New Roman" w:eastAsia="Times New Roman" w:hAnsi="Times New Roman"/>
                <w:sz w:val="17"/>
                <w:szCs w:val="17"/>
                <w:b w:val="1"/>
                <w:bCs w:val="1"/>
                <w:color w:val="auto"/>
                <w:w w:val="94"/>
                <w:vertAlign w:val="superscript"/>
              </w:rPr>
              <w:t>(2)</w:t>
            </w: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ind w:left="80"/>
              <w:spacing w:after="0" w:line="165" w:lineRule="exact"/>
              <w:rPr>
                <w:sz w:val="20"/>
                <w:szCs w:val="20"/>
                <w:color w:val="auto"/>
              </w:rPr>
            </w:pPr>
            <w:r>
              <w:rPr>
                <w:rFonts w:ascii="Times New Roman" w:cs="Times New Roman" w:eastAsia="Times New Roman" w:hAnsi="Times New Roman"/>
                <w:sz w:val="19"/>
                <w:szCs w:val="19"/>
                <w:b w:val="1"/>
                <w:bCs w:val="1"/>
                <w:color w:val="auto"/>
                <w:vertAlign w:val="subscript"/>
              </w:rPr>
              <w:t>MH</w:t>
            </w:r>
            <w:r>
              <w:rPr>
                <w:rFonts w:ascii="Times New Roman" w:cs="Times New Roman" w:eastAsia="Times New Roman" w:hAnsi="Times New Roman"/>
                <w:sz w:val="7"/>
                <w:szCs w:val="7"/>
                <w:b w:val="1"/>
                <w:bCs w:val="1"/>
                <w:color w:val="auto"/>
              </w:rPr>
              <w:t>(1)</w:t>
            </w:r>
          </w:p>
        </w:tc>
        <w:tc>
          <w:tcPr>
            <w:tcW w:w="180" w:type="dxa"/>
            <w:vAlign w:val="bottom"/>
          </w:tcPr>
          <w:p>
            <w:pPr>
              <w:spacing w:after="0"/>
              <w:rPr>
                <w:sz w:val="14"/>
                <w:szCs w:val="14"/>
                <w:color w:val="auto"/>
              </w:rPr>
            </w:pPr>
          </w:p>
        </w:tc>
        <w:tc>
          <w:tcPr>
            <w:tcW w:w="740" w:type="dxa"/>
            <w:vAlign w:val="bottom"/>
            <w:gridSpan w:val="2"/>
          </w:tcPr>
          <w:p>
            <w:pPr>
              <w:jc w:val="right"/>
              <w:ind w:right="360"/>
              <w:spacing w:after="0" w:line="165" w:lineRule="exact"/>
              <w:rPr>
                <w:sz w:val="20"/>
                <w:szCs w:val="20"/>
                <w:color w:val="auto"/>
              </w:rPr>
            </w:pPr>
            <w:r>
              <w:rPr>
                <w:rFonts w:ascii="Times New Roman" w:cs="Times New Roman" w:eastAsia="Times New Roman" w:hAnsi="Times New Roman"/>
                <w:sz w:val="19"/>
                <w:szCs w:val="19"/>
                <w:b w:val="1"/>
                <w:bCs w:val="1"/>
                <w:color w:val="auto"/>
                <w:vertAlign w:val="subscript"/>
              </w:rPr>
              <w:t>RV</w:t>
            </w:r>
            <w:r>
              <w:rPr>
                <w:rFonts w:ascii="Times New Roman" w:cs="Times New Roman" w:eastAsia="Times New Roman" w:hAnsi="Times New Roman"/>
                <w:sz w:val="7"/>
                <w:szCs w:val="7"/>
                <w:b w:val="1"/>
                <w:bCs w:val="1"/>
                <w:color w:val="auto"/>
              </w:rPr>
              <w:t>(1)</w:t>
            </w:r>
          </w:p>
        </w:tc>
        <w:tc>
          <w:tcPr>
            <w:tcW w:w="180" w:type="dxa"/>
            <w:vAlign w:val="bottom"/>
          </w:tcPr>
          <w:p>
            <w:pPr>
              <w:spacing w:after="0"/>
              <w:rPr>
                <w:sz w:val="14"/>
                <w:szCs w:val="14"/>
                <w:color w:val="auto"/>
              </w:rPr>
            </w:pPr>
          </w:p>
        </w:tc>
        <w:tc>
          <w:tcPr>
            <w:tcW w:w="660" w:type="dxa"/>
            <w:vAlign w:val="bottom"/>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ind w:left="100"/>
              <w:spacing w:after="0" w:line="165" w:lineRule="exact"/>
              <w:rPr>
                <w:sz w:val="20"/>
                <w:szCs w:val="20"/>
                <w:color w:val="auto"/>
              </w:rPr>
            </w:pPr>
            <w:r>
              <w:rPr>
                <w:rFonts w:ascii="Times New Roman" w:cs="Times New Roman" w:eastAsia="Times New Roman" w:hAnsi="Times New Roman"/>
                <w:sz w:val="19"/>
                <w:szCs w:val="19"/>
                <w:b w:val="1"/>
                <w:bCs w:val="1"/>
                <w:color w:val="auto"/>
                <w:vertAlign w:val="subscript"/>
              </w:rPr>
              <w:t>MH</w:t>
            </w:r>
            <w:r>
              <w:rPr>
                <w:rFonts w:ascii="Times New Roman" w:cs="Times New Roman" w:eastAsia="Times New Roman" w:hAnsi="Times New Roman"/>
                <w:sz w:val="7"/>
                <w:szCs w:val="7"/>
                <w:b w:val="1"/>
                <w:bCs w:val="1"/>
                <w:color w:val="auto"/>
              </w:rPr>
              <w:t>(1)</w:t>
            </w:r>
          </w:p>
        </w:tc>
        <w:tc>
          <w:tcPr>
            <w:tcW w:w="100" w:type="dxa"/>
            <w:vAlign w:val="bottom"/>
          </w:tcPr>
          <w:p>
            <w:pPr>
              <w:spacing w:after="0"/>
              <w:rPr>
                <w:sz w:val="14"/>
                <w:szCs w:val="14"/>
                <w:color w:val="auto"/>
              </w:rPr>
            </w:pPr>
          </w:p>
        </w:tc>
        <w:tc>
          <w:tcPr>
            <w:tcW w:w="820" w:type="dxa"/>
            <w:vAlign w:val="bottom"/>
            <w:gridSpan w:val="2"/>
          </w:tcPr>
          <w:p>
            <w:pPr>
              <w:ind w:left="180"/>
              <w:spacing w:after="0" w:line="165" w:lineRule="exact"/>
              <w:rPr>
                <w:sz w:val="20"/>
                <w:szCs w:val="20"/>
                <w:color w:val="auto"/>
              </w:rPr>
            </w:pPr>
            <w:r>
              <w:rPr>
                <w:rFonts w:ascii="Times New Roman" w:cs="Times New Roman" w:eastAsia="Times New Roman" w:hAnsi="Times New Roman"/>
                <w:sz w:val="19"/>
                <w:szCs w:val="19"/>
                <w:b w:val="1"/>
                <w:bCs w:val="1"/>
                <w:color w:val="auto"/>
                <w:vertAlign w:val="subscript"/>
              </w:rPr>
              <w:t>RV</w:t>
            </w:r>
            <w:r>
              <w:rPr>
                <w:rFonts w:ascii="Times New Roman" w:cs="Times New Roman" w:eastAsia="Times New Roman" w:hAnsi="Times New Roman"/>
                <w:sz w:val="7"/>
                <w:szCs w:val="7"/>
                <w:b w:val="1"/>
                <w:bCs w:val="1"/>
                <w:color w:val="auto"/>
              </w:rPr>
              <w:t>(1)</w:t>
            </w:r>
          </w:p>
        </w:tc>
        <w:tc>
          <w:tcPr>
            <w:tcW w:w="18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Pr>
          <w:p>
            <w:pPr>
              <w:spacing w:after="0"/>
              <w:rPr>
                <w:sz w:val="14"/>
                <w:szCs w:val="14"/>
                <w:color w:val="auto"/>
              </w:rPr>
            </w:pP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Total Change</w:t>
            </w:r>
          </w:p>
        </w:tc>
        <w:tc>
          <w:tcPr>
            <w:tcW w:w="90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MH</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RV</w:t>
            </w:r>
          </w:p>
        </w:tc>
        <w:tc>
          <w:tcPr>
            <w:tcW w:w="82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4"/>
        </w:trPr>
        <w:tc>
          <w:tcPr>
            <w:tcW w:w="2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Same Property Revenues</w:t>
            </w:r>
          </w:p>
        </w:tc>
        <w:tc>
          <w:tcPr>
            <w:tcW w:w="16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1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Real property (excluding transient)</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927.4</w:t>
            </w:r>
          </w:p>
        </w:tc>
        <w:tc>
          <w:tcPr>
            <w:tcW w:w="80" w:type="dxa"/>
            <w:vAlign w:val="bottom"/>
          </w:tcPr>
          <w:p>
            <w:pPr>
              <w:spacing w:after="0"/>
              <w:rPr>
                <w:sz w:val="14"/>
                <w:szCs w:val="14"/>
                <w:color w:val="auto"/>
              </w:rPr>
            </w:pP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305.7</w:t>
            </w:r>
          </w:p>
        </w:tc>
        <w:tc>
          <w:tcPr>
            <w:tcW w:w="80" w:type="dxa"/>
            <w:vAlign w:val="bottom"/>
          </w:tcPr>
          <w:p>
            <w:pPr>
              <w:spacing w:after="0"/>
              <w:rPr>
                <w:sz w:val="14"/>
                <w:szCs w:val="14"/>
                <w:color w:val="auto"/>
              </w:rPr>
            </w:pP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1,233.1</w:t>
            </w:r>
          </w:p>
        </w:tc>
        <w:tc>
          <w:tcPr>
            <w:tcW w:w="140" w:type="dxa"/>
            <w:vAlign w:val="bottom"/>
          </w:tcPr>
          <w:p>
            <w:pPr>
              <w:spacing w:after="0"/>
              <w:rPr>
                <w:sz w:val="14"/>
                <w:szCs w:val="14"/>
                <w:color w:val="auto"/>
              </w:rPr>
            </w:pP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865.0</w:t>
            </w:r>
          </w:p>
        </w:tc>
        <w:tc>
          <w:tcPr>
            <w:tcW w:w="8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284.4</w:t>
            </w:r>
          </w:p>
        </w:tc>
        <w:tc>
          <w:tcPr>
            <w:tcW w:w="80" w:type="dxa"/>
            <w:vAlign w:val="bottom"/>
          </w:tcPr>
          <w:p>
            <w:pPr>
              <w:spacing w:after="0"/>
              <w:rPr>
                <w:sz w:val="14"/>
                <w:szCs w:val="14"/>
                <w:color w:val="auto"/>
              </w:rPr>
            </w:pP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1,149.4</w:t>
            </w:r>
          </w:p>
        </w:tc>
        <w:tc>
          <w:tcPr>
            <w:tcW w:w="140" w:type="dxa"/>
            <w:vAlign w:val="bottom"/>
          </w:tcPr>
          <w:p>
            <w:pPr>
              <w:spacing w:after="0"/>
              <w:rPr>
                <w:sz w:val="14"/>
                <w:szCs w:val="14"/>
                <w:color w:val="auto"/>
              </w:rPr>
            </w:pPr>
          </w:p>
        </w:tc>
        <w:tc>
          <w:tcPr>
            <w:tcW w:w="2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center"/>
              <w:ind w:left="154"/>
              <w:spacing w:after="0"/>
              <w:rPr>
                <w:sz w:val="20"/>
                <w:szCs w:val="20"/>
                <w:color w:val="auto"/>
              </w:rPr>
            </w:pPr>
            <w:r>
              <w:rPr>
                <w:rFonts w:ascii="Times New Roman" w:cs="Times New Roman" w:eastAsia="Times New Roman" w:hAnsi="Times New Roman"/>
                <w:sz w:val="13"/>
                <w:szCs w:val="13"/>
                <w:color w:val="auto"/>
                <w:w w:val="96"/>
              </w:rPr>
              <w:t>83.7</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7.2 %</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7.5 %</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7.3 %</w:t>
            </w:r>
          </w:p>
        </w:tc>
        <w:tc>
          <w:tcPr>
            <w:tcW w:w="0" w:type="dxa"/>
            <w:vAlign w:val="bottom"/>
          </w:tcPr>
          <w:p>
            <w:pPr>
              <w:spacing w:after="0"/>
              <w:rPr>
                <w:sz w:val="1"/>
                <w:szCs w:val="1"/>
                <w:color w:val="auto"/>
              </w:rPr>
            </w:pPr>
          </w:p>
        </w:tc>
      </w:tr>
      <w:tr>
        <w:trPr>
          <w:trHeight w:val="175"/>
        </w:trPr>
        <w:tc>
          <w:tcPr>
            <w:tcW w:w="2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Real property - transient</w:t>
            </w:r>
          </w:p>
        </w:tc>
        <w:tc>
          <w:tcPr>
            <w:tcW w:w="1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214.4</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215.4</w:t>
            </w:r>
          </w:p>
        </w:tc>
        <w:tc>
          <w:tcPr>
            <w:tcW w:w="1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235.5</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236.6</w:t>
            </w:r>
          </w:p>
        </w:tc>
        <w:tc>
          <w:tcPr>
            <w:tcW w:w="1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center"/>
              <w:ind w:left="134"/>
              <w:spacing w:after="0"/>
              <w:rPr>
                <w:sz w:val="20"/>
                <w:szCs w:val="20"/>
                <w:color w:val="auto"/>
              </w:rPr>
            </w:pPr>
            <w:r>
              <w:rPr>
                <w:rFonts w:ascii="Times New Roman" w:cs="Times New Roman" w:eastAsia="Times New Roman" w:hAnsi="Times New Roman"/>
                <w:sz w:val="13"/>
                <w:szCs w:val="13"/>
                <w:color w:val="auto"/>
              </w:rPr>
              <w:t>(21.2)</w:t>
            </w:r>
          </w:p>
        </w:tc>
        <w:tc>
          <w:tcPr>
            <w:tcW w:w="8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8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8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0" w:type="dxa"/>
            <w:vAlign w:val="bottom"/>
          </w:tcPr>
          <w:p>
            <w:pPr>
              <w:spacing w:after="0"/>
              <w:rPr>
                <w:sz w:val="1"/>
                <w:szCs w:val="1"/>
                <w:color w:val="auto"/>
              </w:rPr>
            </w:pPr>
          </w:p>
        </w:tc>
      </w:tr>
      <w:tr>
        <w:trPr>
          <w:trHeight w:val="107"/>
        </w:trPr>
        <w:tc>
          <w:tcPr>
            <w:tcW w:w="2120" w:type="dxa"/>
            <w:vAlign w:val="bottom"/>
          </w:tcPr>
          <w:p>
            <w:pPr>
              <w:ind w:left="100"/>
              <w:spacing w:after="0" w:line="107" w:lineRule="exact"/>
              <w:rPr>
                <w:sz w:val="20"/>
                <w:szCs w:val="20"/>
                <w:color w:val="auto"/>
              </w:rPr>
            </w:pPr>
            <w:r>
              <w:rPr>
                <w:rFonts w:ascii="Times New Roman" w:cs="Times New Roman" w:eastAsia="Times New Roman" w:hAnsi="Times New Roman"/>
                <w:sz w:val="12"/>
                <w:szCs w:val="12"/>
                <w:color w:val="auto"/>
              </w:rPr>
              <w:t>Total Same Property operating</w:t>
            </w: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21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revenues</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928.4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520.1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1,448.5</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866.1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519.9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1,386.0</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jc w:val="center"/>
              <w:ind w:left="154"/>
              <w:spacing w:after="0"/>
              <w:rPr>
                <w:sz w:val="20"/>
                <w:szCs w:val="20"/>
                <w:color w:val="auto"/>
              </w:rPr>
            </w:pPr>
            <w:r>
              <w:rPr>
                <w:rFonts w:ascii="Times New Roman" w:cs="Times New Roman" w:eastAsia="Times New Roman" w:hAnsi="Times New Roman"/>
                <w:sz w:val="13"/>
                <w:szCs w:val="13"/>
                <w:color w:val="auto"/>
                <w:w w:val="96"/>
              </w:rPr>
              <w:t>62.5</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7.2 %</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4.5 %</w:t>
            </w:r>
          </w:p>
        </w:tc>
        <w:tc>
          <w:tcPr>
            <w:tcW w:w="0" w:type="dxa"/>
            <w:vAlign w:val="bottom"/>
          </w:tcPr>
          <w:p>
            <w:pPr>
              <w:spacing w:after="0"/>
              <w:rPr>
                <w:sz w:val="1"/>
                <w:szCs w:val="1"/>
                <w:color w:val="auto"/>
              </w:rPr>
            </w:pPr>
          </w:p>
        </w:tc>
      </w:tr>
      <w:tr>
        <w:trPr>
          <w:trHeight w:val="177"/>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Same Property Expenses</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120" w:type="dxa"/>
            <w:vAlign w:val="bottom"/>
          </w:tcPr>
          <w:p>
            <w:pPr>
              <w:ind w:left="100"/>
              <w:spacing w:after="0" w:line="127" w:lineRule="exact"/>
              <w:rPr>
                <w:sz w:val="20"/>
                <w:szCs w:val="20"/>
                <w:color w:val="auto"/>
              </w:rPr>
            </w:pPr>
            <w:r>
              <w:rPr>
                <w:rFonts w:ascii="Times New Roman" w:cs="Times New Roman" w:eastAsia="Times New Roman" w:hAnsi="Times New Roman"/>
                <w:sz w:val="11"/>
                <w:szCs w:val="11"/>
                <w:color w:val="auto"/>
              </w:rPr>
              <w:t>Same Property operating expenses</w:t>
            </w:r>
            <w:r>
              <w:rPr>
                <w:rFonts w:ascii="Times New Roman" w:cs="Times New Roman" w:eastAsia="Times New Roman" w:hAnsi="Times New Roman"/>
                <w:sz w:val="14"/>
                <w:szCs w:val="14"/>
                <w:color w:val="auto"/>
                <w:vertAlign w:val="superscript"/>
              </w:rPr>
              <w:t>(1)</w:t>
            </w:r>
          </w:p>
        </w:tc>
        <w:tc>
          <w:tcPr>
            <w:tcW w:w="1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241.5</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243.3</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484.8</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235.2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239.0</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474.2</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vMerge w:val="restart"/>
          </w:tcPr>
          <w:p>
            <w:pPr>
              <w:jc w:val="center"/>
              <w:ind w:left="154"/>
              <w:spacing w:after="0"/>
              <w:rPr>
                <w:sz w:val="20"/>
                <w:szCs w:val="20"/>
                <w:color w:val="auto"/>
              </w:rPr>
            </w:pPr>
            <w:r>
              <w:rPr>
                <w:rFonts w:ascii="Times New Roman" w:cs="Times New Roman" w:eastAsia="Times New Roman" w:hAnsi="Times New Roman"/>
                <w:sz w:val="13"/>
                <w:szCs w:val="13"/>
                <w:color w:val="auto"/>
                <w:w w:val="96"/>
              </w:rPr>
              <w:t>10.6</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2.7 %</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1.8 %</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2.2 %</w:t>
            </w:r>
          </w:p>
        </w:tc>
        <w:tc>
          <w:tcPr>
            <w:tcW w:w="0" w:type="dxa"/>
            <w:vAlign w:val="bottom"/>
          </w:tcPr>
          <w:p>
            <w:pPr>
              <w:spacing w:after="0"/>
              <w:rPr>
                <w:sz w:val="1"/>
                <w:szCs w:val="1"/>
                <w:color w:val="auto"/>
              </w:rPr>
            </w:pPr>
          </w:p>
        </w:tc>
      </w:tr>
      <w:tr>
        <w:trPr>
          <w:trHeight w:val="93"/>
        </w:trPr>
        <w:tc>
          <w:tcPr>
            <w:tcW w:w="2120" w:type="dxa"/>
            <w:vAlign w:val="bottom"/>
          </w:tcPr>
          <w:p>
            <w:pPr>
              <w:ind w:left="100"/>
              <w:spacing w:after="0" w:line="93" w:lineRule="exact"/>
              <w:rPr>
                <w:sz w:val="20"/>
                <w:szCs w:val="20"/>
                <w:color w:val="auto"/>
              </w:rPr>
            </w:pPr>
            <w:r>
              <w:rPr>
                <w:rFonts w:ascii="Times New Roman" w:cs="Times New Roman" w:eastAsia="Times New Roman" w:hAnsi="Times New Roman"/>
                <w:sz w:val="9"/>
                <w:szCs w:val="9"/>
                <w:color w:val="auto"/>
              </w:rPr>
              <w:t>(3)</w:t>
            </w:r>
          </w:p>
        </w:tc>
        <w:tc>
          <w:tcPr>
            <w:tcW w:w="16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2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vMerge w:val="continue"/>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vMerge w:val="continue"/>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vMerge w:val="continue"/>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vMerge w:val="continue"/>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vMerge w:val="continue"/>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vMerge w:val="continue"/>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vMerge w:val="continue"/>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vMerge w:val="continue"/>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vMerge w:val="continue"/>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21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Real Property NOI</w:t>
            </w:r>
          </w:p>
        </w:tc>
        <w:tc>
          <w:tcPr>
            <w:tcW w:w="1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686.9</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276.8</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963.7</w:t>
            </w:r>
          </w:p>
        </w:tc>
        <w:tc>
          <w:tcPr>
            <w:tcW w:w="1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630.9</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280.9</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911.8</w:t>
            </w:r>
          </w:p>
        </w:tc>
        <w:tc>
          <w:tcPr>
            <w:tcW w:w="1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center"/>
              <w:ind w:left="154"/>
              <w:spacing w:after="0"/>
              <w:rPr>
                <w:sz w:val="20"/>
                <w:szCs w:val="20"/>
                <w:color w:val="auto"/>
              </w:rPr>
            </w:pPr>
            <w:r>
              <w:rPr>
                <w:rFonts w:ascii="Times New Roman" w:cs="Times New Roman" w:eastAsia="Times New Roman" w:hAnsi="Times New Roman"/>
                <w:sz w:val="13"/>
                <w:szCs w:val="13"/>
                <w:color w:val="auto"/>
                <w:w w:val="96"/>
              </w:rPr>
              <w:t>51.9</w:t>
            </w: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8.9 %</w:t>
            </w: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5.7 %</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gridSpan w:val="6"/>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172"/>
        </w:trPr>
        <w:tc>
          <w:tcPr>
            <w:tcW w:w="2040" w:type="dxa"/>
            <w:vAlign w:val="bottom"/>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gridSpan w:val="2"/>
          </w:tcPr>
          <w:p>
            <w:pPr>
              <w:jc w:val="center"/>
              <w:ind w:right="60"/>
              <w:spacing w:after="0" w:line="172" w:lineRule="exact"/>
              <w:rPr>
                <w:sz w:val="20"/>
                <w:szCs w:val="20"/>
                <w:color w:val="auto"/>
              </w:rPr>
            </w:pPr>
            <w:r>
              <w:rPr>
                <w:rFonts w:ascii="Times New Roman" w:cs="Times New Roman" w:eastAsia="Times New Roman" w:hAnsi="Times New Roman"/>
                <w:sz w:val="13"/>
                <w:szCs w:val="13"/>
                <w:b w:val="1"/>
                <w:bCs w:val="1"/>
                <w:color w:val="auto"/>
                <w:w w:val="97"/>
              </w:rPr>
              <w:t>% Change</w:t>
            </w:r>
            <w:r>
              <w:rPr>
                <w:rFonts w:ascii="Times New Roman" w:cs="Times New Roman" w:eastAsia="Times New Roman" w:hAnsi="Times New Roman"/>
                <w:sz w:val="17"/>
                <w:szCs w:val="17"/>
                <w:b w:val="1"/>
                <w:bCs w:val="1"/>
                <w:color w:val="auto"/>
                <w:w w:val="97"/>
                <w:vertAlign w:val="superscript"/>
              </w:rPr>
              <w:t>(2)</w:t>
            </w:r>
          </w:p>
        </w:tc>
        <w:tc>
          <w:tcPr>
            <w:tcW w:w="820" w:type="dxa"/>
            <w:vAlign w:val="bottom"/>
            <w:tcBorders>
              <w:top w:val="single" w:sz="8" w:color="auto"/>
              <w:bottom w:val="single" w:sz="8" w:color="auto"/>
            </w:tcBorders>
          </w:tcPr>
          <w:p>
            <w:pPr>
              <w:spacing w:after="0"/>
              <w:rPr>
                <w:sz w:val="14"/>
                <w:szCs w:val="14"/>
                <w:color w:val="auto"/>
              </w:rPr>
            </w:pPr>
          </w:p>
        </w:tc>
      </w:tr>
      <w:tr>
        <w:trPr>
          <w:trHeight w:val="165"/>
        </w:trPr>
        <w:tc>
          <w:tcPr>
            <w:tcW w:w="2040" w:type="dxa"/>
            <w:vAlign w:val="bottom"/>
          </w:tcPr>
          <w:p>
            <w:pPr>
              <w:spacing w:after="0"/>
              <w:rPr>
                <w:sz w:val="14"/>
                <w:szCs w:val="14"/>
                <w:color w:val="auto"/>
              </w:rPr>
            </w:pPr>
          </w:p>
        </w:tc>
        <w:tc>
          <w:tcPr>
            <w:tcW w:w="90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MH</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RV</w:t>
            </w:r>
          </w:p>
        </w:tc>
        <w:tc>
          <w:tcPr>
            <w:tcW w:w="84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4"/>
                <w:szCs w:val="14"/>
                <w:color w:val="auto"/>
              </w:rPr>
            </w:pPr>
          </w:p>
        </w:tc>
        <w:tc>
          <w:tcPr>
            <w:tcW w:w="92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MH</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RV</w:t>
            </w:r>
          </w:p>
        </w:tc>
        <w:tc>
          <w:tcPr>
            <w:tcW w:w="84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Total Change</w:t>
            </w:r>
          </w:p>
        </w:tc>
        <w:tc>
          <w:tcPr>
            <w:tcW w:w="88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MH</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RV</w:t>
            </w:r>
          </w:p>
        </w:tc>
        <w:tc>
          <w:tcPr>
            <w:tcW w:w="820" w:type="dxa"/>
            <w:vAlign w:val="bottom"/>
          </w:tcPr>
          <w:p>
            <w:pPr>
              <w:ind w:left="26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54"/>
        </w:trPr>
        <w:tc>
          <w:tcPr>
            <w:tcW w:w="2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Same Property Revenues</w:t>
            </w: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r>
    </w:tbl>
    <w:p>
      <w:pPr>
        <w:spacing w:after="0" w:line="1" w:lineRule="exact"/>
        <w:rPr>
          <w:sz w:val="20"/>
          <w:szCs w:val="20"/>
          <w:color w:val="auto"/>
        </w:rPr>
      </w:pPr>
    </w:p>
    <w:p>
      <w:pPr>
        <w:sectPr>
          <w:pgSz w:w="11900" w:h="16838" w:orient="portrait"/>
          <w:cols w:equalWidth="0" w:num="1">
            <w:col w:w="11267"/>
          </w:cols>
          <w:pgMar w:left="313" w:top="121" w:right="319" w:bottom="1440" w:gutter="0" w:footer="0" w:header="0"/>
        </w:sectPr>
      </w:pPr>
    </w:p>
    <w:p>
      <w:pPr>
        <w:ind w:left="7" w:firstLine="93"/>
        <w:spacing w:after="0" w:line="275" w:lineRule="auto"/>
        <w:rPr>
          <w:sz w:val="20"/>
          <w:szCs w:val="20"/>
          <w:color w:val="auto"/>
        </w:rPr>
      </w:pPr>
      <w:r>
        <w:rPr>
          <w:rFonts w:ascii="Times New Roman" w:cs="Times New Roman" w:eastAsia="Times New Roman" w:hAnsi="Times New Roman"/>
          <w:sz w:val="13"/>
          <w:szCs w:val="13"/>
          <w:color w:val="auto"/>
        </w:rPr>
        <w:t>Real property (excluding transient) $ Real property - transient</w:t>
      </w:r>
    </w:p>
    <w:p>
      <w:pPr>
        <w:spacing w:after="0" w:line="1" w:lineRule="exact"/>
        <w:rPr>
          <w:sz w:val="20"/>
          <w:szCs w:val="20"/>
          <w:color w:val="auto"/>
        </w:rPr>
      </w:pPr>
    </w:p>
    <w:p>
      <w:pPr>
        <w:ind w:left="107" w:right="420"/>
        <w:spacing w:after="0" w:line="239" w:lineRule="auto"/>
        <w:rPr>
          <w:sz w:val="20"/>
          <w:szCs w:val="20"/>
          <w:color w:val="auto"/>
        </w:rPr>
      </w:pPr>
      <w:r>
        <w:rPr>
          <w:rFonts w:ascii="Times New Roman" w:cs="Times New Roman" w:eastAsia="Times New Roman" w:hAnsi="Times New Roman"/>
          <w:sz w:val="13"/>
          <w:szCs w:val="13"/>
          <w:color w:val="auto"/>
        </w:rPr>
        <w:t>Total Same Property operating revenues</w:t>
      </w:r>
    </w:p>
    <w:p>
      <w:pPr>
        <w:spacing w:after="0" w:line="1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3"/>
          <w:szCs w:val="13"/>
          <w:b w:val="1"/>
          <w:bCs w:val="1"/>
          <w:color w:val="auto"/>
        </w:rPr>
        <w:t>Same Property Expenses</w:t>
      </w:r>
    </w:p>
    <w:p>
      <w:pPr>
        <w:ind w:left="107"/>
        <w:spacing w:after="0" w:line="189" w:lineRule="auto"/>
        <w:rPr>
          <w:sz w:val="20"/>
          <w:szCs w:val="20"/>
          <w:color w:val="auto"/>
        </w:rPr>
      </w:pPr>
      <w:r>
        <w:rPr>
          <w:rFonts w:ascii="Times New Roman" w:cs="Times New Roman" w:eastAsia="Times New Roman" w:hAnsi="Times New Roman"/>
          <w:sz w:val="11"/>
          <w:szCs w:val="11"/>
          <w:color w:val="auto"/>
        </w:rPr>
        <w:t>Same Property operating expenses</w:t>
      </w:r>
      <w:r>
        <w:rPr>
          <w:rFonts w:ascii="Times New Roman" w:cs="Times New Roman" w:eastAsia="Times New Roman" w:hAnsi="Times New Roman"/>
          <w:sz w:val="14"/>
          <w:szCs w:val="14"/>
          <w:color w:val="auto"/>
          <w:vertAlign w:val="superscript"/>
        </w:rPr>
        <w:t>(1)</w:t>
      </w:r>
    </w:p>
    <w:p>
      <w:pPr>
        <w:ind w:left="107"/>
        <w:spacing w:after="0"/>
        <w:rPr>
          <w:sz w:val="20"/>
          <w:szCs w:val="20"/>
          <w:color w:val="auto"/>
        </w:rPr>
      </w:pPr>
      <w:r>
        <w:rPr>
          <w:rFonts w:ascii="Times New Roman" w:cs="Times New Roman" w:eastAsia="Times New Roman" w:hAnsi="Times New Roman"/>
          <w:sz w:val="9"/>
          <w:szCs w:val="9"/>
          <w:color w:val="auto"/>
        </w:rPr>
        <w:t>(3)</w:t>
      </w:r>
    </w:p>
    <w:p>
      <w:pPr>
        <w:spacing w:after="0" w:line="74" w:lineRule="exact"/>
        <w:rPr>
          <w:sz w:val="20"/>
          <w:szCs w:val="20"/>
          <w:color w:val="auto"/>
        </w:rPr>
      </w:pPr>
    </w:p>
    <w:p>
      <w:pPr>
        <w:ind w:left="107"/>
        <w:spacing w:after="0"/>
        <w:tabs>
          <w:tab w:leader="none" w:pos="2047" w:val="left"/>
        </w:tabs>
        <w:rPr>
          <w:sz w:val="20"/>
          <w:szCs w:val="20"/>
          <w:color w:val="auto"/>
        </w:rPr>
      </w:pPr>
      <w:r>
        <w:rPr>
          <w:rFonts w:ascii="Times New Roman" w:cs="Times New Roman" w:eastAsia="Times New Roman" w:hAnsi="Times New Roman"/>
          <w:sz w:val="13"/>
          <w:szCs w:val="13"/>
          <w:b w:val="1"/>
          <w:bCs w:val="1"/>
          <w:color w:val="auto"/>
        </w:rPr>
        <w:t>Real Property NOI</w:t>
      </w:r>
      <w:r>
        <w:rPr>
          <w:sz w:val="20"/>
          <w:szCs w:val="20"/>
          <w:color w:val="auto"/>
        </w:rPr>
        <w:tab/>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4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88"/>
              </w:rPr>
              <w:t>865.6</w:t>
            </w:r>
          </w:p>
        </w:tc>
        <w:tc>
          <w:tcPr>
            <w:tcW w:w="2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281.3</w:t>
            </w:r>
          </w:p>
        </w:tc>
        <w:tc>
          <w:tcPr>
            <w:tcW w:w="80" w:type="dxa"/>
            <w:vAlign w:val="bottom"/>
          </w:tcPr>
          <w:p>
            <w:pPr>
              <w:spacing w:after="0"/>
              <w:rPr>
                <w:sz w:val="14"/>
                <w:szCs w:val="14"/>
                <w:color w:val="auto"/>
              </w:rPr>
            </w:pPr>
          </w:p>
        </w:tc>
        <w:tc>
          <w:tcPr>
            <w:tcW w:w="2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1,146.9</w:t>
            </w:r>
          </w:p>
        </w:tc>
        <w:tc>
          <w:tcPr>
            <w:tcW w:w="120" w:type="dxa"/>
            <w:vAlign w:val="bottom"/>
          </w:tcPr>
          <w:p>
            <w:pPr>
              <w:spacing w:after="0"/>
              <w:rPr>
                <w:sz w:val="14"/>
                <w:szCs w:val="14"/>
                <w:color w:val="auto"/>
              </w:rPr>
            </w:pPr>
          </w:p>
        </w:tc>
        <w:tc>
          <w:tcPr>
            <w:tcW w:w="2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810.5</w:t>
            </w:r>
          </w:p>
        </w:tc>
        <w:tc>
          <w:tcPr>
            <w:tcW w:w="80" w:type="dxa"/>
            <w:vAlign w:val="bottom"/>
          </w:tcPr>
          <w:p>
            <w:pPr>
              <w:spacing w:after="0"/>
              <w:rPr>
                <w:sz w:val="14"/>
                <w:szCs w:val="14"/>
                <w:color w:val="auto"/>
              </w:rPr>
            </w:pPr>
          </w:p>
        </w:tc>
        <w:tc>
          <w:tcPr>
            <w:tcW w:w="2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253.3</w:t>
            </w:r>
          </w:p>
        </w:tc>
        <w:tc>
          <w:tcPr>
            <w:tcW w:w="80" w:type="dxa"/>
            <w:vAlign w:val="bottom"/>
          </w:tcPr>
          <w:p>
            <w:pPr>
              <w:spacing w:after="0"/>
              <w:rPr>
                <w:sz w:val="14"/>
                <w:szCs w:val="14"/>
                <w:color w:val="auto"/>
              </w:rPr>
            </w:pPr>
          </w:p>
        </w:tc>
        <w:tc>
          <w:tcPr>
            <w:tcW w:w="2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1,063.8</w:t>
            </w:r>
          </w:p>
        </w:tc>
        <w:tc>
          <w:tcPr>
            <w:tcW w:w="120" w:type="dxa"/>
            <w:vAlign w:val="bottom"/>
          </w:tcPr>
          <w:p>
            <w:pPr>
              <w:spacing w:after="0"/>
              <w:rPr>
                <w:sz w:val="14"/>
                <w:szCs w:val="14"/>
                <w:color w:val="auto"/>
              </w:rPr>
            </w:pPr>
          </w:p>
        </w:tc>
        <w:tc>
          <w:tcPr>
            <w:tcW w:w="30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center"/>
              <w:ind w:left="134"/>
              <w:spacing w:after="0"/>
              <w:rPr>
                <w:sz w:val="20"/>
                <w:szCs w:val="20"/>
                <w:color w:val="auto"/>
              </w:rPr>
            </w:pPr>
            <w:r>
              <w:rPr>
                <w:rFonts w:ascii="Times New Roman" w:cs="Times New Roman" w:eastAsia="Times New Roman" w:hAnsi="Times New Roman"/>
                <w:sz w:val="13"/>
                <w:szCs w:val="13"/>
                <w:color w:val="auto"/>
              </w:rPr>
              <w:t>83.1</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6.8 %</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11.1 %</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7.8 %</w:t>
            </w:r>
          </w:p>
        </w:tc>
      </w:tr>
      <w:tr>
        <w:trPr>
          <w:trHeight w:val="174"/>
        </w:trPr>
        <w:tc>
          <w:tcPr>
            <w:tcW w:w="4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1.2</w:t>
            </w:r>
          </w:p>
        </w:tc>
        <w:tc>
          <w:tcPr>
            <w:tcW w:w="2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222.4</w:t>
            </w: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223.6</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249.9</w:t>
            </w: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251.2</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left="134"/>
              <w:spacing w:after="0"/>
              <w:rPr>
                <w:sz w:val="20"/>
                <w:szCs w:val="20"/>
                <w:color w:val="auto"/>
              </w:rPr>
            </w:pPr>
            <w:r>
              <w:rPr>
                <w:rFonts w:ascii="Times New Roman" w:cs="Times New Roman" w:eastAsia="Times New Roman" w:hAnsi="Times New Roman"/>
                <w:sz w:val="13"/>
                <w:szCs w:val="13"/>
                <w:color w:val="auto"/>
              </w:rPr>
              <w:t>(27.6)</w:t>
            </w:r>
          </w:p>
        </w:tc>
        <w:tc>
          <w:tcPr>
            <w:tcW w:w="8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8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8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w:t>
            </w:r>
          </w:p>
        </w:tc>
      </w:tr>
      <w:tr>
        <w:trPr>
          <w:trHeight w:val="289"/>
        </w:trPr>
        <w:tc>
          <w:tcPr>
            <w:tcW w:w="4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88"/>
              </w:rPr>
              <w:t>866.8</w:t>
            </w: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503.7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1,370.5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811.8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503.2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1,315.0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jc w:val="center"/>
              <w:ind w:left="134"/>
              <w:spacing w:after="0"/>
              <w:rPr>
                <w:sz w:val="20"/>
                <w:szCs w:val="20"/>
                <w:color w:val="auto"/>
              </w:rPr>
            </w:pPr>
            <w:r>
              <w:rPr>
                <w:rFonts w:ascii="Times New Roman" w:cs="Times New Roman" w:eastAsia="Times New Roman" w:hAnsi="Times New Roman"/>
                <w:sz w:val="13"/>
                <w:szCs w:val="13"/>
                <w:color w:val="auto"/>
              </w:rPr>
              <w:t>55.5</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6.8 %</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4.2 %</w:t>
            </w:r>
          </w:p>
        </w:tc>
      </w:tr>
      <w:tr>
        <w:trPr>
          <w:trHeight w:val="440"/>
        </w:trPr>
        <w:tc>
          <w:tcPr>
            <w:tcW w:w="4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88"/>
              </w:rPr>
              <w:t>235.2</w:t>
            </w:r>
          </w:p>
        </w:tc>
        <w:tc>
          <w:tcPr>
            <w:tcW w:w="2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231.3</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466.5</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220.1</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222.8</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442.9</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center"/>
              <w:ind w:left="134"/>
              <w:spacing w:after="0"/>
              <w:rPr>
                <w:sz w:val="20"/>
                <w:szCs w:val="20"/>
                <w:color w:val="auto"/>
              </w:rPr>
            </w:pPr>
            <w:r>
              <w:rPr>
                <w:rFonts w:ascii="Times New Roman" w:cs="Times New Roman" w:eastAsia="Times New Roman" w:hAnsi="Times New Roman"/>
                <w:sz w:val="13"/>
                <w:szCs w:val="13"/>
                <w:color w:val="auto"/>
              </w:rPr>
              <w:t>23.6</w:t>
            </w:r>
          </w:p>
        </w:tc>
        <w:tc>
          <w:tcPr>
            <w:tcW w:w="8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6.8 %</w:t>
            </w:r>
          </w:p>
        </w:tc>
        <w:tc>
          <w:tcPr>
            <w:tcW w:w="8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3.8 %</w:t>
            </w:r>
          </w:p>
        </w:tc>
        <w:tc>
          <w:tcPr>
            <w:tcW w:w="80" w:type="dxa"/>
            <w:vAlign w:val="bottom"/>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5.3 %</w:t>
            </w:r>
          </w:p>
        </w:tc>
      </w:tr>
      <w:tr>
        <w:trPr>
          <w:trHeight w:val="170"/>
        </w:trPr>
        <w:tc>
          <w:tcPr>
            <w:tcW w:w="4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88"/>
              </w:rPr>
              <w:t>631.6</w:t>
            </w:r>
          </w:p>
        </w:tc>
        <w:tc>
          <w:tcPr>
            <w:tcW w:w="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272.4</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904.0</w:t>
            </w:r>
          </w:p>
        </w:tc>
        <w:tc>
          <w:tcPr>
            <w:tcW w:w="120" w:type="dxa"/>
            <w:vAlign w:val="bottom"/>
          </w:tcPr>
          <w:p>
            <w:pPr>
              <w:spacing w:after="0"/>
              <w:rPr>
                <w:sz w:val="14"/>
                <w:szCs w:val="14"/>
                <w:color w:val="auto"/>
              </w:rPr>
            </w:pPr>
          </w:p>
        </w:tc>
        <w:tc>
          <w:tcPr>
            <w:tcW w:w="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591.7</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280.4</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872.1</w:t>
            </w:r>
          </w:p>
        </w:tc>
        <w:tc>
          <w:tcPr>
            <w:tcW w:w="120" w:type="dxa"/>
            <w:vAlign w:val="bottom"/>
          </w:tcPr>
          <w:p>
            <w:pPr>
              <w:spacing w:after="0"/>
              <w:rPr>
                <w:sz w:val="14"/>
                <w:szCs w:val="14"/>
                <w:color w:val="auto"/>
              </w:rPr>
            </w:pPr>
          </w:p>
        </w:tc>
        <w:tc>
          <w:tcPr>
            <w:tcW w:w="3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auto"/>
            </w:tcBorders>
          </w:tcPr>
          <w:p>
            <w:pPr>
              <w:jc w:val="center"/>
              <w:ind w:left="134"/>
              <w:spacing w:after="0"/>
              <w:rPr>
                <w:sz w:val="20"/>
                <w:szCs w:val="20"/>
                <w:color w:val="auto"/>
              </w:rPr>
            </w:pPr>
            <w:r>
              <w:rPr>
                <w:rFonts w:ascii="Times New Roman" w:cs="Times New Roman" w:eastAsia="Times New Roman" w:hAnsi="Times New Roman"/>
                <w:sz w:val="13"/>
                <w:szCs w:val="13"/>
                <w:color w:val="auto"/>
              </w:rPr>
              <w:t>31.9</w:t>
            </w:r>
          </w:p>
        </w:tc>
        <w:tc>
          <w:tcPr>
            <w:tcW w:w="8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6.7 %</w:t>
            </w:r>
          </w:p>
        </w:tc>
        <w:tc>
          <w:tcPr>
            <w:tcW w:w="8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3.7 %</w:t>
            </w:r>
          </w:p>
        </w:tc>
      </w:tr>
      <w:tr>
        <w:trPr>
          <w:trHeight w:val="20"/>
        </w:trPr>
        <w:tc>
          <w:tcPr>
            <w:tcW w:w="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-1604010</wp:posOffset>
            </wp:positionH>
            <wp:positionV relativeFrom="paragraph">
              <wp:posOffset>-734695</wp:posOffset>
            </wp:positionV>
            <wp:extent cx="7063740" cy="7353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63740" cy="735330"/>
                    </a:xfrm>
                    <a:prstGeom prst="rect">
                      <a:avLst/>
                    </a:prstGeom>
                    <a:noFill/>
                  </pic:spPr>
                </pic:pic>
              </a:graphicData>
            </a:graphic>
          </wp:anchor>
        </w:drawing>
      </w:r>
    </w:p>
    <w:p>
      <w:pPr>
        <w:spacing w:after="0" w:line="27" w:lineRule="exact"/>
        <w:rPr>
          <w:sz w:val="20"/>
          <w:szCs w:val="20"/>
          <w:color w:val="auto"/>
        </w:rPr>
      </w:pPr>
    </w:p>
    <w:p>
      <w:pPr>
        <w:sectPr>
          <w:pgSz w:w="11900" w:h="16838" w:orient="portrait"/>
          <w:cols w:equalWidth="0" w:num="2">
            <w:col w:w="2127" w:space="400"/>
            <w:col w:w="8740"/>
          </w:cols>
          <w:pgMar w:left="313" w:top="121" w:right="319" w:bottom="1440" w:gutter="0" w:footer="0" w:header="0"/>
          <w:type w:val="continuous"/>
        </w:sectPr>
      </w:pPr>
    </w:p>
    <w:p>
      <w:pPr>
        <w:ind w:left="127" w:hanging="127"/>
        <w:spacing w:after="0"/>
        <w:tabs>
          <w:tab w:leader="none" w:pos="127" w:val="left"/>
        </w:tabs>
        <w:numPr>
          <w:ilvl w:val="0"/>
          <w:numId w:val="22"/>
        </w:numPr>
        <w:rPr>
          <w:rFonts w:ascii="Times New Roman" w:cs="Times New Roman" w:eastAsia="Times New Roman" w:hAnsi="Times New Roman"/>
          <w:sz w:val="8"/>
          <w:szCs w:val="8"/>
          <w:color w:val="auto"/>
        </w:rPr>
      </w:pPr>
      <w:r>
        <w:rPr>
          <w:rFonts w:ascii="Times New Roman" w:cs="Times New Roman" w:eastAsia="Times New Roman" w:hAnsi="Times New Roman"/>
          <w:sz w:val="12"/>
          <w:szCs w:val="12"/>
          <w:color w:val="auto"/>
        </w:rPr>
        <w:t>We net certain utilities revenues (which include utility reimbursement revenues from residents) against related utility expenses in property operating expenses as follows (in millions):</w:t>
      </w:r>
    </w:p>
    <w:p>
      <w:pPr>
        <w:spacing w:after="0" w:line="45"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40" w:type="dxa"/>
            <w:vAlign w:val="bottom"/>
            <w:gridSpan w:val="6"/>
          </w:tcPr>
          <w:p>
            <w:pPr>
              <w:jc w:val="center"/>
              <w:ind w:right="198"/>
              <w:spacing w:after="0"/>
              <w:rPr>
                <w:sz w:val="20"/>
                <w:szCs w:val="20"/>
                <w:color w:val="auto"/>
              </w:rPr>
            </w:pPr>
            <w:r>
              <w:rPr>
                <w:rFonts w:ascii="Times New Roman" w:cs="Times New Roman" w:eastAsia="Times New Roman" w:hAnsi="Times New Roman"/>
                <w:sz w:val="12"/>
                <w:szCs w:val="12"/>
                <w:b w:val="1"/>
                <w:bCs w:val="1"/>
                <w:color w:val="auto"/>
              </w:rPr>
              <w:t>Year Ended December 31, 2025</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40" w:type="dxa"/>
            <w:vAlign w:val="bottom"/>
            <w:gridSpan w:val="6"/>
          </w:tcPr>
          <w:p>
            <w:pPr>
              <w:jc w:val="center"/>
              <w:ind w:right="218"/>
              <w:spacing w:after="0"/>
              <w:rPr>
                <w:sz w:val="20"/>
                <w:szCs w:val="20"/>
                <w:color w:val="auto"/>
              </w:rPr>
            </w:pPr>
            <w:r>
              <w:rPr>
                <w:rFonts w:ascii="Times New Roman" w:cs="Times New Roman" w:eastAsia="Times New Roman" w:hAnsi="Times New Roman"/>
                <w:sz w:val="12"/>
                <w:szCs w:val="12"/>
                <w:b w:val="1"/>
                <w:bCs w:val="1"/>
                <w:color w:val="auto"/>
              </w:rPr>
              <w:t>Year Ended December 31, 2024</w:t>
            </w:r>
          </w:p>
        </w:tc>
        <w:tc>
          <w:tcPr>
            <w:tcW w:w="280" w:type="dxa"/>
            <w:vAlign w:val="bottom"/>
          </w:tcPr>
          <w:p>
            <w:pPr>
              <w:spacing w:after="0"/>
              <w:rPr>
                <w:sz w:val="14"/>
                <w:szCs w:val="14"/>
                <w:color w:val="auto"/>
              </w:rPr>
            </w:pPr>
          </w:p>
        </w:tc>
      </w:tr>
      <w:tr>
        <w:trPr>
          <w:trHeight w:val="22"/>
        </w:trPr>
        <w:tc>
          <w:tcPr>
            <w:tcW w:w="5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r>
        <w:trPr>
          <w:trHeight w:val="159"/>
        </w:trPr>
        <w:tc>
          <w:tcPr>
            <w:tcW w:w="540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MH</w:t>
            </w: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center"/>
              <w:ind w:left="258"/>
              <w:spacing w:after="0"/>
              <w:rPr>
                <w:sz w:val="20"/>
                <w:szCs w:val="20"/>
                <w:color w:val="auto"/>
              </w:rPr>
            </w:pPr>
            <w:r>
              <w:rPr>
                <w:rFonts w:ascii="Times New Roman" w:cs="Times New Roman" w:eastAsia="Times New Roman" w:hAnsi="Times New Roman"/>
                <w:sz w:val="12"/>
                <w:szCs w:val="12"/>
                <w:b w:val="1"/>
                <w:bCs w:val="1"/>
                <w:color w:val="auto"/>
                <w:w w:val="92"/>
              </w:rPr>
              <w:t>RV</w:t>
            </w: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Total</w:t>
            </w: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MH</w:t>
            </w: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center"/>
              <w:ind w:left="238"/>
              <w:spacing w:after="0"/>
              <w:rPr>
                <w:sz w:val="20"/>
                <w:szCs w:val="20"/>
                <w:color w:val="auto"/>
              </w:rPr>
            </w:pPr>
            <w:r>
              <w:rPr>
                <w:rFonts w:ascii="Times New Roman" w:cs="Times New Roman" w:eastAsia="Times New Roman" w:hAnsi="Times New Roman"/>
                <w:sz w:val="12"/>
                <w:szCs w:val="12"/>
                <w:b w:val="1"/>
                <w:bCs w:val="1"/>
                <w:color w:val="auto"/>
              </w:rPr>
              <w:t>RV</w:t>
            </w: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Total</w:t>
            </w:r>
          </w:p>
        </w:tc>
        <w:tc>
          <w:tcPr>
            <w:tcW w:w="280" w:type="dxa"/>
            <w:vAlign w:val="bottom"/>
            <w:tcBorders>
              <w:bottom w:val="single" w:sz="8" w:color="auto"/>
            </w:tcBorders>
          </w:tcPr>
          <w:p>
            <w:pPr>
              <w:spacing w:after="0"/>
              <w:rPr>
                <w:sz w:val="13"/>
                <w:szCs w:val="13"/>
                <w:color w:val="auto"/>
              </w:rPr>
            </w:pPr>
          </w:p>
        </w:tc>
      </w:tr>
      <w:tr>
        <w:trPr>
          <w:trHeight w:val="157"/>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Utility revenue netted against related utility expense</w:t>
            </w:r>
          </w:p>
        </w:tc>
        <w:tc>
          <w:tcPr>
            <w:tcW w:w="540" w:type="dxa"/>
            <w:vAlign w:val="bottom"/>
            <w:shd w:val="clear" w:color="auto" w:fill="CCEEFF"/>
          </w:tcPr>
          <w:p>
            <w:pPr>
              <w:jc w:val="right"/>
              <w:ind w:right="398"/>
              <w:spacing w:after="0"/>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75.3</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418"/>
              <w:spacing w:after="0"/>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438"/>
              <w:spacing w:after="0"/>
              <w:rPr>
                <w:sz w:val="20"/>
                <w:szCs w:val="20"/>
                <w:color w:val="auto"/>
              </w:rPr>
            </w:pPr>
            <w:r>
              <w:rPr>
                <w:rFonts w:ascii="Times New Roman" w:cs="Times New Roman" w:eastAsia="Times New Roman" w:hAnsi="Times New Roman"/>
                <w:sz w:val="12"/>
                <w:szCs w:val="12"/>
                <w:color w:val="auto"/>
                <w:w w:val="99"/>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95.5</w:t>
            </w: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418"/>
              <w:spacing w:after="0"/>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71.5</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418"/>
              <w:spacing w:after="0"/>
              <w:rPr>
                <w:sz w:val="20"/>
                <w:szCs w:val="20"/>
                <w:color w:val="auto"/>
              </w:rPr>
            </w:pPr>
            <w:r>
              <w:rPr>
                <w:rFonts w:ascii="Times New Roman" w:cs="Times New Roman" w:eastAsia="Times New Roman" w:hAnsi="Times New Roman"/>
                <w:sz w:val="12"/>
                <w:szCs w:val="12"/>
                <w:color w:val="auto"/>
                <w:w w:val="99"/>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19.0</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458"/>
              <w:spacing w:after="0"/>
              <w:rPr>
                <w:sz w:val="20"/>
                <w:szCs w:val="20"/>
                <w:color w:val="auto"/>
              </w:rPr>
            </w:pPr>
            <w:r>
              <w:rPr>
                <w:rFonts w:ascii="Times New Roman" w:cs="Times New Roman" w:eastAsia="Times New Roman" w:hAnsi="Times New Roman"/>
                <w:sz w:val="12"/>
                <w:szCs w:val="12"/>
                <w:color w:val="auto"/>
                <w:w w:val="99"/>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5"/>
              </w:rPr>
              <w:t>90.5</w:t>
            </w:r>
          </w:p>
        </w:tc>
      </w:tr>
      <w:tr>
        <w:trPr>
          <w:trHeight w:val="118"/>
        </w:trPr>
        <w:tc>
          <w:tcPr>
            <w:tcW w:w="54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960" w:type="dxa"/>
            <w:vAlign w:val="bottom"/>
            <w:gridSpan w:val="3"/>
            <w:shd w:val="clear" w:color="auto" w:fill="CCEEFF"/>
          </w:tcPr>
          <w:p>
            <w:pPr>
              <w:spacing w:after="0"/>
              <w:rPr>
                <w:sz w:val="10"/>
                <w:szCs w:val="10"/>
                <w:color w:val="auto"/>
              </w:rPr>
            </w:pPr>
          </w:p>
        </w:tc>
        <w:tc>
          <w:tcPr>
            <w:tcW w:w="660" w:type="dxa"/>
            <w:vAlign w:val="bottom"/>
            <w:gridSpan w:val="2"/>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940" w:type="dxa"/>
            <w:vAlign w:val="bottom"/>
            <w:gridSpan w:val="3"/>
            <w:shd w:val="clear" w:color="auto" w:fill="CCEEFF"/>
          </w:tcPr>
          <w:p>
            <w:pPr>
              <w:spacing w:after="0"/>
              <w:rPr>
                <w:sz w:val="10"/>
                <w:szCs w:val="10"/>
                <w:color w:val="auto"/>
              </w:rPr>
            </w:pPr>
          </w:p>
        </w:tc>
        <w:tc>
          <w:tcPr>
            <w:tcW w:w="680" w:type="dxa"/>
            <w:vAlign w:val="bottom"/>
            <w:gridSpan w:val="2"/>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r>
      <w:tr>
        <w:trPr>
          <w:trHeight w:val="349"/>
        </w:trPr>
        <w:tc>
          <w:tcPr>
            <w:tcW w:w="5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40" w:type="dxa"/>
            <w:vAlign w:val="bottom"/>
            <w:gridSpan w:val="6"/>
          </w:tcPr>
          <w:p>
            <w:pPr>
              <w:jc w:val="center"/>
              <w:ind w:right="198"/>
              <w:spacing w:after="0"/>
              <w:rPr>
                <w:sz w:val="20"/>
                <w:szCs w:val="20"/>
                <w:color w:val="auto"/>
              </w:rPr>
            </w:pPr>
            <w:r>
              <w:rPr>
                <w:rFonts w:ascii="Times New Roman" w:cs="Times New Roman" w:eastAsia="Times New Roman" w:hAnsi="Times New Roman"/>
                <w:sz w:val="12"/>
                <w:szCs w:val="12"/>
                <w:b w:val="1"/>
                <w:bCs w:val="1"/>
                <w:color w:val="auto"/>
              </w:rPr>
              <w:t>Year Ended December 31, 2024</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40" w:type="dxa"/>
            <w:vAlign w:val="bottom"/>
            <w:gridSpan w:val="6"/>
          </w:tcPr>
          <w:p>
            <w:pPr>
              <w:jc w:val="center"/>
              <w:ind w:right="218"/>
              <w:spacing w:after="0"/>
              <w:rPr>
                <w:sz w:val="20"/>
                <w:szCs w:val="20"/>
                <w:color w:val="auto"/>
              </w:rPr>
            </w:pPr>
            <w:r>
              <w:rPr>
                <w:rFonts w:ascii="Times New Roman" w:cs="Times New Roman" w:eastAsia="Times New Roman" w:hAnsi="Times New Roman"/>
                <w:sz w:val="12"/>
                <w:szCs w:val="12"/>
                <w:b w:val="1"/>
                <w:bCs w:val="1"/>
                <w:color w:val="auto"/>
              </w:rPr>
              <w:t>Year Ended December 31, 2023</w:t>
            </w:r>
          </w:p>
        </w:tc>
        <w:tc>
          <w:tcPr>
            <w:tcW w:w="280" w:type="dxa"/>
            <w:vAlign w:val="bottom"/>
          </w:tcPr>
          <w:p>
            <w:pPr>
              <w:spacing w:after="0"/>
              <w:rPr>
                <w:sz w:val="24"/>
                <w:szCs w:val="24"/>
                <w:color w:val="auto"/>
              </w:rPr>
            </w:pPr>
          </w:p>
        </w:tc>
      </w:tr>
      <w:tr>
        <w:trPr>
          <w:trHeight w:val="22"/>
        </w:trPr>
        <w:tc>
          <w:tcPr>
            <w:tcW w:w="5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r>
        <w:trPr>
          <w:trHeight w:val="159"/>
        </w:trPr>
        <w:tc>
          <w:tcPr>
            <w:tcW w:w="540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MH</w:t>
            </w: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center"/>
              <w:ind w:left="258"/>
              <w:spacing w:after="0"/>
              <w:rPr>
                <w:sz w:val="20"/>
                <w:szCs w:val="20"/>
                <w:color w:val="auto"/>
              </w:rPr>
            </w:pPr>
            <w:r>
              <w:rPr>
                <w:rFonts w:ascii="Times New Roman" w:cs="Times New Roman" w:eastAsia="Times New Roman" w:hAnsi="Times New Roman"/>
                <w:sz w:val="12"/>
                <w:szCs w:val="12"/>
                <w:b w:val="1"/>
                <w:bCs w:val="1"/>
                <w:color w:val="auto"/>
                <w:w w:val="92"/>
              </w:rPr>
              <w:t>RV</w:t>
            </w: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Total</w:t>
            </w: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MH</w:t>
            </w: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center"/>
              <w:ind w:left="238"/>
              <w:spacing w:after="0"/>
              <w:rPr>
                <w:sz w:val="20"/>
                <w:szCs w:val="20"/>
                <w:color w:val="auto"/>
              </w:rPr>
            </w:pPr>
            <w:r>
              <w:rPr>
                <w:rFonts w:ascii="Times New Roman" w:cs="Times New Roman" w:eastAsia="Times New Roman" w:hAnsi="Times New Roman"/>
                <w:sz w:val="12"/>
                <w:szCs w:val="12"/>
                <w:b w:val="1"/>
                <w:bCs w:val="1"/>
                <w:color w:val="auto"/>
              </w:rPr>
              <w:t>RV</w:t>
            </w: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Total</w:t>
            </w:r>
          </w:p>
        </w:tc>
        <w:tc>
          <w:tcPr>
            <w:tcW w:w="280" w:type="dxa"/>
            <w:vAlign w:val="bottom"/>
            <w:tcBorders>
              <w:bottom w:val="single" w:sz="8" w:color="auto"/>
            </w:tcBorders>
          </w:tcPr>
          <w:p>
            <w:pPr>
              <w:spacing w:after="0"/>
              <w:rPr>
                <w:sz w:val="13"/>
                <w:szCs w:val="13"/>
                <w:color w:val="auto"/>
              </w:rPr>
            </w:pPr>
          </w:p>
        </w:tc>
      </w:tr>
      <w:tr>
        <w:trPr>
          <w:trHeight w:val="157"/>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Utility revenue netted against related utility expense</w:t>
            </w:r>
          </w:p>
        </w:tc>
        <w:tc>
          <w:tcPr>
            <w:tcW w:w="540" w:type="dxa"/>
            <w:vAlign w:val="bottom"/>
            <w:shd w:val="clear" w:color="auto" w:fill="CCEEFF"/>
          </w:tcPr>
          <w:p>
            <w:pPr>
              <w:jc w:val="right"/>
              <w:ind w:right="398"/>
              <w:spacing w:after="0"/>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71.5</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418"/>
              <w:spacing w:after="0"/>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438"/>
              <w:spacing w:after="0"/>
              <w:rPr>
                <w:sz w:val="20"/>
                <w:szCs w:val="20"/>
                <w:color w:val="auto"/>
              </w:rPr>
            </w:pPr>
            <w:r>
              <w:rPr>
                <w:rFonts w:ascii="Times New Roman" w:cs="Times New Roman" w:eastAsia="Times New Roman" w:hAnsi="Times New Roman"/>
                <w:sz w:val="12"/>
                <w:szCs w:val="12"/>
                <w:color w:val="auto"/>
                <w:w w:val="99"/>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90.4</w:t>
            </w: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418"/>
              <w:spacing w:after="0"/>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67.9</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418"/>
              <w:spacing w:after="0"/>
              <w:rPr>
                <w:sz w:val="20"/>
                <w:szCs w:val="20"/>
                <w:color w:val="auto"/>
              </w:rPr>
            </w:pPr>
            <w:r>
              <w:rPr>
                <w:rFonts w:ascii="Times New Roman" w:cs="Times New Roman" w:eastAsia="Times New Roman" w:hAnsi="Times New Roman"/>
                <w:sz w:val="12"/>
                <w:szCs w:val="12"/>
                <w:color w:val="auto"/>
                <w:w w:val="99"/>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18.5</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458"/>
              <w:spacing w:after="0"/>
              <w:rPr>
                <w:sz w:val="20"/>
                <w:szCs w:val="20"/>
                <w:color w:val="auto"/>
              </w:rPr>
            </w:pPr>
            <w:r>
              <w:rPr>
                <w:rFonts w:ascii="Times New Roman" w:cs="Times New Roman" w:eastAsia="Times New Roman" w:hAnsi="Times New Roman"/>
                <w:sz w:val="12"/>
                <w:szCs w:val="12"/>
                <w:color w:val="auto"/>
                <w:w w:val="99"/>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5"/>
              </w:rPr>
              <w:t>86.4</w:t>
            </w:r>
          </w:p>
        </w:tc>
      </w:tr>
      <w:tr>
        <w:trPr>
          <w:trHeight w:val="118"/>
        </w:trPr>
        <w:tc>
          <w:tcPr>
            <w:tcW w:w="54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r>
    </w:tbl>
    <w:p>
      <w:pPr>
        <w:spacing w:after="0" w:line="50" w:lineRule="exact"/>
        <w:rPr>
          <w:sz w:val="20"/>
          <w:szCs w:val="20"/>
          <w:color w:val="auto"/>
        </w:rPr>
      </w:pPr>
    </w:p>
    <w:p>
      <w:pPr>
        <w:ind w:left="127" w:hanging="127"/>
        <w:spacing w:after="0"/>
        <w:tabs>
          <w:tab w:leader="none" w:pos="127" w:val="left"/>
        </w:tabs>
        <w:numPr>
          <w:ilvl w:val="0"/>
          <w:numId w:val="23"/>
        </w:numPr>
        <w:rPr>
          <w:rFonts w:ascii="Times New Roman" w:cs="Times New Roman" w:eastAsia="Times New Roman" w:hAnsi="Times New Roman"/>
          <w:sz w:val="8"/>
          <w:szCs w:val="8"/>
          <w:color w:val="auto"/>
        </w:rPr>
      </w:pPr>
      <w:r>
        <w:rPr>
          <w:rFonts w:ascii="Times New Roman" w:cs="Times New Roman" w:eastAsia="Times New Roman" w:hAnsi="Times New Roman"/>
          <w:sz w:val="12"/>
          <w:szCs w:val="12"/>
          <w:color w:val="auto"/>
        </w:rPr>
        <w:t>Percentages are calculated based on unrounded numbers.</w:t>
      </w:r>
    </w:p>
    <w:p>
      <w:pPr>
        <w:spacing w:after="0" w:line="21" w:lineRule="exact"/>
        <w:rPr>
          <w:rFonts w:ascii="Times New Roman" w:cs="Times New Roman" w:eastAsia="Times New Roman" w:hAnsi="Times New Roman"/>
          <w:sz w:val="8"/>
          <w:szCs w:val="8"/>
          <w:color w:val="auto"/>
        </w:rPr>
      </w:pPr>
    </w:p>
    <w:p>
      <w:pPr>
        <w:ind w:left="127" w:hanging="127"/>
        <w:spacing w:after="0"/>
        <w:tabs>
          <w:tab w:leader="none" w:pos="127" w:val="left"/>
        </w:tabs>
        <w:numPr>
          <w:ilvl w:val="0"/>
          <w:numId w:val="23"/>
        </w:numPr>
        <w:rPr>
          <w:rFonts w:ascii="Times New Roman" w:cs="Times New Roman" w:eastAsia="Times New Roman" w:hAnsi="Times New Roman"/>
          <w:sz w:val="8"/>
          <w:szCs w:val="8"/>
          <w:color w:val="auto"/>
        </w:rPr>
      </w:pPr>
      <w:r>
        <w:rPr>
          <w:rFonts w:ascii="Times New Roman" w:cs="Times New Roman" w:eastAsia="Times New Roman" w:hAnsi="Times New Roman"/>
          <w:sz w:val="12"/>
          <w:szCs w:val="12"/>
          <w:color w:val="auto"/>
        </w:rPr>
        <w:t>Total Same Property operating expenses consist of the following components for the periods shown (in millions), and exclude amounts invested into recently acquired properties to bring them up to our standards.</w:t>
      </w:r>
    </w:p>
    <w:p>
      <w:pPr>
        <w:spacing w:after="0" w:line="36"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3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5"/>
          </w:tcPr>
          <w:p>
            <w:pPr>
              <w:ind w:left="14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5"/>
          </w:tcPr>
          <w:p>
            <w:pPr>
              <w:ind w:left="14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3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3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38"/>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38"/>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1060" w:type="dxa"/>
            <w:vAlign w:val="bottom"/>
          </w:tcPr>
          <w:p>
            <w:pPr>
              <w:jc w:val="right"/>
              <w:ind w:right="138"/>
              <w:spacing w:after="0" w:line="165" w:lineRule="exact"/>
              <w:rPr>
                <w:sz w:val="20"/>
                <w:szCs w:val="20"/>
                <w:color w:val="auto"/>
              </w:rPr>
            </w:pPr>
            <w:r>
              <w:rPr>
                <w:rFonts w:ascii="Times New Roman" w:cs="Times New Roman" w:eastAsia="Times New Roman" w:hAnsi="Times New Roman"/>
                <w:sz w:val="12"/>
                <w:szCs w:val="12"/>
                <w:b w:val="1"/>
                <w:bCs w:val="1"/>
                <w:color w:val="auto"/>
              </w:rPr>
              <w:t>% Change</w:t>
            </w:r>
            <w:r>
              <w:rPr>
                <w:rFonts w:ascii="Times New Roman" w:cs="Times New Roman" w:eastAsia="Times New Roman" w:hAnsi="Times New Roman"/>
                <w:sz w:val="16"/>
                <w:szCs w:val="16"/>
                <w:b w:val="1"/>
                <w:bCs w:val="1"/>
                <w:color w:val="auto"/>
                <w:vertAlign w:val="superscript"/>
              </w:rPr>
              <w:t>(3)</w:t>
            </w:r>
          </w:p>
        </w:tc>
        <w:tc>
          <w:tcPr>
            <w:tcW w:w="2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38"/>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38"/>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1080" w:type="dxa"/>
            <w:vAlign w:val="bottom"/>
          </w:tcPr>
          <w:p>
            <w:pPr>
              <w:jc w:val="right"/>
              <w:ind w:right="158"/>
              <w:spacing w:after="0" w:line="165" w:lineRule="exact"/>
              <w:rPr>
                <w:sz w:val="20"/>
                <w:szCs w:val="20"/>
                <w:color w:val="auto"/>
              </w:rPr>
            </w:pPr>
            <w:r>
              <w:rPr>
                <w:rFonts w:ascii="Times New Roman" w:cs="Times New Roman" w:eastAsia="Times New Roman" w:hAnsi="Times New Roman"/>
                <w:sz w:val="12"/>
                <w:szCs w:val="12"/>
                <w:b w:val="1"/>
                <w:bCs w:val="1"/>
                <w:color w:val="auto"/>
              </w:rPr>
              <w:t>% Change</w:t>
            </w:r>
            <w:r>
              <w:rPr>
                <w:rFonts w:ascii="Times New Roman" w:cs="Times New Roman" w:eastAsia="Times New Roman" w:hAnsi="Times New Roman"/>
                <w:sz w:val="16"/>
                <w:szCs w:val="16"/>
                <w:b w:val="1"/>
                <w:bCs w:val="1"/>
                <w:color w:val="auto"/>
                <w:vertAlign w:val="superscript"/>
              </w:rPr>
              <w:t>(3)</w:t>
            </w:r>
          </w:p>
        </w:tc>
        <w:tc>
          <w:tcPr>
            <w:tcW w:w="0" w:type="dxa"/>
            <w:vAlign w:val="bottom"/>
          </w:tcPr>
          <w:p>
            <w:pPr>
              <w:spacing w:after="0"/>
              <w:rPr>
                <w:sz w:val="1"/>
                <w:szCs w:val="1"/>
                <w:color w:val="auto"/>
              </w:rPr>
            </w:pPr>
          </w:p>
        </w:tc>
      </w:tr>
      <w:tr>
        <w:trPr>
          <w:trHeight w:val="165"/>
        </w:trPr>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Payroll and benefits</w:t>
            </w:r>
          </w:p>
        </w:tc>
        <w:tc>
          <w:tcPr>
            <w:tcW w:w="18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141.2</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142.2</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2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139.8</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144.6</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8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0" w:type="dxa"/>
            <w:vAlign w:val="bottom"/>
          </w:tcPr>
          <w:p>
            <w:pPr>
              <w:spacing w:after="0"/>
              <w:rPr>
                <w:sz w:val="1"/>
                <w:szCs w:val="1"/>
                <w:color w:val="auto"/>
              </w:rPr>
            </w:pPr>
          </w:p>
        </w:tc>
      </w:tr>
      <w:tr>
        <w:trPr>
          <w:trHeight w:val="167"/>
        </w:trPr>
        <w:tc>
          <w:tcPr>
            <w:tcW w:w="3220" w:type="dxa"/>
            <w:vAlign w:val="bottom"/>
          </w:tcPr>
          <w:p>
            <w:pPr>
              <w:spacing w:after="0"/>
              <w:rPr>
                <w:sz w:val="20"/>
                <w:szCs w:val="20"/>
                <w:color w:val="auto"/>
              </w:rPr>
            </w:pPr>
            <w:r>
              <w:rPr>
                <w:rFonts w:ascii="Times New Roman" w:cs="Times New Roman" w:eastAsia="Times New Roman" w:hAnsi="Times New Roman"/>
                <w:sz w:val="12"/>
                <w:szCs w:val="12"/>
                <w:color w:val="auto"/>
              </w:rPr>
              <w:t>Real estate taxes</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7.2 %</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7.3 %</w:t>
            </w:r>
          </w:p>
        </w:tc>
        <w:tc>
          <w:tcPr>
            <w:tcW w:w="0" w:type="dxa"/>
            <w:vAlign w:val="bottom"/>
          </w:tcPr>
          <w:p>
            <w:pPr>
              <w:spacing w:after="0"/>
              <w:rPr>
                <w:sz w:val="1"/>
                <w:szCs w:val="1"/>
                <w:color w:val="auto"/>
              </w:rPr>
            </w:pPr>
          </w:p>
        </w:tc>
      </w:tr>
      <w:tr>
        <w:trPr>
          <w:trHeight w:val="180"/>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Supplies and repairs</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2.8 %</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16.4 %</w:t>
            </w:r>
          </w:p>
        </w:tc>
        <w:tc>
          <w:tcPr>
            <w:tcW w:w="0" w:type="dxa"/>
            <w:vAlign w:val="bottom"/>
          </w:tcPr>
          <w:p>
            <w:pPr>
              <w:spacing w:after="0"/>
              <w:rPr>
                <w:sz w:val="1"/>
                <w:szCs w:val="1"/>
                <w:color w:val="auto"/>
              </w:rPr>
            </w:pPr>
          </w:p>
        </w:tc>
      </w:tr>
      <w:tr>
        <w:trPr>
          <w:trHeight w:val="167"/>
        </w:trPr>
        <w:tc>
          <w:tcPr>
            <w:tcW w:w="3220" w:type="dxa"/>
            <w:vAlign w:val="bottom"/>
          </w:tcPr>
          <w:p>
            <w:pPr>
              <w:spacing w:after="0"/>
              <w:rPr>
                <w:sz w:val="20"/>
                <w:szCs w:val="20"/>
                <w:color w:val="auto"/>
              </w:rPr>
            </w:pPr>
            <w:r>
              <w:rPr>
                <w:rFonts w:ascii="Times New Roman" w:cs="Times New Roman" w:eastAsia="Times New Roman" w:hAnsi="Times New Roman"/>
                <w:sz w:val="12"/>
                <w:szCs w:val="12"/>
                <w:color w:val="auto"/>
              </w:rPr>
              <w:t>Utilities</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5.0 %</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5.7 %</w:t>
            </w:r>
          </w:p>
        </w:tc>
        <w:tc>
          <w:tcPr>
            <w:tcW w:w="0" w:type="dxa"/>
            <w:vAlign w:val="bottom"/>
          </w:tcPr>
          <w:p>
            <w:pPr>
              <w:spacing w:after="0"/>
              <w:rPr>
                <w:sz w:val="1"/>
                <w:szCs w:val="1"/>
                <w:color w:val="auto"/>
              </w:rPr>
            </w:pPr>
          </w:p>
        </w:tc>
      </w:tr>
      <w:tr>
        <w:trPr>
          <w:trHeight w:val="180"/>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Legal, state / local taxes, and insurance</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0" w:type="dxa"/>
            <w:vAlign w:val="bottom"/>
          </w:tcPr>
          <w:p>
            <w:pPr>
              <w:spacing w:after="0"/>
              <w:rPr>
                <w:sz w:val="1"/>
                <w:szCs w:val="1"/>
                <w:color w:val="auto"/>
              </w:rPr>
            </w:pPr>
          </w:p>
        </w:tc>
      </w:tr>
      <w:tr>
        <w:trPr>
          <w:trHeight w:val="167"/>
        </w:trPr>
        <w:tc>
          <w:tcPr>
            <w:tcW w:w="3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51.0</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50.9</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49.2</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39.8</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9.4</w:t>
            </w:r>
          </w:p>
        </w:tc>
        <w:tc>
          <w:tcPr>
            <w:tcW w:w="8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23.6 %</w:t>
            </w:r>
          </w:p>
        </w:tc>
        <w:tc>
          <w:tcPr>
            <w:tcW w:w="0" w:type="dxa"/>
            <w:vAlign w:val="bottom"/>
          </w:tcPr>
          <w:p>
            <w:pPr>
              <w:spacing w:after="0"/>
              <w:rPr>
                <w:sz w:val="1"/>
                <w:szCs w:val="1"/>
                <w:color w:val="auto"/>
              </w:rPr>
            </w:pPr>
          </w:p>
        </w:tc>
      </w:tr>
      <w:tr>
        <w:trPr>
          <w:trHeight w:val="197"/>
        </w:trPr>
        <w:tc>
          <w:tcPr>
            <w:tcW w:w="3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Same Property Operating Expenses</w:t>
            </w: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484.8</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474.2</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w:t>
            </w:r>
          </w:p>
        </w:tc>
        <w:tc>
          <w:tcPr>
            <w:tcW w:w="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2.2 %</w:t>
            </w:r>
          </w:p>
        </w:tc>
        <w:tc>
          <w:tcPr>
            <w:tcW w:w="2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466.5</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442.9</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23.6</w:t>
            </w: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5.3 %</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121920</wp:posOffset>
            </wp:positionV>
            <wp:extent cx="7177405" cy="400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121" w:right="319" w:bottom="1440" w:gutter="0" w:footer="0" w:header="0"/>
          <w:type w:val="continuous"/>
        </w:sectPr>
      </w:pPr>
    </w:p>
    <w:bookmarkStart w:id="34" w:name="page35"/>
    <w:bookmarkEnd w:id="34"/>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7" w:type="dxa"/>
        <w:tblCellMar>
          <w:top w:w="0" w:type="dxa"/>
          <w:left w:w="0" w:type="dxa"/>
          <w:bottom w:w="0" w:type="dxa"/>
          <w:right w:w="0" w:type="dxa"/>
        </w:tblCellMar>
      </w:tblPr>
      <w:tr>
        <w:trPr>
          <w:trHeight w:val="176"/>
        </w:trPr>
        <w:tc>
          <w:tcPr>
            <w:tcW w:w="3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r>
      <w:tr>
        <w:trPr>
          <w:trHeight w:val="168"/>
        </w:trPr>
        <w:tc>
          <w:tcPr>
            <w:tcW w:w="3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2025</w:t>
            </w: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7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700" w:type="dxa"/>
            <w:vAlign w:val="bottom"/>
            <w:tcBorders>
              <w:bottom w:val="single" w:sz="8" w:color="auto"/>
            </w:tcBorders>
          </w:tcPr>
          <w:p>
            <w:pPr>
              <w:spacing w:after="0"/>
              <w:rPr>
                <w:sz w:val="14"/>
                <w:szCs w:val="14"/>
                <w:color w:val="auto"/>
              </w:rPr>
            </w:pPr>
          </w:p>
        </w:tc>
      </w:tr>
      <w:tr>
        <w:trPr>
          <w:trHeight w:val="165"/>
        </w:trPr>
        <w:tc>
          <w:tcPr>
            <w:tcW w:w="3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MH</w:t>
            </w:r>
          </w:p>
        </w:tc>
        <w:tc>
          <w:tcPr>
            <w:tcW w:w="240" w:type="dxa"/>
            <w:vAlign w:val="bottom"/>
          </w:tcPr>
          <w:p>
            <w:pPr>
              <w:spacing w:after="0"/>
              <w:rPr>
                <w:sz w:val="14"/>
                <w:szCs w:val="14"/>
                <w:color w:val="auto"/>
              </w:rPr>
            </w:pP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RV</w:t>
            </w:r>
          </w:p>
        </w:tc>
        <w:tc>
          <w:tcPr>
            <w:tcW w:w="220" w:type="dxa"/>
            <w:vAlign w:val="bottom"/>
          </w:tcPr>
          <w:p>
            <w:pPr>
              <w:spacing w:after="0"/>
              <w:rPr>
                <w:sz w:val="14"/>
                <w:szCs w:val="14"/>
                <w:color w:val="auto"/>
              </w:rPr>
            </w:pPr>
          </w:p>
        </w:tc>
        <w:tc>
          <w:tcPr>
            <w:tcW w:w="60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MH</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RV</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MH</w:t>
            </w:r>
          </w:p>
        </w:tc>
        <w:tc>
          <w:tcPr>
            <w:tcW w:w="260" w:type="dxa"/>
            <w:vAlign w:val="bottom"/>
          </w:tcPr>
          <w:p>
            <w:pPr>
              <w:spacing w:after="0"/>
              <w:rPr>
                <w:sz w:val="14"/>
                <w:szCs w:val="14"/>
                <w:color w:val="auto"/>
              </w:rPr>
            </w:pP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RV</w:t>
            </w:r>
          </w:p>
        </w:tc>
        <w:tc>
          <w:tcPr>
            <w:tcW w:w="220" w:type="dxa"/>
            <w:vAlign w:val="bottom"/>
          </w:tcPr>
          <w:p>
            <w:pPr>
              <w:spacing w:after="0"/>
              <w:rPr>
                <w:sz w:val="14"/>
                <w:szCs w:val="14"/>
                <w:color w:val="auto"/>
              </w:rPr>
            </w:pPr>
          </w:p>
        </w:tc>
        <w:tc>
          <w:tcPr>
            <w:tcW w:w="60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MH</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RV</w:t>
            </w:r>
          </w:p>
        </w:tc>
      </w:tr>
      <w:tr>
        <w:trPr>
          <w:trHeight w:val="166"/>
        </w:trPr>
        <w:tc>
          <w:tcPr>
            <w:tcW w:w="3240" w:type="dxa"/>
            <w:vAlign w:val="bottom"/>
            <w:tcBorders>
              <w:top w:val="single" w:sz="8" w:color="CCEEFF"/>
            </w:tcBorders>
            <w:shd w:val="clear" w:color="auto" w:fill="CCEEFF"/>
          </w:tcPr>
          <w:p>
            <w:pPr>
              <w:spacing w:after="0" w:line="166" w:lineRule="exact"/>
              <w:rPr>
                <w:sz w:val="20"/>
                <w:szCs w:val="20"/>
                <w:color w:val="auto"/>
              </w:rPr>
            </w:pPr>
            <w:r>
              <w:rPr>
                <w:rFonts w:ascii="Times New Roman" w:cs="Times New Roman" w:eastAsia="Times New Roman" w:hAnsi="Times New Roman"/>
                <w:sz w:val="13"/>
                <w:szCs w:val="13"/>
                <w:b w:val="1"/>
                <w:bCs w:val="1"/>
                <w:color w:val="auto"/>
              </w:rPr>
              <w:t>Number of Properties</w:t>
            </w:r>
            <w:r>
              <w:rPr>
                <w:rFonts w:ascii="Times New Roman" w:cs="Times New Roman" w:eastAsia="Times New Roman" w:hAnsi="Times New Roman"/>
                <w:sz w:val="17"/>
                <w:szCs w:val="17"/>
                <w:b w:val="1"/>
                <w:bCs w:val="1"/>
                <w:color w:val="auto"/>
                <w:vertAlign w:val="superscript"/>
              </w:rPr>
              <w:t>1)</w:t>
            </w:r>
          </w:p>
        </w:tc>
        <w:tc>
          <w:tcPr>
            <w:tcW w:w="2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280</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156</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w:t>
            </w:r>
          </w:p>
        </w:tc>
        <w:tc>
          <w:tcPr>
            <w:tcW w:w="1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156</w:t>
            </w:r>
          </w:p>
        </w:tc>
        <w:tc>
          <w:tcPr>
            <w:tcW w:w="1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283</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150</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w:t>
            </w:r>
          </w:p>
        </w:tc>
        <w:tc>
          <w:tcPr>
            <w:tcW w:w="1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150</w:t>
            </w:r>
          </w:p>
        </w:tc>
      </w:tr>
      <w:tr>
        <w:trPr>
          <w:trHeight w:val="173"/>
        </w:trPr>
        <w:tc>
          <w:tcPr>
            <w:tcW w:w="3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Sites</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4"/>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MH and Annual RV sites</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96,460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31,430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96,680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31,010</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96,640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31,070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96,370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29,400</w:t>
            </w:r>
          </w:p>
        </w:tc>
      </w:tr>
      <w:tr>
        <w:trPr>
          <w:trHeight w:val="172"/>
        </w:trPr>
        <w:tc>
          <w:tcPr>
            <w:tcW w:w="32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Transient RV sites</w:t>
            </w:r>
          </w:p>
        </w:tc>
        <w:tc>
          <w:tcPr>
            <w:tcW w:w="220" w:type="dxa"/>
            <w:vAlign w:val="bottom"/>
          </w:tcPr>
          <w:p>
            <w:pPr>
              <w:spacing w:after="0"/>
              <w:rPr>
                <w:sz w:val="14"/>
                <w:szCs w:val="14"/>
                <w:color w:val="auto"/>
              </w:rPr>
            </w:pPr>
          </w:p>
        </w:tc>
        <w:tc>
          <w:tcPr>
            <w:tcW w:w="78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N/M</w:t>
            </w:r>
          </w:p>
        </w:tc>
        <w:tc>
          <w:tcPr>
            <w:tcW w:w="240" w:type="dxa"/>
            <w:vAlign w:val="bottom"/>
          </w:tcPr>
          <w:p>
            <w:pPr>
              <w:spacing w:after="0"/>
              <w:rPr>
                <w:sz w:val="14"/>
                <w:szCs w:val="14"/>
                <w:color w:val="auto"/>
              </w:rPr>
            </w:pPr>
          </w:p>
        </w:tc>
        <w:tc>
          <w:tcPr>
            <w:tcW w:w="6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21,560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N/M</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22,550</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N/M</w:t>
            </w:r>
          </w:p>
        </w:tc>
        <w:tc>
          <w:tcPr>
            <w:tcW w:w="260" w:type="dxa"/>
            <w:vAlign w:val="bottom"/>
          </w:tcPr>
          <w:p>
            <w:pPr>
              <w:spacing w:after="0"/>
              <w:rPr>
                <w:sz w:val="14"/>
                <w:szCs w:val="14"/>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21,620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N/M</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22,710</w:t>
            </w:r>
          </w:p>
        </w:tc>
      </w:tr>
      <w:tr>
        <w:trPr>
          <w:trHeight w:val="167"/>
        </w:trPr>
        <w:tc>
          <w:tcPr>
            <w:tcW w:w="32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w:t>
            </w:r>
          </w:p>
        </w:tc>
        <w:tc>
          <w:tcPr>
            <w:tcW w:w="2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96,460</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52,990</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96,680</w:t>
            </w:r>
          </w:p>
        </w:tc>
        <w:tc>
          <w:tcPr>
            <w:tcW w:w="1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53,560</w:t>
            </w:r>
          </w:p>
        </w:tc>
        <w:tc>
          <w:tcPr>
            <w:tcW w:w="1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96,640</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52,690</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96,370</w:t>
            </w:r>
          </w:p>
        </w:tc>
        <w:tc>
          <w:tcPr>
            <w:tcW w:w="1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52,110</w:t>
            </w:r>
          </w:p>
        </w:tc>
      </w:tr>
      <w:tr>
        <w:trPr>
          <w:trHeight w:val="173"/>
        </w:trPr>
        <w:tc>
          <w:tcPr>
            <w:tcW w:w="3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MH &amp; Annual RV Occupancy</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4"/>
        </w:trPr>
        <w:tc>
          <w:tcPr>
            <w:tcW w:w="3240" w:type="dxa"/>
            <w:vAlign w:val="bottom"/>
            <w:shd w:val="clear" w:color="auto" w:fill="CCEEFF"/>
          </w:tcPr>
          <w:p>
            <w:pPr>
              <w:ind w:left="140"/>
              <w:spacing w:after="0" w:line="174" w:lineRule="exact"/>
              <w:rPr>
                <w:sz w:val="20"/>
                <w:szCs w:val="20"/>
                <w:color w:val="auto"/>
              </w:rPr>
            </w:pPr>
            <w:r>
              <w:rPr>
                <w:rFonts w:ascii="Times New Roman" w:cs="Times New Roman" w:eastAsia="Times New Roman" w:hAnsi="Times New Roman"/>
                <w:sz w:val="13"/>
                <w:szCs w:val="13"/>
                <w:color w:val="auto"/>
              </w:rPr>
              <w:t>Occupancy</w:t>
            </w:r>
            <w:r>
              <w:rPr>
                <w:rFonts w:ascii="Times New Roman" w:cs="Times New Roman" w:eastAsia="Times New Roman" w:hAnsi="Times New Roman"/>
                <w:sz w:val="17"/>
                <w:szCs w:val="17"/>
                <w:color w:val="auto"/>
                <w:vertAlign w:val="superscript"/>
              </w:rPr>
              <w:t>(2)</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98.1 %</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97.5 %</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97.6 %</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97.1 %</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r>
      <w:tr>
        <w:trPr>
          <w:trHeight w:val="172"/>
        </w:trPr>
        <w:tc>
          <w:tcPr>
            <w:tcW w:w="32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Average monthly base rent per site</w:t>
            </w: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745</w:t>
            </w:r>
          </w:p>
        </w:tc>
        <w:tc>
          <w:tcPr>
            <w:tcW w:w="80" w:type="dxa"/>
            <w:vAlign w:val="bottom"/>
          </w:tcPr>
          <w:p>
            <w:pPr>
              <w:spacing w:after="0"/>
              <w:rPr>
                <w:sz w:val="14"/>
                <w:szCs w:val="14"/>
                <w:color w:val="auto"/>
              </w:rPr>
            </w:pPr>
          </w:p>
        </w:tc>
        <w:tc>
          <w:tcPr>
            <w:tcW w:w="2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682</w:t>
            </w:r>
          </w:p>
        </w:tc>
        <w:tc>
          <w:tcPr>
            <w:tcW w:w="80" w:type="dxa"/>
            <w:vAlign w:val="bottom"/>
          </w:tcPr>
          <w:p>
            <w:pPr>
              <w:spacing w:after="0"/>
              <w:rPr>
                <w:sz w:val="14"/>
                <w:szCs w:val="14"/>
                <w:color w:val="auto"/>
              </w:rPr>
            </w:pP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708</w:t>
            </w:r>
          </w:p>
        </w:tc>
        <w:tc>
          <w:tcPr>
            <w:tcW w:w="4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652</w:t>
            </w:r>
          </w:p>
        </w:tc>
        <w:tc>
          <w:tcPr>
            <w:tcW w:w="180" w:type="dxa"/>
            <w:vAlign w:val="bottom"/>
          </w:tcPr>
          <w:p>
            <w:pPr>
              <w:spacing w:after="0"/>
              <w:rPr>
                <w:sz w:val="14"/>
                <w:szCs w:val="14"/>
                <w:color w:val="auto"/>
              </w:rPr>
            </w:pP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708</w:t>
            </w:r>
          </w:p>
        </w:tc>
        <w:tc>
          <w:tcPr>
            <w:tcW w:w="80" w:type="dxa"/>
            <w:vAlign w:val="bottom"/>
          </w:tcPr>
          <w:p>
            <w:pPr>
              <w:spacing w:after="0"/>
              <w:rPr>
                <w:sz w:val="14"/>
                <w:szCs w:val="14"/>
                <w:color w:val="auto"/>
              </w:rPr>
            </w:pPr>
          </w:p>
        </w:tc>
        <w:tc>
          <w:tcPr>
            <w:tcW w:w="2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654</w:t>
            </w:r>
          </w:p>
        </w:tc>
        <w:tc>
          <w:tcPr>
            <w:tcW w:w="80" w:type="dxa"/>
            <w:vAlign w:val="bottom"/>
          </w:tcPr>
          <w:p>
            <w:pPr>
              <w:spacing w:after="0"/>
              <w:rPr>
                <w:sz w:val="14"/>
                <w:szCs w:val="14"/>
                <w:color w:val="auto"/>
              </w:rPr>
            </w:pP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671</w:t>
            </w:r>
          </w:p>
        </w:tc>
        <w:tc>
          <w:tcPr>
            <w:tcW w:w="4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617</w:t>
            </w:r>
          </w:p>
        </w:tc>
      </w:tr>
      <w:tr>
        <w:trPr>
          <w:trHeight w:val="175"/>
        </w:trPr>
        <w:tc>
          <w:tcPr>
            <w:tcW w:w="3240" w:type="dxa"/>
            <w:vAlign w:val="bottom"/>
            <w:shd w:val="clear" w:color="auto" w:fill="CCEEFF"/>
          </w:tcPr>
          <w:p>
            <w:pPr>
              <w:ind w:left="140"/>
              <w:spacing w:after="0" w:line="175" w:lineRule="exact"/>
              <w:rPr>
                <w:sz w:val="20"/>
                <w:szCs w:val="20"/>
                <w:color w:val="auto"/>
              </w:rPr>
            </w:pPr>
            <w:r>
              <w:rPr>
                <w:rFonts w:ascii="Times New Roman" w:cs="Times New Roman" w:eastAsia="Times New Roman" w:hAnsi="Times New Roman"/>
                <w:sz w:val="13"/>
                <w:szCs w:val="13"/>
                <w:color w:val="auto"/>
              </w:rPr>
              <w:t>% change in monthly base rent</w:t>
            </w:r>
            <w:r>
              <w:rPr>
                <w:rFonts w:ascii="Times New Roman" w:cs="Times New Roman" w:eastAsia="Times New Roman" w:hAnsi="Times New Roman"/>
                <w:sz w:val="17"/>
                <w:szCs w:val="17"/>
                <w:color w:val="auto"/>
                <w:vertAlign w:val="superscript"/>
              </w:rPr>
              <w:t>(3)</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5.2 %</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4.6 %</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N/A</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5.5 %</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6.0 %</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N/A</w:t>
            </w:r>
          </w:p>
        </w:tc>
      </w:tr>
      <w:tr>
        <w:trPr>
          <w:trHeight w:val="173"/>
        </w:trPr>
        <w:tc>
          <w:tcPr>
            <w:tcW w:w="3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Rental Program Statistics included in MH:</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4"/>
        </w:trPr>
        <w:tc>
          <w:tcPr>
            <w:tcW w:w="3240" w:type="dxa"/>
            <w:vAlign w:val="bottom"/>
            <w:shd w:val="clear" w:color="auto" w:fill="CCEEFF"/>
          </w:tcPr>
          <w:p>
            <w:pPr>
              <w:ind w:left="140"/>
              <w:spacing w:after="0" w:line="174" w:lineRule="exact"/>
              <w:rPr>
                <w:sz w:val="20"/>
                <w:szCs w:val="20"/>
                <w:color w:val="auto"/>
              </w:rPr>
            </w:pPr>
            <w:r>
              <w:rPr>
                <w:rFonts w:ascii="Times New Roman" w:cs="Times New Roman" w:eastAsia="Times New Roman" w:hAnsi="Times New Roman"/>
                <w:sz w:val="13"/>
                <w:szCs w:val="13"/>
                <w:color w:val="auto"/>
              </w:rPr>
              <w:t>Number of occupied sites, end of period</w:t>
            </w:r>
            <w:r>
              <w:rPr>
                <w:rFonts w:ascii="Times New Roman" w:cs="Times New Roman" w:eastAsia="Times New Roman" w:hAnsi="Times New Roman"/>
                <w:sz w:val="17"/>
                <w:szCs w:val="17"/>
                <w:color w:val="auto"/>
                <w:vertAlign w:val="superscript"/>
              </w:rPr>
              <w:t>(4)</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11,930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N/A</w:t>
            </w: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10,780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N/A</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10,630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N/A</w:t>
            </w: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9,830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N/A</w:t>
            </w:r>
          </w:p>
        </w:tc>
      </w:tr>
      <w:tr>
        <w:trPr>
          <w:trHeight w:val="172"/>
        </w:trPr>
        <w:tc>
          <w:tcPr>
            <w:tcW w:w="32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Monthly rent per site - MH Rental Program</w:t>
            </w: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1,384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N/A</w:t>
            </w: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N/A</w:t>
            </w: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1,344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N/A</w:t>
            </w: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N/A</w:t>
            </w:r>
          </w:p>
        </w:tc>
      </w:tr>
      <w:tr>
        <w:trPr>
          <w:trHeight w:val="175"/>
        </w:trPr>
        <w:tc>
          <w:tcPr>
            <w:tcW w:w="3240" w:type="dxa"/>
            <w:vAlign w:val="bottom"/>
            <w:shd w:val="clear" w:color="auto" w:fill="CCEEFF"/>
          </w:tcPr>
          <w:p>
            <w:pPr>
              <w:ind w:left="140"/>
              <w:spacing w:after="0" w:line="175" w:lineRule="exact"/>
              <w:rPr>
                <w:sz w:val="20"/>
                <w:szCs w:val="20"/>
                <w:color w:val="auto"/>
              </w:rPr>
            </w:pPr>
            <w:r>
              <w:rPr>
                <w:rFonts w:ascii="Times New Roman" w:cs="Times New Roman" w:eastAsia="Times New Roman" w:hAnsi="Times New Roman"/>
                <w:sz w:val="13"/>
                <w:szCs w:val="13"/>
                <w:color w:val="auto"/>
              </w:rPr>
              <w:t>% change</w:t>
            </w:r>
            <w:r>
              <w:rPr>
                <w:rFonts w:ascii="Times New Roman" w:cs="Times New Roman" w:eastAsia="Times New Roman" w:hAnsi="Times New Roman"/>
                <w:sz w:val="17"/>
                <w:szCs w:val="17"/>
                <w:color w:val="auto"/>
                <w:vertAlign w:val="superscript"/>
              </w:rPr>
              <w:t>(4)</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2.8 %</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N/A</w:t>
            </w: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N/A</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3.4 %</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N/A</w:t>
            </w: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N/A</w:t>
            </w:r>
          </w:p>
        </w:tc>
      </w:tr>
    </w:tbl>
    <w:p>
      <w:pPr>
        <w:spacing w:after="0" w:line="7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color w:val="auto"/>
        </w:rPr>
        <w:t>N/M = Not meaningful. N/A = Not applicable.</w:t>
      </w:r>
    </w:p>
    <w:p>
      <w:pPr>
        <w:ind w:left="127" w:hanging="127"/>
        <w:spacing w:after="0"/>
        <w:tabs>
          <w:tab w:leader="none" w:pos="127" w:val="left"/>
        </w:tabs>
        <w:numPr>
          <w:ilvl w:val="0"/>
          <w:numId w:val="2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one MH property that was sold on December 30, 2025 and therefore included in 2025 full year Same Property results.</w:t>
      </w:r>
    </w:p>
    <w:p>
      <w:pPr>
        <w:spacing w:after="0" w:line="4" w:lineRule="exact"/>
        <w:rPr>
          <w:rFonts w:ascii="Times New Roman" w:cs="Times New Roman" w:eastAsia="Times New Roman" w:hAnsi="Times New Roman"/>
          <w:sz w:val="16"/>
          <w:szCs w:val="16"/>
          <w:color w:val="auto"/>
          <w:vertAlign w:val="superscript"/>
        </w:rPr>
      </w:pPr>
    </w:p>
    <w:p>
      <w:pPr>
        <w:jc w:val="both"/>
        <w:ind w:left="147" w:hanging="147"/>
        <w:spacing w:after="0" w:line="229" w:lineRule="auto"/>
        <w:tabs>
          <w:tab w:leader="none" w:pos="141" w:val="left"/>
        </w:tabs>
        <w:numPr>
          <w:ilvl w:val="0"/>
          <w:numId w:val="2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Same Property adjusted blended occupancy for MH and RV combined increased to 99.1% at December 31, 2025, from 98.7% at December 31, 2024. The 40 basis point increase was driven by MH expansion fills and the conversion of transient RV sites to annual sites. Same Property blended occupancy for MH and RV was 98.6% at December 31, 2025, an increase of 50 basis points from 98.1% at December 31, 2024. Same Property blended occupancy for MH and RV increased by 160 basis points at 99.0% at December 31, 2024 from 97.4% at December 31, 2023.</w:t>
      </w:r>
    </w:p>
    <w:p>
      <w:pPr>
        <w:ind w:left="127" w:hanging="127"/>
        <w:spacing w:after="0"/>
        <w:tabs>
          <w:tab w:leader="none" w:pos="127" w:val="left"/>
        </w:tabs>
        <w:numPr>
          <w:ilvl w:val="0"/>
          <w:numId w:val="24"/>
        </w:numPr>
        <w:rPr>
          <w:rFonts w:ascii="Times New Roman" w:cs="Times New Roman" w:eastAsia="Times New Roman" w:hAnsi="Times New Roman"/>
          <w:sz w:val="8"/>
          <w:szCs w:val="8"/>
          <w:color w:val="auto"/>
        </w:rPr>
      </w:pPr>
      <w:r>
        <w:rPr>
          <w:rFonts w:ascii="Times New Roman" w:cs="Times New Roman" w:eastAsia="Times New Roman" w:hAnsi="Times New Roman"/>
          <w:sz w:val="12"/>
          <w:szCs w:val="12"/>
          <w:color w:val="auto"/>
        </w:rPr>
        <w:t>Calculated using actual results without rounding.</w:t>
      </w:r>
    </w:p>
    <w:p>
      <w:pPr>
        <w:spacing w:after="0" w:line="7" w:lineRule="exact"/>
        <w:rPr>
          <w:rFonts w:ascii="Times New Roman" w:cs="Times New Roman" w:eastAsia="Times New Roman" w:hAnsi="Times New Roman"/>
          <w:sz w:val="8"/>
          <w:szCs w:val="8"/>
          <w:color w:val="auto"/>
        </w:rPr>
      </w:pPr>
    </w:p>
    <w:p>
      <w:pPr>
        <w:ind w:left="107" w:hanging="107"/>
        <w:spacing w:after="0"/>
        <w:tabs>
          <w:tab w:leader="none" w:pos="107" w:val="left"/>
        </w:tabs>
        <w:numPr>
          <w:ilvl w:val="0"/>
          <w:numId w:val="24"/>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Occupied rental program sites in Same Property are included in total sites.</w:t>
      </w:r>
    </w:p>
    <w:p>
      <w:pPr>
        <w:spacing w:after="0" w:line="8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i w:val="1"/>
          <w:iCs w:val="1"/>
          <w:color w:val="auto"/>
        </w:rPr>
        <w:t>Real Property Operations - UK Same Property Portfolio</w:t>
      </w:r>
    </w:p>
    <w:p>
      <w:pPr>
        <w:spacing w:after="0" w:line="109" w:lineRule="exact"/>
        <w:rPr>
          <w:sz w:val="20"/>
          <w:szCs w:val="20"/>
          <w:color w:val="auto"/>
        </w:rPr>
      </w:pPr>
    </w:p>
    <w:p>
      <w:pPr>
        <w:ind w:left="7" w:right="20"/>
        <w:spacing w:after="0" w:line="295" w:lineRule="auto"/>
        <w:rPr>
          <w:sz w:val="20"/>
          <w:szCs w:val="20"/>
          <w:color w:val="auto"/>
        </w:rPr>
      </w:pPr>
      <w:r>
        <w:rPr>
          <w:rFonts w:ascii="Times New Roman" w:cs="Times New Roman" w:eastAsia="Times New Roman" w:hAnsi="Times New Roman"/>
          <w:sz w:val="15"/>
          <w:szCs w:val="15"/>
          <w:color w:val="auto"/>
        </w:rPr>
        <w:t>The following tables reflect certain financial and other information for our Same Property UK portfolio as of and for the years ended December 31, 2025 and 2024 (in millions, except for statistical information):</w:t>
      </w:r>
    </w:p>
    <w:p>
      <w:pPr>
        <w:spacing w:after="0" w:line="71" w:lineRule="exact"/>
        <w:rPr>
          <w:sz w:val="20"/>
          <w:szCs w:val="20"/>
          <w:color w:val="auto"/>
        </w:rPr>
      </w:pPr>
    </w:p>
    <w:tbl>
      <w:tblPr>
        <w:tblLayout w:type="fixed"/>
        <w:tblInd w:w="7" w:type="dxa"/>
        <w:tblCellMar>
          <w:top w:w="0" w:type="dxa"/>
          <w:left w:w="0" w:type="dxa"/>
          <w:bottom w:w="0" w:type="dxa"/>
          <w:right w:w="0" w:type="dxa"/>
        </w:tblCellMar>
      </w:tblPr>
      <w:tr>
        <w:trPr>
          <w:trHeight w:val="176"/>
        </w:trPr>
        <w:tc>
          <w:tcPr>
            <w:tcW w:w="5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20" w:type="dxa"/>
            <w:vAlign w:val="bottom"/>
            <w:gridSpan w:val="7"/>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60" w:type="dxa"/>
            <w:vAlign w:val="bottom"/>
            <w:gridSpan w:val="6"/>
          </w:tcPr>
          <w:p>
            <w:pPr>
              <w:jc w:val="right"/>
              <w:ind w:right="714"/>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168"/>
        </w:trPr>
        <w:tc>
          <w:tcPr>
            <w:tcW w:w="506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top w:val="single" w:sz="8" w:color="auto"/>
              <w:bottom w:val="single" w:sz="8" w:color="CCEEFF"/>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154"/>
              <w:spacing w:after="0" w:line="168" w:lineRule="exact"/>
              <w:rPr>
                <w:sz w:val="20"/>
                <w:szCs w:val="20"/>
                <w:color w:val="auto"/>
              </w:rPr>
            </w:pPr>
            <w:r>
              <w:rPr>
                <w:rFonts w:ascii="Times New Roman" w:cs="Times New Roman" w:eastAsia="Times New Roman" w:hAnsi="Times New Roman"/>
                <w:sz w:val="13"/>
                <w:szCs w:val="13"/>
                <w:b w:val="1"/>
                <w:bCs w:val="1"/>
                <w:color w:val="auto"/>
              </w:rPr>
              <w:t>% Change</w:t>
            </w:r>
            <w:r>
              <w:rPr>
                <w:rFonts w:ascii="Times New Roman" w:cs="Times New Roman" w:eastAsia="Times New Roman" w:hAnsi="Times New Roman"/>
                <w:sz w:val="17"/>
                <w:szCs w:val="17"/>
                <w:b w:val="1"/>
                <w:bCs w:val="1"/>
                <w:color w:val="auto"/>
                <w:vertAlign w:val="superscript"/>
              </w:rPr>
              <w:t>(2)</w:t>
            </w:r>
          </w:p>
        </w:tc>
        <w:tc>
          <w:tcPr>
            <w:tcW w:w="18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top w:val="single" w:sz="8" w:color="auto"/>
              <w:bottom w:val="single" w:sz="8" w:color="CCEEFF"/>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154"/>
              <w:spacing w:after="0" w:line="168" w:lineRule="exact"/>
              <w:rPr>
                <w:sz w:val="20"/>
                <w:szCs w:val="20"/>
                <w:color w:val="auto"/>
              </w:rPr>
            </w:pPr>
            <w:r>
              <w:rPr>
                <w:rFonts w:ascii="Times New Roman" w:cs="Times New Roman" w:eastAsia="Times New Roman" w:hAnsi="Times New Roman"/>
                <w:sz w:val="13"/>
                <w:szCs w:val="13"/>
                <w:b w:val="1"/>
                <w:bCs w:val="1"/>
                <w:color w:val="auto"/>
              </w:rPr>
              <w:t>% Change</w:t>
            </w:r>
            <w:r>
              <w:rPr>
                <w:rFonts w:ascii="Times New Roman" w:cs="Times New Roman" w:eastAsia="Times New Roman" w:hAnsi="Times New Roman"/>
                <w:sz w:val="17"/>
                <w:szCs w:val="17"/>
                <w:b w:val="1"/>
                <w:bCs w:val="1"/>
                <w:color w:val="auto"/>
                <w:vertAlign w:val="superscript"/>
              </w:rPr>
              <w:t>(2)</w:t>
            </w:r>
          </w:p>
        </w:tc>
      </w:tr>
      <w:tr>
        <w:trPr>
          <w:trHeight w:val="154"/>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Same Property Revenues</w:t>
            </w: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72"/>
        </w:trPr>
        <w:tc>
          <w:tcPr>
            <w:tcW w:w="50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Real property (excluding transient)</w:t>
            </w: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109.9</w:t>
            </w:r>
          </w:p>
        </w:tc>
        <w:tc>
          <w:tcPr>
            <w:tcW w:w="360" w:type="dxa"/>
            <w:vAlign w:val="bottom"/>
            <w:gridSpan w:val="3"/>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105.7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4.1 %</w:t>
            </w:r>
          </w:p>
        </w:tc>
        <w:tc>
          <w:tcPr>
            <w:tcW w:w="180" w:type="dxa"/>
            <w:vAlign w:val="bottom"/>
          </w:tcPr>
          <w:p>
            <w:pPr>
              <w:spacing w:after="0"/>
              <w:rPr>
                <w:sz w:val="14"/>
                <w:szCs w:val="14"/>
                <w:color w:val="auto"/>
              </w:rPr>
            </w:pP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102.4</w:t>
            </w:r>
          </w:p>
        </w:tc>
        <w:tc>
          <w:tcPr>
            <w:tcW w:w="380" w:type="dxa"/>
            <w:vAlign w:val="bottom"/>
            <w:gridSpan w:val="3"/>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95.5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7.2 %</w:t>
            </w:r>
          </w:p>
        </w:tc>
      </w:tr>
      <w:tr>
        <w:trPr>
          <w:trHeight w:val="175"/>
        </w:trPr>
        <w:tc>
          <w:tcPr>
            <w:tcW w:w="5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Real property - transient</w:t>
            </w:r>
          </w:p>
        </w:tc>
        <w:tc>
          <w:tcPr>
            <w:tcW w:w="1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8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46.6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7.1 %</w:t>
            </w:r>
          </w:p>
        </w:tc>
        <w:tc>
          <w:tcPr>
            <w:tcW w:w="1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44.7</w:t>
            </w:r>
          </w:p>
        </w:tc>
        <w:tc>
          <w:tcPr>
            <w:tcW w:w="10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42.7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4.8 %</w:t>
            </w:r>
          </w:p>
        </w:tc>
      </w:tr>
      <w:tr>
        <w:trPr>
          <w:trHeight w:val="164"/>
        </w:trPr>
        <w:tc>
          <w:tcPr>
            <w:tcW w:w="50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 Same Property operating revenues</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152.3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5.0 %</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138.2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6.5 %</w:t>
            </w:r>
          </w:p>
        </w:tc>
      </w:tr>
      <w:tr>
        <w:trPr>
          <w:trHeight w:val="175"/>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Same Property Expenses</w:t>
            </w: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74"/>
        </w:trPr>
        <w:tc>
          <w:tcPr>
            <w:tcW w:w="5060" w:type="dxa"/>
            <w:vAlign w:val="bottom"/>
            <w:tcBorders>
              <w:bottom w:val="single" w:sz="8" w:color="CCEEFF"/>
            </w:tcBorders>
          </w:tcPr>
          <w:p>
            <w:pPr>
              <w:ind w:left="100"/>
              <w:spacing w:after="0" w:line="174" w:lineRule="exact"/>
              <w:rPr>
                <w:sz w:val="20"/>
                <w:szCs w:val="20"/>
                <w:color w:val="auto"/>
              </w:rPr>
            </w:pPr>
            <w:r>
              <w:rPr>
                <w:rFonts w:ascii="Times New Roman" w:cs="Times New Roman" w:eastAsia="Times New Roman" w:hAnsi="Times New Roman"/>
                <w:sz w:val="13"/>
                <w:szCs w:val="13"/>
                <w:color w:val="auto"/>
              </w:rPr>
              <w:t>Same Property operating expenses</w:t>
            </w:r>
            <w:r>
              <w:rPr>
                <w:rFonts w:ascii="Times New Roman" w:cs="Times New Roman" w:eastAsia="Times New Roman" w:hAnsi="Times New Roman"/>
                <w:sz w:val="17"/>
                <w:szCs w:val="17"/>
                <w:color w:val="auto"/>
                <w:vertAlign w:val="superscript"/>
              </w:rPr>
              <w:t>(3)</w:t>
            </w: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78.3</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73.4</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6.6 %</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71.1</w:t>
            </w: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68.4</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3.9 %</w:t>
            </w:r>
          </w:p>
        </w:tc>
      </w:tr>
      <w:tr>
        <w:trPr>
          <w:trHeight w:val="190"/>
        </w:trPr>
        <w:tc>
          <w:tcPr>
            <w:tcW w:w="5060" w:type="dxa"/>
            <w:vAlign w:val="bottom"/>
            <w:tcBorders>
              <w:bottom w:val="single" w:sz="8" w:color="CCEEFF"/>
            </w:tcBorders>
            <w:shd w:val="clear" w:color="auto" w:fill="CCEEFF"/>
          </w:tcPr>
          <w:p>
            <w:pPr>
              <w:ind w:left="100"/>
              <w:spacing w:after="0" w:line="165" w:lineRule="exact"/>
              <w:rPr>
                <w:sz w:val="20"/>
                <w:szCs w:val="20"/>
                <w:color w:val="auto"/>
              </w:rPr>
            </w:pPr>
            <w:r>
              <w:rPr>
                <w:rFonts w:ascii="Times New Roman" w:cs="Times New Roman" w:eastAsia="Times New Roman" w:hAnsi="Times New Roman"/>
                <w:sz w:val="13"/>
                <w:szCs w:val="13"/>
                <w:b w:val="1"/>
                <w:bCs w:val="1"/>
                <w:color w:val="auto"/>
              </w:rPr>
              <w:t>Real Property NOI</w:t>
            </w:r>
            <w:r>
              <w:rPr>
                <w:rFonts w:ascii="Times New Roman" w:cs="Times New Roman" w:eastAsia="Times New Roman" w:hAnsi="Times New Roman"/>
                <w:sz w:val="17"/>
                <w:szCs w:val="17"/>
                <w:b w:val="1"/>
                <w:bCs w:val="1"/>
                <w:color w:val="auto"/>
                <w:vertAlign w:val="superscript"/>
              </w:rPr>
              <w:t>(1)</w:t>
            </w:r>
          </w:p>
        </w:tc>
        <w:tc>
          <w:tcPr>
            <w:tcW w:w="1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81.6</w:t>
            </w:r>
          </w:p>
        </w:tc>
        <w:tc>
          <w:tcPr>
            <w:tcW w:w="8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78.9</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3.5 %</w:t>
            </w:r>
          </w:p>
        </w:tc>
        <w:tc>
          <w:tcPr>
            <w:tcW w:w="1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76.0</w:t>
            </w:r>
          </w:p>
        </w:tc>
        <w:tc>
          <w:tcPr>
            <w:tcW w:w="10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69.8</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9.0 %</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r>
        <w:trPr>
          <w:trHeight w:val="128"/>
        </w:trPr>
        <w:tc>
          <w:tcPr>
            <w:tcW w:w="5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74"/>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Number of properties</w:t>
            </w: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51</w:t>
            </w:r>
          </w:p>
        </w:tc>
        <w:tc>
          <w:tcPr>
            <w:tcW w:w="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r>
    </w:tbl>
    <w:p>
      <w:pPr>
        <w:spacing w:after="0" w:line="73" w:lineRule="exact"/>
        <w:rPr>
          <w:sz w:val="20"/>
          <w:szCs w:val="20"/>
          <w:color w:val="auto"/>
        </w:rPr>
      </w:pPr>
    </w:p>
    <w:p>
      <w:pPr>
        <w:ind w:left="147" w:right="20" w:hanging="147"/>
        <w:spacing w:after="0" w:line="234" w:lineRule="auto"/>
        <w:tabs>
          <w:tab w:leader="none" w:pos="122" w:val="left"/>
        </w:tabs>
        <w:numPr>
          <w:ilvl w:val="0"/>
          <w:numId w:val="25"/>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Same Property results for our UK properties reflect constant currency for comparative purposes. British pound sterling figures in the prior comparative period have been translated at the average exchange rate of $1.3183 USD per GBP, during year ended December 31, 2025. Prior to constant currency adjustments, UK Same Property NOI increased by 7.3% during the year ended December 31, 2025.</w:t>
      </w:r>
    </w:p>
    <w:p>
      <w:pPr>
        <w:ind w:left="127" w:hanging="127"/>
        <w:spacing w:after="0"/>
        <w:tabs>
          <w:tab w:leader="none" w:pos="127" w:val="left"/>
        </w:tabs>
        <w:numPr>
          <w:ilvl w:val="0"/>
          <w:numId w:val="25"/>
        </w:numPr>
        <w:rPr>
          <w:rFonts w:ascii="Times New Roman" w:cs="Times New Roman" w:eastAsia="Times New Roman" w:hAnsi="Times New Roman"/>
          <w:sz w:val="8"/>
          <w:szCs w:val="8"/>
          <w:color w:val="auto"/>
        </w:rPr>
      </w:pPr>
      <w:r>
        <w:rPr>
          <w:rFonts w:ascii="Times New Roman" w:cs="Times New Roman" w:eastAsia="Times New Roman" w:hAnsi="Times New Roman"/>
          <w:sz w:val="12"/>
          <w:szCs w:val="12"/>
          <w:color w:val="auto"/>
        </w:rPr>
        <w:t>Percentages are calculated based on unrounded numbers.</w:t>
      </w:r>
    </w:p>
    <w:p>
      <w:pPr>
        <w:spacing w:after="0" w:line="7" w:lineRule="exact"/>
        <w:rPr>
          <w:rFonts w:ascii="Times New Roman" w:cs="Times New Roman" w:eastAsia="Times New Roman" w:hAnsi="Times New Roman"/>
          <w:sz w:val="8"/>
          <w:szCs w:val="8"/>
          <w:color w:val="auto"/>
        </w:rPr>
      </w:pPr>
    </w:p>
    <w:p>
      <w:pPr>
        <w:ind w:left="127" w:hanging="127"/>
        <w:spacing w:after="0"/>
        <w:tabs>
          <w:tab w:leader="none" w:pos="127" w:val="left"/>
        </w:tabs>
        <w:numPr>
          <w:ilvl w:val="0"/>
          <w:numId w:val="25"/>
        </w:numPr>
        <w:rPr>
          <w:rFonts w:ascii="Times New Roman" w:cs="Times New Roman" w:eastAsia="Times New Roman" w:hAnsi="Times New Roman"/>
          <w:sz w:val="8"/>
          <w:szCs w:val="8"/>
          <w:color w:val="auto"/>
        </w:rPr>
      </w:pPr>
      <w:r>
        <w:rPr>
          <w:rFonts w:ascii="Times New Roman" w:cs="Times New Roman" w:eastAsia="Times New Roman" w:hAnsi="Times New Roman"/>
          <w:sz w:val="12"/>
          <w:szCs w:val="12"/>
          <w:color w:val="auto"/>
        </w:rPr>
        <w:t>We net certain utility revenues (which include utility reimbursement revenues from residents) against related utility expenses in property operating expenses as follows (in millions):</w:t>
      </w:r>
    </w:p>
    <w:p>
      <w:pPr>
        <w:spacing w:after="0" w:line="36"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4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53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9"/>
        </w:trPr>
        <w:tc>
          <w:tcPr>
            <w:tcW w:w="4420" w:type="dxa"/>
            <w:vAlign w:val="bottom"/>
            <w:tcBorders>
              <w:bottom w:val="single" w:sz="8" w:color="CCEEFF"/>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6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618"/>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180" w:type="dxa"/>
            <w:vAlign w:val="bottom"/>
            <w:tcBorders>
              <w:bottom w:val="single" w:sz="8" w:color="CCEEFF"/>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98"/>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Borders>
              <w:top w:val="single" w:sz="8" w:color="auto"/>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618"/>
              <w:spacing w:after="0"/>
              <w:rPr>
                <w:sz w:val="20"/>
                <w:szCs w:val="20"/>
                <w:color w:val="auto"/>
              </w:rPr>
            </w:pPr>
            <w:r>
              <w:rPr>
                <w:rFonts w:ascii="Times New Roman" w:cs="Times New Roman" w:eastAsia="Times New Roman" w:hAnsi="Times New Roman"/>
                <w:sz w:val="12"/>
                <w:szCs w:val="12"/>
                <w:b w:val="1"/>
                <w:bCs w:val="1"/>
                <w:color w:val="auto"/>
                <w:w w:val="99"/>
              </w:rPr>
              <w:t>2023</w:t>
            </w:r>
          </w:p>
        </w:tc>
        <w:tc>
          <w:tcPr>
            <w:tcW w:w="0" w:type="dxa"/>
            <w:vAlign w:val="bottom"/>
          </w:tcPr>
          <w:p>
            <w:pPr>
              <w:spacing w:after="0"/>
              <w:rPr>
                <w:sz w:val="1"/>
                <w:szCs w:val="1"/>
                <w:color w:val="auto"/>
              </w:rPr>
            </w:pPr>
          </w:p>
        </w:tc>
      </w:tr>
      <w:tr>
        <w:trPr>
          <w:trHeight w:val="102"/>
        </w:trPr>
        <w:tc>
          <w:tcPr>
            <w:tcW w:w="4420" w:type="dxa"/>
            <w:vAlign w:val="bottom"/>
            <w:shd w:val="clear" w:color="auto" w:fill="CCEEFF"/>
          </w:tcPr>
          <w:p>
            <w:pPr>
              <w:spacing w:after="0" w:line="102" w:lineRule="exact"/>
              <w:rPr>
                <w:sz w:val="20"/>
                <w:szCs w:val="20"/>
                <w:color w:val="auto"/>
              </w:rPr>
            </w:pPr>
            <w:r>
              <w:rPr>
                <w:rFonts w:ascii="Times New Roman" w:cs="Times New Roman" w:eastAsia="Times New Roman" w:hAnsi="Times New Roman"/>
                <w:sz w:val="11"/>
                <w:szCs w:val="11"/>
                <w:color w:val="auto"/>
              </w:rPr>
              <w:t>Utility revenue netted against related utility expense</w:t>
            </w:r>
          </w:p>
        </w:tc>
        <w:tc>
          <w:tcPr>
            <w:tcW w:w="94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20.3</w:t>
            </w:r>
          </w:p>
        </w:tc>
        <w:tc>
          <w:tcPr>
            <w:tcW w:w="8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ind w:right="52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18.5</w:t>
            </w:r>
          </w:p>
        </w:tc>
        <w:tc>
          <w:tcPr>
            <w:tcW w:w="180" w:type="dxa"/>
            <w:vAlign w:val="bottom"/>
            <w:shd w:val="clear" w:color="auto" w:fill="CCEEFF"/>
          </w:tcPr>
          <w:p>
            <w:pPr>
              <w:spacing w:after="0"/>
              <w:rPr>
                <w:sz w:val="8"/>
                <w:szCs w:val="8"/>
                <w:color w:val="auto"/>
              </w:rPr>
            </w:pPr>
          </w:p>
        </w:tc>
        <w:tc>
          <w:tcPr>
            <w:tcW w:w="380" w:type="dxa"/>
            <w:vAlign w:val="bottom"/>
            <w:vMerge w:val="restart"/>
            <w:shd w:val="clear" w:color="auto" w:fill="CCEEFF"/>
          </w:tcPr>
          <w:p>
            <w:pPr>
              <w:jc w:val="right"/>
              <w:ind w:right="238"/>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17.9</w:t>
            </w:r>
          </w:p>
        </w:tc>
        <w:tc>
          <w:tcPr>
            <w:tcW w:w="10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ind w:right="52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16.8</w:t>
            </w:r>
          </w:p>
        </w:tc>
        <w:tc>
          <w:tcPr>
            <w:tcW w:w="0" w:type="dxa"/>
            <w:vAlign w:val="bottom"/>
          </w:tcPr>
          <w:p>
            <w:pPr>
              <w:spacing w:after="0"/>
              <w:rPr>
                <w:sz w:val="1"/>
                <w:szCs w:val="1"/>
                <w:color w:val="auto"/>
              </w:rPr>
            </w:pPr>
          </w:p>
        </w:tc>
      </w:tr>
      <w:tr>
        <w:trPr>
          <w:trHeight w:val="174"/>
        </w:trPr>
        <w:tc>
          <w:tcPr>
            <w:tcW w:w="5360" w:type="dxa"/>
            <w:vAlign w:val="bottom"/>
            <w:gridSpan w:val="2"/>
            <w:shd w:val="clear" w:color="auto" w:fill="CCEEFF"/>
          </w:tcPr>
          <w:p>
            <w:pPr>
              <w:jc w:val="right"/>
              <w:ind w:right="798"/>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0" w:type="dxa"/>
            <w:vAlign w:val="bottom"/>
            <w:vMerge w:val="continue"/>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121920</wp:posOffset>
            </wp:positionV>
            <wp:extent cx="7177405" cy="400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121" w:right="319" w:bottom="1440" w:gutter="0" w:footer="0" w:header="0"/>
        </w:sectPr>
      </w:pPr>
    </w:p>
    <w:bookmarkStart w:id="35" w:name="page36"/>
    <w:bookmarkEnd w:id="35"/>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7" w:type="dxa"/>
        <w:tblCellMar>
          <w:top w:w="0" w:type="dxa"/>
          <w:left w:w="0" w:type="dxa"/>
          <w:bottom w:w="0" w:type="dxa"/>
          <w:right w:w="0" w:type="dxa"/>
        </w:tblCellMar>
      </w:tblPr>
      <w:tr>
        <w:trPr>
          <w:trHeight w:val="176"/>
        </w:trPr>
        <w:tc>
          <w:tcPr>
            <w:tcW w:w="424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10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2"/>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1040" w:type="dxa"/>
            <w:vAlign w:val="bottom"/>
            <w:tcBorders>
              <w:bottom w:val="single" w:sz="8" w:color="auto"/>
            </w:tcBorders>
          </w:tcPr>
          <w:p>
            <w:pPr>
              <w:spacing w:after="0"/>
              <w:rPr>
                <w:sz w:val="15"/>
                <w:szCs w:val="15"/>
                <w:color w:val="auto"/>
              </w:rPr>
            </w:pPr>
          </w:p>
        </w:tc>
      </w:tr>
      <w:tr>
        <w:trPr>
          <w:trHeight w:val="168"/>
        </w:trPr>
        <w:tc>
          <w:tcPr>
            <w:tcW w:w="4240" w:type="dxa"/>
            <w:vAlign w:val="bottom"/>
          </w:tcPr>
          <w:p>
            <w:pPr>
              <w:spacing w:after="0"/>
              <w:rPr>
                <w:sz w:val="14"/>
                <w:szCs w:val="14"/>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2025</w:t>
            </w: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jc w:val="right"/>
              <w:ind w:right="61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ind w:right="6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640" w:type="dxa"/>
            <w:vAlign w:val="bottom"/>
          </w:tcPr>
          <w:p>
            <w:pPr>
              <w:spacing w:after="0"/>
              <w:rPr>
                <w:sz w:val="14"/>
                <w:szCs w:val="14"/>
                <w:color w:val="auto"/>
              </w:rPr>
            </w:pPr>
          </w:p>
        </w:tc>
        <w:tc>
          <w:tcPr>
            <w:tcW w:w="1040" w:type="dxa"/>
            <w:vAlign w:val="bottom"/>
          </w:tcPr>
          <w:p>
            <w:pPr>
              <w:jc w:val="right"/>
              <w:ind w:right="614"/>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74"/>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Number of Properties</w:t>
            </w:r>
          </w:p>
        </w:tc>
        <w:tc>
          <w:tcPr>
            <w:tcW w:w="104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rPr>
              <w:t>51</w:t>
            </w:r>
          </w:p>
        </w:tc>
        <w:tc>
          <w:tcPr>
            <w:tcW w:w="6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51</w:t>
            </w: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rPr>
              <w:t>51</w:t>
            </w:r>
          </w:p>
        </w:tc>
        <w:tc>
          <w:tcPr>
            <w:tcW w:w="6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51</w:t>
            </w:r>
          </w:p>
        </w:tc>
      </w:tr>
      <w:tr>
        <w:trPr>
          <w:trHeight w:val="173"/>
        </w:trPr>
        <w:tc>
          <w:tcPr>
            <w:tcW w:w="424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Sites</w:t>
            </w: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4"/>
        </w:trPr>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UK</w:t>
            </w:r>
          </w:p>
        </w:tc>
        <w:tc>
          <w:tcPr>
            <w:tcW w:w="104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rPr>
              <w:t>16,910</w:t>
            </w:r>
          </w:p>
        </w:tc>
        <w:tc>
          <w:tcPr>
            <w:tcW w:w="6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16,980</w:t>
            </w: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rPr>
              <w:t>16,500</w:t>
            </w:r>
          </w:p>
        </w:tc>
        <w:tc>
          <w:tcPr>
            <w:tcW w:w="6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16,210</w:t>
            </w:r>
          </w:p>
        </w:tc>
      </w:tr>
      <w:tr>
        <w:trPr>
          <w:trHeight w:val="172"/>
        </w:trPr>
        <w:tc>
          <w:tcPr>
            <w:tcW w:w="42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UK Transient</w:t>
            </w:r>
          </w:p>
        </w:tc>
        <w:tc>
          <w:tcPr>
            <w:tcW w:w="1040" w:type="dxa"/>
            <w:vAlign w:val="bottom"/>
          </w:tcPr>
          <w:p>
            <w:pPr>
              <w:spacing w:after="0"/>
              <w:rPr>
                <w:sz w:val="14"/>
                <w:szCs w:val="14"/>
                <w:color w:val="auto"/>
              </w:rPr>
            </w:pPr>
          </w:p>
        </w:tc>
        <w:tc>
          <w:tcPr>
            <w:tcW w:w="64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3,270</w:t>
            </w:r>
          </w:p>
        </w:tc>
        <w:tc>
          <w:tcPr>
            <w:tcW w:w="620" w:type="dxa"/>
            <w:vAlign w:val="bottom"/>
          </w:tcPr>
          <w:p>
            <w:pPr>
              <w:spacing w:after="0"/>
              <w:rPr>
                <w:sz w:val="14"/>
                <w:szCs w:val="14"/>
                <w:color w:val="auto"/>
              </w:rPr>
            </w:pP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3,380</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3,210</w:t>
            </w:r>
          </w:p>
        </w:tc>
        <w:tc>
          <w:tcPr>
            <w:tcW w:w="640" w:type="dxa"/>
            <w:vAlign w:val="bottom"/>
          </w:tcPr>
          <w:p>
            <w:pPr>
              <w:spacing w:after="0"/>
              <w:rPr>
                <w:sz w:val="14"/>
                <w:szCs w:val="14"/>
                <w:color w:val="auto"/>
              </w:rPr>
            </w:pP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3,120</w:t>
            </w:r>
          </w:p>
        </w:tc>
      </w:tr>
      <w:tr>
        <w:trPr>
          <w:trHeight w:val="175"/>
        </w:trPr>
        <w:tc>
          <w:tcPr>
            <w:tcW w:w="4240" w:type="dxa"/>
            <w:vAlign w:val="bottom"/>
            <w:shd w:val="clear" w:color="auto" w:fill="CCEEFF"/>
          </w:tcPr>
          <w:p>
            <w:pPr>
              <w:ind w:left="200"/>
              <w:spacing w:after="0" w:line="175" w:lineRule="exact"/>
              <w:rPr>
                <w:sz w:val="20"/>
                <w:szCs w:val="20"/>
                <w:color w:val="auto"/>
              </w:rPr>
            </w:pPr>
            <w:r>
              <w:rPr>
                <w:rFonts w:ascii="Times New Roman" w:cs="Times New Roman" w:eastAsia="Times New Roman" w:hAnsi="Times New Roman"/>
                <w:sz w:val="13"/>
                <w:szCs w:val="13"/>
                <w:color w:val="auto"/>
              </w:rPr>
              <w:t>Occupancy</w:t>
            </w:r>
            <w:r>
              <w:rPr>
                <w:rFonts w:ascii="Times New Roman" w:cs="Times New Roman" w:eastAsia="Times New Roman" w:hAnsi="Times New Roman"/>
                <w:sz w:val="17"/>
                <w:szCs w:val="17"/>
                <w:color w:val="auto"/>
                <w:vertAlign w:val="superscript"/>
              </w:rPr>
              <w:t>(1)</w:t>
            </w:r>
          </w:p>
        </w:tc>
        <w:tc>
          <w:tcPr>
            <w:tcW w:w="10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89.2 %</w:t>
            </w:r>
          </w:p>
        </w:tc>
        <w:tc>
          <w:tcPr>
            <w:tcW w:w="6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89.7 %</w:t>
            </w: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89.6 %</w:t>
            </w:r>
          </w:p>
        </w:tc>
        <w:tc>
          <w:tcPr>
            <w:tcW w:w="6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90.3 %</w:t>
            </w:r>
          </w:p>
        </w:tc>
      </w:tr>
      <w:tr>
        <w:trPr>
          <w:trHeight w:val="172"/>
        </w:trPr>
        <w:tc>
          <w:tcPr>
            <w:tcW w:w="42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Average monthly base rent per site</w:t>
            </w:r>
          </w:p>
        </w:tc>
        <w:tc>
          <w:tcPr>
            <w:tcW w:w="1040" w:type="dxa"/>
            <w:vAlign w:val="bottom"/>
          </w:tcPr>
          <w:p>
            <w:pPr>
              <w:jc w:val="right"/>
              <w:ind w:right="894"/>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585</w:t>
            </w:r>
          </w:p>
        </w:tc>
        <w:tc>
          <w:tcPr>
            <w:tcW w:w="620" w:type="dxa"/>
            <w:vAlign w:val="bottom"/>
          </w:tcPr>
          <w:p>
            <w:pPr>
              <w:jc w:val="right"/>
              <w:ind w:right="434"/>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562</w:t>
            </w:r>
          </w:p>
        </w:tc>
        <w:tc>
          <w:tcPr>
            <w:tcW w:w="200" w:type="dxa"/>
            <w:vAlign w:val="bottom"/>
          </w:tcPr>
          <w:p>
            <w:pPr>
              <w:spacing w:after="0"/>
              <w:rPr>
                <w:sz w:val="14"/>
                <w:szCs w:val="14"/>
                <w:color w:val="auto"/>
              </w:rPr>
            </w:pPr>
          </w:p>
        </w:tc>
        <w:tc>
          <w:tcPr>
            <w:tcW w:w="38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544</w:t>
            </w:r>
          </w:p>
        </w:tc>
        <w:tc>
          <w:tcPr>
            <w:tcW w:w="640" w:type="dxa"/>
            <w:vAlign w:val="bottom"/>
          </w:tcPr>
          <w:p>
            <w:pPr>
              <w:jc w:val="right"/>
              <w:ind w:right="454"/>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502</w:t>
            </w:r>
          </w:p>
        </w:tc>
      </w:tr>
      <w:tr>
        <w:trPr>
          <w:trHeight w:val="175"/>
        </w:trPr>
        <w:tc>
          <w:tcPr>
            <w:tcW w:w="4240" w:type="dxa"/>
            <w:vAlign w:val="bottom"/>
            <w:shd w:val="clear" w:color="auto" w:fill="CCEEFF"/>
          </w:tcPr>
          <w:p>
            <w:pPr>
              <w:ind w:left="200"/>
              <w:spacing w:after="0" w:line="175" w:lineRule="exact"/>
              <w:rPr>
                <w:sz w:val="20"/>
                <w:szCs w:val="20"/>
                <w:color w:val="auto"/>
              </w:rPr>
            </w:pPr>
            <w:r>
              <w:rPr>
                <w:rFonts w:ascii="Times New Roman" w:cs="Times New Roman" w:eastAsia="Times New Roman" w:hAnsi="Times New Roman"/>
                <w:sz w:val="13"/>
                <w:szCs w:val="13"/>
                <w:color w:val="auto"/>
              </w:rPr>
              <w:t>% change in monthly base rent</w:t>
            </w:r>
            <w:r>
              <w:rPr>
                <w:rFonts w:ascii="Times New Roman" w:cs="Times New Roman" w:eastAsia="Times New Roman" w:hAnsi="Times New Roman"/>
                <w:sz w:val="17"/>
                <w:szCs w:val="17"/>
                <w:color w:val="auto"/>
                <w:vertAlign w:val="superscript"/>
              </w:rPr>
              <w:t>(2)</w:t>
            </w:r>
          </w:p>
        </w:tc>
        <w:tc>
          <w:tcPr>
            <w:tcW w:w="10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4.1 %</w:t>
            </w:r>
          </w:p>
        </w:tc>
        <w:tc>
          <w:tcPr>
            <w:tcW w:w="6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N/A</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8.4 %</w:t>
            </w:r>
          </w:p>
        </w:tc>
        <w:tc>
          <w:tcPr>
            <w:tcW w:w="6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N/A</w:t>
            </w:r>
          </w:p>
        </w:tc>
      </w:tr>
    </w:tbl>
    <w:p>
      <w:pPr>
        <w:spacing w:after="0" w:line="73" w:lineRule="exact"/>
        <w:rPr>
          <w:sz w:val="20"/>
          <w:szCs w:val="20"/>
          <w:color w:val="auto"/>
        </w:rPr>
      </w:pPr>
    </w:p>
    <w:p>
      <w:pPr>
        <w:ind w:left="107" w:hanging="107"/>
        <w:spacing w:after="0"/>
        <w:tabs>
          <w:tab w:leader="none" w:pos="107" w:val="left"/>
        </w:tabs>
        <w:numPr>
          <w:ilvl w:val="0"/>
          <w:numId w:val="26"/>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Adjusting for recently delivered and vacant expansion sites, Same Property adjusted occupancy decreased by 30 basis points year over year, to 89.7% at December 31, 2025, from 90.0% at December 31, 2024.</w:t>
      </w:r>
    </w:p>
    <w:p>
      <w:pPr>
        <w:spacing w:after="0" w:line="14" w:lineRule="exact"/>
        <w:rPr>
          <w:rFonts w:ascii="Times New Roman" w:cs="Times New Roman" w:eastAsia="Times New Roman" w:hAnsi="Times New Roman"/>
          <w:sz w:val="13"/>
          <w:szCs w:val="13"/>
          <w:color w:val="auto"/>
          <w:vertAlign w:val="superscript"/>
        </w:rPr>
      </w:pPr>
    </w:p>
    <w:p>
      <w:pPr>
        <w:ind w:left="127" w:hanging="127"/>
        <w:spacing w:after="0" w:line="190" w:lineRule="auto"/>
        <w:tabs>
          <w:tab w:leader="none" w:pos="127" w:val="left"/>
        </w:tabs>
        <w:numPr>
          <w:ilvl w:val="0"/>
          <w:numId w:val="2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Calculated using actual results without rounding.</w:t>
      </w:r>
    </w:p>
    <w:p>
      <w:pPr>
        <w:spacing w:after="0" w:line="8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For the years ended December 31, 2025 and 2024:</w:t>
      </w:r>
    </w:p>
    <w:p>
      <w:pPr>
        <w:spacing w:after="0" w:line="105" w:lineRule="exact"/>
        <w:rPr>
          <w:sz w:val="20"/>
          <w:szCs w:val="20"/>
          <w:color w:val="auto"/>
        </w:rPr>
      </w:pPr>
    </w:p>
    <w:p>
      <w:pPr>
        <w:jc w:val="both"/>
        <w:ind w:left="687" w:hanging="271"/>
        <w:spacing w:after="0" w:line="264" w:lineRule="auto"/>
        <w:tabs>
          <w:tab w:leader="none" w:pos="683"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MH segment's increase in NOI of $56.0 million, or 8.9% when compared to the same period in 2024, is primarily due to an increase in real property (excluding transient) revenue of $62.4 million, or 7.2% and NOI outperformance in our Rental Program. Real property (excluding transient) revenue increased primarily due to a 5.2% increase in monthly base rent.</w:t>
      </w:r>
    </w:p>
    <w:p>
      <w:pPr>
        <w:jc w:val="both"/>
        <w:ind w:left="687" w:right="20" w:hanging="271"/>
        <w:spacing w:after="0" w:line="257" w:lineRule="auto"/>
        <w:tabs>
          <w:tab w:leader="none" w:pos="683"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RV segment's decrease in NOI of $4.1 million, or 1.4% when compared to the same period in 2024, is primarily due an increase in Same Property operating expenses of $4.3 million or 1.8% and a decrease in real property transient revenue of $21.1 million or 9.0%, partially offset by an increase in real property (excluding transient) revenue of $21.3 million or 7.5% due to conversions of transient RV sites to annual RV sites. The increase in Same Property operating expenses was primarily due to increases in utilities, real estate taxes, and other expenses.</w:t>
      </w:r>
    </w:p>
    <w:p>
      <w:pPr>
        <w:spacing w:after="0" w:line="1" w:lineRule="exact"/>
        <w:rPr>
          <w:rFonts w:ascii="Times New Roman" w:cs="Times New Roman" w:eastAsia="Times New Roman" w:hAnsi="Times New Roman"/>
          <w:sz w:val="15"/>
          <w:szCs w:val="15"/>
          <w:color w:val="auto"/>
        </w:rPr>
      </w:pPr>
    </w:p>
    <w:p>
      <w:pPr>
        <w:jc w:val="both"/>
        <w:ind w:left="687" w:right="20" w:hanging="271"/>
        <w:spacing w:after="0" w:line="263" w:lineRule="auto"/>
        <w:tabs>
          <w:tab w:leader="none" w:pos="683"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UK segment increase in NOI of $2.7 million, or 3.5% when compared to the same period in 2024 is primarily due to a $4.2 million, or 4.1%, increase in real property (excluding transient) revenue and a $3.4 million, or 7.1%, increase in real property transient revenue; partially offset by an increase in Same Property operating expenses of $4.9 million, or 6.6%. The increase in real property (excluding transient) revenue was primarily due to a 4.1% increase in monthly base rent per site. The increase in Same Property operating expenses was primarily due to increases in payroll wages, utilities, and other expenses.</w:t>
      </w:r>
    </w:p>
    <w:p>
      <w:pPr>
        <w:spacing w:after="0" w:line="6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For the years ended December 31, 2024 and 2023:</w:t>
      </w:r>
    </w:p>
    <w:p>
      <w:pPr>
        <w:spacing w:after="0" w:line="105" w:lineRule="exact"/>
        <w:rPr>
          <w:sz w:val="20"/>
          <w:szCs w:val="20"/>
          <w:color w:val="auto"/>
        </w:rPr>
      </w:pPr>
    </w:p>
    <w:p>
      <w:pPr>
        <w:ind w:left="687" w:right="20" w:hanging="271"/>
        <w:spacing w:after="0" w:line="267" w:lineRule="auto"/>
        <w:tabs>
          <w:tab w:leader="none" w:pos="683"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Same Property data for the comparative period includes all properties that we owned and operated continuously since January 1, 2023, exclusive of ground-up development and redevelopment properties recently completed or under construction, and other properties as determined by management.</w:t>
      </w:r>
    </w:p>
    <w:p>
      <w:pPr>
        <w:ind w:left="687" w:right="20" w:hanging="271"/>
        <w:spacing w:after="0" w:line="257" w:lineRule="auto"/>
        <w:tabs>
          <w:tab w:leader="none" w:pos="683"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MH segment's increase in NOI of $39.9 million, or 6.7% when compared to the same period in 2023, is primarily due to an increase in real property (excluding transient) revenue of $55.1 million, or 6.8%. Real property (excluding transient) revenue increased due to a 5.5% increase in monthly base rent.</w:t>
      </w:r>
    </w:p>
    <w:p>
      <w:pPr>
        <w:jc w:val="both"/>
        <w:ind w:left="687" w:hanging="271"/>
        <w:spacing w:after="0" w:line="263" w:lineRule="auto"/>
        <w:tabs>
          <w:tab w:leader="none" w:pos="683"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RV segment's decrease in NOI of $8.0 million, or 2.8% when compared to the same period in 2023, is primarily due to a decrease in real property transient revenue of $27.5 million, or 11.0%, and an increase in Same Property operating expenses of $8.5 million or 3.8%, partially offset by an increase in real property (excluding transient) revenue of $28.0 million or 11.1%. The increase in Same Property operating expenses was primarily due to an increase in supplies and repairs expense and other expenses. The increase in real property (excluding transient) revenue was primarily due to a 6.0% increase in monthly base rent and conversions of transient RV sites to annual RV sites.</w:t>
      </w:r>
    </w:p>
    <w:p>
      <w:pPr>
        <w:spacing w:after="0" w:line="169" w:lineRule="exact"/>
        <w:rPr>
          <w:rFonts w:ascii="Times New Roman" w:cs="Times New Roman" w:eastAsia="Times New Roman" w:hAnsi="Times New Roman"/>
          <w:sz w:val="15"/>
          <w:szCs w:val="15"/>
          <w:color w:val="auto"/>
        </w:rPr>
      </w:pPr>
    </w:p>
    <w:p>
      <w:pPr>
        <w:jc w:val="both"/>
        <w:ind w:left="687" w:right="20" w:hanging="271"/>
        <w:spacing w:after="0" w:line="266" w:lineRule="auto"/>
        <w:tabs>
          <w:tab w:leader="none" w:pos="683"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UK segment increase in NOI of $6.2 million, or 9.0%, when compared to the same period in 2023, is primarily due to a $6.9 million, or 7.2%, increase in real property (excluding transient) revenue partially offset by an increase in Same Property operating expenses of $2.7 million, or 3.9%. The increase in real property (excluding transient) revenue was primarily due to an 8.4% increase in monthly base rent per site.</w:t>
      </w:r>
    </w:p>
    <w:p>
      <w:pPr>
        <w:spacing w:after="0" w:line="200" w:lineRule="exact"/>
        <w:rPr>
          <w:sz w:val="20"/>
          <w:szCs w:val="20"/>
          <w:color w:val="auto"/>
        </w:rPr>
      </w:pPr>
    </w:p>
    <w:p>
      <w:pPr>
        <w:spacing w:after="0" w:line="27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121920</wp:posOffset>
            </wp:positionV>
            <wp:extent cx="7177405" cy="40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121" w:right="31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Home Sales Summary</w:t>
      </w:r>
    </w:p>
    <w:p>
      <w:pPr>
        <w:spacing w:after="0" w:line="109"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color w:val="auto"/>
        </w:rPr>
        <w:t>We sell new and pre-owned homes to current and prospective residents and customers in our communities. This inventory is purchased from manufacturers, lenders, dealers, and former residents or customers.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reflects certain financial and statistical information for our home sales program (in millions, except for average selling prices and other information):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6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52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0" w:type="dxa"/>
            <w:vAlign w:val="bottom"/>
          </w:tcPr>
          <w:p>
            <w:pPr>
              <w:spacing w:after="0"/>
              <w:rPr>
                <w:sz w:val="1"/>
                <w:szCs w:val="1"/>
                <w:color w:val="auto"/>
              </w:rPr>
            </w:pPr>
          </w:p>
        </w:tc>
      </w:tr>
      <w:tr>
        <w:trPr>
          <w:trHeight w:val="154"/>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Financial Information</w:t>
            </w:r>
          </w:p>
        </w:tc>
        <w:tc>
          <w:tcPr>
            <w:tcW w:w="10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52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North America</w:t>
            </w: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Home sales</w:t>
            </w:r>
          </w:p>
        </w:tc>
        <w:tc>
          <w:tcPr>
            <w:tcW w:w="106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140.4</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994"/>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181.1</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(40.7)</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w:t>
            </w:r>
          </w:p>
        </w:tc>
        <w:tc>
          <w:tcPr>
            <w:tcW w:w="0" w:type="dxa"/>
            <w:vAlign w:val="bottom"/>
          </w:tcPr>
          <w:p>
            <w:pPr>
              <w:spacing w:after="0"/>
              <w:rPr>
                <w:sz w:val="1"/>
                <w:szCs w:val="1"/>
                <w:color w:val="auto"/>
              </w:rPr>
            </w:pPr>
          </w:p>
        </w:tc>
      </w:tr>
      <w:tr>
        <w:trPr>
          <w:trHeight w:val="172"/>
        </w:trPr>
        <w:tc>
          <w:tcPr>
            <w:tcW w:w="45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Home cost and selling expenses</w:t>
            </w:r>
          </w:p>
        </w:tc>
        <w:tc>
          <w:tcPr>
            <w:tcW w:w="10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color w:val="auto"/>
              </w:rPr>
              <w:t>120.1</w:t>
            </w:r>
          </w:p>
        </w:tc>
        <w:tc>
          <w:tcPr>
            <w:tcW w:w="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color w:val="auto"/>
              </w:rPr>
              <w:t>145.7</w:t>
            </w:r>
          </w:p>
        </w:tc>
        <w:tc>
          <w:tcPr>
            <w:tcW w:w="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(25.6)</w:t>
            </w:r>
          </w:p>
        </w:tc>
        <w:tc>
          <w:tcPr>
            <w:tcW w:w="8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0" w:type="dxa"/>
            <w:vAlign w:val="bottom"/>
          </w:tcPr>
          <w:p>
            <w:pPr>
              <w:spacing w:after="0"/>
              <w:rPr>
                <w:sz w:val="1"/>
                <w:szCs w:val="1"/>
                <w:color w:val="auto"/>
              </w:rPr>
            </w:pPr>
          </w:p>
        </w:tc>
      </w:tr>
      <w:tr>
        <w:trPr>
          <w:trHeight w:val="192"/>
        </w:trPr>
        <w:tc>
          <w:tcPr>
            <w:tcW w:w="4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NOI</w:t>
            </w:r>
          </w:p>
        </w:tc>
        <w:tc>
          <w:tcPr>
            <w:tcW w:w="1060" w:type="dxa"/>
            <w:vAlign w:val="bottom"/>
            <w:tcBorders>
              <w:bottom w:val="single" w:sz="8" w:color="auto"/>
            </w:tcBorders>
            <w:shd w:val="clear" w:color="auto" w:fill="CCEEFF"/>
          </w:tcPr>
          <w:p>
            <w:pPr>
              <w:jc w:val="right"/>
              <w:ind w:right="91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20.3</w:t>
            </w:r>
          </w:p>
        </w:tc>
        <w:tc>
          <w:tcPr>
            <w:tcW w:w="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994"/>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35.4</w:t>
            </w: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(15.1)</w:t>
            </w:r>
          </w:p>
        </w:tc>
        <w:tc>
          <w:tcPr>
            <w:tcW w:w="8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3"/>
                <w:szCs w:val="13"/>
                <w:color w:val="auto"/>
              </w:rPr>
              <w:t>NOI margin %</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52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14.5 %</w:t>
            </w: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6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19.5 %</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(5.0)%</w:t>
            </w: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UK</w:t>
            </w:r>
          </w:p>
        </w:tc>
        <w:tc>
          <w:tcPr>
            <w:tcW w:w="10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5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Home sales</w:t>
            </w:r>
          </w:p>
        </w:tc>
        <w:tc>
          <w:tcPr>
            <w:tcW w:w="1060" w:type="dxa"/>
            <w:vAlign w:val="bottom"/>
          </w:tcPr>
          <w:p>
            <w:pPr>
              <w:jc w:val="right"/>
              <w:ind w:right="91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193.4</w:t>
            </w:r>
          </w:p>
        </w:tc>
        <w:tc>
          <w:tcPr>
            <w:tcW w:w="80" w:type="dxa"/>
            <w:vAlign w:val="bottom"/>
          </w:tcPr>
          <w:p>
            <w:pPr>
              <w:spacing w:after="0"/>
              <w:rPr>
                <w:sz w:val="14"/>
                <w:szCs w:val="14"/>
                <w:color w:val="auto"/>
              </w:rPr>
            </w:pPr>
          </w:p>
        </w:tc>
        <w:tc>
          <w:tcPr>
            <w:tcW w:w="1140" w:type="dxa"/>
            <w:vAlign w:val="bottom"/>
          </w:tcPr>
          <w:p>
            <w:pPr>
              <w:jc w:val="right"/>
              <w:ind w:right="994"/>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188.8</w:t>
            </w:r>
          </w:p>
        </w:tc>
        <w:tc>
          <w:tcPr>
            <w:tcW w:w="80" w:type="dxa"/>
            <w:vAlign w:val="bottom"/>
          </w:tcPr>
          <w:p>
            <w:pPr>
              <w:spacing w:after="0"/>
              <w:rPr>
                <w:sz w:val="14"/>
                <w:szCs w:val="14"/>
                <w:color w:val="auto"/>
              </w:rPr>
            </w:pPr>
          </w:p>
        </w:tc>
        <w:tc>
          <w:tcPr>
            <w:tcW w:w="960" w:type="dxa"/>
            <w:vAlign w:val="bottom"/>
          </w:tcPr>
          <w:p>
            <w:pPr>
              <w:jc w:val="right"/>
              <w:ind w:right="814"/>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4.6</w:t>
            </w:r>
          </w:p>
        </w:tc>
        <w:tc>
          <w:tcPr>
            <w:tcW w:w="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2.4 %</w:t>
            </w:r>
          </w:p>
        </w:tc>
        <w:tc>
          <w:tcPr>
            <w:tcW w:w="0" w:type="dxa"/>
            <w:vAlign w:val="bottom"/>
          </w:tcPr>
          <w:p>
            <w:pPr>
              <w:spacing w:after="0"/>
              <w:rPr>
                <w:sz w:val="1"/>
                <w:szCs w:val="1"/>
                <w:color w:val="auto"/>
              </w:rPr>
            </w:pPr>
          </w:p>
        </w:tc>
      </w:tr>
      <w:tr>
        <w:trPr>
          <w:trHeight w:val="174"/>
        </w:trPr>
        <w:tc>
          <w:tcPr>
            <w:tcW w:w="4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Home cost and selling expenses</w:t>
            </w:r>
          </w:p>
        </w:tc>
        <w:tc>
          <w:tcPr>
            <w:tcW w:w="10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143.7</w:t>
            </w:r>
          </w:p>
        </w:tc>
        <w:tc>
          <w:tcPr>
            <w:tcW w:w="80" w:type="dxa"/>
            <w:vAlign w:val="bottom"/>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rPr>
              <w:t>127.4</w:t>
            </w:r>
          </w:p>
        </w:tc>
        <w:tc>
          <w:tcPr>
            <w:tcW w:w="8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16.3</w:t>
            </w:r>
          </w:p>
        </w:tc>
        <w:tc>
          <w:tcPr>
            <w:tcW w:w="8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12.8 %</w:t>
            </w:r>
          </w:p>
        </w:tc>
        <w:tc>
          <w:tcPr>
            <w:tcW w:w="0" w:type="dxa"/>
            <w:vAlign w:val="bottom"/>
          </w:tcPr>
          <w:p>
            <w:pPr>
              <w:spacing w:after="0"/>
              <w:rPr>
                <w:sz w:val="1"/>
                <w:szCs w:val="1"/>
                <w:color w:val="auto"/>
              </w:rPr>
            </w:pPr>
          </w:p>
        </w:tc>
      </w:tr>
      <w:tr>
        <w:trPr>
          <w:trHeight w:val="167"/>
        </w:trPr>
        <w:tc>
          <w:tcPr>
            <w:tcW w:w="45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NOI</w:t>
            </w:r>
          </w:p>
        </w:tc>
        <w:tc>
          <w:tcPr>
            <w:tcW w:w="1060" w:type="dxa"/>
            <w:vAlign w:val="bottom"/>
            <w:tcBorders>
              <w:bottom w:val="single" w:sz="8" w:color="auto"/>
            </w:tcBorders>
          </w:tcPr>
          <w:p>
            <w:pPr>
              <w:jc w:val="right"/>
              <w:ind w:right="91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color w:val="auto"/>
              </w:rPr>
              <w:t>49.7</w:t>
            </w:r>
          </w:p>
        </w:tc>
        <w:tc>
          <w:tcPr>
            <w:tcW w:w="80" w:type="dxa"/>
            <w:vAlign w:val="bottom"/>
          </w:tcPr>
          <w:p>
            <w:pPr>
              <w:spacing w:after="0"/>
              <w:rPr>
                <w:sz w:val="14"/>
                <w:szCs w:val="14"/>
                <w:color w:val="auto"/>
              </w:rPr>
            </w:pPr>
          </w:p>
        </w:tc>
        <w:tc>
          <w:tcPr>
            <w:tcW w:w="1140" w:type="dxa"/>
            <w:vAlign w:val="bottom"/>
            <w:tcBorders>
              <w:bottom w:val="single" w:sz="8" w:color="auto"/>
            </w:tcBorders>
          </w:tcPr>
          <w:p>
            <w:pPr>
              <w:jc w:val="right"/>
              <w:ind w:right="994"/>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3"/>
                <w:szCs w:val="13"/>
                <w:color w:val="auto"/>
              </w:rPr>
              <w:t>61.4</w:t>
            </w:r>
          </w:p>
        </w:tc>
        <w:tc>
          <w:tcPr>
            <w:tcW w:w="80" w:type="dxa"/>
            <w:vAlign w:val="bottom"/>
          </w:tcPr>
          <w:p>
            <w:pPr>
              <w:spacing w:after="0"/>
              <w:rPr>
                <w:sz w:val="14"/>
                <w:szCs w:val="14"/>
                <w:color w:val="auto"/>
              </w:rPr>
            </w:pPr>
          </w:p>
        </w:tc>
        <w:tc>
          <w:tcPr>
            <w:tcW w:w="96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(11.7)</w:t>
            </w:r>
          </w:p>
        </w:tc>
        <w:tc>
          <w:tcPr>
            <w:tcW w:w="80" w:type="dxa"/>
            <w:vAlign w:val="bottom"/>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(19.1)%</w:t>
            </w: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NOI margin %</w:t>
            </w:r>
          </w:p>
        </w:tc>
        <w:tc>
          <w:tcPr>
            <w:tcW w:w="10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25.7 %</w:t>
            </w: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32.5 %</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52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Home sales</w:t>
            </w:r>
          </w:p>
        </w:tc>
        <w:tc>
          <w:tcPr>
            <w:tcW w:w="106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333.8</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994"/>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369.9</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(36.1)</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0" w:type="dxa"/>
            <w:vAlign w:val="bottom"/>
          </w:tcPr>
          <w:p>
            <w:pPr>
              <w:spacing w:after="0"/>
              <w:rPr>
                <w:sz w:val="1"/>
                <w:szCs w:val="1"/>
                <w:color w:val="auto"/>
              </w:rPr>
            </w:pPr>
          </w:p>
        </w:tc>
      </w:tr>
      <w:tr>
        <w:trPr>
          <w:trHeight w:val="172"/>
        </w:trPr>
        <w:tc>
          <w:tcPr>
            <w:tcW w:w="45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Home cost and selling expenses</w:t>
            </w:r>
          </w:p>
        </w:tc>
        <w:tc>
          <w:tcPr>
            <w:tcW w:w="10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color w:val="auto"/>
              </w:rPr>
              <w:t>263.8</w:t>
            </w:r>
          </w:p>
        </w:tc>
        <w:tc>
          <w:tcPr>
            <w:tcW w:w="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color w:val="auto"/>
              </w:rPr>
              <w:t>273.1</w:t>
            </w:r>
          </w:p>
        </w:tc>
        <w:tc>
          <w:tcPr>
            <w:tcW w:w="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(9.3)</w:t>
            </w:r>
          </w:p>
        </w:tc>
        <w:tc>
          <w:tcPr>
            <w:tcW w:w="8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0" w:type="dxa"/>
            <w:vAlign w:val="bottom"/>
          </w:tcPr>
          <w:p>
            <w:pPr>
              <w:spacing w:after="0"/>
              <w:rPr>
                <w:sz w:val="1"/>
                <w:szCs w:val="1"/>
                <w:color w:val="auto"/>
              </w:rPr>
            </w:pPr>
          </w:p>
        </w:tc>
      </w:tr>
      <w:tr>
        <w:trPr>
          <w:trHeight w:val="192"/>
        </w:trPr>
        <w:tc>
          <w:tcPr>
            <w:tcW w:w="4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NOI</w:t>
            </w:r>
          </w:p>
        </w:tc>
        <w:tc>
          <w:tcPr>
            <w:tcW w:w="1060" w:type="dxa"/>
            <w:vAlign w:val="bottom"/>
            <w:tcBorders>
              <w:bottom w:val="single" w:sz="8" w:color="auto"/>
            </w:tcBorders>
            <w:shd w:val="clear" w:color="auto" w:fill="CCEEFF"/>
          </w:tcPr>
          <w:p>
            <w:pPr>
              <w:jc w:val="right"/>
              <w:ind w:right="91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70.0</w:t>
            </w:r>
          </w:p>
        </w:tc>
        <w:tc>
          <w:tcPr>
            <w:tcW w:w="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994"/>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96.8</w:t>
            </w: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(26.8)</w:t>
            </w:r>
          </w:p>
        </w:tc>
        <w:tc>
          <w:tcPr>
            <w:tcW w:w="8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3"/>
                <w:szCs w:val="13"/>
                <w:color w:val="auto"/>
              </w:rPr>
              <w:t>NOI margin %</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52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21.0 %</w:t>
            </w: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6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26.2 %</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(5.2)%</w:t>
            </w: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Other information</w:t>
            </w:r>
          </w:p>
        </w:tc>
        <w:tc>
          <w:tcPr>
            <w:tcW w:w="10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52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Units Sold:</w:t>
            </w: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North America</w:t>
            </w:r>
          </w:p>
        </w:tc>
        <w:tc>
          <w:tcPr>
            <w:tcW w:w="10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1,564</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rPr>
              <w:t>2,001</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(437)</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w:t>
            </w:r>
          </w:p>
        </w:tc>
        <w:tc>
          <w:tcPr>
            <w:tcW w:w="0" w:type="dxa"/>
            <w:vAlign w:val="bottom"/>
          </w:tcPr>
          <w:p>
            <w:pPr>
              <w:spacing w:after="0"/>
              <w:rPr>
                <w:sz w:val="1"/>
                <w:szCs w:val="1"/>
                <w:color w:val="auto"/>
              </w:rPr>
            </w:pPr>
          </w:p>
        </w:tc>
      </w:tr>
      <w:tr>
        <w:trPr>
          <w:trHeight w:val="172"/>
        </w:trPr>
        <w:tc>
          <w:tcPr>
            <w:tcW w:w="45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UK</w:t>
            </w:r>
          </w:p>
        </w:tc>
        <w:tc>
          <w:tcPr>
            <w:tcW w:w="10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color w:val="auto"/>
              </w:rPr>
              <w:t>2,803</w:t>
            </w:r>
          </w:p>
        </w:tc>
        <w:tc>
          <w:tcPr>
            <w:tcW w:w="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3"/>
                <w:szCs w:val="13"/>
                <w:color w:val="auto"/>
              </w:rPr>
              <w:t>2,948</w:t>
            </w:r>
          </w:p>
        </w:tc>
        <w:tc>
          <w:tcPr>
            <w:tcW w:w="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(145)</w:t>
            </w:r>
          </w:p>
        </w:tc>
        <w:tc>
          <w:tcPr>
            <w:tcW w:w="8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0" w:type="dxa"/>
            <w:vAlign w:val="bottom"/>
          </w:tcPr>
          <w:p>
            <w:pPr>
              <w:spacing w:after="0"/>
              <w:rPr>
                <w:sz w:val="1"/>
                <w:szCs w:val="1"/>
                <w:color w:val="auto"/>
              </w:rPr>
            </w:pPr>
          </w:p>
        </w:tc>
      </w:tr>
      <w:tr>
        <w:trPr>
          <w:trHeight w:val="192"/>
        </w:trPr>
        <w:tc>
          <w:tcPr>
            <w:tcW w:w="4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home sales</w:t>
            </w:r>
          </w:p>
        </w:tc>
        <w:tc>
          <w:tcPr>
            <w:tcW w:w="10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4,367</w:t>
            </w:r>
          </w:p>
        </w:tc>
        <w:tc>
          <w:tcPr>
            <w:tcW w:w="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rPr>
              <w:t>4,949</w:t>
            </w: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(582)</w:t>
            </w:r>
          </w:p>
        </w:tc>
        <w:tc>
          <w:tcPr>
            <w:tcW w:w="8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Average Selling Price:</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52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4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North America</w:t>
            </w:r>
          </w:p>
        </w:tc>
        <w:tc>
          <w:tcPr>
            <w:tcW w:w="106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89,770</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994"/>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rPr>
              <w:t>90,505</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(735)</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0" w:type="dxa"/>
            <w:vAlign w:val="bottom"/>
          </w:tcPr>
          <w:p>
            <w:pPr>
              <w:spacing w:after="0"/>
              <w:rPr>
                <w:sz w:val="1"/>
                <w:szCs w:val="1"/>
                <w:color w:val="auto"/>
              </w:rPr>
            </w:pPr>
          </w:p>
        </w:tc>
      </w:tr>
      <w:tr>
        <w:trPr>
          <w:trHeight w:val="171"/>
        </w:trPr>
        <w:tc>
          <w:tcPr>
            <w:tcW w:w="45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UK</w:t>
            </w:r>
          </w:p>
        </w:tc>
        <w:tc>
          <w:tcPr>
            <w:tcW w:w="1060" w:type="dxa"/>
            <w:vAlign w:val="bottom"/>
          </w:tcPr>
          <w:p>
            <w:pPr>
              <w:jc w:val="right"/>
              <w:ind w:right="91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68,998</w:t>
            </w:r>
          </w:p>
        </w:tc>
        <w:tc>
          <w:tcPr>
            <w:tcW w:w="80" w:type="dxa"/>
            <w:vAlign w:val="bottom"/>
          </w:tcPr>
          <w:p>
            <w:pPr>
              <w:spacing w:after="0"/>
              <w:rPr>
                <w:sz w:val="14"/>
                <w:szCs w:val="14"/>
                <w:color w:val="auto"/>
              </w:rPr>
            </w:pPr>
          </w:p>
        </w:tc>
        <w:tc>
          <w:tcPr>
            <w:tcW w:w="1140" w:type="dxa"/>
            <w:vAlign w:val="bottom"/>
          </w:tcPr>
          <w:p>
            <w:pPr>
              <w:jc w:val="right"/>
              <w:ind w:right="994"/>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64,043</w:t>
            </w:r>
          </w:p>
        </w:tc>
        <w:tc>
          <w:tcPr>
            <w:tcW w:w="80" w:type="dxa"/>
            <w:vAlign w:val="bottom"/>
          </w:tcPr>
          <w:p>
            <w:pPr>
              <w:spacing w:after="0"/>
              <w:rPr>
                <w:sz w:val="14"/>
                <w:szCs w:val="14"/>
                <w:color w:val="auto"/>
              </w:rPr>
            </w:pPr>
          </w:p>
        </w:tc>
        <w:tc>
          <w:tcPr>
            <w:tcW w:w="960" w:type="dxa"/>
            <w:vAlign w:val="bottom"/>
          </w:tcPr>
          <w:p>
            <w:pPr>
              <w:jc w:val="right"/>
              <w:ind w:right="814"/>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4,955</w:t>
            </w:r>
          </w:p>
        </w:tc>
        <w:tc>
          <w:tcPr>
            <w:tcW w:w="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7.7 %</w:t>
            </w:r>
          </w:p>
        </w:tc>
        <w:tc>
          <w:tcPr>
            <w:tcW w:w="0" w:type="dxa"/>
            <w:vAlign w:val="bottom"/>
          </w:tcPr>
          <w:p>
            <w:pPr>
              <w:spacing w:after="0"/>
              <w:rPr>
                <w:sz w:val="1"/>
                <w:szCs w:val="1"/>
                <w:color w:val="auto"/>
              </w:rPr>
            </w:pP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NOI - North America</w:t>
      </w:r>
    </w:p>
    <w:p>
      <w:pPr>
        <w:spacing w:after="0" w:line="10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5"/>
          <w:szCs w:val="15"/>
          <w:color w:val="auto"/>
        </w:rPr>
        <w:t>For the year ended December 31, 2025, the 42.7% decrease in NOI is primarily driven by a 21.8% decrease in total home sales volume as compared to the same period in 2024, primarily driven by fewer available sites in conjunction with reduced expansion and development activity.</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NOI - UK</w:t>
      </w:r>
    </w:p>
    <w:p>
      <w:pPr>
        <w:spacing w:after="0" w:line="10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5"/>
          <w:szCs w:val="15"/>
          <w:color w:val="auto"/>
        </w:rPr>
        <w:t>For the year ended December 31, 2025, the 19.1% decrease in NOI is primarily driven by a 6.8% decrease in NOI margin and a 4.9% decrease in total home sales volume, partially offset by a 7.7% increase in average selling price, as compared to the same period in 2024, primarily driven by increased competition in the region and changes in the mix of homes sold.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7" w:name="page38"/>
    <w:bookmarkEnd w:id="37"/>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i w:val="1"/>
          <w:iCs w:val="1"/>
          <w:color w:val="auto"/>
        </w:rPr>
        <w:t>Other Items - Statements of Operations</w:t>
      </w:r>
      <w:r>
        <w:rPr>
          <w:rFonts w:ascii="Times New Roman" w:cs="Times New Roman" w:eastAsia="Times New Roman" w:hAnsi="Times New Roman"/>
          <w:sz w:val="20"/>
          <w:szCs w:val="20"/>
          <w:i w:val="1"/>
          <w:iCs w:val="1"/>
          <w:color w:val="auto"/>
          <w:vertAlign w:val="superscript"/>
        </w:rPr>
        <w:t>(1)</w:t>
      </w:r>
    </w:p>
    <w:p>
      <w:pPr>
        <w:spacing w:after="0" w:line="5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The following table summarizes other income and expenses (amounts in millions):</w:t>
      </w:r>
    </w:p>
    <w:p>
      <w:pPr>
        <w:spacing w:after="0" w:line="138" w:lineRule="exact"/>
        <w:rPr>
          <w:sz w:val="20"/>
          <w:szCs w:val="20"/>
          <w:color w:val="auto"/>
        </w:rPr>
      </w:pPr>
    </w:p>
    <w:tbl>
      <w:tblPr>
        <w:tblLayout w:type="fixed"/>
        <w:tblInd w:w="7" w:type="dxa"/>
        <w:tblCellMar>
          <w:top w:w="0" w:type="dxa"/>
          <w:left w:w="0" w:type="dxa"/>
          <w:bottom w:w="0" w:type="dxa"/>
          <w:right w:w="0" w:type="dxa"/>
        </w:tblCellMar>
      </w:tblPr>
      <w:tr>
        <w:trPr>
          <w:trHeight w:val="176"/>
        </w:trPr>
        <w:tc>
          <w:tcPr>
            <w:tcW w:w="46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r>
      <w:tr>
        <w:trPr>
          <w:trHeight w:val="168"/>
        </w:trPr>
        <w:tc>
          <w:tcPr>
            <w:tcW w:w="4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ind w:right="67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jc w:val="right"/>
              <w:ind w:right="67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46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54"/>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Other Revenues</w:t>
            </w:r>
          </w:p>
        </w:tc>
        <w:tc>
          <w:tcPr>
            <w:tcW w:w="42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r>
      <w:tr>
        <w:trPr>
          <w:trHeight w:val="172"/>
        </w:trPr>
        <w:tc>
          <w:tcPr>
            <w:tcW w:w="46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Ancillary, net</w:t>
            </w:r>
          </w:p>
        </w:tc>
        <w:tc>
          <w:tcPr>
            <w:tcW w:w="42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w:t>
            </w:r>
          </w:p>
        </w:tc>
        <w:tc>
          <w:tcPr>
            <w:tcW w:w="80" w:type="dxa"/>
            <w:vAlign w:val="bottom"/>
          </w:tcPr>
          <w:p>
            <w:pPr>
              <w:spacing w:after="0"/>
              <w:rPr>
                <w:sz w:val="14"/>
                <w:szCs w:val="14"/>
                <w:color w:val="auto"/>
              </w:rPr>
            </w:pPr>
          </w:p>
        </w:tc>
        <w:tc>
          <w:tcPr>
            <w:tcW w:w="40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w:t>
            </w:r>
          </w:p>
        </w:tc>
        <w:tc>
          <w:tcPr>
            <w:tcW w:w="80" w:type="dxa"/>
            <w:vAlign w:val="bottom"/>
          </w:tcPr>
          <w:p>
            <w:pPr>
              <w:spacing w:after="0"/>
              <w:rPr>
                <w:sz w:val="14"/>
                <w:szCs w:val="14"/>
                <w:color w:val="auto"/>
              </w:rPr>
            </w:pPr>
          </w:p>
        </w:tc>
        <w:tc>
          <w:tcPr>
            <w:tcW w:w="42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18.6 %</w:t>
            </w:r>
          </w:p>
        </w:tc>
      </w:tr>
      <w:tr>
        <w:trPr>
          <w:trHeight w:val="175"/>
        </w:trPr>
        <w:tc>
          <w:tcPr>
            <w:tcW w:w="4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Interest</w:t>
            </w:r>
          </w:p>
        </w:tc>
        <w:tc>
          <w:tcPr>
            <w:tcW w:w="42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48.5</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141.3 %</w:t>
            </w:r>
          </w:p>
        </w:tc>
      </w:tr>
      <w:tr>
        <w:trPr>
          <w:trHeight w:val="172"/>
        </w:trPr>
        <w:tc>
          <w:tcPr>
            <w:tcW w:w="46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Brokerage commissions and other, net</w:t>
            </w:r>
          </w:p>
        </w:tc>
        <w:tc>
          <w:tcPr>
            <w:tcW w:w="42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w:t>
            </w:r>
          </w:p>
        </w:tc>
        <w:tc>
          <w:tcPr>
            <w:tcW w:w="80" w:type="dxa"/>
            <w:vAlign w:val="bottom"/>
          </w:tcPr>
          <w:p>
            <w:pPr>
              <w:spacing w:after="0"/>
              <w:rPr>
                <w:sz w:val="14"/>
                <w:szCs w:val="14"/>
                <w:color w:val="auto"/>
              </w:rPr>
            </w:pPr>
          </w:p>
        </w:tc>
        <w:tc>
          <w:tcPr>
            <w:tcW w:w="40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w:t>
            </w:r>
          </w:p>
        </w:tc>
        <w:tc>
          <w:tcPr>
            <w:tcW w:w="80" w:type="dxa"/>
            <w:vAlign w:val="bottom"/>
          </w:tcPr>
          <w:p>
            <w:pPr>
              <w:spacing w:after="0"/>
              <w:rPr>
                <w:sz w:val="14"/>
                <w:szCs w:val="14"/>
                <w:color w:val="auto"/>
              </w:rPr>
            </w:pPr>
          </w:p>
        </w:tc>
        <w:tc>
          <w:tcPr>
            <w:tcW w:w="42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w:t>
            </w:r>
          </w:p>
        </w:tc>
      </w:tr>
      <w:tr>
        <w:trPr>
          <w:trHeight w:val="175"/>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Other Expenses</w:t>
            </w: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172"/>
        </w:trPr>
        <w:tc>
          <w:tcPr>
            <w:tcW w:w="46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General and administrative expense</w:t>
            </w:r>
          </w:p>
        </w:tc>
        <w:tc>
          <w:tcPr>
            <w:tcW w:w="42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236.7</w:t>
            </w:r>
          </w:p>
        </w:tc>
        <w:tc>
          <w:tcPr>
            <w:tcW w:w="80" w:type="dxa"/>
            <w:vAlign w:val="bottom"/>
          </w:tcPr>
          <w:p>
            <w:pPr>
              <w:spacing w:after="0"/>
              <w:rPr>
                <w:sz w:val="14"/>
                <w:szCs w:val="14"/>
                <w:color w:val="auto"/>
              </w:rPr>
            </w:pPr>
          </w:p>
        </w:tc>
        <w:tc>
          <w:tcPr>
            <w:tcW w:w="40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230.5</w:t>
            </w:r>
          </w:p>
        </w:tc>
        <w:tc>
          <w:tcPr>
            <w:tcW w:w="80" w:type="dxa"/>
            <w:vAlign w:val="bottom"/>
          </w:tcPr>
          <w:p>
            <w:pPr>
              <w:spacing w:after="0"/>
              <w:rPr>
                <w:sz w:val="14"/>
                <w:szCs w:val="14"/>
                <w:color w:val="auto"/>
              </w:rPr>
            </w:pPr>
          </w:p>
        </w:tc>
        <w:tc>
          <w:tcPr>
            <w:tcW w:w="42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2.7 %</w:t>
            </w:r>
          </w:p>
        </w:tc>
      </w:tr>
      <w:tr>
        <w:trPr>
          <w:trHeight w:val="175"/>
        </w:trPr>
        <w:tc>
          <w:tcPr>
            <w:tcW w:w="4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Catastrophic event-related charges, net</w:t>
            </w:r>
          </w:p>
        </w:tc>
        <w:tc>
          <w:tcPr>
            <w:tcW w:w="42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(94.9)%</w:t>
            </w:r>
          </w:p>
        </w:tc>
      </w:tr>
      <w:tr>
        <w:trPr>
          <w:trHeight w:val="172"/>
        </w:trPr>
        <w:tc>
          <w:tcPr>
            <w:tcW w:w="46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42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507.9</w:t>
            </w:r>
          </w:p>
        </w:tc>
        <w:tc>
          <w:tcPr>
            <w:tcW w:w="80" w:type="dxa"/>
            <w:vAlign w:val="bottom"/>
          </w:tcPr>
          <w:p>
            <w:pPr>
              <w:spacing w:after="0"/>
              <w:rPr>
                <w:sz w:val="14"/>
                <w:szCs w:val="14"/>
                <w:color w:val="auto"/>
              </w:rPr>
            </w:pPr>
          </w:p>
        </w:tc>
        <w:tc>
          <w:tcPr>
            <w:tcW w:w="40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490.5</w:t>
            </w:r>
          </w:p>
        </w:tc>
        <w:tc>
          <w:tcPr>
            <w:tcW w:w="80" w:type="dxa"/>
            <w:vAlign w:val="bottom"/>
          </w:tcPr>
          <w:p>
            <w:pPr>
              <w:spacing w:after="0"/>
              <w:rPr>
                <w:sz w:val="14"/>
                <w:szCs w:val="14"/>
                <w:color w:val="auto"/>
              </w:rPr>
            </w:pPr>
          </w:p>
        </w:tc>
        <w:tc>
          <w:tcPr>
            <w:tcW w:w="42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3.5 %</w:t>
            </w:r>
          </w:p>
        </w:tc>
      </w:tr>
      <w:tr>
        <w:trPr>
          <w:trHeight w:val="175"/>
        </w:trPr>
        <w:tc>
          <w:tcPr>
            <w:tcW w:w="4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Asset impairments</w:t>
            </w:r>
          </w:p>
        </w:tc>
        <w:tc>
          <w:tcPr>
            <w:tcW w:w="42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386.7</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66.7</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320.0</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479.8 %</w:t>
            </w:r>
          </w:p>
        </w:tc>
      </w:tr>
      <w:tr>
        <w:trPr>
          <w:trHeight w:val="172"/>
        </w:trPr>
        <w:tc>
          <w:tcPr>
            <w:tcW w:w="46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Goodwill impairment</w:t>
            </w:r>
          </w:p>
        </w:tc>
        <w:tc>
          <w:tcPr>
            <w:tcW w:w="42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180.8</w:t>
            </w:r>
          </w:p>
        </w:tc>
        <w:tc>
          <w:tcPr>
            <w:tcW w:w="80" w:type="dxa"/>
            <w:vAlign w:val="bottom"/>
          </w:tcPr>
          <w:p>
            <w:pPr>
              <w:spacing w:after="0"/>
              <w:rPr>
                <w:sz w:val="14"/>
                <w:szCs w:val="14"/>
                <w:color w:val="auto"/>
              </w:rPr>
            </w:pPr>
          </w:p>
        </w:tc>
        <w:tc>
          <w:tcPr>
            <w:tcW w:w="42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(180.8)</w:t>
            </w:r>
          </w:p>
        </w:tc>
        <w:tc>
          <w:tcPr>
            <w:tcW w:w="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r>
      <w:tr>
        <w:trPr>
          <w:trHeight w:val="175"/>
        </w:trPr>
        <w:tc>
          <w:tcPr>
            <w:tcW w:w="4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Loss on extinguishment of debt</w:t>
            </w:r>
          </w:p>
        </w:tc>
        <w:tc>
          <w:tcPr>
            <w:tcW w:w="42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104.0</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102.6</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N/M</w:t>
            </w:r>
          </w:p>
        </w:tc>
      </w:tr>
      <w:tr>
        <w:trPr>
          <w:trHeight w:val="172"/>
        </w:trPr>
        <w:tc>
          <w:tcPr>
            <w:tcW w:w="46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Interest</w:t>
            </w:r>
          </w:p>
        </w:tc>
        <w:tc>
          <w:tcPr>
            <w:tcW w:w="42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221.0</w:t>
            </w:r>
          </w:p>
        </w:tc>
        <w:tc>
          <w:tcPr>
            <w:tcW w:w="80" w:type="dxa"/>
            <w:vAlign w:val="bottom"/>
          </w:tcPr>
          <w:p>
            <w:pPr>
              <w:spacing w:after="0"/>
              <w:rPr>
                <w:sz w:val="14"/>
                <w:szCs w:val="14"/>
                <w:color w:val="auto"/>
              </w:rPr>
            </w:pPr>
          </w:p>
        </w:tc>
        <w:tc>
          <w:tcPr>
            <w:tcW w:w="40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350.3</w:t>
            </w:r>
          </w:p>
        </w:tc>
        <w:tc>
          <w:tcPr>
            <w:tcW w:w="80" w:type="dxa"/>
            <w:vAlign w:val="bottom"/>
          </w:tcPr>
          <w:p>
            <w:pPr>
              <w:spacing w:after="0"/>
              <w:rPr>
                <w:sz w:val="14"/>
                <w:szCs w:val="14"/>
                <w:color w:val="auto"/>
              </w:rPr>
            </w:pPr>
          </w:p>
        </w:tc>
        <w:tc>
          <w:tcPr>
            <w:tcW w:w="42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(129.3)</w:t>
            </w:r>
          </w:p>
        </w:tc>
        <w:tc>
          <w:tcPr>
            <w:tcW w:w="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w:t>
            </w:r>
          </w:p>
        </w:tc>
      </w:tr>
      <w:tr>
        <w:trPr>
          <w:trHeight w:val="175"/>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Other Items</w:t>
            </w: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172"/>
        </w:trPr>
        <w:tc>
          <w:tcPr>
            <w:tcW w:w="46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Gain / (loss) on foreign currency exchanges</w:t>
            </w:r>
          </w:p>
        </w:tc>
        <w:tc>
          <w:tcPr>
            <w:tcW w:w="42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w:t>
            </w:r>
          </w:p>
        </w:tc>
        <w:tc>
          <w:tcPr>
            <w:tcW w:w="80" w:type="dxa"/>
            <w:vAlign w:val="bottom"/>
          </w:tcPr>
          <w:p>
            <w:pPr>
              <w:spacing w:after="0"/>
              <w:rPr>
                <w:sz w:val="14"/>
                <w:szCs w:val="14"/>
                <w:color w:val="auto"/>
              </w:rPr>
            </w:pPr>
          </w:p>
        </w:tc>
        <w:tc>
          <w:tcPr>
            <w:tcW w:w="40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w:t>
            </w:r>
          </w:p>
        </w:tc>
        <w:tc>
          <w:tcPr>
            <w:tcW w:w="80" w:type="dxa"/>
            <w:vAlign w:val="bottom"/>
          </w:tcPr>
          <w:p>
            <w:pPr>
              <w:spacing w:after="0"/>
              <w:rPr>
                <w:sz w:val="14"/>
                <w:szCs w:val="14"/>
                <w:color w:val="auto"/>
              </w:rPr>
            </w:pPr>
          </w:p>
        </w:tc>
        <w:tc>
          <w:tcPr>
            <w:tcW w:w="42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52.5</w:t>
            </w:r>
          </w:p>
        </w:tc>
        <w:tc>
          <w:tcPr>
            <w:tcW w:w="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N/M</w:t>
            </w:r>
          </w:p>
        </w:tc>
      </w:tr>
      <w:tr>
        <w:trPr>
          <w:trHeight w:val="175"/>
        </w:trPr>
        <w:tc>
          <w:tcPr>
            <w:tcW w:w="4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Gain on dispositions of properties</w:t>
            </w:r>
          </w:p>
        </w:tc>
        <w:tc>
          <w:tcPr>
            <w:tcW w:w="42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202.9</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(197.8)</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(97.5)%</w:t>
            </w:r>
          </w:p>
        </w:tc>
      </w:tr>
      <w:tr>
        <w:trPr>
          <w:trHeight w:val="172"/>
        </w:trPr>
        <w:tc>
          <w:tcPr>
            <w:tcW w:w="46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Other income / (expense), net</w:t>
            </w:r>
          </w:p>
        </w:tc>
        <w:tc>
          <w:tcPr>
            <w:tcW w:w="42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133.9</w:t>
            </w:r>
          </w:p>
        </w:tc>
        <w:tc>
          <w:tcPr>
            <w:tcW w:w="80" w:type="dxa"/>
            <w:vAlign w:val="bottom"/>
          </w:tcPr>
          <w:p>
            <w:pPr>
              <w:spacing w:after="0"/>
              <w:rPr>
                <w:sz w:val="14"/>
                <w:szCs w:val="14"/>
                <w:color w:val="auto"/>
              </w:rPr>
            </w:pPr>
          </w:p>
        </w:tc>
        <w:tc>
          <w:tcPr>
            <w:tcW w:w="40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80" w:type="dxa"/>
            <w:vAlign w:val="bottom"/>
          </w:tcPr>
          <w:p>
            <w:pPr>
              <w:spacing w:after="0"/>
              <w:rPr>
                <w:sz w:val="14"/>
                <w:szCs w:val="14"/>
                <w:color w:val="auto"/>
              </w:rPr>
            </w:pPr>
          </w:p>
        </w:tc>
        <w:tc>
          <w:tcPr>
            <w:tcW w:w="42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140.7</w:t>
            </w:r>
          </w:p>
        </w:tc>
        <w:tc>
          <w:tcPr>
            <w:tcW w:w="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N/M</w:t>
            </w:r>
          </w:p>
        </w:tc>
      </w:tr>
      <w:tr>
        <w:trPr>
          <w:trHeight w:val="175"/>
        </w:trPr>
        <w:tc>
          <w:tcPr>
            <w:tcW w:w="4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Loss on remeasurement of notes receivable</w:t>
            </w:r>
          </w:p>
        </w:tc>
        <w:tc>
          <w:tcPr>
            <w:tcW w:w="42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(95.6)%</w:t>
            </w:r>
          </w:p>
        </w:tc>
      </w:tr>
      <w:tr>
        <w:trPr>
          <w:trHeight w:val="172"/>
        </w:trPr>
        <w:tc>
          <w:tcPr>
            <w:tcW w:w="46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Income from nonconsolidated affiliates</w:t>
            </w:r>
          </w:p>
        </w:tc>
        <w:tc>
          <w:tcPr>
            <w:tcW w:w="42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80" w:type="dxa"/>
            <w:vAlign w:val="bottom"/>
          </w:tcPr>
          <w:p>
            <w:pPr>
              <w:spacing w:after="0"/>
              <w:rPr>
                <w:sz w:val="14"/>
                <w:szCs w:val="14"/>
                <w:color w:val="auto"/>
              </w:rPr>
            </w:pPr>
          </w:p>
        </w:tc>
        <w:tc>
          <w:tcPr>
            <w:tcW w:w="40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80" w:type="dxa"/>
            <w:vAlign w:val="bottom"/>
          </w:tcPr>
          <w:p>
            <w:pPr>
              <w:spacing w:after="0"/>
              <w:rPr>
                <w:sz w:val="14"/>
                <w:szCs w:val="14"/>
                <w:color w:val="auto"/>
              </w:rPr>
            </w:pPr>
          </w:p>
        </w:tc>
        <w:tc>
          <w:tcPr>
            <w:tcW w:w="42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72.6 %</w:t>
            </w:r>
          </w:p>
        </w:tc>
      </w:tr>
      <w:tr>
        <w:trPr>
          <w:trHeight w:val="175"/>
        </w:trPr>
        <w:tc>
          <w:tcPr>
            <w:tcW w:w="4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Gain / (loss) on remeasurement of investment in nonconsolidated affiliates</w:t>
            </w:r>
          </w:p>
        </w:tc>
        <w:tc>
          <w:tcPr>
            <w:tcW w:w="42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N/M</w:t>
            </w:r>
          </w:p>
        </w:tc>
      </w:tr>
      <w:tr>
        <w:trPr>
          <w:trHeight w:val="172"/>
        </w:trPr>
        <w:tc>
          <w:tcPr>
            <w:tcW w:w="46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Current tax expense</w:t>
            </w:r>
          </w:p>
        </w:tc>
        <w:tc>
          <w:tcPr>
            <w:tcW w:w="42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80" w:type="dxa"/>
            <w:vAlign w:val="bottom"/>
          </w:tcPr>
          <w:p>
            <w:pPr>
              <w:spacing w:after="0"/>
              <w:rPr>
                <w:sz w:val="14"/>
                <w:szCs w:val="14"/>
                <w:color w:val="auto"/>
              </w:rPr>
            </w:pPr>
          </w:p>
        </w:tc>
        <w:tc>
          <w:tcPr>
            <w:tcW w:w="40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tcPr>
          <w:p>
            <w:pPr>
              <w:spacing w:after="0"/>
              <w:rPr>
                <w:sz w:val="14"/>
                <w:szCs w:val="14"/>
                <w:color w:val="auto"/>
              </w:rPr>
            </w:pPr>
          </w:p>
        </w:tc>
        <w:tc>
          <w:tcPr>
            <w:tcW w:w="42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200.0 %</w:t>
            </w:r>
          </w:p>
        </w:tc>
      </w:tr>
      <w:tr>
        <w:trPr>
          <w:trHeight w:val="175"/>
        </w:trPr>
        <w:tc>
          <w:tcPr>
            <w:tcW w:w="4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Deferred tax benefit</w:t>
            </w:r>
          </w:p>
        </w:tc>
        <w:tc>
          <w:tcPr>
            <w:tcW w:w="42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51.5 %</w:t>
            </w:r>
          </w:p>
        </w:tc>
      </w:tr>
      <w:tr>
        <w:trPr>
          <w:trHeight w:val="172"/>
        </w:trPr>
        <w:tc>
          <w:tcPr>
            <w:tcW w:w="46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Income from discontinued operations, net</w:t>
            </w:r>
          </w:p>
        </w:tc>
        <w:tc>
          <w:tcPr>
            <w:tcW w:w="42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1,429.6</w:t>
            </w:r>
          </w:p>
        </w:tc>
        <w:tc>
          <w:tcPr>
            <w:tcW w:w="80" w:type="dxa"/>
            <w:vAlign w:val="bottom"/>
          </w:tcPr>
          <w:p>
            <w:pPr>
              <w:spacing w:after="0"/>
              <w:rPr>
                <w:sz w:val="14"/>
                <w:szCs w:val="14"/>
                <w:color w:val="auto"/>
              </w:rPr>
            </w:pPr>
          </w:p>
        </w:tc>
        <w:tc>
          <w:tcPr>
            <w:tcW w:w="40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74.2</w:t>
            </w:r>
          </w:p>
        </w:tc>
        <w:tc>
          <w:tcPr>
            <w:tcW w:w="80" w:type="dxa"/>
            <w:vAlign w:val="bottom"/>
          </w:tcPr>
          <w:p>
            <w:pPr>
              <w:spacing w:after="0"/>
              <w:rPr>
                <w:sz w:val="14"/>
                <w:szCs w:val="14"/>
                <w:color w:val="auto"/>
              </w:rPr>
            </w:pPr>
          </w:p>
        </w:tc>
        <w:tc>
          <w:tcPr>
            <w:tcW w:w="42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1,355.4</w:t>
            </w:r>
          </w:p>
        </w:tc>
        <w:tc>
          <w:tcPr>
            <w:tcW w:w="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N/M</w:t>
            </w:r>
          </w:p>
        </w:tc>
      </w:tr>
      <w:tr>
        <w:trPr>
          <w:trHeight w:val="175"/>
        </w:trPr>
        <w:tc>
          <w:tcPr>
            <w:tcW w:w="4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Preferred return to preferred OP units / equity interests</w:t>
            </w:r>
          </w:p>
        </w:tc>
        <w:tc>
          <w:tcPr>
            <w:tcW w:w="42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71"/>
        </w:trPr>
        <w:tc>
          <w:tcPr>
            <w:tcW w:w="46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Income attributable to noncontrolling interests</w:t>
            </w:r>
          </w:p>
        </w:tc>
        <w:tc>
          <w:tcPr>
            <w:tcW w:w="42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56.4</w:t>
            </w:r>
          </w:p>
        </w:tc>
        <w:tc>
          <w:tcPr>
            <w:tcW w:w="80" w:type="dxa"/>
            <w:vAlign w:val="bottom"/>
          </w:tcPr>
          <w:p>
            <w:pPr>
              <w:spacing w:after="0"/>
              <w:rPr>
                <w:sz w:val="14"/>
                <w:szCs w:val="14"/>
                <w:color w:val="auto"/>
              </w:rPr>
            </w:pPr>
          </w:p>
        </w:tc>
        <w:tc>
          <w:tcPr>
            <w:tcW w:w="40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80" w:type="dxa"/>
            <w:vAlign w:val="bottom"/>
          </w:tcPr>
          <w:p>
            <w:pPr>
              <w:spacing w:after="0"/>
              <w:rPr>
                <w:sz w:val="14"/>
                <w:szCs w:val="14"/>
                <w:color w:val="auto"/>
              </w:rPr>
            </w:pPr>
          </w:p>
        </w:tc>
        <w:tc>
          <w:tcPr>
            <w:tcW w:w="42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51.1</w:t>
            </w:r>
          </w:p>
        </w:tc>
        <w:tc>
          <w:tcPr>
            <w:tcW w:w="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N/M</w:t>
            </w:r>
          </w:p>
        </w:tc>
      </w:tr>
    </w:tbl>
    <w:p>
      <w:pPr>
        <w:spacing w:after="0" w:line="76" w:lineRule="exact"/>
        <w:rPr>
          <w:sz w:val="20"/>
          <w:szCs w:val="20"/>
          <w:color w:val="auto"/>
        </w:rPr>
      </w:pPr>
    </w:p>
    <w:p>
      <w:pPr>
        <w:ind w:left="7" w:right="4840" w:hanging="7"/>
        <w:spacing w:after="0" w:line="231" w:lineRule="auto"/>
        <w:tabs>
          <w:tab w:leader="none" w:pos="135" w:val="left"/>
        </w:tabs>
        <w:numPr>
          <w:ilvl w:val="0"/>
          <w:numId w:val="2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Only items determined by management to be material, of interest, or unique to the periods disclosed above are explained below. N/M = Percentage change is not meaningful.</w:t>
      </w:r>
    </w:p>
    <w:p>
      <w:pPr>
        <w:spacing w:after="0" w:line="8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i w:val="1"/>
          <w:iCs w:val="1"/>
          <w:color w:val="auto"/>
        </w:rPr>
        <w:t xml:space="preserve">Interest income </w:t>
      </w:r>
      <w:r>
        <w:rPr>
          <w:rFonts w:ascii="Times New Roman" w:cs="Times New Roman" w:eastAsia="Times New Roman" w:hAnsi="Times New Roman"/>
          <w:sz w:val="15"/>
          <w:szCs w:val="15"/>
          <w:color w:val="auto"/>
        </w:rPr>
        <w:t>- for the year ended December 31, 2025, increased due to the interest earned on our increased cash balances driven by proceeds received from the Safe Harbor Sale.</w:t>
      </w:r>
    </w:p>
    <w:p>
      <w:pPr>
        <w:spacing w:after="0" w:line="105" w:lineRule="exact"/>
        <w:rPr>
          <w:sz w:val="20"/>
          <w:szCs w:val="20"/>
          <w:color w:val="auto"/>
        </w:rPr>
      </w:pPr>
    </w:p>
    <w:p>
      <w:pPr>
        <w:jc w:val="both"/>
        <w:ind w:left="7" w:right="20"/>
        <w:spacing w:after="0" w:line="300" w:lineRule="auto"/>
        <w:rPr>
          <w:sz w:val="20"/>
          <w:szCs w:val="20"/>
          <w:color w:val="auto"/>
        </w:rPr>
      </w:pPr>
      <w:r>
        <w:rPr>
          <w:rFonts w:ascii="Times New Roman" w:cs="Times New Roman" w:eastAsia="Times New Roman" w:hAnsi="Times New Roman"/>
          <w:sz w:val="15"/>
          <w:szCs w:val="15"/>
          <w:i w:val="1"/>
          <w:iCs w:val="1"/>
          <w:color w:val="auto"/>
        </w:rPr>
        <w:t xml:space="preserve">Brokerage commissions and other, net </w:t>
      </w:r>
      <w:r>
        <w:rPr>
          <w:rFonts w:ascii="Times New Roman" w:cs="Times New Roman" w:eastAsia="Times New Roman" w:hAnsi="Times New Roman"/>
          <w:sz w:val="15"/>
          <w:szCs w:val="15"/>
          <w:color w:val="auto"/>
        </w:rPr>
        <w:t>- for the year ended December 31, 2025, decreased primarily due to decreased business interruption insurance proceeds received as compared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to the prior year. Refer to Note 15, "Commitments and Contingencies," in our accompanying Consolidated Financial Statements for additional information.</w:t>
      </w:r>
    </w:p>
    <w:p>
      <w:pPr>
        <w:spacing w:after="0" w:line="32" w:lineRule="exact"/>
        <w:rPr>
          <w:sz w:val="20"/>
          <w:szCs w:val="20"/>
          <w:color w:val="auto"/>
        </w:rPr>
      </w:pPr>
    </w:p>
    <w:p>
      <w:pPr>
        <w:jc w:val="both"/>
        <w:ind w:left="7"/>
        <w:spacing w:after="0" w:line="300" w:lineRule="auto"/>
        <w:rPr>
          <w:sz w:val="20"/>
          <w:szCs w:val="20"/>
          <w:color w:val="auto"/>
        </w:rPr>
      </w:pPr>
      <w:r>
        <w:rPr>
          <w:rFonts w:ascii="Times New Roman" w:cs="Times New Roman" w:eastAsia="Times New Roman" w:hAnsi="Times New Roman"/>
          <w:sz w:val="15"/>
          <w:szCs w:val="15"/>
          <w:i w:val="1"/>
          <w:iCs w:val="1"/>
          <w:color w:val="auto"/>
        </w:rPr>
        <w:t xml:space="preserve">Catastrophic event-related charges, net </w:t>
      </w:r>
      <w:r>
        <w:rPr>
          <w:rFonts w:ascii="Times New Roman" w:cs="Times New Roman" w:eastAsia="Times New Roman" w:hAnsi="Times New Roman"/>
          <w:sz w:val="15"/>
          <w:szCs w:val="15"/>
          <w:color w:val="auto"/>
        </w:rPr>
        <w:t>- for the year ended December 31, 2025, decreased primarily due to asset impairment and debris removal charges, net of insurance recoveries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 the prior year, driven by Hurricanes Helene and Milton, and flooding at an RV community in New Hampshire.</w:t>
      </w:r>
    </w:p>
    <w:p>
      <w:pPr>
        <w:spacing w:after="0" w:line="32" w:lineRule="exact"/>
        <w:rPr>
          <w:sz w:val="20"/>
          <w:szCs w:val="20"/>
          <w:color w:val="auto"/>
        </w:rPr>
      </w:pPr>
    </w:p>
    <w:p>
      <w:pPr>
        <w:jc w:val="both"/>
        <w:ind w:left="7"/>
        <w:spacing w:after="0" w:line="279" w:lineRule="auto"/>
        <w:rPr>
          <w:sz w:val="20"/>
          <w:szCs w:val="20"/>
          <w:color w:val="auto"/>
        </w:rPr>
      </w:pPr>
      <w:r>
        <w:rPr>
          <w:rFonts w:ascii="Times New Roman" w:cs="Times New Roman" w:eastAsia="Times New Roman" w:hAnsi="Times New Roman"/>
          <w:sz w:val="15"/>
          <w:szCs w:val="15"/>
          <w:i w:val="1"/>
          <w:iCs w:val="1"/>
          <w:color w:val="auto"/>
        </w:rPr>
        <w:t xml:space="preserve">Asset impairments </w:t>
      </w:r>
      <w:r>
        <w:rPr>
          <w:rFonts w:ascii="Times New Roman" w:cs="Times New Roman" w:eastAsia="Times New Roman" w:hAnsi="Times New Roman"/>
          <w:sz w:val="15"/>
          <w:szCs w:val="15"/>
          <w:color w:val="auto"/>
        </w:rPr>
        <w:t>- for the year ended December 31, 2025, increased due to asset impairment charges at 22 properties, primarily within the RV and UK segments, driven by, in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certain cases, a change in strategic plan for the properties, and in other cases, a decrease in projected future cash flows for the properties. Refer to Note 14, "Fair Value Measurements," in our accompanying Consolidated Financial Statements for additional information.</w:t>
      </w:r>
    </w:p>
    <w:p>
      <w:pPr>
        <w:spacing w:after="0" w:line="47" w:lineRule="exact"/>
        <w:rPr>
          <w:sz w:val="20"/>
          <w:szCs w:val="20"/>
          <w:color w:val="auto"/>
        </w:rPr>
      </w:pPr>
    </w:p>
    <w:p>
      <w:pPr>
        <w:jc w:val="both"/>
        <w:ind w:left="7"/>
        <w:spacing w:after="0" w:line="279" w:lineRule="auto"/>
        <w:rPr>
          <w:sz w:val="20"/>
          <w:szCs w:val="20"/>
          <w:color w:val="auto"/>
        </w:rPr>
      </w:pPr>
      <w:r>
        <w:rPr>
          <w:rFonts w:ascii="Times New Roman" w:cs="Times New Roman" w:eastAsia="Times New Roman" w:hAnsi="Times New Roman"/>
          <w:sz w:val="15"/>
          <w:szCs w:val="15"/>
          <w:i w:val="1"/>
          <w:iCs w:val="1"/>
          <w:color w:val="auto"/>
        </w:rPr>
        <w:t xml:space="preserve">Goodwill impairment </w:t>
      </w:r>
      <w:r>
        <w:rPr>
          <w:rFonts w:ascii="Times New Roman" w:cs="Times New Roman" w:eastAsia="Times New Roman" w:hAnsi="Times New Roman"/>
          <w:sz w:val="15"/>
          <w:szCs w:val="15"/>
          <w:color w:val="auto"/>
        </w:rPr>
        <w:t>- there were no goodwill impairment charges for the year ended December 31, 2025, as compared to goodwill impairment charges of $180.8 million in the prior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year, driven by declines in the fair value of our Park Holidays reporting unit within the UK reporting segment. Refer to Note 5, "Goodwill and Other Intangible Assets," in our accompanying Consolidated Financial Statements for additional information.</w:t>
      </w:r>
    </w:p>
    <w:p>
      <w:pPr>
        <w:spacing w:after="0" w:line="47" w:lineRule="exact"/>
        <w:rPr>
          <w:sz w:val="20"/>
          <w:szCs w:val="20"/>
          <w:color w:val="auto"/>
        </w:rPr>
      </w:pPr>
    </w:p>
    <w:p>
      <w:pPr>
        <w:jc w:val="both"/>
        <w:ind w:left="7"/>
        <w:spacing w:after="0" w:line="279" w:lineRule="auto"/>
        <w:rPr>
          <w:sz w:val="20"/>
          <w:szCs w:val="20"/>
          <w:color w:val="auto"/>
        </w:rPr>
      </w:pPr>
      <w:r>
        <w:rPr>
          <w:rFonts w:ascii="Times New Roman" w:cs="Times New Roman" w:eastAsia="Times New Roman" w:hAnsi="Times New Roman"/>
          <w:sz w:val="15"/>
          <w:szCs w:val="15"/>
          <w:i w:val="1"/>
          <w:iCs w:val="1"/>
          <w:color w:val="auto"/>
        </w:rPr>
        <w:t xml:space="preserve">Loss on extinguishment of debt </w:t>
      </w:r>
      <w:r>
        <w:rPr>
          <w:rFonts w:ascii="Times New Roman" w:cs="Times New Roman" w:eastAsia="Times New Roman" w:hAnsi="Times New Roman"/>
          <w:sz w:val="15"/>
          <w:szCs w:val="15"/>
          <w:color w:val="auto"/>
        </w:rPr>
        <w:t>- for the year ended December 31, 2025, increased primarily due to the recognition of early extinguishment premiums of $102.4 million in the current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year, due to the settlement of $3.3 billion of debt obligations using proceeds generated from the Safe Harbor Sale. Refer to Note 7, "Debt and Line of Credit," in our accompanying Consolidated Financial Statements for additional information.</w:t>
      </w:r>
    </w:p>
    <w:p>
      <w:pPr>
        <w:spacing w:after="0" w:line="200" w:lineRule="exact"/>
        <w:rPr>
          <w:sz w:val="20"/>
          <w:szCs w:val="20"/>
          <w:color w:val="auto"/>
        </w:rPr>
      </w:pPr>
    </w:p>
    <w:p>
      <w:pPr>
        <w:spacing w:after="0" w:line="26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121920</wp:posOffset>
            </wp:positionV>
            <wp:extent cx="7177405" cy="400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121" w:right="31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15"/>
          <w:szCs w:val="15"/>
          <w:i w:val="1"/>
          <w:iCs w:val="1"/>
          <w:color w:val="auto"/>
        </w:rPr>
        <w:t xml:space="preserve">Interest expense </w:t>
      </w:r>
      <w:r>
        <w:rPr>
          <w:rFonts w:ascii="Times New Roman" w:cs="Times New Roman" w:eastAsia="Times New Roman" w:hAnsi="Times New Roman"/>
          <w:sz w:val="15"/>
          <w:szCs w:val="15"/>
          <w:color w:val="auto"/>
        </w:rPr>
        <w:t>- for the year ended December 31, 2025, decreased primarily due to the settlement of $3.3 billion in debt obligations using proceeds generated from the Safe Harbor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Sale. Refer to Note 7, "Debt and Line of Credit," in our accompanying Consolidated Financial Statements for additional information.</w:t>
      </w:r>
    </w:p>
    <w:p>
      <w:pPr>
        <w:spacing w:after="0" w:line="3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5"/>
          <w:szCs w:val="15"/>
          <w:i w:val="1"/>
          <w:iCs w:val="1"/>
          <w:color w:val="auto"/>
        </w:rPr>
        <w:t xml:space="preserve">Gain / (loss) on foreign currency exchanges </w:t>
      </w:r>
      <w:r>
        <w:rPr>
          <w:rFonts w:ascii="Times New Roman" w:cs="Times New Roman" w:eastAsia="Times New Roman" w:hAnsi="Times New Roman"/>
          <w:sz w:val="15"/>
          <w:szCs w:val="15"/>
          <w:color w:val="auto"/>
        </w:rPr>
        <w:t>- for the year ended December 31, 2025, was a gain of $26.7 million, as compared to a loss of $25.8 million during the same period in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2024, primarily due to a gain of $14.4 million from the settlement of six foreign currency forward swaps, as well as the weakening of the U.S. dollar versus the British pound sterling. Refer to Note 13, "Derivative Financial Instruments," in our accompanying Consolidated Financial Statements for additional information.</w:t>
      </w:r>
    </w:p>
    <w:p>
      <w:pPr>
        <w:spacing w:after="0" w:line="4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5"/>
          <w:szCs w:val="15"/>
          <w:i w:val="1"/>
          <w:iCs w:val="1"/>
          <w:color w:val="auto"/>
        </w:rPr>
        <w:t xml:space="preserve">Gain on dispositions of properties </w:t>
      </w:r>
      <w:r>
        <w:rPr>
          <w:rFonts w:ascii="Times New Roman" w:cs="Times New Roman" w:eastAsia="Times New Roman" w:hAnsi="Times New Roman"/>
          <w:sz w:val="15"/>
          <w:szCs w:val="15"/>
          <w:color w:val="auto"/>
        </w:rPr>
        <w:t>- for the year ended December 31, 2025, was a gain of $5.1 million, as compared to a gain of $202.9 million during the same period in 2024, driven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by property dispositions in each period. Refer to Note 3, "Real Estate Acquisitions and Dispositions," in our accompanying Consolidated Financial Statements for additional information.</w:t>
      </w:r>
    </w:p>
    <w:p>
      <w:pPr>
        <w:spacing w:after="0" w:line="22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i w:val="1"/>
          <w:iCs w:val="1"/>
          <w:color w:val="auto"/>
        </w:rPr>
        <w:t xml:space="preserve">Other income / (expense), net </w:t>
      </w:r>
      <w:r>
        <w:rPr>
          <w:rFonts w:ascii="Times New Roman" w:cs="Times New Roman" w:eastAsia="Times New Roman" w:hAnsi="Times New Roman"/>
          <w:sz w:val="15"/>
          <w:szCs w:val="15"/>
          <w:color w:val="auto"/>
        </w:rPr>
        <w:t>- for the year ended December 31, 2025, was income of $133.9 million, as compared to an expense of $6.8 million during the same period in 2024,</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primarily due to a gain of $68.5 million from an insurance settlement, and long-term lease termination gains of $51.8 million from the repurchase of titles to 32 UK properties previously controlled via ground leases. Refer to Note 15, "Commitments and Contingencies," and Note 16, "Leases," in our accompanying Consolidated Financial Statements for additional information.</w:t>
      </w:r>
    </w:p>
    <w:p>
      <w:pPr>
        <w:spacing w:after="0" w:line="238"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5"/>
          <w:szCs w:val="15"/>
          <w:i w:val="1"/>
          <w:iCs w:val="1"/>
          <w:color w:val="auto"/>
        </w:rPr>
        <w:t xml:space="preserve">Loss on remeasurement of notes receivable </w:t>
      </w:r>
      <w:r>
        <w:rPr>
          <w:rFonts w:ascii="Times New Roman" w:cs="Times New Roman" w:eastAsia="Times New Roman" w:hAnsi="Times New Roman"/>
          <w:sz w:val="15"/>
          <w:szCs w:val="15"/>
          <w:color w:val="auto"/>
        </w:rPr>
        <w:t>- for the year ended December 31, 2025, decreased, primarily due to a fair value adjustment loss of $35.2 million in the prior year related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to the sale of a portfolio of RV communities. Refer to Note 4, "Notes and Other Receivables," in our accompanying Consolidated Financial Statements for additional information.</w:t>
      </w:r>
    </w:p>
    <w:p>
      <w:pPr>
        <w:spacing w:after="0" w:line="32"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15"/>
          <w:szCs w:val="15"/>
          <w:i w:val="1"/>
          <w:iCs w:val="1"/>
          <w:color w:val="auto"/>
        </w:rPr>
        <w:t xml:space="preserve">Deferred tax benefit </w:t>
      </w:r>
      <w:r>
        <w:rPr>
          <w:rFonts w:ascii="Times New Roman" w:cs="Times New Roman" w:eastAsia="Times New Roman" w:hAnsi="Times New Roman"/>
          <w:sz w:val="15"/>
          <w:szCs w:val="15"/>
          <w:color w:val="auto"/>
        </w:rPr>
        <w:t>- for the year ended December 31, 2025, increased due to a tax benefit related to the sale of a UK land development parcel. Refer to Note 3, "Real Estate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Acquisitions and Dispositions," in our accompanying Consolidated Financial Statements for additional information.</w:t>
      </w:r>
    </w:p>
    <w:p>
      <w:pPr>
        <w:spacing w:after="0" w:line="32"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15"/>
          <w:szCs w:val="15"/>
          <w:i w:val="1"/>
          <w:iCs w:val="1"/>
          <w:color w:val="auto"/>
        </w:rPr>
        <w:t xml:space="preserve">Income from discontinued operations, net </w:t>
      </w:r>
      <w:r>
        <w:rPr>
          <w:rFonts w:ascii="Times New Roman" w:cs="Times New Roman" w:eastAsia="Times New Roman" w:hAnsi="Times New Roman"/>
          <w:sz w:val="15"/>
          <w:szCs w:val="15"/>
          <w:color w:val="auto"/>
        </w:rPr>
        <w:t>- for the year ended December 31, 2025, increased due to a total gain of $1.5 billion recognized from the closing of the Safe Harbor Sale in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current period.</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9" w:name="page40"/>
    <w:bookmarkEnd w:id="39"/>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RECONCILIATION OF NET INCOME / (LOSS) ATTRIBUTABLE TO SUI COMMON SHAREHOLDERS TO FFO</w:t>
      </w:r>
    </w:p>
    <w:p>
      <w:pPr>
        <w:spacing w:after="0" w:line="10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The following table reconciles Net income / (loss) attributable to SUI common shareholders to FFO (in millions, except for per share amounts):</w:t>
      </w:r>
    </w:p>
    <w:p>
      <w:pPr>
        <w:spacing w:after="0" w:line="141" w:lineRule="exact"/>
        <w:rPr>
          <w:sz w:val="20"/>
          <w:szCs w:val="20"/>
          <w:color w:val="auto"/>
        </w:rPr>
      </w:pPr>
    </w:p>
    <w:tbl>
      <w:tblPr>
        <w:tblLayout w:type="fixed"/>
        <w:tblInd w:w="7" w:type="dxa"/>
        <w:tblCellMar>
          <w:top w:w="0" w:type="dxa"/>
          <w:left w:w="0" w:type="dxa"/>
          <w:bottom w:w="0" w:type="dxa"/>
          <w:right w:w="0" w:type="dxa"/>
        </w:tblCellMar>
      </w:tblPr>
      <w:tr>
        <w:trPr>
          <w:trHeight w:val="172"/>
        </w:trPr>
        <w:tc>
          <w:tcPr>
            <w:tcW w:w="644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166"/>
        </w:trPr>
        <w:tc>
          <w:tcPr>
            <w:tcW w:w="644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2025</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8"/>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Income / (Loss) Attributable to SUI Common Shareholders</w:t>
            </w:r>
          </w:p>
        </w:tc>
        <w:tc>
          <w:tcPr>
            <w:tcW w:w="98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1,361.2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(213.3)</w:t>
            </w:r>
          </w:p>
        </w:tc>
      </w:tr>
      <w:tr>
        <w:trPr>
          <w:trHeight w:val="170"/>
        </w:trPr>
        <w:tc>
          <w:tcPr>
            <w:tcW w:w="6440" w:type="dxa"/>
            <w:vAlign w:val="bottom"/>
          </w:tcPr>
          <w:p>
            <w:pPr>
              <w:spacing w:after="0"/>
              <w:rPr>
                <w:sz w:val="20"/>
                <w:szCs w:val="20"/>
                <w:color w:val="auto"/>
              </w:rPr>
            </w:pPr>
            <w:r>
              <w:rPr>
                <w:rFonts w:ascii="Times New Roman" w:cs="Times New Roman" w:eastAsia="Times New Roman" w:hAnsi="Times New Roman"/>
                <w:sz w:val="13"/>
                <w:szCs w:val="13"/>
                <w:color w:val="auto"/>
              </w:rPr>
              <w:t>Adjustments</w:t>
            </w: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8"/>
        </w:trPr>
        <w:tc>
          <w:tcPr>
            <w:tcW w:w="6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Depreciation and amortization - continuing operations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501.0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487.6</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491.7</w:t>
            </w:r>
          </w:p>
        </w:tc>
      </w:tr>
      <w:tr>
        <w:trPr>
          <w:trHeight w:val="170"/>
        </w:trPr>
        <w:tc>
          <w:tcPr>
            <w:tcW w:w="64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Depreciation and amortization - discontinued operations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165.5</w:t>
            </w:r>
          </w:p>
        </w:tc>
      </w:tr>
      <w:tr>
        <w:trPr>
          <w:trHeight w:val="178"/>
        </w:trPr>
        <w:tc>
          <w:tcPr>
            <w:tcW w:w="6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Depreciation on nonconsolidated affiliates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r>
      <w:tr>
        <w:trPr>
          <w:trHeight w:val="170"/>
        </w:trPr>
        <w:tc>
          <w:tcPr>
            <w:tcW w:w="64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Asset impairments - continuing operations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386.7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178"/>
        </w:trPr>
        <w:tc>
          <w:tcPr>
            <w:tcW w:w="6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Asset impairments - discontinued operations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170"/>
        </w:trPr>
        <w:tc>
          <w:tcPr>
            <w:tcW w:w="64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Goodwill impairment</w:t>
            </w:r>
          </w:p>
        </w:tc>
        <w:tc>
          <w:tcPr>
            <w:tcW w:w="9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369.9</w:t>
            </w:r>
          </w:p>
        </w:tc>
      </w:tr>
      <w:tr>
        <w:trPr>
          <w:trHeight w:val="178"/>
        </w:trPr>
        <w:tc>
          <w:tcPr>
            <w:tcW w:w="6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Loss on remeasurement of marketable securities</w:t>
            </w:r>
          </w:p>
        </w:tc>
        <w:tc>
          <w:tcPr>
            <w:tcW w:w="9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w:t>
            </w:r>
          </w:p>
        </w:tc>
      </w:tr>
      <w:tr>
        <w:trPr>
          <w:trHeight w:val="170"/>
        </w:trPr>
        <w:tc>
          <w:tcPr>
            <w:tcW w:w="64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(Gain) / loss on remeasurement of investment in nonconsolidated affiliates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r>
      <w:tr>
        <w:trPr>
          <w:trHeight w:val="178"/>
        </w:trPr>
        <w:tc>
          <w:tcPr>
            <w:tcW w:w="6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Loss on remeasurement of notes receivable</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106.7</w:t>
            </w:r>
          </w:p>
        </w:tc>
      </w:tr>
      <w:tr>
        <w:trPr>
          <w:trHeight w:val="170"/>
        </w:trPr>
        <w:tc>
          <w:tcPr>
            <w:tcW w:w="64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Loss on remeasurement of Collateralized Receivables and Secured Borrowings</w:t>
            </w:r>
          </w:p>
        </w:tc>
        <w:tc>
          <w:tcPr>
            <w:tcW w:w="9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r>
      <w:tr>
        <w:trPr>
          <w:trHeight w:val="178"/>
        </w:trPr>
        <w:tc>
          <w:tcPr>
            <w:tcW w:w="6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Gain on dispositions of properties, including tax effect - continuing operations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(203.6)</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r>
      <w:tr>
        <w:trPr>
          <w:trHeight w:val="170"/>
        </w:trPr>
        <w:tc>
          <w:tcPr>
            <w:tcW w:w="64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Gain on dispositions of properties, including tax effect - discontinued operations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(1,460.6)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8"/>
        </w:trPr>
        <w:tc>
          <w:tcPr>
            <w:tcW w:w="6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Add: Returns on preferred OP units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w:t>
            </w:r>
          </w:p>
        </w:tc>
      </w:tr>
      <w:tr>
        <w:trPr>
          <w:trHeight w:val="170"/>
        </w:trPr>
        <w:tc>
          <w:tcPr>
            <w:tcW w:w="64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Add: Income / (loss) attributable to noncontrolling interests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r>
      <w:tr>
        <w:trPr>
          <w:trHeight w:val="178"/>
        </w:trPr>
        <w:tc>
          <w:tcPr>
            <w:tcW w:w="6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Gain on disposition of assets, net</w:t>
            </w:r>
          </w:p>
        </w:tc>
        <w:tc>
          <w:tcPr>
            <w:tcW w:w="9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w:t>
            </w:r>
          </w:p>
        </w:tc>
      </w:tr>
      <w:tr>
        <w:trPr>
          <w:trHeight w:val="165"/>
        </w:trPr>
        <w:tc>
          <w:tcPr>
            <w:tcW w:w="6440" w:type="dxa"/>
            <w:vAlign w:val="bottom"/>
          </w:tcPr>
          <w:p>
            <w:pPr>
              <w:spacing w:after="0" w:line="165" w:lineRule="exact"/>
              <w:rPr>
                <w:sz w:val="20"/>
                <w:szCs w:val="20"/>
                <w:color w:val="auto"/>
              </w:rPr>
            </w:pPr>
            <w:r>
              <w:rPr>
                <w:rFonts w:ascii="Times New Roman" w:cs="Times New Roman" w:eastAsia="Times New Roman" w:hAnsi="Times New Roman"/>
                <w:sz w:val="13"/>
                <w:szCs w:val="13"/>
                <w:b w:val="1"/>
                <w:bCs w:val="1"/>
                <w:color w:val="auto"/>
              </w:rPr>
              <w:t>FFO Attributable to SUI Common Shareholders and Convertible Securities</w:t>
            </w:r>
            <w:r>
              <w:rPr>
                <w:rFonts w:ascii="Times New Roman" w:cs="Times New Roman" w:eastAsia="Times New Roman" w:hAnsi="Times New Roman"/>
                <w:sz w:val="16"/>
                <w:szCs w:val="16"/>
                <w:b w:val="1"/>
                <w:bCs w:val="1"/>
                <w:color w:val="auto"/>
                <w:vertAlign w:val="superscript"/>
              </w:rPr>
              <w:t>(1)(5)</w:t>
            </w:r>
          </w:p>
        </w:tc>
        <w:tc>
          <w:tcPr>
            <w:tcW w:w="980" w:type="dxa"/>
            <w:vAlign w:val="bottom"/>
          </w:tcPr>
          <w:p>
            <w:pPr>
              <w:jc w:val="right"/>
              <w:ind w:right="83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878.5</w:t>
            </w:r>
          </w:p>
        </w:tc>
        <w:tc>
          <w:tcPr>
            <w:tcW w:w="8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836.4</w:t>
            </w:r>
          </w:p>
        </w:tc>
        <w:tc>
          <w:tcPr>
            <w:tcW w:w="8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908.7</w:t>
            </w:r>
          </w:p>
        </w:tc>
      </w:tr>
      <w:tr>
        <w:trPr>
          <w:trHeight w:val="185"/>
        </w:trPr>
        <w:tc>
          <w:tcPr>
            <w:tcW w:w="64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70"/>
        </w:trPr>
        <w:tc>
          <w:tcPr>
            <w:tcW w:w="6440" w:type="dxa"/>
            <w:vAlign w:val="bottom"/>
          </w:tcPr>
          <w:p>
            <w:pPr>
              <w:spacing w:after="0"/>
              <w:rPr>
                <w:sz w:val="20"/>
                <w:szCs w:val="20"/>
                <w:color w:val="auto"/>
              </w:rPr>
            </w:pPr>
            <w:r>
              <w:rPr>
                <w:rFonts w:ascii="Times New Roman" w:cs="Times New Roman" w:eastAsia="Times New Roman" w:hAnsi="Times New Roman"/>
                <w:sz w:val="13"/>
                <w:szCs w:val="13"/>
                <w:color w:val="auto"/>
              </w:rPr>
              <w:t>Adjustments</w:t>
            </w: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8"/>
        </w:trPr>
        <w:tc>
          <w:tcPr>
            <w:tcW w:w="6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Business combination expense - continuing operations</w:t>
            </w:r>
          </w:p>
        </w:tc>
        <w:tc>
          <w:tcPr>
            <w:tcW w:w="9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170"/>
        </w:trPr>
        <w:tc>
          <w:tcPr>
            <w:tcW w:w="64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Business combination expense - discontinued operations</w:t>
            </w:r>
          </w:p>
        </w:tc>
        <w:tc>
          <w:tcPr>
            <w:tcW w:w="9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8"/>
        </w:trPr>
        <w:tc>
          <w:tcPr>
            <w:tcW w:w="6440" w:type="dxa"/>
            <w:vAlign w:val="bottom"/>
            <w:shd w:val="clear" w:color="auto" w:fill="CCEEFF"/>
          </w:tcPr>
          <w:p>
            <w:pPr>
              <w:ind w:left="180"/>
              <w:spacing w:after="0" w:line="178" w:lineRule="exact"/>
              <w:rPr>
                <w:sz w:val="20"/>
                <w:szCs w:val="20"/>
                <w:color w:val="auto"/>
              </w:rPr>
            </w:pPr>
            <w:r>
              <w:rPr>
                <w:rFonts w:ascii="Times New Roman" w:cs="Times New Roman" w:eastAsia="Times New Roman" w:hAnsi="Times New Roman"/>
                <w:sz w:val="13"/>
                <w:szCs w:val="13"/>
                <w:color w:val="auto"/>
              </w:rPr>
              <w:t>Acquisition and other transaction costs - continuing operations</w:t>
            </w:r>
            <w:r>
              <w:rPr>
                <w:rFonts w:ascii="Times New Roman" w:cs="Times New Roman" w:eastAsia="Times New Roman" w:hAnsi="Times New Roman"/>
                <w:sz w:val="16"/>
                <w:szCs w:val="16"/>
                <w:color w:val="auto"/>
                <w:vertAlign w:val="superscript"/>
              </w:rPr>
              <w:t>(2)</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w:t>
            </w:r>
          </w:p>
        </w:tc>
      </w:tr>
      <w:tr>
        <w:trPr>
          <w:trHeight w:val="174"/>
        </w:trPr>
        <w:tc>
          <w:tcPr>
            <w:tcW w:w="6440" w:type="dxa"/>
            <w:vAlign w:val="bottom"/>
          </w:tcPr>
          <w:p>
            <w:pPr>
              <w:ind w:left="180"/>
              <w:spacing w:after="0" w:line="174" w:lineRule="exact"/>
              <w:rPr>
                <w:sz w:val="20"/>
                <w:szCs w:val="20"/>
                <w:color w:val="auto"/>
              </w:rPr>
            </w:pPr>
            <w:r>
              <w:rPr>
                <w:rFonts w:ascii="Times New Roman" w:cs="Times New Roman" w:eastAsia="Times New Roman" w:hAnsi="Times New Roman"/>
                <w:sz w:val="13"/>
                <w:szCs w:val="13"/>
                <w:color w:val="auto"/>
              </w:rPr>
              <w:t>Acquisition and other transaction costs - discontinued operations</w:t>
            </w:r>
            <w:r>
              <w:rPr>
                <w:rFonts w:ascii="Times New Roman" w:cs="Times New Roman" w:eastAsia="Times New Roman" w:hAnsi="Times New Roman"/>
                <w:sz w:val="16"/>
                <w:szCs w:val="16"/>
                <w:color w:val="auto"/>
                <w:vertAlign w:val="superscript"/>
              </w:rPr>
              <w:t>(2)</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74"/>
        </w:trPr>
        <w:tc>
          <w:tcPr>
            <w:tcW w:w="6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Loss on extinguishment of debt</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4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Catastrophic event-related charges, net - continuing operations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78"/>
        </w:trPr>
        <w:tc>
          <w:tcPr>
            <w:tcW w:w="6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Catastrophic event-related charges, net - discontinued operations</w:t>
            </w:r>
          </w:p>
        </w:tc>
        <w:tc>
          <w:tcPr>
            <w:tcW w:w="9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r>
      <w:tr>
        <w:trPr>
          <w:trHeight w:val="174"/>
        </w:trPr>
        <w:tc>
          <w:tcPr>
            <w:tcW w:w="6440" w:type="dxa"/>
            <w:vAlign w:val="bottom"/>
          </w:tcPr>
          <w:p>
            <w:pPr>
              <w:ind w:left="180"/>
              <w:spacing w:after="0" w:line="174" w:lineRule="exact"/>
              <w:rPr>
                <w:sz w:val="20"/>
                <w:szCs w:val="20"/>
                <w:color w:val="auto"/>
              </w:rPr>
            </w:pPr>
            <w:r>
              <w:rPr>
                <w:rFonts w:ascii="Times New Roman" w:cs="Times New Roman" w:eastAsia="Times New Roman" w:hAnsi="Times New Roman"/>
                <w:sz w:val="13"/>
                <w:szCs w:val="13"/>
                <w:color w:val="auto"/>
              </w:rPr>
              <w:t>Loss of earnings - catastrophic event-related charges, net</w:t>
            </w:r>
            <w:r>
              <w:rPr>
                <w:rFonts w:ascii="Times New Roman" w:cs="Times New Roman" w:eastAsia="Times New Roman" w:hAnsi="Times New Roman"/>
                <w:sz w:val="16"/>
                <w:szCs w:val="16"/>
                <w:color w:val="auto"/>
                <w:vertAlign w:val="superscript"/>
              </w:rPr>
              <w:t>(3)</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74"/>
        </w:trPr>
        <w:tc>
          <w:tcPr>
            <w:tcW w:w="6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Accelerated deferred compensation amortization</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70"/>
        </w:trPr>
        <w:tc>
          <w:tcPr>
            <w:tcW w:w="64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(Gain) / loss on foreign currency exchanges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w:t>
            </w:r>
          </w:p>
        </w:tc>
      </w:tr>
      <w:tr>
        <w:trPr>
          <w:trHeight w:val="178"/>
        </w:trPr>
        <w:tc>
          <w:tcPr>
            <w:tcW w:w="6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Deferred tax benefit</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w:t>
            </w:r>
          </w:p>
        </w:tc>
      </w:tr>
      <w:tr>
        <w:trPr>
          <w:trHeight w:val="170"/>
        </w:trPr>
        <w:tc>
          <w:tcPr>
            <w:tcW w:w="64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Long term lease termination (gains) / losses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178"/>
        </w:trPr>
        <w:tc>
          <w:tcPr>
            <w:tcW w:w="6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Long term lease termination losses - discontinued operations</w:t>
            </w:r>
          </w:p>
        </w:tc>
        <w:tc>
          <w:tcPr>
            <w:tcW w:w="9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w:t>
            </w:r>
          </w:p>
        </w:tc>
      </w:tr>
      <w:tr>
        <w:trPr>
          <w:trHeight w:val="170"/>
        </w:trPr>
        <w:tc>
          <w:tcPr>
            <w:tcW w:w="64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Gain on insurance settlement</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8"/>
        </w:trPr>
        <w:tc>
          <w:tcPr>
            <w:tcW w:w="6440" w:type="dxa"/>
            <w:vAlign w:val="bottom"/>
            <w:shd w:val="clear" w:color="auto" w:fill="CCEEFF"/>
          </w:tcPr>
          <w:p>
            <w:pPr>
              <w:ind w:left="180"/>
              <w:spacing w:after="0" w:line="178" w:lineRule="exact"/>
              <w:rPr>
                <w:sz w:val="20"/>
                <w:szCs w:val="20"/>
                <w:color w:val="auto"/>
              </w:rPr>
            </w:pPr>
            <w:r>
              <w:rPr>
                <w:rFonts w:ascii="Times New Roman" w:cs="Times New Roman" w:eastAsia="Times New Roman" w:hAnsi="Times New Roman"/>
                <w:sz w:val="13"/>
                <w:szCs w:val="13"/>
                <w:color w:val="auto"/>
              </w:rPr>
              <w:t>Other adjustments, net - continuing operations</w:t>
            </w:r>
            <w:r>
              <w:rPr>
                <w:rFonts w:ascii="Times New Roman" w:cs="Times New Roman" w:eastAsia="Times New Roman" w:hAnsi="Times New Roman"/>
                <w:sz w:val="16"/>
                <w:szCs w:val="16"/>
                <w:color w:val="auto"/>
                <w:vertAlign w:val="superscript"/>
              </w:rPr>
              <w:t>(4)</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w:t>
            </w:r>
          </w:p>
        </w:tc>
      </w:tr>
      <w:tr>
        <w:trPr>
          <w:trHeight w:val="174"/>
        </w:trPr>
        <w:tc>
          <w:tcPr>
            <w:tcW w:w="6440" w:type="dxa"/>
            <w:vAlign w:val="bottom"/>
            <w:tcBorders>
              <w:bottom w:val="single" w:sz="8" w:color="CCEEFF"/>
            </w:tcBorders>
          </w:tcPr>
          <w:p>
            <w:pPr>
              <w:ind w:left="180"/>
              <w:spacing w:after="0" w:line="174" w:lineRule="exact"/>
              <w:rPr>
                <w:sz w:val="20"/>
                <w:szCs w:val="20"/>
                <w:color w:val="auto"/>
              </w:rPr>
            </w:pPr>
            <w:r>
              <w:rPr>
                <w:rFonts w:ascii="Times New Roman" w:cs="Times New Roman" w:eastAsia="Times New Roman" w:hAnsi="Times New Roman"/>
                <w:sz w:val="13"/>
                <w:szCs w:val="13"/>
                <w:color w:val="auto"/>
              </w:rPr>
              <w:t>Other adjustments, net - discontinued operations</w:t>
            </w:r>
            <w:r>
              <w:rPr>
                <w:rFonts w:ascii="Times New Roman" w:cs="Times New Roman" w:eastAsia="Times New Roman" w:hAnsi="Times New Roman"/>
                <w:sz w:val="16"/>
                <w:szCs w:val="16"/>
                <w:color w:val="auto"/>
                <w:vertAlign w:val="superscript"/>
              </w:rPr>
              <w:t>(4)</w:t>
            </w:r>
          </w:p>
        </w:tc>
        <w:tc>
          <w:tcPr>
            <w:tcW w:w="9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(0.2)</w:t>
            </w:r>
          </w:p>
        </w:tc>
      </w:tr>
      <w:tr>
        <w:trPr>
          <w:trHeight w:val="190"/>
        </w:trPr>
        <w:tc>
          <w:tcPr>
            <w:tcW w:w="6440" w:type="dxa"/>
            <w:vAlign w:val="bottom"/>
            <w:tcBorders>
              <w:bottom w:val="single" w:sz="8" w:color="CCEEFF"/>
            </w:tcBorders>
            <w:shd w:val="clear" w:color="auto" w:fill="CCEEFF"/>
          </w:tcPr>
          <w:p>
            <w:pPr>
              <w:spacing w:after="0" w:line="165" w:lineRule="exact"/>
              <w:rPr>
                <w:sz w:val="20"/>
                <w:szCs w:val="20"/>
                <w:color w:val="auto"/>
              </w:rPr>
            </w:pPr>
            <w:r>
              <w:rPr>
                <w:rFonts w:ascii="Times New Roman" w:cs="Times New Roman" w:eastAsia="Times New Roman" w:hAnsi="Times New Roman"/>
                <w:sz w:val="13"/>
                <w:szCs w:val="13"/>
                <w:b w:val="1"/>
                <w:bCs w:val="1"/>
                <w:color w:val="auto"/>
              </w:rPr>
              <w:t>Core FFO Attributable to SUI Common Shareholders and Convertible Securities</w:t>
            </w:r>
            <w:r>
              <w:rPr>
                <w:rFonts w:ascii="Times New Roman" w:cs="Times New Roman" w:eastAsia="Times New Roman" w:hAnsi="Times New Roman"/>
                <w:sz w:val="16"/>
                <w:szCs w:val="16"/>
                <w:b w:val="1"/>
                <w:bCs w:val="1"/>
                <w:color w:val="auto"/>
                <w:vertAlign w:val="superscript"/>
              </w:rPr>
              <w:t>(1)(5)</w:t>
            </w:r>
          </w:p>
        </w:tc>
        <w:tc>
          <w:tcPr>
            <w:tcW w:w="98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872.3</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886.9</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915.8</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28"/>
        </w:trPr>
        <w:tc>
          <w:tcPr>
            <w:tcW w:w="64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74"/>
        </w:trPr>
        <w:tc>
          <w:tcPr>
            <w:tcW w:w="644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3"/>
                <w:szCs w:val="13"/>
                <w:b w:val="1"/>
                <w:bCs w:val="1"/>
                <w:color w:val="auto"/>
              </w:rPr>
              <w:t>Weighted Average Common Shares and OP Units Outstanding</w:t>
            </w:r>
            <w:r>
              <w:rPr>
                <w:rFonts w:ascii="Times New Roman" w:cs="Times New Roman" w:eastAsia="Times New Roman" w:hAnsi="Times New Roman"/>
                <w:sz w:val="16"/>
                <w:szCs w:val="16"/>
                <w:b w:val="1"/>
                <w:bCs w:val="1"/>
                <w:color w:val="auto"/>
                <w:vertAlign w:val="superscript"/>
              </w:rPr>
              <w:t>(1)</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130.7</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128.9</w:t>
            </w:r>
          </w:p>
        </w:tc>
      </w:tr>
      <w:tr>
        <w:trPr>
          <w:trHeight w:val="185"/>
        </w:trPr>
        <w:tc>
          <w:tcPr>
            <w:tcW w:w="6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74"/>
        </w:trPr>
        <w:tc>
          <w:tcPr>
            <w:tcW w:w="644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3"/>
                <w:szCs w:val="13"/>
                <w:b w:val="1"/>
                <w:bCs w:val="1"/>
                <w:color w:val="auto"/>
              </w:rPr>
              <w:t>FFO Attributable to SUI Common Shareholders and Dilutive Convertible Securities Per Share</w:t>
            </w:r>
            <w:r>
              <w:rPr>
                <w:rFonts w:ascii="Times New Roman" w:cs="Times New Roman" w:eastAsia="Times New Roman" w:hAnsi="Times New Roman"/>
                <w:sz w:val="16"/>
                <w:szCs w:val="16"/>
                <w:b w:val="1"/>
                <w:bCs w:val="1"/>
                <w:color w:val="auto"/>
                <w:vertAlign w:val="superscript"/>
              </w:rPr>
              <w:t>(1)(5)</w:t>
            </w:r>
          </w:p>
        </w:tc>
        <w:tc>
          <w:tcPr>
            <w:tcW w:w="98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7.05</w:t>
            </w:r>
          </w:p>
        </w:tc>
      </w:tr>
      <w:tr>
        <w:trPr>
          <w:trHeight w:val="218"/>
        </w:trPr>
        <w:tc>
          <w:tcPr>
            <w:tcW w:w="64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Core FFO Attributable to SUI Common Shareholders and Dilutive Convertible Securities Per Share</w:t>
            </w:r>
            <w:r>
              <w:rPr>
                <w:rFonts w:ascii="Times New Roman" w:cs="Times New Roman" w:eastAsia="Times New Roman" w:hAnsi="Times New Roman"/>
                <w:sz w:val="16"/>
                <w:szCs w:val="16"/>
                <w:b w:val="1"/>
                <w:bCs w:val="1"/>
                <w:color w:val="auto"/>
                <w:vertAlign w:val="superscript"/>
              </w:rPr>
              <w:t>(1)(5)</w:t>
            </w:r>
          </w:p>
        </w:tc>
        <w:tc>
          <w:tcPr>
            <w:tcW w:w="980" w:type="dxa"/>
            <w:vAlign w:val="bottom"/>
          </w:tcPr>
          <w:p>
            <w:pPr>
              <w:jc w:val="right"/>
              <w:ind w:right="83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6.68</w:t>
            </w:r>
          </w:p>
        </w:tc>
        <w:tc>
          <w:tcPr>
            <w:tcW w:w="80" w:type="dxa"/>
            <w:vAlign w:val="bottom"/>
          </w:tcPr>
          <w:p>
            <w:pPr>
              <w:spacing w:after="0"/>
              <w:rPr>
                <w:sz w:val="18"/>
                <w:szCs w:val="18"/>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6.81</w:t>
            </w:r>
          </w:p>
        </w:tc>
        <w:tc>
          <w:tcPr>
            <w:tcW w:w="80" w:type="dxa"/>
            <w:vAlign w:val="bottom"/>
          </w:tcPr>
          <w:p>
            <w:pPr>
              <w:spacing w:after="0"/>
              <w:rPr>
                <w:sz w:val="18"/>
                <w:szCs w:val="18"/>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7.10</w:t>
            </w:r>
          </w:p>
        </w:tc>
      </w:tr>
    </w:tbl>
    <w:p>
      <w:pPr>
        <w:spacing w:after="0" w:line="4" w:lineRule="exact"/>
        <w:rPr>
          <w:sz w:val="20"/>
          <w:szCs w:val="20"/>
          <w:color w:val="auto"/>
        </w:rPr>
      </w:pPr>
    </w:p>
    <w:p>
      <w:pPr>
        <w:ind w:left="127" w:hanging="127"/>
        <w:spacing w:after="0"/>
        <w:tabs>
          <w:tab w:leader="none" w:pos="127" w:val="left"/>
        </w:tabs>
        <w:numPr>
          <w:ilvl w:val="0"/>
          <w:numId w:val="3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Assumes full conversion of all equity participating units, including common and preferred OP units, into our common stock, and has no material impact on previously reported results.</w:t>
      </w:r>
    </w:p>
    <w:p>
      <w:pPr>
        <w:spacing w:after="0" w:line="4" w:lineRule="exact"/>
        <w:rPr>
          <w:rFonts w:ascii="Times New Roman" w:cs="Times New Roman" w:eastAsia="Times New Roman" w:hAnsi="Times New Roman"/>
          <w:sz w:val="16"/>
          <w:szCs w:val="16"/>
          <w:color w:val="auto"/>
          <w:vertAlign w:val="superscript"/>
        </w:rPr>
      </w:pPr>
    </w:p>
    <w:p>
      <w:pPr>
        <w:jc w:val="both"/>
        <w:ind w:left="147" w:hanging="147"/>
        <w:spacing w:after="0" w:line="227" w:lineRule="auto"/>
        <w:tabs>
          <w:tab w:leader="none" w:pos="136" w:val="left"/>
        </w:tabs>
        <w:numPr>
          <w:ilvl w:val="0"/>
          <w:numId w:val="3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These costs represent (i) nonrecurring integration expenses associated with acquisitions during the years ended December 31, 2025, 2024, and 2023 (ii) costs associated with potential acquisitions that will not close, (iii) expenses incurred to bring recently acquired properties up to our operating standards, including items such as tree trimming and painting costs that do not meet our capitalization policy. Acquisition and other transaction costs - discontinued operations primarily represent non-recurring costs directly attributable to the Safe Harbor Sale.</w:t>
      </w:r>
    </w:p>
    <w:p>
      <w:pPr>
        <w:spacing w:after="0" w:line="200" w:lineRule="exact"/>
        <w:rPr>
          <w:sz w:val="20"/>
          <w:szCs w:val="20"/>
          <w:color w:val="auto"/>
        </w:rPr>
      </w:pPr>
    </w:p>
    <w:p>
      <w:pPr>
        <w:spacing w:after="0" w:line="2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121920</wp:posOffset>
            </wp:positionV>
            <wp:extent cx="7177405" cy="400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121" w:right="319" w:bottom="1440" w:gutter="0" w:footer="0" w:header="0"/>
        </w:sectPr>
      </w:pPr>
    </w:p>
    <w:bookmarkStart w:id="40" w:name="page41"/>
    <w:bookmarkEnd w:id="40"/>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ectPr>
          <w:pgSz w:w="11900" w:h="16838" w:orient="portrait"/>
          <w:cols w:equalWidth="0" w:num="1">
            <w:col w:w="11267"/>
          </w:cols>
          <w:pgMar w:left="313" w:top="12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7" w:hanging="127"/>
        <w:spacing w:after="0"/>
        <w:tabs>
          <w:tab w:leader="none" w:pos="127" w:val="left"/>
        </w:tabs>
        <w:numPr>
          <w:ilvl w:val="0"/>
          <w:numId w:val="3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Loss of earnings - catastrophic event-related charges, net include the following:</w:t>
      </w:r>
    </w:p>
    <w:p>
      <w:pPr>
        <w:spacing w:after="0" w:line="384" w:lineRule="exact"/>
        <w:rPr>
          <w:sz w:val="20"/>
          <w:szCs w:val="20"/>
          <w:color w:val="auto"/>
        </w:rPr>
      </w:pPr>
    </w:p>
    <w:p>
      <w:pPr>
        <w:ind w:left="147"/>
        <w:spacing w:after="0"/>
        <w:rPr>
          <w:sz w:val="20"/>
          <w:szCs w:val="20"/>
          <w:color w:val="auto"/>
        </w:rPr>
      </w:pPr>
      <w:r>
        <w:rPr>
          <w:rFonts w:ascii="Times New Roman" w:cs="Times New Roman" w:eastAsia="Times New Roman" w:hAnsi="Times New Roman"/>
          <w:sz w:val="12"/>
          <w:szCs w:val="12"/>
          <w:color w:val="auto"/>
        </w:rPr>
        <w:t>Hurricane Ian - Estimated loss of earnings in excess of the applicable business interruption deductible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-81915</wp:posOffset>
            </wp:positionV>
            <wp:extent cx="6938645" cy="139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38645" cy="139700"/>
                    </a:xfrm>
                    <a:prstGeom prst="rect">
                      <a:avLst/>
                    </a:prstGeom>
                    <a:noFill/>
                  </pic:spPr>
                </pic:pic>
              </a:graphicData>
            </a:graphic>
          </wp:anchor>
        </w:drawing>
      </w:r>
    </w:p>
    <w:p>
      <w:pPr>
        <w:spacing w:after="0" w:line="62" w:lineRule="exact"/>
        <w:rPr>
          <w:sz w:val="20"/>
          <w:szCs w:val="20"/>
          <w:color w:val="auto"/>
        </w:rPr>
      </w:pPr>
    </w:p>
    <w:p>
      <w:pPr>
        <w:ind w:left="147"/>
        <w:spacing w:after="0"/>
        <w:rPr>
          <w:sz w:val="20"/>
          <w:szCs w:val="20"/>
          <w:color w:val="auto"/>
        </w:rPr>
      </w:pPr>
      <w:r>
        <w:rPr>
          <w:rFonts w:ascii="Times New Roman" w:cs="Times New Roman" w:eastAsia="Times New Roman" w:hAnsi="Times New Roman"/>
          <w:sz w:val="12"/>
          <w:szCs w:val="12"/>
          <w:color w:val="auto"/>
        </w:rPr>
        <w:t>Hurricane Ian - Insurance recoveries realized for previously estimated loss of earnings</w:t>
      </w:r>
    </w:p>
    <w:p>
      <w:pPr>
        <w:spacing w:after="0" w:line="59" w:lineRule="exact"/>
        <w:rPr>
          <w:sz w:val="20"/>
          <w:szCs w:val="20"/>
          <w:color w:val="auto"/>
        </w:rPr>
      </w:pPr>
    </w:p>
    <w:p>
      <w:pPr>
        <w:ind w:left="147"/>
        <w:spacing w:after="0"/>
        <w:rPr>
          <w:sz w:val="20"/>
          <w:szCs w:val="20"/>
          <w:color w:val="auto"/>
        </w:rPr>
      </w:pPr>
      <w:r>
        <w:rPr>
          <w:rFonts w:ascii="Times New Roman" w:cs="Times New Roman" w:eastAsia="Times New Roman" w:hAnsi="Times New Roman"/>
          <w:sz w:val="12"/>
          <w:szCs w:val="12"/>
          <w:color w:val="auto"/>
        </w:rPr>
        <w:t>Hurricane Ian - Recognition of deferred lump sum insurance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-81915</wp:posOffset>
            </wp:positionV>
            <wp:extent cx="6938645" cy="1104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38645" cy="110490"/>
                    </a:xfrm>
                    <a:prstGeom prst="rect">
                      <a:avLst/>
                    </a:prstGeom>
                    <a:noFill/>
                  </pic:spPr>
                </pic:pic>
              </a:graphicData>
            </a:graphic>
          </wp:anchor>
        </w:drawing>
      </w:r>
    </w:p>
    <w:p>
      <w:pPr>
        <w:spacing w:after="0" w:line="16" w:lineRule="exact"/>
        <w:rPr>
          <w:sz w:val="20"/>
          <w:szCs w:val="20"/>
          <w:color w:val="auto"/>
        </w:rPr>
      </w:pPr>
    </w:p>
    <w:p>
      <w:pPr>
        <w:ind w:left="147"/>
        <w:spacing w:after="0" w:line="239" w:lineRule="auto"/>
        <w:rPr>
          <w:sz w:val="20"/>
          <w:szCs w:val="20"/>
          <w:color w:val="auto"/>
        </w:rPr>
      </w:pPr>
      <w:r>
        <w:rPr>
          <w:rFonts w:ascii="Times New Roman" w:cs="Times New Roman" w:eastAsia="Times New Roman" w:hAnsi="Times New Roman"/>
          <w:sz w:val="12"/>
          <w:szCs w:val="12"/>
          <w:color w:val="auto"/>
        </w:rPr>
        <w:t>Other catastrophic weather event - Estimated loss of earnings in excess of the applicable business interruption deductible, net</w:t>
      </w:r>
    </w:p>
    <w:p>
      <w:pPr>
        <w:spacing w:after="0" w:line="61" w:lineRule="exact"/>
        <w:rPr>
          <w:sz w:val="20"/>
          <w:szCs w:val="20"/>
          <w:color w:val="auto"/>
        </w:rPr>
      </w:pPr>
    </w:p>
    <w:p>
      <w:pPr>
        <w:ind w:left="147" w:right="800"/>
        <w:spacing w:after="0" w:line="463" w:lineRule="auto"/>
        <w:rPr>
          <w:sz w:val="20"/>
          <w:szCs w:val="20"/>
          <w:color w:val="auto"/>
        </w:rPr>
      </w:pPr>
      <w:r>
        <w:rPr>
          <w:rFonts w:ascii="Times New Roman" w:cs="Times New Roman" w:eastAsia="Times New Roman" w:hAnsi="Times New Roman"/>
          <w:sz w:val="12"/>
          <w:szCs w:val="12"/>
          <w:color w:val="auto"/>
        </w:rPr>
        <w:t xml:space="preserve">Other catastrophic weather event - Insurance recoveries realized for previously estimated loss of earnings </w:t>
      </w:r>
      <w:r>
        <w:rPr>
          <w:rFonts w:ascii="Times New Roman" w:cs="Times New Roman" w:eastAsia="Times New Roman" w:hAnsi="Times New Roman"/>
          <w:sz w:val="12"/>
          <w:szCs w:val="12"/>
          <w:b w:val="1"/>
          <w:bCs w:val="1"/>
          <w:color w:val="auto"/>
        </w:rPr>
        <w:t>Loss of earnings - catastrophic event-related charges,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-332105</wp:posOffset>
            </wp:positionV>
            <wp:extent cx="6938645" cy="139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38645" cy="139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78"/>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78"/>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78"/>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84"/>
        </w:trPr>
        <w:tc>
          <w:tcPr>
            <w:tcW w:w="36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w:t>
            </w:r>
          </w:p>
        </w:tc>
        <w:tc>
          <w:tcPr>
            <w:tcW w:w="80" w:type="dxa"/>
            <w:vAlign w:val="bottom"/>
          </w:tcPr>
          <w:p>
            <w:pPr>
              <w:spacing w:after="0"/>
              <w:rPr>
                <w:sz w:val="15"/>
                <w:szCs w:val="15"/>
                <w:color w:val="auto"/>
              </w:rPr>
            </w:pPr>
          </w:p>
        </w:tc>
        <w:tc>
          <w:tcPr>
            <w:tcW w:w="360" w:type="dxa"/>
            <w:vAlign w:val="bottom"/>
          </w:tcPr>
          <w:p>
            <w:pPr>
              <w:jc w:val="right"/>
              <w:ind w:right="218"/>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19.2</w:t>
            </w:r>
          </w:p>
        </w:tc>
        <w:tc>
          <w:tcPr>
            <w:tcW w:w="100" w:type="dxa"/>
            <w:vAlign w:val="bottom"/>
          </w:tcPr>
          <w:p>
            <w:pPr>
              <w:spacing w:after="0"/>
              <w:rPr>
                <w:sz w:val="15"/>
                <w:szCs w:val="15"/>
                <w:color w:val="auto"/>
              </w:rPr>
            </w:pPr>
          </w:p>
        </w:tc>
        <w:tc>
          <w:tcPr>
            <w:tcW w:w="34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21.9</w:t>
            </w:r>
          </w:p>
        </w:tc>
      </w:tr>
      <w:tr>
        <w:trPr>
          <w:trHeight w:val="197"/>
        </w:trPr>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w:t>
            </w:r>
          </w:p>
        </w:tc>
      </w:tr>
      <w:tr>
        <w:trPr>
          <w:trHeight w:val="174"/>
        </w:trPr>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336"/>
        </w:trPr>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r>
      <w:tr>
        <w:trPr>
          <w:trHeight w:val="220"/>
        </w:trPr>
        <w:tc>
          <w:tcPr>
            <w:tcW w:w="36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22"/>
        </w:trPr>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58"/>
        </w:trPr>
        <w:tc>
          <w:tcPr>
            <w:tcW w:w="36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80" w:type="dxa"/>
            <w:vAlign w:val="bottom"/>
          </w:tcPr>
          <w:p>
            <w:pPr>
              <w:spacing w:after="0"/>
              <w:rPr>
                <w:sz w:val="13"/>
                <w:szCs w:val="13"/>
                <w:color w:val="auto"/>
              </w:rPr>
            </w:pPr>
          </w:p>
        </w:tc>
        <w:tc>
          <w:tcPr>
            <w:tcW w:w="36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w:t>
            </w:r>
          </w:p>
        </w:tc>
      </w:tr>
      <w:tr>
        <w:trPr>
          <w:trHeight w:val="22"/>
        </w:trPr>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sectPr>
          <w:pgSz w:w="11900" w:h="16838" w:orient="portrait"/>
          <w:cols w:equalWidth="0" w:num="2">
            <w:col w:w="6147" w:space="180"/>
            <w:col w:w="4940"/>
          </w:cols>
          <w:pgMar w:left="313" w:top="121" w:right="319" w:bottom="1440" w:gutter="0" w:footer="0" w:header="0"/>
          <w:type w:val="continuous"/>
        </w:sectPr>
      </w:pPr>
    </w:p>
    <w:p>
      <w:pPr>
        <w:jc w:val="both"/>
        <w:ind w:left="147"/>
        <w:spacing w:after="0" w:line="263" w:lineRule="auto"/>
        <w:rPr>
          <w:sz w:val="20"/>
          <w:szCs w:val="20"/>
          <w:color w:val="auto"/>
        </w:rPr>
      </w:pPr>
      <w:r>
        <w:rPr>
          <w:rFonts w:ascii="Times New Roman" w:cs="Times New Roman" w:eastAsia="Times New Roman" w:hAnsi="Times New Roman"/>
          <w:sz w:val="12"/>
          <w:szCs w:val="12"/>
          <w:color w:val="auto"/>
        </w:rPr>
        <w:t>During the three months ended December 31, 2025, we received a settlement of $80.2 million from an insurance provider to settle all claims related to property, casualty, flood, and business interruption insurance recoveries from Hurricane Ian. We concluded that $36.5 million of the total settlement pertained to business interruption recoveries through 2027, which we recorded as a contingent gain per Accounting Standards Codification ("ASC")</w:t>
      </w:r>
    </w:p>
    <w:p>
      <w:pPr>
        <w:spacing w:after="0" w:line="1" w:lineRule="exact"/>
        <w:rPr>
          <w:sz w:val="20"/>
          <w:szCs w:val="20"/>
          <w:color w:val="auto"/>
        </w:rPr>
      </w:pPr>
    </w:p>
    <w:p>
      <w:pPr>
        <w:ind w:left="147"/>
        <w:spacing w:after="0"/>
        <w:rPr>
          <w:sz w:val="20"/>
          <w:szCs w:val="20"/>
          <w:color w:val="auto"/>
        </w:rPr>
      </w:pPr>
      <w:r>
        <w:rPr>
          <w:rFonts w:ascii="Times New Roman" w:cs="Times New Roman" w:eastAsia="Times New Roman" w:hAnsi="Times New Roman"/>
          <w:sz w:val="12"/>
          <w:szCs w:val="12"/>
          <w:color w:val="auto"/>
        </w:rPr>
        <w:t>450. To better reflect the underlying economics of the transaction, we have elected to defer the business interruption recovery gain and recognize revenue ratably through 2027 for our presentation of Core FFO.</w:t>
      </w:r>
    </w:p>
    <w:p>
      <w:pPr>
        <w:spacing w:after="0" w:line="7" w:lineRule="exact"/>
        <w:rPr>
          <w:sz w:val="20"/>
          <w:szCs w:val="20"/>
          <w:color w:val="auto"/>
        </w:rPr>
      </w:pPr>
    </w:p>
    <w:p>
      <w:pPr>
        <w:jc w:val="both"/>
        <w:ind w:left="147" w:hanging="147"/>
        <w:spacing w:after="0" w:line="238" w:lineRule="auto"/>
        <w:tabs>
          <w:tab w:leader="none" w:pos="136" w:val="left"/>
        </w:tabs>
        <w:numPr>
          <w:ilvl w:val="0"/>
          <w:numId w:val="3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Other adjustments, net - continuing operations primarily relates to (i) derivative settlement activity during the year ended December 31, 2025, (ii) litigation activity during the years ended December 31, 2024 and 2023, (iii) ERP implementation costs during the years ended December 31, 2025 and 2024, (iv) gain on sale of investment in nonconsolidated affiliates during the years ended December 31, 2025 and 2023, and (v) insurance loss recovery expense and severance costs during the year ended December 31, 2024. Other adjustments, net - discontinued operations primarily relates to contingent consideration expense during the year ended December 31, 2025 and litigation settlement gains during the year ended December 31, 2024.</w:t>
      </w:r>
    </w:p>
    <w:p>
      <w:pPr>
        <w:spacing w:after="0" w:line="1" w:lineRule="exact"/>
        <w:rPr>
          <w:rFonts w:ascii="Times New Roman" w:cs="Times New Roman" w:eastAsia="Times New Roman" w:hAnsi="Times New Roman"/>
          <w:sz w:val="16"/>
          <w:szCs w:val="16"/>
          <w:color w:val="auto"/>
          <w:vertAlign w:val="superscript"/>
        </w:rPr>
      </w:pPr>
    </w:p>
    <w:p>
      <w:pPr>
        <w:jc w:val="both"/>
        <w:ind w:left="147" w:hanging="147"/>
        <w:spacing w:after="0" w:line="278" w:lineRule="auto"/>
        <w:tabs>
          <w:tab w:leader="none" w:pos="136" w:val="left"/>
        </w:tabs>
        <w:numPr>
          <w:ilvl w:val="0"/>
          <w:numId w:val="32"/>
        </w:numPr>
        <w:rPr>
          <w:rFonts w:ascii="Times New Roman" w:cs="Times New Roman" w:eastAsia="Times New Roman" w:hAnsi="Times New Roman"/>
          <w:sz w:val="8"/>
          <w:szCs w:val="8"/>
          <w:color w:val="auto"/>
        </w:rPr>
      </w:pPr>
      <w:r>
        <w:rPr>
          <w:rFonts w:ascii="Times New Roman" w:cs="Times New Roman" w:eastAsia="Times New Roman" w:hAnsi="Times New Roman"/>
          <w:sz w:val="12"/>
          <w:szCs w:val="12"/>
          <w:color w:val="auto"/>
        </w:rPr>
        <w:t>FFO and Core FFO include discontinued operations activity of $7.4 million or $0.06 per Share, and $76.4 million or $0.58 per Share, respectively, during the year ended December 31, 2025, $268.7 million or $2.06 per Share, and $266.3 million or $2.05 per Share, respectively, during the year ended December 31, 2024, and $252.3 million, or $1.96 per share, and $262.2 million or $2.03 per share, respectively, during the year ended December 31, 2023.</w:t>
      </w:r>
    </w:p>
    <w:p>
      <w:pPr>
        <w:spacing w:after="0" w:line="21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LIQUIDITY AND CAPITAL RESOURCES</w:t>
      </w:r>
    </w:p>
    <w:p>
      <w:pPr>
        <w:spacing w:after="0" w:line="10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i w:val="1"/>
          <w:iCs w:val="1"/>
          <w:color w:val="auto"/>
        </w:rPr>
        <w:t>Short-term Liquidity</w:t>
      </w:r>
    </w:p>
    <w:p>
      <w:pPr>
        <w:spacing w:after="0" w:line="109" w:lineRule="exact"/>
        <w:rPr>
          <w:sz w:val="20"/>
          <w:szCs w:val="20"/>
          <w:color w:val="auto"/>
        </w:rPr>
      </w:pPr>
    </w:p>
    <w:p>
      <w:pPr>
        <w:jc w:val="both"/>
        <w:ind w:left="7"/>
        <w:spacing w:after="0" w:line="270" w:lineRule="auto"/>
        <w:rPr>
          <w:sz w:val="20"/>
          <w:szCs w:val="20"/>
          <w:color w:val="auto"/>
        </w:rPr>
      </w:pPr>
      <w:r>
        <w:rPr>
          <w:rFonts w:ascii="Times New Roman" w:cs="Times New Roman" w:eastAsia="Times New Roman" w:hAnsi="Times New Roman"/>
          <w:sz w:val="15"/>
          <w:szCs w:val="15"/>
          <w:color w:val="auto"/>
        </w:rPr>
        <w:t>Our principal short-term liquidity demands are expected to consist of distributions to our shareholders and the unit holders of the Operating Partnership through cash distributions and share repurchases, property acquisitions, development and expansion of our properties, capital improvement of our properties, and the purchase of new and pre-owned homes. We intend to meet our short-term liquidity requirements through available cash balances, cash flow generated from operations, draws on our senior credit facility, and the use of debt and equity offerings under our shelf registration statement.</w:t>
      </w:r>
    </w:p>
    <w:p>
      <w:pPr>
        <w:spacing w:after="0" w:line="57" w:lineRule="exact"/>
        <w:rPr>
          <w:sz w:val="20"/>
          <w:szCs w:val="20"/>
          <w:color w:val="auto"/>
        </w:rPr>
      </w:pPr>
    </w:p>
    <w:p>
      <w:pPr>
        <w:jc w:val="both"/>
        <w:ind w:left="7"/>
        <w:spacing w:after="0" w:line="265" w:lineRule="auto"/>
        <w:rPr>
          <w:sz w:val="20"/>
          <w:szCs w:val="20"/>
          <w:color w:val="auto"/>
        </w:rPr>
      </w:pPr>
      <w:r>
        <w:rPr>
          <w:rFonts w:ascii="Times New Roman" w:cs="Times New Roman" w:eastAsia="Times New Roman" w:hAnsi="Times New Roman"/>
          <w:sz w:val="15"/>
          <w:szCs w:val="15"/>
          <w:color w:val="auto"/>
        </w:rPr>
        <w:t>We take a disciplined approach to selecting the optimal mix of financing sources to meet our liquidity demands and minimize our overall cost of capital. During the year ended December 31, 2025, we completed the closing of the Safe Harbor Sale for total net cash proceeds of $5.5 billion and recorded a gain on sale of $1.5 billion. The Safe Harbor Sale accelerates our strategy of focusing on our core business and significantly enhances our leverage profile and financial flexibility. We have deployed the cash proceeds from the Safe Harbor Sale to implement a balanced, tax-efficient capital allocation plan aimed at optimizing shareholder value through significantly lower leverage, greater financial flexibility to drive sustainable cash flow growth, and a thoughtful capital return strategy. We intend to maintain our strong financial position and lower leverage profile by focusing on our core fundamentals, which are generating positive cash flows from operations, maintaining appropriate debt levels and leverage ratios, and controlling overhead costs.</w:t>
      </w:r>
    </w:p>
    <w:p>
      <w:pPr>
        <w:spacing w:after="0" w:line="61" w:lineRule="exact"/>
        <w:rPr>
          <w:sz w:val="20"/>
          <w:szCs w:val="20"/>
          <w:color w:val="auto"/>
        </w:rPr>
      </w:pPr>
    </w:p>
    <w:p>
      <w:pPr>
        <w:jc w:val="both"/>
        <w:ind w:left="7"/>
        <w:spacing w:after="0" w:line="270" w:lineRule="auto"/>
        <w:rPr>
          <w:sz w:val="20"/>
          <w:szCs w:val="20"/>
          <w:color w:val="auto"/>
        </w:rPr>
      </w:pPr>
      <w:r>
        <w:rPr>
          <w:rFonts w:ascii="Times New Roman" w:cs="Times New Roman" w:eastAsia="Times New Roman" w:hAnsi="Times New Roman"/>
          <w:sz w:val="15"/>
          <w:szCs w:val="15"/>
          <w:color w:val="auto"/>
        </w:rPr>
        <w:t>Since our initial public offering in 1993, we have demonstrated operational reliability and cash flow strength throughout economic cycles. Our current objectives include streamlining our operations with an emphasis on our reliable real property income. We are positioned for ongoing organic growth with expected rental rate increases, occupancy gains, and expense management. In 2026, we continue to expect rental rate growth that exceeds headline inflation with ongoing focus on expense management to continue generating strong organic cash flow growth.</w:t>
      </w:r>
    </w:p>
    <w:p>
      <w:pPr>
        <w:spacing w:after="0" w:line="5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In connection with cash proceeds generated from the Safe Harbor Sale, through December 31, 2025, we initiated the following capital allocation decisions:</w:t>
      </w:r>
    </w:p>
    <w:p>
      <w:pPr>
        <w:spacing w:after="0" w:line="105" w:lineRule="exact"/>
        <w:rPr>
          <w:sz w:val="20"/>
          <w:szCs w:val="20"/>
          <w:color w:val="auto"/>
        </w:rPr>
      </w:pPr>
    </w:p>
    <w:p>
      <w:pPr>
        <w:ind w:left="547" w:right="20" w:hanging="270"/>
        <w:spacing w:after="0" w:line="267" w:lineRule="auto"/>
        <w:tabs>
          <w:tab w:leader="none" w:pos="543"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Repaid approximately $3.3 billion of debt, including $1.6 billion of outstanding borrowings under our senior credit facility, as well as $737.7 million in secured mortgage debt, and $956.5 million in unsecured notes, inclusive of prepayment costs.</w:t>
      </w:r>
    </w:p>
    <w:p>
      <w:pPr>
        <w:ind w:left="547" w:hanging="270"/>
        <w:spacing w:after="0" w:line="257" w:lineRule="auto"/>
        <w:tabs>
          <w:tab w:leader="none" w:pos="543"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Returned capital to shareholders, including the payment of a special cash distribution of $4.00 per share, totaling $521.3 million, the repurchase of 4.3 million shares of our common stock at an average cost of $125.62 per share for a total of $539.1 million, and a 10.6% increase to our regular cash distribution, to $1.04 per share.</w:t>
      </w:r>
    </w:p>
    <w:p>
      <w:pPr>
        <w:jc w:val="both"/>
        <w:ind w:left="547" w:right="20" w:hanging="270"/>
        <w:spacing w:after="0" w:line="266" w:lineRule="auto"/>
        <w:tabs>
          <w:tab w:leader="none" w:pos="543"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Targeted reinvestment in strategic growth by acquiring 11 MH properties and three RV properties for total cash consideration of $457.0 million, which was primarily sourced from 1031 exchange escrow accounts to minimize the tax impact from the Safe Harbor Sale. Refer to the "Acquisitions, Dispositions, Development, and Expansion Activities" section below for acquisitions that closed subsequent to December 31, 2025.</w:t>
      </w:r>
    </w:p>
    <w:p>
      <w:pPr>
        <w:spacing w:after="0" w:line="38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121920</wp:posOffset>
            </wp:positionV>
            <wp:extent cx="7177405" cy="400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121" w:right="319" w:bottom="1440" w:gutter="0" w:footer="0" w:header="0"/>
          <w:type w:val="continuous"/>
        </w:sectPr>
      </w:pPr>
    </w:p>
    <w:bookmarkStart w:id="41" w:name="page42"/>
    <w:bookmarkEnd w:id="41"/>
    <w:p>
      <w:pPr>
        <w:jc w:val="center"/>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40" w:hanging="270"/>
        <w:spacing w:after="0" w:line="295" w:lineRule="auto"/>
        <w:tabs>
          <w:tab w:leader="none" w:pos="536"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Repurchased the titles to all 32 UK properties that were previously controlled via ground leases for total cash payments of $386.8 million, inclusive of fees and recoverable VAT taxes.</w:t>
      </w:r>
    </w:p>
    <w:p>
      <w:pPr>
        <w:spacing w:after="0" w:line="3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5"/>
          <w:szCs w:val="15"/>
          <w:color w:val="auto"/>
        </w:rPr>
        <w:t>Refer to Part I, Item 1. "Business - Safe Harbor Sale," and Note 2, "Assets Held for Sale and Discontinued Operations," for additional details related to the Safe Harbor Sale. Refer to Note 16, "Leases," for additional details related to the UK long-term lease terminations.</w:t>
      </w:r>
    </w:p>
    <w:p>
      <w:pPr>
        <w:spacing w:after="0" w:line="3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Subject to market conditions, we intend to selectively identify opportunities to acquire existing properties and expand our development pipeline. We finance acquisitions through available cash, secured financing, draws on our senior credit facility, the assumption of existing debt on properties, and the issuance of debt and equity securities. As of December 31, 2025, we had allocated restricted cash of $57.2 million into 1031 exchange escrow accounts to fund potential future MH and RV acquisitions. Given the higher interest rate environment, we continue to selectively pursue acquisition and development opportunities that meet our underwriting criteria. Refer to Note 3, "Real Estate Acquisitions and Dispositions," in our accompanying Consolidated Financial Statements for additional details on acquisitions and dispositions completed to date.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Capital Expenditures (excluding Acquisition Costs)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Our capital expenditure activity is summarized as follows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8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980" w:type="dxa"/>
            <w:vAlign w:val="bottom"/>
            <w:tcBorders>
              <w:bottom w:val="single" w:sz="8" w:color="auto"/>
            </w:tcBorders>
          </w:tcPr>
          <w:p>
            <w:pPr>
              <w:spacing w:after="0"/>
              <w:rPr>
                <w:sz w:val="15"/>
                <w:szCs w:val="15"/>
                <w:color w:val="auto"/>
              </w:rPr>
            </w:pPr>
          </w:p>
        </w:tc>
      </w:tr>
      <w:tr>
        <w:trPr>
          <w:trHeight w:val="168"/>
        </w:trPr>
        <w:tc>
          <w:tcPr>
            <w:tcW w:w="77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3"/>
                <w:szCs w:val="13"/>
                <w:b w:val="1"/>
                <w:bCs w:val="1"/>
                <w:color w:val="auto"/>
                <w:w w:val="99"/>
              </w:rPr>
              <w:t>2024</w:t>
            </w:r>
          </w:p>
        </w:tc>
      </w:tr>
      <w:tr>
        <w:trPr>
          <w:trHeight w:val="16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Recurring Capital Expenditures</w:t>
            </w:r>
          </w:p>
        </w:tc>
        <w:tc>
          <w:tcPr>
            <w:tcW w:w="98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69.8</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68.0</w:t>
            </w:r>
          </w:p>
        </w:tc>
      </w:tr>
      <w:tr>
        <w:trPr>
          <w:trHeight w:val="172"/>
        </w:trPr>
        <w:tc>
          <w:tcPr>
            <w:tcW w:w="7780" w:type="dxa"/>
            <w:vAlign w:val="bottom"/>
          </w:tcPr>
          <w:p>
            <w:pPr>
              <w:spacing w:after="0"/>
              <w:rPr>
                <w:sz w:val="20"/>
                <w:szCs w:val="20"/>
                <w:color w:val="auto"/>
              </w:rPr>
            </w:pPr>
            <w:r>
              <w:rPr>
                <w:rFonts w:ascii="Times New Roman" w:cs="Times New Roman" w:eastAsia="Times New Roman" w:hAnsi="Times New Roman"/>
                <w:sz w:val="13"/>
                <w:szCs w:val="13"/>
                <w:color w:val="auto"/>
              </w:rPr>
              <w:t>Non-Recurring Capital Expenditures and Related Activities</w:t>
            </w: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5"/>
        </w:trPr>
        <w:tc>
          <w:tcPr>
            <w:tcW w:w="7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Lot modifications</w:t>
            </w:r>
          </w:p>
        </w:tc>
        <w:tc>
          <w:tcPr>
            <w:tcW w:w="9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40.1</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w:t>
            </w:r>
          </w:p>
        </w:tc>
      </w:tr>
      <w:tr>
        <w:trPr>
          <w:trHeight w:val="172"/>
        </w:trPr>
        <w:tc>
          <w:tcPr>
            <w:tcW w:w="77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Growth projects</w:t>
            </w:r>
          </w:p>
        </w:tc>
        <w:tc>
          <w:tcPr>
            <w:tcW w:w="9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w:t>
            </w:r>
          </w:p>
        </w:tc>
      </w:tr>
      <w:tr>
        <w:trPr>
          <w:trHeight w:val="175"/>
        </w:trPr>
        <w:tc>
          <w:tcPr>
            <w:tcW w:w="7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Rebranding</w:t>
            </w:r>
          </w:p>
        </w:tc>
        <w:tc>
          <w:tcPr>
            <w:tcW w:w="9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172"/>
        </w:trPr>
        <w:tc>
          <w:tcPr>
            <w:tcW w:w="77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Capital improvements to recent acquisitions</w:t>
            </w:r>
          </w:p>
        </w:tc>
        <w:tc>
          <w:tcPr>
            <w:tcW w:w="9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w:t>
            </w:r>
          </w:p>
        </w:tc>
      </w:tr>
      <w:tr>
        <w:trPr>
          <w:trHeight w:val="175"/>
        </w:trPr>
        <w:tc>
          <w:tcPr>
            <w:tcW w:w="7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Expansion and development</w:t>
            </w:r>
          </w:p>
        </w:tc>
        <w:tc>
          <w:tcPr>
            <w:tcW w:w="9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100.6</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123.0</w:t>
            </w:r>
          </w:p>
        </w:tc>
      </w:tr>
      <w:tr>
        <w:trPr>
          <w:trHeight w:val="172"/>
        </w:trPr>
        <w:tc>
          <w:tcPr>
            <w:tcW w:w="77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Rental program</w:t>
            </w:r>
          </w:p>
        </w:tc>
        <w:tc>
          <w:tcPr>
            <w:tcW w:w="9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194.4</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177.5</w:t>
            </w:r>
          </w:p>
        </w:tc>
      </w:tr>
      <w:tr>
        <w:trPr>
          <w:trHeight w:val="175"/>
        </w:trPr>
        <w:tc>
          <w:tcPr>
            <w:tcW w:w="7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w:t>
            </w:r>
          </w:p>
        </w:tc>
        <w:tc>
          <w:tcPr>
            <w:tcW w:w="9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w:t>
            </w:r>
          </w:p>
        </w:tc>
        <w:tc>
          <w:tcPr>
            <w:tcW w:w="20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w:t>
            </w:r>
          </w:p>
        </w:tc>
      </w:tr>
      <w:tr>
        <w:trPr>
          <w:trHeight w:val="164"/>
        </w:trPr>
        <w:tc>
          <w:tcPr>
            <w:tcW w:w="7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Total Non-Recurring Capital Expenditure and Related Activities</w:t>
            </w:r>
          </w:p>
        </w:tc>
        <w:tc>
          <w:tcPr>
            <w:tcW w:w="9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391.1</w:t>
            </w:r>
          </w:p>
        </w:tc>
        <w:tc>
          <w:tcPr>
            <w:tcW w:w="2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401.6</w:t>
            </w:r>
          </w:p>
        </w:tc>
      </w:tr>
      <w:tr>
        <w:trPr>
          <w:trHeight w:val="192"/>
        </w:trPr>
        <w:tc>
          <w:tcPr>
            <w:tcW w:w="7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Capital Expenditure and Related Activities</w:t>
            </w:r>
          </w:p>
        </w:tc>
        <w:tc>
          <w:tcPr>
            <w:tcW w:w="980" w:type="dxa"/>
            <w:vAlign w:val="bottom"/>
            <w:tcBorders>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460.9</w:t>
            </w:r>
          </w:p>
        </w:tc>
        <w:tc>
          <w:tcPr>
            <w:tcW w:w="2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469.6</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Recurring Capital Expenditures</w:t>
      </w:r>
    </w:p>
    <w:p>
      <w:pPr>
        <w:spacing w:after="0" w:line="10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Property recurring capital expenditures are necessary to maintain asset quality, including purchasing and replacing items used to operate the communities. Recurring capital expenditures at our MH, RV, and UK properties include major road, driveway and pool improvements; clubhouse renovations; adding or replacing streetlights; playground equipment; signage; maintenance facilities; manager housing; and property vehicles. The minimum capitalized amount is one thousand dollars.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Non-Recurring Capital Expenditures and Related Activities</w:t>
      </w:r>
    </w:p>
    <w:p>
      <w:pPr>
        <w:spacing w:after="0" w:line="10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5"/>
          <w:szCs w:val="15"/>
          <w:i w:val="1"/>
          <w:iCs w:val="1"/>
          <w:color w:val="auto"/>
        </w:rPr>
        <w:t xml:space="preserve">Lot modifications </w:t>
      </w:r>
      <w:r>
        <w:rPr>
          <w:rFonts w:ascii="Times New Roman" w:cs="Times New Roman" w:eastAsia="Times New Roman" w:hAnsi="Times New Roman"/>
          <w:sz w:val="15"/>
          <w:szCs w:val="15"/>
          <w:color w:val="auto"/>
        </w:rPr>
        <w:t>- consist of expenditures incurred to modify the foundational structures required to set a new home after a previous home has been removed. These expenditures are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necessary to create a revenue stream from a new site renter and often improve the quality of the community. Other lot modification expenditures include land improvements added to annual RV sites to aid in the conversion of transient RV guests to annual contracts.</w:t>
      </w:r>
    </w:p>
    <w:p>
      <w:pPr>
        <w:spacing w:after="0" w:line="47"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15"/>
          <w:szCs w:val="15"/>
          <w:i w:val="1"/>
          <w:iCs w:val="1"/>
          <w:color w:val="auto"/>
        </w:rPr>
        <w:t xml:space="preserve">Growth projects </w:t>
      </w:r>
      <w:r>
        <w:rPr>
          <w:rFonts w:ascii="Times New Roman" w:cs="Times New Roman" w:eastAsia="Times New Roman" w:hAnsi="Times New Roman"/>
          <w:sz w:val="15"/>
          <w:szCs w:val="15"/>
          <w:color w:val="auto"/>
        </w:rPr>
        <w:t>- consist of revenue generating or expense reducing activities at the properties. These include, but are not limited to, utility efficiency and renewable energy projects,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site or amenity upgrades such as the addition of a garage or shed, and other special capital projects that substantiate an incremental rental increase.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 xml:space="preserve">Rebranding </w:t>
      </w:r>
      <w:r>
        <w:rPr>
          <w:rFonts w:ascii="Times New Roman" w:cs="Times New Roman" w:eastAsia="Times New Roman" w:hAnsi="Times New Roman"/>
          <w:sz w:val="15"/>
          <w:szCs w:val="15"/>
          <w:color w:val="auto"/>
        </w:rPr>
        <w:t>- includes new signage at our RV communities and the costs of building an RV mobile application and updated website.</w:t>
      </w:r>
    </w:p>
    <w:p>
      <w:pPr>
        <w:spacing w:after="0" w:line="10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5"/>
          <w:szCs w:val="15"/>
          <w:i w:val="1"/>
          <w:iCs w:val="1"/>
          <w:color w:val="auto"/>
        </w:rPr>
        <w:t xml:space="preserve">Capital improvements to recent acquisitions </w:t>
      </w:r>
      <w:r>
        <w:rPr>
          <w:rFonts w:ascii="Times New Roman" w:cs="Times New Roman" w:eastAsia="Times New Roman" w:hAnsi="Times New Roman"/>
          <w:sz w:val="15"/>
          <w:szCs w:val="15"/>
          <w:color w:val="auto"/>
        </w:rPr>
        <w:t>- often require 24 to 36 months to complete after closing and include upgrading clubhouses; landscaping; new street light systems; new</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mail delivery systems; pool renovations including larger decks, heaters and furniture; new maintenance facilities; lot modifications; and new signage including main signs and internal road signs.</w:t>
      </w:r>
    </w:p>
    <w:p>
      <w:pPr>
        <w:spacing w:after="0" w:line="47"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15"/>
          <w:szCs w:val="15"/>
          <w:i w:val="1"/>
          <w:iCs w:val="1"/>
          <w:color w:val="auto"/>
        </w:rPr>
        <w:t xml:space="preserve">Expansion and development expenditures </w:t>
      </w:r>
      <w:r>
        <w:rPr>
          <w:rFonts w:ascii="Times New Roman" w:cs="Times New Roman" w:eastAsia="Times New Roman" w:hAnsi="Times New Roman"/>
          <w:sz w:val="15"/>
          <w:szCs w:val="15"/>
          <w:color w:val="auto"/>
        </w:rPr>
        <w:t>- consist primarily of construction costs such as roads, activities, and amenities, and costs necessary to complete site improvements, such as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driveways, sidewalks, and landscaping at our MH, RV, and UK communities. Expenditures also include costs to rebuild after damage has been incurred at our properties.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5"/>
          <w:szCs w:val="15"/>
          <w:i w:val="1"/>
          <w:iCs w:val="1"/>
          <w:color w:val="auto"/>
        </w:rPr>
        <w:t xml:space="preserve">Rental program </w:t>
      </w:r>
      <w:r>
        <w:rPr>
          <w:rFonts w:ascii="Times New Roman" w:cs="Times New Roman" w:eastAsia="Times New Roman" w:hAnsi="Times New Roman"/>
          <w:sz w:val="15"/>
          <w:szCs w:val="15"/>
          <w:color w:val="auto"/>
        </w:rPr>
        <w:t>- consists of investment in the acquisition of homes intended for the rental program and the purchase of vacation rental homes at our RV communities. Expenditures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for these investments depend upon the condition of the markets for repossessions and new home sales, rental homes, and vacation rental homes.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Cash Flow Activities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Our cash flow activities from continuing operations are summarized as follows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9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r>
      <w:tr>
        <w:trPr>
          <w:trHeight w:val="168"/>
        </w:trPr>
        <w:tc>
          <w:tcPr>
            <w:tcW w:w="59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38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center"/>
              <w:ind w:left="774"/>
              <w:spacing w:after="0"/>
              <w:rPr>
                <w:sz w:val="20"/>
                <w:szCs w:val="20"/>
                <w:color w:val="auto"/>
              </w:rPr>
            </w:pPr>
            <w:r>
              <w:rPr>
                <w:rFonts w:ascii="Times New Roman" w:cs="Times New Roman" w:eastAsia="Times New Roman" w:hAnsi="Times New Roman"/>
                <w:sz w:val="13"/>
                <w:szCs w:val="13"/>
                <w:color w:val="auto"/>
              </w:rPr>
              <w:t>808.0</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610.3</w:t>
            </w: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center"/>
              <w:ind w:left="774"/>
              <w:spacing w:after="0"/>
              <w:rPr>
                <w:sz w:val="20"/>
                <w:szCs w:val="20"/>
                <w:color w:val="auto"/>
              </w:rPr>
            </w:pPr>
            <w:r>
              <w:rPr>
                <w:rFonts w:ascii="Times New Roman" w:cs="Times New Roman" w:eastAsia="Times New Roman" w:hAnsi="Times New Roman"/>
                <w:sz w:val="13"/>
                <w:szCs w:val="13"/>
                <w:color w:val="auto"/>
              </w:rPr>
              <w:t>549.9</w:t>
            </w:r>
          </w:p>
        </w:tc>
      </w:tr>
      <w:tr>
        <w:trPr>
          <w:trHeight w:val="172"/>
        </w:trPr>
        <w:tc>
          <w:tcPr>
            <w:tcW w:w="5960" w:type="dxa"/>
            <w:vAlign w:val="bottom"/>
          </w:tcPr>
          <w:p>
            <w:pPr>
              <w:spacing w:after="0"/>
              <w:rPr>
                <w:sz w:val="20"/>
                <w:szCs w:val="20"/>
                <w:color w:val="auto"/>
              </w:rPr>
            </w:pPr>
            <w:r>
              <w:rPr>
                <w:rFonts w:ascii="Times New Roman" w:cs="Times New Roman" w:eastAsia="Times New Roman" w:hAnsi="Times New Roman"/>
                <w:sz w:val="13"/>
                <w:szCs w:val="13"/>
                <w:color w:val="auto"/>
              </w:rPr>
              <w:t>Net Cash Used For Investing Activities</w:t>
            </w:r>
          </w:p>
        </w:tc>
        <w:tc>
          <w:tcPr>
            <w:tcW w:w="38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center"/>
              <w:ind w:left="774"/>
              <w:spacing w:after="0"/>
              <w:rPr>
                <w:sz w:val="20"/>
                <w:szCs w:val="20"/>
                <w:color w:val="auto"/>
              </w:rPr>
            </w:pPr>
            <w:r>
              <w:rPr>
                <w:rFonts w:ascii="Times New Roman" w:cs="Times New Roman" w:eastAsia="Times New Roman" w:hAnsi="Times New Roman"/>
                <w:sz w:val="13"/>
                <w:szCs w:val="13"/>
                <w:color w:val="auto"/>
              </w:rPr>
              <w:t>(602.9)</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(42.6)</w:t>
            </w:r>
          </w:p>
        </w:tc>
        <w:tc>
          <w:tcPr>
            <w:tcW w:w="200" w:type="dxa"/>
            <w:vAlign w:val="bottom"/>
          </w:tcPr>
          <w:p>
            <w:pPr>
              <w:spacing w:after="0"/>
              <w:rPr>
                <w:sz w:val="14"/>
                <w:szCs w:val="14"/>
                <w:color w:val="auto"/>
              </w:rPr>
            </w:pPr>
          </w:p>
        </w:tc>
        <w:tc>
          <w:tcPr>
            <w:tcW w:w="38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center"/>
              <w:ind w:left="754"/>
              <w:spacing w:after="0"/>
              <w:rPr>
                <w:sz w:val="20"/>
                <w:szCs w:val="20"/>
                <w:color w:val="auto"/>
              </w:rPr>
            </w:pPr>
            <w:r>
              <w:rPr>
                <w:rFonts w:ascii="Times New Roman" w:cs="Times New Roman" w:eastAsia="Times New Roman" w:hAnsi="Times New Roman"/>
                <w:sz w:val="13"/>
                <w:szCs w:val="13"/>
                <w:color w:val="auto"/>
              </w:rPr>
              <w:t>(700.5)</w:t>
            </w:r>
          </w:p>
        </w:tc>
      </w:tr>
      <w:tr>
        <w:trPr>
          <w:trHeight w:val="175"/>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Provided By / (Used For) Financing Activities</w:t>
            </w:r>
          </w:p>
        </w:tc>
        <w:tc>
          <w:tcPr>
            <w:tcW w:w="38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center"/>
              <w:ind w:left="774"/>
              <w:spacing w:after="0"/>
              <w:rPr>
                <w:sz w:val="20"/>
                <w:szCs w:val="20"/>
                <w:color w:val="auto"/>
              </w:rPr>
            </w:pPr>
            <w:r>
              <w:rPr>
                <w:rFonts w:ascii="Times New Roman" w:cs="Times New Roman" w:eastAsia="Times New Roman" w:hAnsi="Times New Roman"/>
                <w:sz w:val="13"/>
                <w:szCs w:val="13"/>
                <w:color w:val="auto"/>
              </w:rPr>
              <w:t>372.2</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(547.3)</w:t>
            </w: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center"/>
              <w:ind w:left="774"/>
              <w:spacing w:after="0"/>
              <w:rPr>
                <w:sz w:val="20"/>
                <w:szCs w:val="20"/>
                <w:color w:val="auto"/>
              </w:rPr>
            </w:pPr>
            <w:r>
              <w:rPr>
                <w:rFonts w:ascii="Times New Roman" w:cs="Times New Roman" w:eastAsia="Times New Roman" w:hAnsi="Times New Roman"/>
                <w:sz w:val="13"/>
                <w:szCs w:val="13"/>
                <w:color w:val="auto"/>
              </w:rPr>
              <w:t>103.5</w:t>
            </w: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Cash, cash equivalents and restricted cash increased by $579.0 million from $57.1 million as of December 31, 2024, to $636.1 million as of December 31, 2025.</w:t>
      </w:r>
    </w:p>
    <w:p>
      <w:pPr>
        <w:spacing w:after="0" w:line="101"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5"/>
          <w:szCs w:val="15"/>
          <w:i w:val="1"/>
          <w:iCs w:val="1"/>
          <w:color w:val="auto"/>
        </w:rPr>
        <w:t xml:space="preserve">Operating activities </w:t>
      </w:r>
      <w:r>
        <w:rPr>
          <w:rFonts w:ascii="Times New Roman" w:cs="Times New Roman" w:eastAsia="Times New Roman" w:hAnsi="Times New Roman"/>
          <w:sz w:val="15"/>
          <w:szCs w:val="15"/>
          <w:color w:val="auto"/>
        </w:rPr>
        <w:t>- Net cash provided by operating activities increased by $197.7 million to $808.0 million for the year ended December 31, 2025, compared to $610.3 million for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year ended December 31, 2024. The increase in operating cash flow was primarily due to growth in Same Property operating performance at our MH and UK properties and a reduction in interest expense of $129.3 million in the current period due to the settlement of $3.3 billion in debt obligations using proceeds generated from the Safe Harbor Sale, partially offset by reduced operating performance at our RV properties during the year ended December 31, 2025, as compared to the corresponding period in 2024.</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Our net cash flows provided by operating activities from continuing operations may be adversely impacted by, among other things:</w:t>
      </w:r>
    </w:p>
    <w:p>
      <w:pPr>
        <w:spacing w:after="0" w:line="105" w:lineRule="exact"/>
        <w:rPr>
          <w:sz w:val="20"/>
          <w:szCs w:val="20"/>
          <w:color w:val="auto"/>
        </w:rPr>
      </w:pPr>
    </w:p>
    <w:p>
      <w:pPr>
        <w:ind w:left="540" w:hanging="270"/>
        <w:spacing w:after="0"/>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market and economic conditions in our current markets generally, and specifically in the metropolitan areas of our current markets;</w:t>
      </w:r>
    </w:p>
    <w:p>
      <w:pPr>
        <w:spacing w:after="0" w:line="26"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lower occupancy and rental rates of our properties;</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increases in other operating costs, such as wage and benefit costs, supplies and repairs, real estate taxes, and utilities;</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substantial increases in insurance premiums;</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decreased sales of manufactured homes;</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current volatility in economic conditions and the financial markets; and</w:t>
      </w:r>
    </w:p>
    <w:p>
      <w:pPr>
        <w:spacing w:after="0" w:line="1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effects of outbreaks of disease and related restrictions on business operations.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See "Risk Factors" in Part I, Item 1A in this Annual Report on Form 10-K.</w:t>
      </w:r>
    </w:p>
    <w:p>
      <w:pPr>
        <w:spacing w:after="0" w:line="101"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5"/>
          <w:szCs w:val="15"/>
          <w:i w:val="1"/>
          <w:iCs w:val="1"/>
          <w:color w:val="auto"/>
        </w:rPr>
        <w:t xml:space="preserve">Investing activities </w:t>
      </w:r>
      <w:r>
        <w:rPr>
          <w:rFonts w:ascii="Times New Roman" w:cs="Times New Roman" w:eastAsia="Times New Roman" w:hAnsi="Times New Roman"/>
          <w:sz w:val="15"/>
          <w:szCs w:val="15"/>
          <w:color w:val="auto"/>
        </w:rPr>
        <w:t>- Net cash used for investing activities increased by $560.3 million to $602.9 million for the year ended December 31, 2025, compared to $42.6 million for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year ended December 31, 2024. The increase in Net cash used for investing activities was primarily driven by an increase in cash deployed to acquire properties and a decrease in cash proceeds received from disposition activity during the year ended December 31, 2025 as compared to the corresponding period in 2024.</w:t>
      </w:r>
    </w:p>
    <w:p>
      <w:pPr>
        <w:spacing w:after="0" w:line="4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i w:val="1"/>
          <w:iCs w:val="1"/>
          <w:color w:val="auto"/>
        </w:rPr>
        <w:t xml:space="preserve">Financing activities </w:t>
      </w:r>
      <w:r>
        <w:rPr>
          <w:rFonts w:ascii="Times New Roman" w:cs="Times New Roman" w:eastAsia="Times New Roman" w:hAnsi="Times New Roman"/>
          <w:sz w:val="15"/>
          <w:szCs w:val="15"/>
          <w:color w:val="auto"/>
        </w:rPr>
        <w:t>- Net cash provided by financing activities was $372.2 million for the year ended December 31, 2025, compared to net cash used for financing activities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$547.3 million for the year ended December 31, 2024. The change in Net cash provided by / (used for) financing activities was primarily driven by a net capital transfer of $5.5 billion from Safe Harbor to the Company in conjunction with the Safe Harbor Sale, partially offset by an increase in cash deployed to settle debt obligations and distribute cash to shareholders through share repurchases and a special cash distribution paid in May 2025 during the year ended December 31, 2025 as compared to the corresponding period in 2024. Refer to Note 7, "Debt and Line of Credit" and Note 8, "Equity and Temporary Equity," in our accompanying Consolidated Financial Statements for additional information.</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Our cash flow from discontinued activities are summarized as follows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9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r>
      <w:tr>
        <w:trPr>
          <w:trHeight w:val="168"/>
        </w:trPr>
        <w:tc>
          <w:tcPr>
            <w:tcW w:w="59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provided by operating activities - discontinued operations</w:t>
            </w:r>
          </w:p>
        </w:tc>
        <w:tc>
          <w:tcPr>
            <w:tcW w:w="38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56.2</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250.7</w:t>
            </w: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240.6</w:t>
            </w:r>
          </w:p>
        </w:tc>
      </w:tr>
      <w:tr>
        <w:trPr>
          <w:trHeight w:val="172"/>
        </w:trPr>
        <w:tc>
          <w:tcPr>
            <w:tcW w:w="5960" w:type="dxa"/>
            <w:vAlign w:val="bottom"/>
          </w:tcPr>
          <w:p>
            <w:pPr>
              <w:spacing w:after="0"/>
              <w:rPr>
                <w:sz w:val="20"/>
                <w:szCs w:val="20"/>
                <w:color w:val="auto"/>
              </w:rPr>
            </w:pPr>
            <w:r>
              <w:rPr>
                <w:rFonts w:ascii="Times New Roman" w:cs="Times New Roman" w:eastAsia="Times New Roman" w:hAnsi="Times New Roman"/>
                <w:sz w:val="13"/>
                <w:szCs w:val="13"/>
                <w:color w:val="auto"/>
              </w:rPr>
              <w:t>Net cash provided by / (used for) investing activities - discontinued operations</w:t>
            </w:r>
          </w:p>
        </w:tc>
        <w:tc>
          <w:tcPr>
            <w:tcW w:w="38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5,528.7</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(224.8)</w:t>
            </w:r>
          </w:p>
        </w:tc>
        <w:tc>
          <w:tcPr>
            <w:tcW w:w="200" w:type="dxa"/>
            <w:vAlign w:val="bottom"/>
          </w:tcPr>
          <w:p>
            <w:pPr>
              <w:spacing w:after="0"/>
              <w:rPr>
                <w:sz w:val="14"/>
                <w:szCs w:val="14"/>
                <w:color w:val="auto"/>
              </w:rPr>
            </w:pPr>
          </w:p>
        </w:tc>
        <w:tc>
          <w:tcPr>
            <w:tcW w:w="38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(219.0)</w:t>
            </w:r>
          </w:p>
        </w:tc>
      </w:tr>
      <w:tr>
        <w:trPr>
          <w:trHeight w:val="175"/>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used for financing activities - discontinued operations</w:t>
            </w:r>
          </w:p>
        </w:tc>
        <w:tc>
          <w:tcPr>
            <w:tcW w:w="38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(5,591.6)</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w:t>
            </w: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Cash, cash equivalents and restricted cash for discontinued operations decreased by $6.8 million from $6.8 million as of December 31, 2024, to zero as of December 31, 2025.</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5"/>
          <w:szCs w:val="15"/>
          <w:i w:val="1"/>
          <w:iCs w:val="1"/>
          <w:color w:val="auto"/>
        </w:rPr>
        <w:t xml:space="preserve">Operating activities </w:t>
      </w:r>
      <w:r>
        <w:rPr>
          <w:rFonts w:ascii="Times New Roman" w:cs="Times New Roman" w:eastAsia="Times New Roman" w:hAnsi="Times New Roman"/>
          <w:sz w:val="15"/>
          <w:szCs w:val="15"/>
          <w:color w:val="auto"/>
        </w:rPr>
        <w:t>- Net cash provided by operating activities for discontinued operations decreased by $194.5 million to $56.2 million for the year ended December 31, 2025,</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compared to $250.7 million for the year ended December 31, 2024. The decrease in net cash provided by operating activities for discontinued operations was due to the closing of the Safe Harbor Sale during the year ended December 31, 2025 as compared to the corresponding period in 2024.</w:t>
      </w:r>
    </w:p>
    <w:p>
      <w:pPr>
        <w:spacing w:after="0" w:line="4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5"/>
          <w:szCs w:val="15"/>
          <w:i w:val="1"/>
          <w:iCs w:val="1"/>
          <w:color w:val="auto"/>
        </w:rPr>
        <w:t xml:space="preserve">Investing activities </w:t>
      </w:r>
      <w:r>
        <w:rPr>
          <w:rFonts w:ascii="Times New Roman" w:cs="Times New Roman" w:eastAsia="Times New Roman" w:hAnsi="Times New Roman"/>
          <w:sz w:val="15"/>
          <w:szCs w:val="15"/>
          <w:color w:val="auto"/>
        </w:rPr>
        <w:t>- Net cash provided by investing activities for discontinued operations was $5.5 billion for the year ended December 31, 2025, compared to net cash used for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investing activities for discontinued operations of $224.8 million for the year ended December 31, 2024. The change in Net cash provided by / (used for) investing activities for discontinued operations is driven by cash proceeds received from the closing of the Safe Harbor Sale.</w:t>
      </w:r>
    </w:p>
    <w:p>
      <w:pPr>
        <w:spacing w:after="0" w:line="4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5"/>
          <w:szCs w:val="15"/>
          <w:i w:val="1"/>
          <w:iCs w:val="1"/>
          <w:color w:val="auto"/>
        </w:rPr>
        <w:t xml:space="preserve">Financing activities </w:t>
      </w:r>
      <w:r>
        <w:rPr>
          <w:rFonts w:ascii="Times New Roman" w:cs="Times New Roman" w:eastAsia="Times New Roman" w:hAnsi="Times New Roman"/>
          <w:sz w:val="15"/>
          <w:szCs w:val="15"/>
          <w:color w:val="auto"/>
        </w:rPr>
        <w:t>- Net cash used for financing activities for discontinued operations increased by $5.6 billion to $5.6 billion for the year ended December 31, 2025, compared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$24.3 million for the year ended December 31, 2024. The increase in net cash used for financing activities for discontinued operations is due to the net capital transfer of $5.6 billion from Safe Harbor to the Company in conjunction with the Safe Harbor Sale.</w:t>
      </w:r>
    </w:p>
    <w:p>
      <w:pPr>
        <w:spacing w:after="0" w:line="51"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color w:val="auto"/>
        </w:rPr>
        <w:t>Refer to the Consolidated Statements of Cash Flows for detail on the net cash used for financing activities for discontinued operations during the year ended December 31, 2025 and 2024. Refer to Note 2, "Assets Held for Sale and Discontinued Operations," in our accompanying Consolidated Financial Statements for additional information.</w:t>
      </w:r>
    </w:p>
    <w:p>
      <w:pPr>
        <w:spacing w:after="0" w:line="3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5"/>
          <w:szCs w:val="15"/>
          <w:color w:val="auto"/>
        </w:rPr>
        <w:t>The absence of future cash flows from discontinued operations is not expected to significantly impact our liquidity, as the cash proceeds from the Safe Harbor Sale have been allocated to pay down debt, which will generate annualized interest expense savings, and to reinvest in our core MH and RV segments.</w:t>
      </w:r>
    </w:p>
    <w:p>
      <w:pPr>
        <w:spacing w:after="0" w:line="3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5"/>
          <w:szCs w:val="15"/>
          <w:color w:val="auto"/>
        </w:rPr>
        <w:t>We are exposed to interest rate variability associated with potential floating rate debt and any maturing debt that has to be refinanced. Interest rate movements impact our borrowing costs and, while as of December 31, 2025, 100% of our total debt was fixed rate financing, increases in interest costs have the potential to adversely affect our financial results.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Equity and Debt Activity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At the Market Offering Sales Agreement</w:t>
      </w:r>
    </w:p>
    <w:p>
      <w:pPr>
        <w:spacing w:after="0" w:line="10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We have entered into an At the Market Offering Sales Agreement (the "ATM") with certain sales agents and forward sellers pursuant to which we may sell, from time to time, up to an aggregate gross sales price of $1.25 billion of our common stock. Through December 31, 2025, we had entered into and settled forward sales agreements under the ATM for an aggregate gross sales price of $524.8 million, leaving $725.2 million available for sale under the ATM.</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Senior Unsecured Notes</w:t>
      </w:r>
    </w:p>
    <w:p>
      <w:pPr>
        <w:spacing w:after="0" w:line="109"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color w:val="auto"/>
        </w:rPr>
        <w:t>The following table sets forth certain information regarding our senior unsecured notes (in millions, except for statistical information). All senior unsecured notes include interest payments on a semi-annual basis in arrears.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4"/>
          </w:tcPr>
          <w:p>
            <w:pPr>
              <w:jc w:val="right"/>
              <w:ind w:right="574"/>
              <w:spacing w:after="0"/>
              <w:rPr>
                <w:sz w:val="20"/>
                <w:szCs w:val="20"/>
                <w:color w:val="auto"/>
              </w:rPr>
            </w:pPr>
            <w:r>
              <w:rPr>
                <w:rFonts w:ascii="Times New Roman" w:cs="Times New Roman" w:eastAsia="Times New Roman" w:hAnsi="Times New Roman"/>
                <w:sz w:val="13"/>
                <w:szCs w:val="13"/>
                <w:b w:val="1"/>
                <w:bCs w:val="1"/>
                <w:color w:val="auto"/>
              </w:rPr>
              <w:t>Carrying Amount at December 31,</w:t>
            </w:r>
          </w:p>
        </w:tc>
      </w:tr>
      <w:tr>
        <w:trPr>
          <w:trHeight w:val="171"/>
        </w:trPr>
        <w:tc>
          <w:tcPr>
            <w:tcW w:w="6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Principal Amount</w:t>
            </w:r>
          </w:p>
        </w:tc>
        <w:tc>
          <w:tcPr>
            <w:tcW w:w="360" w:type="dxa"/>
            <w:vAlign w:val="bottom"/>
          </w:tcPr>
          <w:p>
            <w:pPr>
              <w:spacing w:after="0"/>
              <w:rPr>
                <w:sz w:val="14"/>
                <w:szCs w:val="14"/>
                <w:color w:val="auto"/>
              </w:rPr>
            </w:pPr>
          </w:p>
        </w:tc>
        <w:tc>
          <w:tcPr>
            <w:tcW w:w="1220" w:type="dxa"/>
            <w:vAlign w:val="bottom"/>
          </w:tcPr>
          <w:p>
            <w:pPr>
              <w:jc w:val="right"/>
              <w:ind w:right="59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94"/>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66"/>
        </w:trPr>
        <w:tc>
          <w:tcPr>
            <w:tcW w:w="6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5.5% notes, issued in January 2024 and due in January 2029 (the "2029 Notes")</w:t>
            </w:r>
          </w:p>
        </w:tc>
        <w:tc>
          <w:tcPr>
            <w:tcW w:w="1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496.2</w:t>
            </w:r>
          </w:p>
        </w:tc>
      </w:tr>
      <w:tr>
        <w:trPr>
          <w:trHeight w:val="172"/>
        </w:trPr>
        <w:tc>
          <w:tcPr>
            <w:tcW w:w="6400" w:type="dxa"/>
            <w:vAlign w:val="bottom"/>
          </w:tcPr>
          <w:p>
            <w:pPr>
              <w:spacing w:after="0"/>
              <w:rPr>
                <w:sz w:val="20"/>
                <w:szCs w:val="20"/>
                <w:color w:val="auto"/>
              </w:rPr>
            </w:pPr>
            <w:r>
              <w:rPr>
                <w:rFonts w:ascii="Times New Roman" w:cs="Times New Roman" w:eastAsia="Times New Roman" w:hAnsi="Times New Roman"/>
                <w:sz w:val="13"/>
                <w:szCs w:val="13"/>
                <w:color w:val="auto"/>
              </w:rPr>
              <w:t>5.7% notes, issued in January 2023 and due in January 2033 (the "2033 Notes")</w:t>
            </w: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396.1</w:t>
            </w:r>
          </w:p>
        </w:tc>
      </w:tr>
      <w:tr>
        <w:trPr>
          <w:trHeight w:val="175"/>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4.2% notes, issued in April 2022 and due in April 2032</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594.1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593.2</w:t>
            </w:r>
          </w:p>
        </w:tc>
      </w:tr>
      <w:tr>
        <w:trPr>
          <w:trHeight w:val="172"/>
        </w:trPr>
        <w:tc>
          <w:tcPr>
            <w:tcW w:w="6400" w:type="dxa"/>
            <w:vAlign w:val="bottom"/>
          </w:tcPr>
          <w:p>
            <w:pPr>
              <w:spacing w:after="0"/>
              <w:rPr>
                <w:sz w:val="20"/>
                <w:szCs w:val="20"/>
                <w:color w:val="auto"/>
              </w:rPr>
            </w:pPr>
            <w:r>
              <w:rPr>
                <w:rFonts w:ascii="Times New Roman" w:cs="Times New Roman" w:eastAsia="Times New Roman" w:hAnsi="Times New Roman"/>
                <w:sz w:val="13"/>
                <w:szCs w:val="13"/>
                <w:color w:val="auto"/>
              </w:rPr>
              <w:t>2.3% notes, issued in October 2021 and due in November 2028</w:t>
            </w: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447.4</w:t>
            </w:r>
          </w:p>
        </w:tc>
      </w:tr>
      <w:tr>
        <w:trPr>
          <w:trHeight w:val="174"/>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2.7% notes, issued in June 2021 and October 2021, and due in July 2031</w:t>
            </w:r>
          </w:p>
        </w:tc>
        <w:tc>
          <w:tcPr>
            <w:tcW w:w="18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750.0</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744.3</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743.4</w:t>
            </w:r>
          </w:p>
        </w:tc>
      </w:tr>
      <w:tr>
        <w:trPr>
          <w:trHeight w:val="167"/>
        </w:trPr>
        <w:tc>
          <w:tcPr>
            <w:tcW w:w="64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2,700.0</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1,786.5</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2,676.3</w:t>
            </w:r>
          </w:p>
        </w:tc>
      </w:tr>
      <w:tr>
        <w:trPr>
          <w:trHeight w:val="20"/>
        </w:trPr>
        <w:tc>
          <w:tcPr>
            <w:tcW w:w="6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During the three months ended June 30, 2025, we redeemed the aggregate principal amount of $900.0 million on the 2029 Notes and the 2033 Notes using cash proceeds generated from the Safe Harbor Sale (the "2029 and 2033 Note Redemptions"). In accordance with the terms of each series of Notes, the redemption price was inclusive of a customary make-whole premium and accrued and unpaid interest. As a result, during the three months ended June 30, 2025, we recorded charges of $56.5 million to Loss on extinguishment of debt on the Consolidated Statements of Operations in connection with early extinguishment premiums on the 2029 and 2033 Note Redemptions. Refer to Note 13, "Derivative Financial Instruments," for cash flow hedge activity resulting from the redemptions.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The obligations of the Operating Partnership to pay principal, premiums, if any, and interest on our senior unsecured notes are guaranteed on a senior basis by Sun Communities, Inc. The guarantee is full and unconditional, and the Operating Partnership is a consolidated subsidiary of the Company. Under Rule 3-10 of Regulation S-X, as amended, subsidiary issuers of obligations guaranteed by its parent company are not required to provide separate financial statements, provided that the subsidiary obligor is consolidated into the parent company's consolidated financial statements, the parent guarantee is "full and unconditional" and, subject to certain exceptions, the alternative disclosure required by Rule 13-01 is provided, which includes narrative disclosure and summarized financial information. Accordingly, separate consolidated financial statements of the Operating Partnership have not been presented. Furthermore, as permitted under Rule 13-01(a)(4)(vi), we have excluded the summarized financial information for the Operating Partnership as the assets, liabilities, and results of operations of the Operating Partnership are not materially different from the corresponding amounts presented in our consolidated financial statements and management believes such summarized financial information would be repetitive and not provide incremental value to investors.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New Credit Agreement</w:t>
      </w:r>
    </w:p>
    <w:p>
      <w:pPr>
        <w:spacing w:after="0" w:line="1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In September 2025, we entered into a credit agreement (the "New Credit Agreement"). Pursuant to the New Credit Agreement, we may borrow up to $2.0 billion under a senior credit facility consisting of a revolving loan. The New Credit Agreement also permits, subject to the satisfaction of certain conditions, additional borrowings of $1.0 billion. The senior credit facility’s maturity date is January 31, 2030, and, at our option, may be extended for two additional six-month periods subject to the satisfaction of certain conditions. As of December 31, 2025, there were no borrowings under the senior credit facility.</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Refer to Note 7, "Debt and Line of Credit," for additional information.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Financial Covenants</w:t>
      </w:r>
    </w:p>
    <w:p>
      <w:pPr>
        <w:spacing w:after="0" w:line="10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5"/>
          <w:szCs w:val="15"/>
          <w:color w:val="auto"/>
        </w:rPr>
        <w:t>Pursuant to the terms of the senior credit facility, we are subject to various financial and other covenants. The most restrictive financial covenants for the senior credit facility are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20" w:type="dxa"/>
            <w:vAlign w:val="bottom"/>
            <w:gridSpan w:val="3"/>
          </w:tcPr>
          <w:p>
            <w:pPr>
              <w:ind w:left="3140"/>
              <w:spacing w:after="0"/>
              <w:rPr>
                <w:sz w:val="20"/>
                <w:szCs w:val="20"/>
                <w:color w:val="auto"/>
              </w:rPr>
            </w:pPr>
            <w:r>
              <w:rPr>
                <w:rFonts w:ascii="Times New Roman" w:cs="Times New Roman" w:eastAsia="Times New Roman" w:hAnsi="Times New Roman"/>
                <w:sz w:val="13"/>
                <w:szCs w:val="13"/>
                <w:b w:val="1"/>
                <w:bCs w:val="1"/>
                <w:color w:val="auto"/>
              </w:rPr>
              <w:t>Covenant</w:t>
            </w:r>
            <w:r>
              <w:rPr>
                <w:rFonts w:ascii="Times New Roman" w:cs="Times New Roman" w:eastAsia="Times New Roman" w:hAnsi="Times New Roman"/>
                <w:sz w:val="17"/>
                <w:szCs w:val="17"/>
                <w:b w:val="1"/>
                <w:bCs w:val="1"/>
                <w:color w:val="auto"/>
                <w:vertAlign w:val="superscript"/>
              </w:rPr>
              <w:t>(1)</w:t>
            </w:r>
          </w:p>
        </w:tc>
        <w:tc>
          <w:tcPr>
            <w:tcW w:w="176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Requirement</w:t>
            </w:r>
          </w:p>
        </w:tc>
        <w:tc>
          <w:tcPr>
            <w:tcW w:w="208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As of December 31, 2025</w:t>
            </w:r>
          </w:p>
        </w:tc>
      </w:tr>
      <w:tr>
        <w:trPr>
          <w:trHeight w:val="165"/>
        </w:trPr>
        <w:tc>
          <w:tcPr>
            <w:tcW w:w="6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Maximum leverage ratio</w:t>
            </w:r>
          </w:p>
        </w:tc>
        <w:tc>
          <w:tcPr>
            <w:tcW w:w="8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jc w:val="center"/>
              <w:ind w:right="354"/>
              <w:spacing w:after="0"/>
              <w:rPr>
                <w:sz w:val="20"/>
                <w:szCs w:val="20"/>
                <w:color w:val="auto"/>
              </w:rPr>
            </w:pPr>
            <w:r>
              <w:rPr>
                <w:rFonts w:ascii="Times New Roman" w:cs="Times New Roman" w:eastAsia="Times New Roman" w:hAnsi="Times New Roman"/>
                <w:sz w:val="13"/>
                <w:szCs w:val="13"/>
                <w:color w:val="auto"/>
              </w:rPr>
              <w:t>&lt;65.0%</w:t>
            </w:r>
          </w:p>
        </w:tc>
        <w:tc>
          <w:tcPr>
            <w:tcW w:w="80" w:type="dxa"/>
            <w:vAlign w:val="bottom"/>
            <w:tcBorders>
              <w:top w:val="single" w:sz="8" w:color="CCEEFF"/>
            </w:tcBorders>
            <w:shd w:val="clear" w:color="auto" w:fill="CCEEFF"/>
          </w:tcPr>
          <w:p>
            <w:pPr>
              <w:spacing w:after="0"/>
              <w:rPr>
                <w:sz w:val="14"/>
                <w:szCs w:val="14"/>
                <w:color w:val="auto"/>
              </w:rPr>
            </w:pPr>
          </w:p>
        </w:tc>
        <w:tc>
          <w:tcPr>
            <w:tcW w:w="2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18.6%</w:t>
            </w:r>
          </w:p>
        </w:tc>
      </w:tr>
      <w:tr>
        <w:trPr>
          <w:trHeight w:val="172"/>
        </w:trPr>
        <w:tc>
          <w:tcPr>
            <w:tcW w:w="74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Minimum fixed charge coverage ratio</w:t>
            </w:r>
          </w:p>
        </w:tc>
        <w:tc>
          <w:tcPr>
            <w:tcW w:w="1680" w:type="dxa"/>
            <w:vAlign w:val="bottom"/>
          </w:tcPr>
          <w:p>
            <w:pPr>
              <w:jc w:val="center"/>
              <w:ind w:right="354"/>
              <w:spacing w:after="0"/>
              <w:rPr>
                <w:sz w:val="20"/>
                <w:szCs w:val="20"/>
                <w:color w:val="auto"/>
              </w:rPr>
            </w:pPr>
            <w:r>
              <w:rPr>
                <w:rFonts w:ascii="Times New Roman" w:cs="Times New Roman" w:eastAsia="Times New Roman" w:hAnsi="Times New Roman"/>
                <w:sz w:val="13"/>
                <w:szCs w:val="13"/>
                <w:color w:val="auto"/>
                <w:w w:val="99"/>
              </w:rPr>
              <w:t>&gt;1.40</w:t>
            </w:r>
          </w:p>
        </w:tc>
        <w:tc>
          <w:tcPr>
            <w:tcW w:w="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3.66</w:t>
            </w:r>
          </w:p>
        </w:tc>
      </w:tr>
      <w:tr>
        <w:trPr>
          <w:trHeight w:val="175"/>
        </w:trPr>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Maximum secured leverage ratio</w:t>
            </w:r>
          </w:p>
        </w:tc>
        <w:tc>
          <w:tcPr>
            <w:tcW w:w="1680" w:type="dxa"/>
            <w:vAlign w:val="bottom"/>
            <w:shd w:val="clear" w:color="auto" w:fill="CCEEFF"/>
          </w:tcPr>
          <w:p>
            <w:pPr>
              <w:jc w:val="center"/>
              <w:ind w:right="354"/>
              <w:spacing w:after="0"/>
              <w:rPr>
                <w:sz w:val="20"/>
                <w:szCs w:val="20"/>
                <w:color w:val="auto"/>
              </w:rPr>
            </w:pPr>
            <w:r>
              <w:rPr>
                <w:rFonts w:ascii="Times New Roman" w:cs="Times New Roman" w:eastAsia="Times New Roman" w:hAnsi="Times New Roman"/>
                <w:sz w:val="13"/>
                <w:szCs w:val="13"/>
                <w:color w:val="auto"/>
              </w:rPr>
              <w:t>&lt;40.0%</w:t>
            </w:r>
          </w:p>
        </w:tc>
        <w:tc>
          <w:tcPr>
            <w:tcW w:w="80" w:type="dxa"/>
            <w:vAlign w:val="bottom"/>
            <w:shd w:val="clear" w:color="auto" w:fill="CCEEFF"/>
          </w:tcPr>
          <w:p>
            <w:pPr>
              <w:spacing w:after="0"/>
              <w:rPr>
                <w:sz w:val="15"/>
                <w:szCs w:val="15"/>
                <w:color w:val="auto"/>
              </w:rPr>
            </w:pP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10.3%</w:t>
            </w:r>
          </w:p>
        </w:tc>
      </w:tr>
      <w:tr>
        <w:trPr>
          <w:trHeight w:val="282"/>
        </w:trPr>
        <w:tc>
          <w:tcPr>
            <w:tcW w:w="7420" w:type="dxa"/>
            <w:vAlign w:val="bottom"/>
            <w:gridSpan w:val="3"/>
          </w:tcPr>
          <w:p>
            <w:pPr>
              <w:spacing w:after="0"/>
              <w:rPr>
                <w:sz w:val="20"/>
                <w:szCs w:val="20"/>
                <w:color w:val="auto"/>
              </w:rPr>
            </w:pP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2"/>
                <w:szCs w:val="12"/>
                <w:color w:val="auto"/>
              </w:rPr>
              <w:t xml:space="preserve"> As of December 31, 2025, we did not have any borrowings outstanding under the senior credit facility.</w:t>
            </w: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39"/>
        </w:trPr>
        <w:tc>
          <w:tcPr>
            <w:tcW w:w="74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In addition, we are required to maintain the following covenants with respect to the senior unsecured notes payable:</w:t>
            </w: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tcPr>
          <w:p>
            <w:pPr>
              <w:spacing w:after="0"/>
              <w:rPr>
                <w:sz w:val="20"/>
                <w:szCs w:val="20"/>
                <w:color w:val="auto"/>
              </w:rPr>
            </w:pPr>
          </w:p>
        </w:tc>
      </w:tr>
    </w:tbl>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000" w:type="dxa"/>
            <w:vAlign w:val="bottom"/>
            <w:gridSpan w:val="2"/>
          </w:tcPr>
          <w:p>
            <w:pPr>
              <w:ind w:left="3200"/>
              <w:spacing w:after="0"/>
              <w:rPr>
                <w:sz w:val="20"/>
                <w:szCs w:val="20"/>
                <w:color w:val="auto"/>
              </w:rPr>
            </w:pPr>
            <w:r>
              <w:rPr>
                <w:rFonts w:ascii="Times New Roman" w:cs="Times New Roman" w:eastAsia="Times New Roman" w:hAnsi="Times New Roman"/>
                <w:sz w:val="13"/>
                <w:szCs w:val="13"/>
                <w:b w:val="1"/>
                <w:bCs w:val="1"/>
                <w:color w:val="auto"/>
              </w:rPr>
              <w:t>Covenant</w:t>
            </w:r>
          </w:p>
        </w:tc>
        <w:tc>
          <w:tcPr>
            <w:tcW w:w="2180" w:type="dxa"/>
            <w:vAlign w:val="bottom"/>
            <w:gridSpan w:val="2"/>
          </w:tcPr>
          <w:p>
            <w:pPr>
              <w:ind w:left="680"/>
              <w:spacing w:after="0"/>
              <w:rPr>
                <w:sz w:val="20"/>
                <w:szCs w:val="20"/>
                <w:color w:val="auto"/>
              </w:rPr>
            </w:pPr>
            <w:r>
              <w:rPr>
                <w:rFonts w:ascii="Times New Roman" w:cs="Times New Roman" w:eastAsia="Times New Roman" w:hAnsi="Times New Roman"/>
                <w:sz w:val="13"/>
                <w:szCs w:val="13"/>
                <w:b w:val="1"/>
                <w:bCs w:val="1"/>
                <w:color w:val="auto"/>
              </w:rPr>
              <w:t>Requirement</w:t>
            </w:r>
          </w:p>
        </w:tc>
        <w:tc>
          <w:tcPr>
            <w:tcW w:w="208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As of December 31, 2025</w:t>
            </w:r>
          </w:p>
        </w:tc>
      </w:tr>
      <w:tr>
        <w:trPr>
          <w:trHeight w:val="168"/>
        </w:trPr>
        <w:tc>
          <w:tcPr>
            <w:tcW w:w="6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debt to total assets</w:t>
            </w:r>
          </w:p>
        </w:tc>
        <w:tc>
          <w:tcPr>
            <w:tcW w:w="80" w:type="dxa"/>
            <w:vAlign w:val="bottom"/>
            <w:tcBorders>
              <w:top w:val="single" w:sz="8" w:color="CCEEFF"/>
            </w:tcBorders>
            <w:shd w:val="clear" w:color="auto" w:fill="CCEEFF"/>
          </w:tcPr>
          <w:p>
            <w:pPr>
              <w:spacing w:after="0"/>
              <w:rPr>
                <w:sz w:val="14"/>
                <w:szCs w:val="14"/>
                <w:color w:val="auto"/>
              </w:rPr>
            </w:pPr>
          </w:p>
        </w:tc>
        <w:tc>
          <w:tcPr>
            <w:tcW w:w="2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≤60.0%</w:t>
            </w:r>
          </w:p>
        </w:tc>
        <w:tc>
          <w:tcPr>
            <w:tcW w:w="80" w:type="dxa"/>
            <w:vAlign w:val="bottom"/>
            <w:tcBorders>
              <w:top w:val="single" w:sz="8" w:color="CCEEFF"/>
            </w:tcBorders>
            <w:shd w:val="clear" w:color="auto" w:fill="CCEEFF"/>
          </w:tcPr>
          <w:p>
            <w:pPr>
              <w:spacing w:after="0"/>
              <w:rPr>
                <w:sz w:val="14"/>
                <w:szCs w:val="14"/>
                <w:color w:val="auto"/>
              </w:rPr>
            </w:pPr>
          </w:p>
        </w:tc>
        <w:tc>
          <w:tcPr>
            <w:tcW w:w="2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27.0%</w:t>
            </w:r>
          </w:p>
        </w:tc>
      </w:tr>
      <w:tr>
        <w:trPr>
          <w:trHeight w:val="172"/>
        </w:trPr>
        <w:tc>
          <w:tcPr>
            <w:tcW w:w="70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Secured debt to total assets</w:t>
            </w:r>
          </w:p>
        </w:tc>
        <w:tc>
          <w:tcPr>
            <w:tcW w:w="2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≤40.0%</w:t>
            </w:r>
          </w:p>
        </w:tc>
        <w:tc>
          <w:tcPr>
            <w:tcW w:w="20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15.6%</w:t>
            </w:r>
          </w:p>
        </w:tc>
      </w:tr>
      <w:tr>
        <w:trPr>
          <w:trHeight w:val="175"/>
        </w:trPr>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Consolidated income available for debt service to debt service</w:t>
            </w:r>
          </w:p>
        </w:tc>
        <w:tc>
          <w:tcPr>
            <w:tcW w:w="2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rPr>
              <w:t>≥1.50</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6.95</w:t>
            </w:r>
          </w:p>
        </w:tc>
      </w:tr>
      <w:tr>
        <w:trPr>
          <w:trHeight w:val="171"/>
        </w:trPr>
        <w:tc>
          <w:tcPr>
            <w:tcW w:w="70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Unencumbered total asset value to total unsecured debt</w:t>
            </w:r>
          </w:p>
        </w:tc>
        <w:tc>
          <w:tcPr>
            <w:tcW w:w="2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7"/>
              </w:rPr>
              <w:t>≥150.0%</w:t>
            </w:r>
          </w:p>
        </w:tc>
        <w:tc>
          <w:tcPr>
            <w:tcW w:w="2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700.7%</w:t>
            </w:r>
          </w:p>
        </w:tc>
      </w:tr>
    </w:tbl>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of December 31, 2025, we were in compliance with the above covenants and do not anticipate that we will be unable to meet these covenants in the near term.</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Long-term Financing and Capital Requirements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Long-term Financing</w:t>
      </w:r>
    </w:p>
    <w:p>
      <w:pPr>
        <w:spacing w:after="0" w:line="109"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5"/>
          <w:szCs w:val="15"/>
          <w:color w:val="auto"/>
        </w:rPr>
        <w:t>We anticipate meeting our long-term liquidity requirements, such as scheduled debt maturities, large property acquisitions, expansion and development of properties, other nonrecurring capital improvements, and Operating Partnership unit redemptions through long-term unsecured and secured debt, and the issuance of certain debt or equity securities, subject to market conditions. If current market and economic conditions, including relating to, among other things, interest rates, currency fluctuations, equity valuations, and inflation, continue or worsen, our ability to obtain debt and equity capital in the long term on attractive terms may be adversely affected.</w:t>
      </w:r>
    </w:p>
    <w:p>
      <w:pPr>
        <w:spacing w:after="0" w:line="57"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5"/>
          <w:szCs w:val="15"/>
          <w:color w:val="auto"/>
        </w:rPr>
        <w:t>As of December 31, 2025 we had unrestricted cash on hand of $569.6 million, $2.0 billion of remaining capacity on the senior credit facility, and a total of 403 unencumbered MH, RV, and UK properties.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45" w:name="page46"/>
    <w:bookmarkEnd w:id="45"/>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left="7"/>
        <w:spacing w:after="0" w:line="263" w:lineRule="auto"/>
        <w:rPr>
          <w:sz w:val="20"/>
          <w:szCs w:val="20"/>
          <w:color w:val="auto"/>
        </w:rPr>
      </w:pPr>
      <w:r>
        <w:rPr>
          <w:rFonts w:ascii="Times New Roman" w:cs="Times New Roman" w:eastAsia="Times New Roman" w:hAnsi="Times New Roman"/>
          <w:sz w:val="15"/>
          <w:szCs w:val="15"/>
          <w:color w:val="auto"/>
        </w:rPr>
        <w:t>From time to time, we may also issue shares of our capital stock, issue equity units in our Operating Partnership, issue unsecured notes, obtain other debt financing, or sell selected assets. Our ability to finance our long-term liquidity requirements in such a manner will be affected by numerous economic factors affecting the MH and RV industries at the time, including the availability and cost of mortgage debt, our financial condition, the operating history of the properties, the state of the debt and equity markets, and the general national, regional, and local economic conditions. When it becomes necessary for us to approach the credit markets, the volatility in those markets could make borrowing more difficult to secure, more expensive, or effectively unavailable. In the event our current credit ratings are downgraded, it may become difficult or more expensive to obtain additional financing or refinance existing unsecured debt as maturities become due. Refer to "Risk Factors" in Part I, Item 1A of this Annual Report on Form 10-K. If we are unable to obtain additional debt or equity financing on acceptable terms, our business, results of operations and financial condition would be adversely impacted.</w:t>
      </w:r>
    </w:p>
    <w:p>
      <w:pPr>
        <w:spacing w:after="0" w:line="6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As of December 31, 2025, our debt has a weighted average interest rate of 3.38% and a weighted average maturity of 7.1 years.</w:t>
      </w:r>
    </w:p>
    <w:p>
      <w:pPr>
        <w:spacing w:after="0" w:line="10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i w:val="1"/>
          <w:iCs w:val="1"/>
          <w:color w:val="auto"/>
        </w:rPr>
        <w:t>Capital Requirements</w:t>
      </w:r>
    </w:p>
    <w:p>
      <w:pPr>
        <w:spacing w:after="0" w:line="10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Our capital requirements as of December 31, 2025 include both short and long-term obligations:</w:t>
      </w:r>
    </w:p>
    <w:p>
      <w:pPr>
        <w:spacing w:after="0" w:line="10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Our primary long-term liquidity needs are principal payments on outstanding debt as summarized in the table below:</w:t>
      </w:r>
    </w:p>
    <w:p>
      <w:pPr>
        <w:spacing w:after="0" w:line="138" w:lineRule="exact"/>
        <w:rPr>
          <w:sz w:val="20"/>
          <w:szCs w:val="20"/>
          <w:color w:val="auto"/>
        </w:rPr>
      </w:pPr>
    </w:p>
    <w:tbl>
      <w:tblPr>
        <w:tblLayout w:type="fixed"/>
        <w:tblInd w:w="7" w:type="dxa"/>
        <w:tblCellMar>
          <w:top w:w="0" w:type="dxa"/>
          <w:left w:w="0" w:type="dxa"/>
          <w:bottom w:w="0" w:type="dxa"/>
          <w:right w:w="0" w:type="dxa"/>
        </w:tblCellMar>
      </w:tblPr>
      <w:tr>
        <w:trPr>
          <w:trHeight w:val="176"/>
        </w:trPr>
        <w:tc>
          <w:tcPr>
            <w:tcW w:w="3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Payments Due By Period (in millions)</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tcPr>
          <w:p>
            <w:pPr>
              <w:spacing w:after="0"/>
              <w:rPr>
                <w:sz w:val="15"/>
                <w:szCs w:val="15"/>
                <w:color w:val="auto"/>
              </w:rPr>
            </w:pPr>
          </w:p>
        </w:tc>
      </w:tr>
      <w:tr>
        <w:trPr>
          <w:trHeight w:val="122"/>
        </w:trPr>
        <w:tc>
          <w:tcPr>
            <w:tcW w:w="3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Long-term Obligation After 1</w:t>
            </w:r>
          </w:p>
        </w:tc>
        <w:tc>
          <w:tcPr>
            <w:tcW w:w="100" w:type="dxa"/>
            <w:vAlign w:val="bottom"/>
          </w:tcPr>
          <w:p>
            <w:pPr>
              <w:spacing w:after="0"/>
              <w:rPr>
                <w:sz w:val="10"/>
                <w:szCs w:val="10"/>
                <w:color w:val="auto"/>
              </w:rPr>
            </w:pPr>
          </w:p>
        </w:tc>
        <w:tc>
          <w:tcPr>
            <w:tcW w:w="2380" w:type="dxa"/>
            <w:vAlign w:val="bottom"/>
          </w:tcPr>
          <w:p>
            <w:pPr>
              <w:spacing w:after="0"/>
              <w:rPr>
                <w:sz w:val="10"/>
                <w:szCs w:val="10"/>
                <w:color w:val="auto"/>
              </w:rPr>
            </w:pPr>
          </w:p>
        </w:tc>
      </w:tr>
      <w:tr>
        <w:trPr>
          <w:trHeight w:val="185"/>
        </w:trPr>
        <w:tc>
          <w:tcPr>
            <w:tcW w:w="3220" w:type="dxa"/>
            <w:vAlign w:val="bottom"/>
            <w:gridSpan w:val="2"/>
          </w:tcPr>
          <w:p>
            <w:pPr>
              <w:ind w:left="1020"/>
              <w:spacing w:after="0" w:line="185" w:lineRule="exact"/>
              <w:rPr>
                <w:sz w:val="20"/>
                <w:szCs w:val="20"/>
                <w:color w:val="auto"/>
              </w:rPr>
            </w:pPr>
            <w:r>
              <w:rPr>
                <w:rFonts w:ascii="Times New Roman" w:cs="Times New Roman" w:eastAsia="Times New Roman" w:hAnsi="Times New Roman"/>
                <w:sz w:val="13"/>
                <w:szCs w:val="13"/>
                <w:b w:val="1"/>
                <w:bCs w:val="1"/>
                <w:color w:val="auto"/>
              </w:rPr>
              <w:t>Outstanding Debt</w:t>
            </w:r>
            <w:r>
              <w:rPr>
                <w:rFonts w:ascii="Times New Roman" w:cs="Times New Roman" w:eastAsia="Times New Roman" w:hAnsi="Times New Roman"/>
                <w:sz w:val="17"/>
                <w:szCs w:val="17"/>
                <w:b w:val="1"/>
                <w:bCs w:val="1"/>
                <w:color w:val="auto"/>
                <w:vertAlign w:val="superscript"/>
              </w:rPr>
              <w:t>(1)</w:t>
            </w:r>
          </w:p>
        </w:tc>
        <w:tc>
          <w:tcPr>
            <w:tcW w:w="340" w:type="dxa"/>
            <w:vAlign w:val="bottom"/>
          </w:tcPr>
          <w:p>
            <w:pPr>
              <w:spacing w:after="0"/>
              <w:rPr>
                <w:sz w:val="16"/>
                <w:szCs w:val="16"/>
                <w:color w:val="auto"/>
              </w:rPr>
            </w:pPr>
          </w:p>
        </w:tc>
        <w:tc>
          <w:tcPr>
            <w:tcW w:w="154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Total Due</w:t>
            </w:r>
          </w:p>
        </w:tc>
        <w:tc>
          <w:tcPr>
            <w:tcW w:w="188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Short-term Obligation ≤1 Year</w:t>
            </w:r>
          </w:p>
        </w:tc>
        <w:tc>
          <w:tcPr>
            <w:tcW w:w="134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Year</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tcPr>
          <w:p>
            <w:pPr>
              <w:ind w:left="960"/>
              <w:spacing w:after="0"/>
              <w:rPr>
                <w:sz w:val="20"/>
                <w:szCs w:val="20"/>
                <w:color w:val="auto"/>
              </w:rPr>
            </w:pPr>
            <w:r>
              <w:rPr>
                <w:rFonts w:ascii="Times New Roman" w:cs="Times New Roman" w:eastAsia="Times New Roman" w:hAnsi="Times New Roman"/>
                <w:sz w:val="13"/>
                <w:szCs w:val="13"/>
                <w:b w:val="1"/>
                <w:bCs w:val="1"/>
                <w:color w:val="auto"/>
              </w:rPr>
              <w:t>Refer to</w:t>
            </w:r>
          </w:p>
        </w:tc>
      </w:tr>
      <w:tr>
        <w:trPr>
          <w:trHeight w:val="165"/>
        </w:trPr>
        <w:tc>
          <w:tcPr>
            <w:tcW w:w="3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Principal payments on long-term debt</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4,278.0</w:t>
            </w:r>
          </w:p>
        </w:tc>
        <w:tc>
          <w:tcPr>
            <w:tcW w:w="8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534.8</w:t>
            </w: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jc w:val="right"/>
              <w:ind w:right="1194"/>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3,743.2</w:t>
            </w:r>
          </w:p>
        </w:tc>
        <w:tc>
          <w:tcPr>
            <w:tcW w:w="100" w:type="dxa"/>
            <w:vAlign w:val="bottom"/>
            <w:tcBorders>
              <w:top w:val="single" w:sz="8" w:color="CCEEFF"/>
            </w:tcBorders>
            <w:shd w:val="clear" w:color="auto" w:fill="CCEEFF"/>
          </w:tcPr>
          <w:p>
            <w:pPr>
              <w:spacing w:after="0"/>
              <w:rPr>
                <w:sz w:val="14"/>
                <w:szCs w:val="14"/>
                <w:color w:val="auto"/>
              </w:rPr>
            </w:pPr>
          </w:p>
        </w:tc>
        <w:tc>
          <w:tcPr>
            <w:tcW w:w="2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Note 7. Debt and Line of Credit</w:t>
            </w:r>
          </w:p>
        </w:tc>
      </w:tr>
      <w:tr>
        <w:trPr>
          <w:trHeight w:val="174"/>
        </w:trPr>
        <w:tc>
          <w:tcPr>
            <w:tcW w:w="3220" w:type="dxa"/>
            <w:vAlign w:val="bottom"/>
            <w:gridSpan w:val="2"/>
          </w:tcPr>
          <w:p>
            <w:pPr>
              <w:spacing w:after="0" w:line="174" w:lineRule="exact"/>
              <w:rPr>
                <w:sz w:val="20"/>
                <w:szCs w:val="20"/>
                <w:color w:val="auto"/>
              </w:rPr>
            </w:pPr>
            <w:r>
              <w:rPr>
                <w:rFonts w:ascii="Times New Roman" w:cs="Times New Roman" w:eastAsia="Times New Roman" w:hAnsi="Times New Roman"/>
                <w:sz w:val="13"/>
                <w:szCs w:val="13"/>
                <w:color w:val="auto"/>
              </w:rPr>
              <w:t>Interest expense</w:t>
            </w:r>
            <w:r>
              <w:rPr>
                <w:rFonts w:ascii="Times New Roman" w:cs="Times New Roman" w:eastAsia="Times New Roman" w:hAnsi="Times New Roman"/>
                <w:sz w:val="17"/>
                <w:szCs w:val="17"/>
                <w:color w:val="auto"/>
                <w:vertAlign w:val="superscript"/>
              </w:rPr>
              <w:t>(2)</w:t>
            </w:r>
          </w:p>
        </w:tc>
        <w:tc>
          <w:tcPr>
            <w:tcW w:w="3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972.9</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147.2</w:t>
            </w: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825.7</w:t>
            </w:r>
          </w:p>
        </w:tc>
        <w:tc>
          <w:tcPr>
            <w:tcW w:w="10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174"/>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leases</w:t>
            </w:r>
          </w:p>
        </w:tc>
        <w:tc>
          <w:tcPr>
            <w:tcW w:w="34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97.7</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92.1</w:t>
            </w:r>
          </w:p>
        </w:tc>
        <w:tc>
          <w:tcPr>
            <w:tcW w:w="10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Note 16. Leases</w:t>
            </w:r>
          </w:p>
        </w:tc>
      </w:tr>
      <w:tr>
        <w:trPr>
          <w:trHeight w:val="172"/>
        </w:trPr>
        <w:tc>
          <w:tcPr>
            <w:tcW w:w="3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Finance lease</w:t>
            </w:r>
          </w:p>
        </w:tc>
        <w:tc>
          <w:tcPr>
            <w:tcW w:w="3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41.3</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8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40.4</w:t>
            </w:r>
          </w:p>
        </w:tc>
        <w:tc>
          <w:tcPr>
            <w:tcW w:w="100" w:type="dxa"/>
            <w:vAlign w:val="bottom"/>
            <w:tcBorders>
              <w:bottom w:val="single" w:sz="8" w:color="CCEEFF"/>
            </w:tcBorders>
          </w:tcPr>
          <w:p>
            <w:pPr>
              <w:spacing w:after="0"/>
              <w:rPr>
                <w:sz w:val="14"/>
                <w:szCs w:val="14"/>
                <w:color w:val="auto"/>
              </w:rPr>
            </w:pPr>
          </w:p>
        </w:tc>
        <w:tc>
          <w:tcPr>
            <w:tcW w:w="2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Note 16. Leases</w:t>
            </w:r>
          </w:p>
        </w:tc>
      </w:tr>
      <w:tr>
        <w:trPr>
          <w:trHeight w:val="192"/>
        </w:trPr>
        <w:tc>
          <w:tcPr>
            <w:tcW w:w="32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Total Outstanding Debt</w:t>
            </w:r>
          </w:p>
        </w:tc>
        <w:tc>
          <w:tcPr>
            <w:tcW w:w="34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5,389.9</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688.5</w:t>
            </w:r>
          </w:p>
        </w:tc>
        <w:tc>
          <w:tcPr>
            <w:tcW w:w="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ind w:right="1194"/>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4,701.4</w:t>
            </w:r>
          </w:p>
        </w:tc>
        <w:tc>
          <w:tcPr>
            <w:tcW w:w="100" w:type="dxa"/>
            <w:vAlign w:val="bottom"/>
            <w:tcBorders>
              <w:bottom w:val="single" w:sz="8" w:color="CCEEFF"/>
            </w:tcBorders>
            <w:shd w:val="clear" w:color="auto" w:fill="CCEEFF"/>
          </w:tcPr>
          <w:p>
            <w:pPr>
              <w:spacing w:after="0"/>
              <w:rPr>
                <w:sz w:val="16"/>
                <w:szCs w:val="16"/>
                <w:color w:val="auto"/>
              </w:rPr>
            </w:pPr>
          </w:p>
        </w:tc>
        <w:tc>
          <w:tcPr>
            <w:tcW w:w="2380" w:type="dxa"/>
            <w:vAlign w:val="bottom"/>
            <w:tcBorders>
              <w:bottom w:val="single" w:sz="8" w:color="CCEEFF"/>
            </w:tcBorders>
            <w:shd w:val="clear" w:color="auto" w:fill="CCEEFF"/>
          </w:tcPr>
          <w:p>
            <w:pPr>
              <w:spacing w:after="0"/>
              <w:rPr>
                <w:sz w:val="16"/>
                <w:szCs w:val="16"/>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r>
    </w:tbl>
    <w:p>
      <w:pPr>
        <w:spacing w:after="0" w:line="49" w:lineRule="exact"/>
        <w:rPr>
          <w:sz w:val="20"/>
          <w:szCs w:val="20"/>
          <w:color w:val="auto"/>
        </w:rPr>
      </w:pPr>
    </w:p>
    <w:p>
      <w:pPr>
        <w:ind w:left="127" w:hanging="127"/>
        <w:spacing w:after="0"/>
        <w:tabs>
          <w:tab w:leader="none" w:pos="127" w:val="left"/>
        </w:tabs>
        <w:numPr>
          <w:ilvl w:val="0"/>
          <w:numId w:val="3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Our outstanding debt in this table excludes debt premiums, discounts, deferred financing costs, and fair value adjustments, as applicable.</w:t>
      </w:r>
    </w:p>
    <w:p>
      <w:pPr>
        <w:spacing w:after="0" w:line="4" w:lineRule="exact"/>
        <w:rPr>
          <w:rFonts w:ascii="Times New Roman" w:cs="Times New Roman" w:eastAsia="Times New Roman" w:hAnsi="Times New Roman"/>
          <w:sz w:val="16"/>
          <w:szCs w:val="16"/>
          <w:color w:val="auto"/>
          <w:vertAlign w:val="superscript"/>
        </w:rPr>
      </w:pPr>
    </w:p>
    <w:p>
      <w:pPr>
        <w:ind w:left="147" w:right="20" w:hanging="147"/>
        <w:spacing w:after="0" w:line="220" w:lineRule="auto"/>
        <w:tabs>
          <w:tab w:leader="none" w:pos="136" w:val="left"/>
        </w:tabs>
        <w:numPr>
          <w:ilvl w:val="0"/>
          <w:numId w:val="3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Our obligations related to interest expense are calculated based on the current debt levels, rates, and maturities as of December 31, 2025 (including finance leases), and actual payments required in future periods may be different than the amounts included above. Perpetual securities include one year of interest expense for payment due after five years.</w:t>
      </w:r>
    </w:p>
    <w:p>
      <w:pPr>
        <w:spacing w:after="0" w:line="78" w:lineRule="exact"/>
        <w:rPr>
          <w:sz w:val="20"/>
          <w:szCs w:val="20"/>
          <w:color w:val="auto"/>
        </w:rPr>
      </w:pPr>
    </w:p>
    <w:p>
      <w:pPr>
        <w:jc w:val="both"/>
        <w:ind w:left="7"/>
        <w:spacing w:after="0" w:line="276" w:lineRule="auto"/>
        <w:rPr>
          <w:sz w:val="20"/>
          <w:szCs w:val="20"/>
          <w:color w:val="auto"/>
        </w:rPr>
      </w:pPr>
      <w:r>
        <w:rPr>
          <w:rFonts w:ascii="Times New Roman" w:cs="Times New Roman" w:eastAsia="Times New Roman" w:hAnsi="Times New Roman"/>
          <w:sz w:val="15"/>
          <w:szCs w:val="15"/>
          <w:color w:val="auto"/>
        </w:rPr>
        <w:t>Certain of our nonconsolidated affiliates, which are accounted for under the equity-method of accounting, have incurred debt. We have not guaranteed the debt of our nonconsolidated affiliates in the arrangements referenced below, nor do we have any obligations to fund this debt should the nonconsolidated affiliates be unable to do so. Refer to Note 6, "Investments in Nonconsolidated Affiliates," in the accompanying Consolidated Financial Statements for additional information about these entities.</w:t>
      </w:r>
    </w:p>
    <w:p>
      <w:pPr>
        <w:spacing w:after="0" w:line="49" w:lineRule="exact"/>
        <w:rPr>
          <w:sz w:val="20"/>
          <w:szCs w:val="20"/>
          <w:color w:val="auto"/>
        </w:rPr>
      </w:pPr>
    </w:p>
    <w:p>
      <w:pPr>
        <w:jc w:val="both"/>
        <w:ind w:left="7"/>
        <w:spacing w:after="0" w:line="272" w:lineRule="auto"/>
        <w:rPr>
          <w:sz w:val="20"/>
          <w:szCs w:val="20"/>
          <w:color w:val="auto"/>
        </w:rPr>
      </w:pPr>
      <w:r>
        <w:rPr>
          <w:rFonts w:ascii="Times New Roman" w:cs="Times New Roman" w:eastAsia="Times New Roman" w:hAnsi="Times New Roman"/>
          <w:sz w:val="15"/>
          <w:szCs w:val="15"/>
          <w:i w:val="1"/>
          <w:iCs w:val="1"/>
          <w:color w:val="auto"/>
        </w:rPr>
        <w:t xml:space="preserve">GTSC </w:t>
      </w:r>
      <w:r>
        <w:rPr>
          <w:rFonts w:ascii="Times New Roman" w:cs="Times New Roman" w:eastAsia="Times New Roman" w:hAnsi="Times New Roman"/>
          <w:sz w:val="15"/>
          <w:szCs w:val="15"/>
          <w:color w:val="auto"/>
        </w:rPr>
        <w:t>- GTSC maintains a warehouse line of credit with a maximum borrowing capacity of $275.0 million. As of December 31, 2025 and 2024, the aggregate carrying amount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debt, including both our and our partner's share, incurred by GTSC was $213.0 million (of which our proportionate share is $85.2 million), and $242.9 million (of which our proportionate share is $97.1 million), respectively. The debt bears interest at a variable rate based on a Commercial Paper or adjusted SOFR plus a margin ranging from 1.65% to 2.5% per annum and matures on December 15, 2026.</w:t>
      </w:r>
    </w:p>
    <w:p>
      <w:pPr>
        <w:spacing w:after="0" w:line="51" w:lineRule="exact"/>
        <w:rPr>
          <w:sz w:val="20"/>
          <w:szCs w:val="20"/>
          <w:color w:val="auto"/>
        </w:rPr>
      </w:pPr>
    </w:p>
    <w:p>
      <w:pPr>
        <w:jc w:val="both"/>
        <w:ind w:left="7" w:right="20"/>
        <w:spacing w:after="0" w:line="270" w:lineRule="auto"/>
        <w:rPr>
          <w:sz w:val="20"/>
          <w:szCs w:val="20"/>
          <w:color w:val="auto"/>
        </w:rPr>
      </w:pPr>
      <w:r>
        <w:rPr>
          <w:rFonts w:ascii="Times New Roman" w:cs="Times New Roman" w:eastAsia="Times New Roman" w:hAnsi="Times New Roman"/>
          <w:sz w:val="15"/>
          <w:szCs w:val="15"/>
          <w:i w:val="1"/>
          <w:iCs w:val="1"/>
          <w:color w:val="auto"/>
        </w:rPr>
        <w:t xml:space="preserve">Sungenia JV </w:t>
      </w:r>
      <w:r>
        <w:rPr>
          <w:rFonts w:ascii="Times New Roman" w:cs="Times New Roman" w:eastAsia="Times New Roman" w:hAnsi="Times New Roman"/>
          <w:sz w:val="15"/>
          <w:szCs w:val="15"/>
          <w:color w:val="auto"/>
        </w:rPr>
        <w:t>- Sungenia maintains a debt facility agreement with a maximum borrowing capacity of $54.1 million Australian dollars, or $36.1 million converted at the December 31,</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2025 exchange rate. As of December 31, 2025 and 2024, the aggregate carrying amount of the debt, including both our and our partners' share, incurred by Sungenia JV was $20.8 million (of which our proportionate share is approximately $10.4 million), and $25.0 million (of which our proportionate share is $12.5 million), respectively. The debt bears interest at a variable rate based on the Australian BBSY rate plus a margin ranging from 0.95% to 1.4%, subject to adjustment for additional future commitments, per annum and matures on June 30, 2027.</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121920</wp:posOffset>
            </wp:positionV>
            <wp:extent cx="7177405" cy="400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121" w:right="31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CRITICAL ACCOUNTING POLICIES AND ESTIMATES</w:t>
      </w:r>
    </w:p>
    <w:p>
      <w:pPr>
        <w:spacing w:after="0" w:line="10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Our Consolidated Financial Statements are prepared in accordance with US GAAP, which require the use of estimates, judgments, and assumptions that affect the reported amounts of assets and liabilities, the disclosure of contingent assets and liabilities at the date of the financial statements, and the reported amounts of revenues and expenses in the periods presented. We believe that the accounting estimates employed are appropriate and resulting balances are reasonable; however, due to inherent uncertainties in making estimates, actual results could differ from the original estimates, requiring adjustments to these balances in future periods. Refer to Note 1, "Significant Accounting Policies," in our accompanying Consolidated Financial Statements for additional information regarding our significant accounting policies.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Impairment of Long-lived Assets</w:t>
      </w:r>
    </w:p>
    <w:p>
      <w:pPr>
        <w:spacing w:after="0" w:line="10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We review the carrying value of long-lived assets to be held for use for impairment quarterly or whenever events or changes in circumstances indicate a possible impairment. Future events could occur which would cause us to conclude that impairment indicators exist, and significant adverse changes in national, regional, or local market conditions or trends may cause us to change the estimates and assumptions used in our impairment analysis. The results of an impairment analysis could be material to our financial statements. Our primary indicators for potential impairment include a reduction in projected future cash flows and deteriorating NOI trends period over period. Circumstances that may prompt a test of recoverability may include a significant decrease in the anticipated market price, an adverse change to the extent or manner in which an asset may be used or in its physical condition, or other events that may significantly change the value of the long-lived asset. Any adverse change in these factors could cause an impairment in our assets, including our investment in real estate.</w:t>
      </w:r>
    </w:p>
    <w:p>
      <w:pPr>
        <w:spacing w:after="0" w:line="2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An impairment loss is recognized when a long-lived asset's carrying value is not recoverable and exceeds estimated fair value. We estimate the fair value of our long-lived assets based on discounted future cash flows and any potential disposition proceeds for a given asset. Forecasting cash flows requires management to make estimates and assumptions about such variables as the estimated holding period, rental rates, occupancy, development and operating expenses during the holding period, as well as capitalization rates. Management uses its best judgment when developing these estimates and assumptions.</w:t>
      </w:r>
    </w:p>
    <w:p>
      <w:pPr>
        <w:spacing w:after="0" w:line="57"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5"/>
          <w:szCs w:val="15"/>
          <w:color w:val="auto"/>
        </w:rPr>
        <w:t>During the years ended December 31, 2025 and 2024, we recognized long-lived asset impairment charges of $386.7 million and $66.7 million, respectively. The asset impairment charges were primarily driven by a contemplated change in strategic plan and deteriorating cash flow and NOI trends pertaining to certain RV and UK properties. Refer to Note 14, "Fair Value Measurements," for additional information regarding these non-recurring fair value measurements.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Impact of New Accounting Standards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Refer to Note 18, "Recent Accounting Pronouncements," in our accompanying Consolidated Financial Statements for information regarding new accounting pronouncements.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7A. QUANTITATIVE AND QUALITATIVE DISCLOSURES ABOUT MARKET RISK</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Market risk is the exposure to loss resulting from changes in market factors such as interest rates, foreign currency exchange rates, commodity prices, and equity prices.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Interest Rate Risk</w:t>
      </w:r>
    </w:p>
    <w:p>
      <w:pPr>
        <w:spacing w:after="0" w:line="10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Our principal market risk exposure is interest rate risk. We mitigate this risk by maintaining prudent amounts of leverage, minimizing capital costs, and interest expense while continuously evaluating all available debt and equity resources, and following established risk management policies and procedures, which include the periodic use of derivatives. Our primary strategy in entering into derivative contracts is to minimize the variability that interest rate changes could have on our future cash flows. From time to time, we employ derivative instruments that effectively convert a portion of our variable rate debt to fixed rate debt. We do not enter into derivative instruments for speculative purposes. As of December 31, 2025, all of our outstanding debt obligations bore interest at fixed rates, which minimizes the impact of interest rate variability on our results of operations and cash flows in the near term. Additionally, we have exposure to long-term interest rates, which could affect the cost of refinancing existing debt or incurring additional debt in the future.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Foreign Currency Exchange Rate Risk</w:t>
      </w:r>
    </w:p>
    <w:p>
      <w:pPr>
        <w:spacing w:after="0" w:line="10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5"/>
          <w:szCs w:val="15"/>
          <w:color w:val="auto"/>
        </w:rPr>
        <w:t>Foreign currency exchange rate risk is the risk that fluctuations in currencies against the U.S. dollar will negatively impact our results of operations. We are exposed to foreign currency exchange rate risk as a result of remeasurement and translation of the assets and liabilities of our properties in the United Kingdom and Canada, and our joint venture in Australia, into U.S. dollars. Fluctuations in foreign currency exchange rates can therefore create volatility in our results of operations and may adversely affect our financial condition.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5"/>
          <w:szCs w:val="15"/>
          <w:color w:val="auto"/>
        </w:rPr>
        <w:t>At December 31, 2025 and 2024, our shareholder's equity included $1.0 billion and $672.3 million from our investments and operations in the United Kingdom, Canada, and Australia, which collectively represented 14.4% and 9.3% of total shareholder's equity, respectively. Based on our sensitivity analysis, a 10.0% strengthening of the U.S. dollar against the British pound sterling, Canadian dollar, and Australian dollar would have caused a reduction of $101.6 million and $67.2 million to our total shareholder's equity at December 31, 2025 and 2024, respectively.</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Capital Market Risks</w:t>
      </w:r>
    </w:p>
    <w:p>
      <w:pPr>
        <w:spacing w:after="0" w:line="10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color w:val="auto"/>
        </w:rPr>
        <w:t>We are exposed to risks related to the equity capital markets, and our related ability to raise capital through the issuance of our common stock or other equity instruments. We are also exposed to risks related to the debt capital markets, and our related ability to finance our business through borrowings under other financing arrangements. As a REIT, we are required to distribute a significant portion of our taxable income annually, which constrains our ability to accumulate operating cash flow and therefore requires us to utilize debt or equity capital to finance our business. We seek to mitigate these risks by monitoring the debt and equity capital markets to inform our decisions on the amount, timing, and terms of capital we raise.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8. FINANCIAL STATEMENTS AND SUPPLEMENTARY DATA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Financial statements and supplementary data are filed herewith under Item 15.</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9. CHANGES IN AND DISAGREEMENTS WITH ACCOUNTANTS ON ACCOUNTING AND FINANCIAL DISCLOSURE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None.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9A. CONTROLS AND PROCEDURES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Evaluation of Disclosure Controls and Procedures</w:t>
      </w:r>
    </w:p>
    <w:p>
      <w:pPr>
        <w:spacing w:after="0" w:line="10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We maintain disclosure controls and procedures designed to provide reasonable assurance that information required to be disclosed in reports filed under the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 Our management, with the participation of our principal executive officer and principal financial officer, has evaluated the effectiveness of the design and operation of our disclosure controls and procedures (as defined in Rules 13a-15(e) and 15d-15(e) under the Exchange Act) as of the end of the period covered by this Annual Report on Form 10-K.</w:t>
      </w:r>
    </w:p>
    <w:p>
      <w:pPr>
        <w:spacing w:after="0" w:line="5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5"/>
          <w:szCs w:val="15"/>
          <w:color w:val="auto"/>
        </w:rPr>
        <w:t>Based upon this evaluation, our principal executive officer and principal financial officer have concluded that our disclosure controls and procedures were effective at the reasonable assurance level as of December 31, 2025.</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Management's Report on Internal Control Over Financial Reporting</w:t>
      </w:r>
    </w:p>
    <w:p>
      <w:pPr>
        <w:spacing w:after="0" w:line="1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Our management is responsible for establishing and maintaining effective internal control over financial reporting as defined in Rules 13a-15(f) and 15d-15(f) under the Exchange Act. This system is designed to provide reasonable assurance regarding the reliability of financial reporting and the preparation of consolidated financial statements for external purposes in accordance with GAAP. Because of the inherent limitations of internal control over financial reporting, including the possibility of collusion or improper management override of controls, misstatements due to error or fraud may not be prevented or detected on a timely basis.</w:t>
      </w:r>
    </w:p>
    <w:p>
      <w:pPr>
        <w:spacing w:after="0" w:line="57"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5"/>
          <w:szCs w:val="15"/>
          <w:color w:val="auto"/>
        </w:rPr>
        <w:t>Our management performed an assessment of the effectiveness of our internal control over financial reporting as of December 31, 2025, utilizing the criteria discussed in the Internal Control - Integrated Framework (2013) issued by the Committee of Sponsoring Organizations of the Treadway Commission. Based on management's assessment, we have concluded that our internal control over financial reporting was effective as of December 31, 2025.</w:t>
      </w:r>
    </w:p>
    <w:p>
      <w:pPr>
        <w:spacing w:after="0" w:line="5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5"/>
          <w:szCs w:val="15"/>
          <w:color w:val="auto"/>
        </w:rPr>
        <w:t>The effectiveness of our internal control over financial reporting has been audited by Grant Thornton LLP, an independent registered public accounting firm, as stated in its report, which appears in Part II, Item 8 of this Annual Report on Form 10-K.</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Remediation of Previously Disclosed Material Weakness</w:t>
      </w:r>
    </w:p>
    <w:p>
      <w:pPr>
        <w:spacing w:after="0" w:line="10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As disclosed in Part II, Item 9A, "Controls and Procedures," of our Annual Report on Form 10-K for the fiscal year ended December 31, 2024, we identified a material weakness because we did not have an effective risk assessment and response process ("risk assessment") that defined clear financial reporting objectives, that identified and evaluated risks of misstatement due to errors over certain financial reporting processes, or that developed internal controls to mitigate those risks. As part of management's evaluation of this material weakness, it had been identified that certain other deficiencies in control activities had materialized as a result of the deficiency in the Company's risk assessment. Specifically, as of December 31, 2024, there were deficiencies in the design and implementation of the Company's internal controls due to ineffective risk assessment resulting in the following:</w:t>
      </w:r>
    </w:p>
    <w:p>
      <w:pPr>
        <w:spacing w:after="0" w:line="66" w:lineRule="exact"/>
        <w:rPr>
          <w:sz w:val="20"/>
          <w:szCs w:val="20"/>
          <w:color w:val="auto"/>
        </w:rPr>
      </w:pPr>
    </w:p>
    <w:p>
      <w:pPr>
        <w:ind w:left="540" w:hanging="270"/>
        <w:spacing w:after="0"/>
        <w:tabs>
          <w:tab w:leader="none" w:pos="54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Inadequate identification and timely consideration of accounting for certain transactions.</w:t>
      </w:r>
    </w:p>
    <w:p>
      <w:pPr>
        <w:spacing w:after="0" w:line="26" w:lineRule="exact"/>
        <w:rPr>
          <w:rFonts w:ascii="Times New Roman" w:cs="Times New Roman" w:eastAsia="Times New Roman" w:hAnsi="Times New Roman"/>
          <w:sz w:val="15"/>
          <w:szCs w:val="15"/>
          <w:color w:val="auto"/>
        </w:rPr>
      </w:pPr>
    </w:p>
    <w:p>
      <w:pPr>
        <w:ind w:left="540" w:right="20" w:hanging="270"/>
        <w:spacing w:after="0" w:line="257" w:lineRule="auto"/>
        <w:tabs>
          <w:tab w:leader="none" w:pos="536"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Existence of inappropriate access and insufficient segregation of duties ("SOD") upon implementation of a new integrated enterprise resource planning and general ledger ("ERP") system during 2025.</w:t>
      </w:r>
    </w:p>
    <w:p>
      <w:pPr>
        <w:ind w:left="540" w:hanging="270"/>
        <w:spacing w:after="0"/>
        <w:tabs>
          <w:tab w:leader="none" w:pos="54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Reliance on information and reports from our new ERP used in internal controls over financial reporting without adequately validating their completeness and accuracy.</w:t>
      </w:r>
    </w:p>
    <w:p>
      <w:pPr>
        <w:spacing w:after="0" w:line="12" w:lineRule="exact"/>
        <w:rPr>
          <w:rFonts w:ascii="Times New Roman" w:cs="Times New Roman" w:eastAsia="Times New Roman" w:hAnsi="Times New Roman"/>
          <w:sz w:val="15"/>
          <w:szCs w:val="15"/>
          <w:color w:val="auto"/>
        </w:rPr>
      </w:pPr>
    </w:p>
    <w:p>
      <w:pPr>
        <w:ind w:left="540" w:right="20" w:hanging="270"/>
        <w:spacing w:after="0" w:line="275" w:lineRule="auto"/>
        <w:tabs>
          <w:tab w:leader="none" w:pos="536"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Inadequate assessment of the impact our new ERP had on certain processes and related control activities, including investment property, inventory of manufactured homes, and the review and approval of manual journal entries.</w:t>
      </w:r>
    </w:p>
    <w:p>
      <w:pPr>
        <w:spacing w:after="0" w:line="5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These deficiencies related to both information technology general controls, manual controls, and manual controls dependent upon information technology that could impact the consistency, timeliness and accuracy of financial reporting in accordance with GAAP. These matters did not result in material misstatements to the Consolidated Financial Statements in the current period, but did allow for the reasonable possibility that material misstatements would not be prevented or detected on a timely basis.</w:t>
      </w:r>
    </w:p>
    <w:p>
      <w:pPr>
        <w:spacing w:after="0" w:line="5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5"/>
          <w:szCs w:val="15"/>
          <w:color w:val="auto"/>
        </w:rPr>
        <w:t>Pursuant to our remediation plan, and with oversight from our Audit Committee, we have invested considerable time and resources to undertake a number of actions to address the material weakness relating to our risk assessment process. The actions that we have undertaken are as follows:</w:t>
      </w:r>
    </w:p>
    <w:p>
      <w:pPr>
        <w:spacing w:after="0" w:line="39" w:lineRule="exact"/>
        <w:rPr>
          <w:sz w:val="20"/>
          <w:szCs w:val="20"/>
          <w:color w:val="auto"/>
        </w:rPr>
      </w:pPr>
    </w:p>
    <w:p>
      <w:pPr>
        <w:ind w:left="540" w:right="20" w:hanging="270"/>
        <w:spacing w:after="0" w:line="267" w:lineRule="auto"/>
        <w:tabs>
          <w:tab w:leader="none" w:pos="536" w:val="left"/>
        </w:tabs>
        <w:numPr>
          <w:ilvl w:val="0"/>
          <w:numId w:val="38"/>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Implemented more frequent communication between those charged with governance and management regarding progression on material weakness remediation. Additionally, an internal control project plan was developed and implemented under the monitoring and supervision of the Audit Committee.</w:t>
      </w:r>
    </w:p>
    <w:p>
      <w:pPr>
        <w:jc w:val="both"/>
        <w:ind w:left="540" w:hanging="270"/>
        <w:spacing w:after="0" w:line="257" w:lineRule="auto"/>
        <w:tabs>
          <w:tab w:leader="none" w:pos="536"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Engaged a third-party accounting and advisory firm to assist us with completing a comprehensive risk assessment and a gap analysis of certain aspects of our risk control matrix, including identification of risks of material misstatement, to assess the potential need for any new controls or controls that need to be redesigned to adequately address the corresponding financial reporting risk.</w:t>
      </w:r>
    </w:p>
    <w:p>
      <w:pPr>
        <w:spacing w:after="0" w:line="1" w:lineRule="exact"/>
        <w:rPr>
          <w:rFonts w:ascii="Times New Roman" w:cs="Times New Roman" w:eastAsia="Times New Roman" w:hAnsi="Times New Roman"/>
          <w:sz w:val="15"/>
          <w:szCs w:val="15"/>
          <w:color w:val="auto"/>
        </w:rPr>
      </w:pPr>
    </w:p>
    <w:p>
      <w:pPr>
        <w:ind w:left="540" w:hanging="270"/>
        <w:spacing w:after="0" w:line="257" w:lineRule="auto"/>
        <w:tabs>
          <w:tab w:leader="none" w:pos="536"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Completed a risk-based review of user access to our ERP and when necessary modified roles or user access to eliminate SOD conflicts. We engaged a third-party accounting and advisory firm to confirm the scope and execution of this access review.</w:t>
      </w:r>
    </w:p>
    <w:p>
      <w:pPr>
        <w:ind w:left="540" w:right="20" w:hanging="270"/>
        <w:spacing w:after="0" w:line="257" w:lineRule="auto"/>
        <w:tabs>
          <w:tab w:leader="none" w:pos="536"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Implemented a third-party software solution to assist management with monitoring user access to our ERP system to identify and prevent user access that violates our established SOD ruleset.</w:t>
      </w:r>
    </w:p>
    <w:p>
      <w:pPr>
        <w:ind w:left="540" w:hanging="270"/>
        <w:spacing w:after="0" w:line="275" w:lineRule="auto"/>
        <w:tabs>
          <w:tab w:leader="none" w:pos="536"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Identified a complete population of information and reports used in internal controls over financial reporting and validated the completeness and accuracy of this information and reports generated from our new ERP.</w:t>
      </w:r>
    </w:p>
    <w:p>
      <w:pPr>
        <w:spacing w:after="0" w:line="5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Additionally, management has i) redesigned the review controls related to certain manual journal entries, ii) designed internal control processes to include policies and procedures to ensure that all information used in the performance of internal controls is validated for completeness and accuracy, iii) redesigned and developed new internal controls to address risks, determined to not be adequately mitigated following the completion of the risk assessment, and gap analysis, and iv) refined and developed additional SOD rules based on the results of the review of our SOD ruleset by the third-party accounting and advisory firm.</w:t>
      </w:r>
    </w:p>
    <w:p>
      <w:pPr>
        <w:spacing w:after="0" w:line="5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Management has completed its documentation, testing, and evaluation of the newly designed and enhanced control activities and determined that, as of December 31, 2025, these control activities have been appropriately designed and implemented, and have operated effectively for a sufficient period of time to conclude that the previously identified material weakness has been remediated.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Changes in Internal Control over Financial Reporting</w:t>
      </w:r>
    </w:p>
    <w:p>
      <w:pPr>
        <w:spacing w:after="0" w:line="109"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color w:val="auto"/>
        </w:rPr>
        <w:t>Other than the material weakness remediation activities discussed above, there were no changes in internal control over financial reporting during the quarter ended December 31, 2025, that have materially affected, or are reasonably likely to materially affect, our internal control over financial reporting.</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9B. OTHER INFORMATION</w:t>
      </w:r>
    </w:p>
    <w:p>
      <w:pPr>
        <w:spacing w:after="0" w:line="10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5"/>
          <w:szCs w:val="15"/>
          <w:color w:val="auto"/>
        </w:rPr>
        <w:t>During the three months ended December 31, 2025, none of our officers or directors, as defined in Rule 16a-1(f) of the Securities Exchange Act of 1934, adopted, modified, or terminated a Rule 10b5-1 trading arrangement or a non-Rule 10b5-1 trading arrangement, as defined in Item 408 of Regulation S-K.</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PART III</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10. DIRECTORS, EXECUTIVE OFFICERS AND CORPORATE GOVERNANCE</w:t>
      </w:r>
    </w:p>
    <w:p>
      <w:pPr>
        <w:spacing w:after="0" w:line="109"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5"/>
          <w:szCs w:val="15"/>
          <w:color w:val="auto"/>
        </w:rPr>
        <w:t>Pursuant to the general instructions of Item 401 of Regulation S-K, certain information regarding our executive officers is contained in Part I of this Form 10-K. Unless provided in an amendment to this Annual Report on Form 10-K, the other information required by this Item is incorporated herein by reference to the applicable information in the proxy statement for our 2026 annual meeting (the "Proxy Statement,") including the information set forth under the captions "Proposal No. 1 Election of Directors - Consideration of Director Nominees," "Corporate Governance - Board of Directors," "Corporate Governance - Board of Directors - Board Structure - Committees of the Board of Directors," "Information About Executive Officers - Executive Officers Biographies," and "Security Ownership Information - Security Ownership of Directors and Executive Officers."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11. EXECUTIVE COMPENSATION</w:t>
      </w:r>
    </w:p>
    <w:p>
      <w:pPr>
        <w:spacing w:after="0" w:line="10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Unless provided in an amendment to this Annual Report on Form 10-K, the information required by this Item is incorporated by reference to the applicable information in the Proxy Statement, including the information set forth under the captions "Corporate Governance - Board of Directors - Board Structure - Compensation Committee Interlocks and Insider Participation," "Director Compensation," and "Compensation Discussion and Analysis." The information in the section captioned "Compensation Committee Report" in the Proxy Statement or an amendment to this Annual Report on Form 10-K is incorporated by reference herein but shall be deemed furnished, not filed, and shall not be deemed to be incorporated by reference into any filing we make under the Securities Act or the Exchange Act.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12. SECURITY OWNERSHIP OF CERTAIN BENEFICIAL OWNERS AND MANAGEMENT, AND RELATED SHAREHOLDER MATTERS</w:t>
      </w:r>
    </w:p>
    <w:p>
      <w:pPr>
        <w:spacing w:after="0" w:line="10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5"/>
          <w:szCs w:val="15"/>
          <w:color w:val="auto"/>
        </w:rPr>
        <w:t>Unless provided in an amendment to this Annual Report on Form 10-K, the information required by this Item is incorporated by reference to the applicable information in the Proxy Statement, including the information set forth under the captions "Security Ownership Information."</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13. CERTAIN RELATIONSHIPS AND RELATED TRANSACTIONS, AND DIRECTOR INDEPENDENCE</w:t>
      </w:r>
    </w:p>
    <w:p>
      <w:pPr>
        <w:spacing w:after="0" w:line="109"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5"/>
          <w:szCs w:val="15"/>
          <w:color w:val="auto"/>
        </w:rPr>
        <w:t>Unless provided in an amendment to this Annual Report on Form 10-K, the information required by this Item is incorporated by reference to the Proxy Statement, including the information set forth under the captions "Corporate Governance - Board of Directors," "Corporate Governance - Board of Directors - Board Structure - Committees of the Board of Directors," "Corporate Governance - Board of Directors - Board Structure - Leadership Structure and Independence of Non-Employee Directors," and "Corporate Governance - Board of Directors - Other Board Policies and Processes - Certain Relationships and Related Party Transactions."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14. PRINCIPAL ACCOUNTANT FEES AND SERVICES</w:t>
      </w:r>
    </w:p>
    <w:p>
      <w:pPr>
        <w:spacing w:after="0" w:line="109"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color w:val="auto"/>
        </w:rPr>
        <w:t>Unless provided in an amendment to this Annual Report on Form 10-K, the information required by this Item is incorporated by reference to the Proxy Statement, including the information set forth under the caption for the proposal related to "Ratification of Selection of Grant Thornton LLP."</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PART IV</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15. EXHIBITS AND FINANCIAL STATEMENT SCHEDULES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documents are filed herewith as part of this Form 10-K:</w:t>
      </w:r>
    </w:p>
    <w:p>
      <w:pPr>
        <w:spacing w:after="0" w:line="105"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5"/>
          <w:szCs w:val="15"/>
          <w:color w:val="auto"/>
        </w:rPr>
        <w:t>1.</w:t>
        <w:tab/>
        <w:t>Financial Statements</w:t>
      </w:r>
    </w:p>
    <w:p>
      <w:pPr>
        <w:spacing w:after="0" w:line="70" w:lineRule="exact"/>
        <w:rPr>
          <w:sz w:val="20"/>
          <w:szCs w:val="20"/>
          <w:color w:val="auto"/>
        </w:rPr>
      </w:pPr>
    </w:p>
    <w:p>
      <w:pPr>
        <w:ind w:left="540" w:right="20"/>
        <w:spacing w:after="0" w:line="210" w:lineRule="exact"/>
        <w:rPr>
          <w:sz w:val="20"/>
          <w:szCs w:val="20"/>
          <w:color w:val="auto"/>
        </w:rPr>
      </w:pPr>
      <w:r>
        <w:rPr>
          <w:rFonts w:ascii="Times New Roman" w:cs="Times New Roman" w:eastAsia="Times New Roman" w:hAnsi="Times New Roman"/>
          <w:sz w:val="15"/>
          <w:szCs w:val="15"/>
          <w:color w:val="auto"/>
        </w:rPr>
        <w:t>A list of the financial statements required to be filed as a part of this Annual Report on Form 10</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K is shown in the "Index to the Consolidated Financial Statements and Financial Statement Schedules" filed herewith.</w:t>
      </w:r>
    </w:p>
    <w:p>
      <w:pPr>
        <w:spacing w:after="0" w:line="79"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5"/>
          <w:szCs w:val="15"/>
          <w:color w:val="auto"/>
        </w:rPr>
        <w:t>2.</w:t>
        <w:tab/>
        <w:t>Financial Statement Schedules</w:t>
      </w:r>
    </w:p>
    <w:p>
      <w:pPr>
        <w:spacing w:after="0" w:line="70" w:lineRule="exact"/>
        <w:rPr>
          <w:sz w:val="20"/>
          <w:szCs w:val="20"/>
          <w:color w:val="auto"/>
        </w:rPr>
      </w:pPr>
    </w:p>
    <w:p>
      <w:pPr>
        <w:ind w:left="540" w:right="20"/>
        <w:spacing w:after="0" w:line="210" w:lineRule="exact"/>
        <w:rPr>
          <w:sz w:val="20"/>
          <w:szCs w:val="20"/>
          <w:color w:val="auto"/>
        </w:rPr>
      </w:pPr>
      <w:r>
        <w:rPr>
          <w:rFonts w:ascii="Times New Roman" w:cs="Times New Roman" w:eastAsia="Times New Roman" w:hAnsi="Times New Roman"/>
          <w:sz w:val="15"/>
          <w:szCs w:val="15"/>
          <w:color w:val="auto"/>
        </w:rPr>
        <w:t>The financial statement schedules required to be filed as a part of this Annual Report on Form 10</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K is shown in the "Index to the Consolidated Financial Statements and Financial Statement Schedules" filed herewith.</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50" w:name="page51"/>
    <w:bookmarkEnd w:id="50"/>
    <w:p>
      <w:pPr>
        <w:ind w:left="4680"/>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5"/>
          <w:szCs w:val="15"/>
          <w:color w:val="auto"/>
        </w:rPr>
        <w:t>3.</w:t>
        <w:tab/>
        <w:t>Exhibits</w:t>
      </w:r>
    </w:p>
    <w:p>
      <w:pPr>
        <w:spacing w:after="0" w:line="70" w:lineRule="exact"/>
        <w:rPr>
          <w:sz w:val="20"/>
          <w:szCs w:val="20"/>
          <w:color w:val="auto"/>
        </w:rPr>
      </w:pPr>
    </w:p>
    <w:p>
      <w:pPr>
        <w:ind w:left="540"/>
        <w:spacing w:after="0" w:line="173" w:lineRule="exact"/>
        <w:rPr>
          <w:sz w:val="20"/>
          <w:szCs w:val="20"/>
          <w:color w:val="auto"/>
        </w:rPr>
      </w:pPr>
      <w:r>
        <w:rPr>
          <w:rFonts w:ascii="Times New Roman" w:cs="Times New Roman" w:eastAsia="Times New Roman" w:hAnsi="Times New Roman"/>
          <w:sz w:val="15"/>
          <w:szCs w:val="15"/>
          <w:color w:val="auto"/>
        </w:rPr>
        <w:t>A list of the exhibits required by Item 601 of Regulation S</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K to be filed as a part of this Annual Report on Form 10-K is filed herewith.</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16. FORM 10-K SUMMARY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None.</w:t>
      </w:r>
    </w:p>
    <w:p>
      <w:pPr>
        <w:spacing w:after="0" w:line="200" w:lineRule="exact"/>
        <w:rPr>
          <w:sz w:val="20"/>
          <w:szCs w:val="20"/>
          <w:color w:val="auto"/>
        </w:rPr>
      </w:pPr>
    </w:p>
    <w:p>
      <w:pPr>
        <w:spacing w:after="0" w:line="32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51" w:name="page52"/>
    <w:bookmarkEnd w:id="51"/>
    <w:tbl>
      <w:tblPr>
        <w:tblLayout w:type="fixed"/>
        <w:tblInd w:w="10" w:type="dxa"/>
        <w:tblCellMar>
          <w:top w:w="0" w:type="dxa"/>
          <w:left w:w="0" w:type="dxa"/>
          <w:bottom w:w="0" w:type="dxa"/>
          <w:right w:w="0" w:type="dxa"/>
        </w:tblCellMar>
      </w:tblPr>
      <w:tr>
        <w:trPr>
          <w:trHeight w:val="203"/>
        </w:trPr>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40" w:type="dxa"/>
            <w:vAlign w:val="bottom"/>
            <w:gridSpan w:val="5"/>
          </w:tcPr>
          <w:p>
            <w:pPr>
              <w:ind w:left="60"/>
              <w:spacing w:after="0"/>
              <w:rPr>
                <w:sz w:val="20"/>
                <w:szCs w:val="20"/>
                <w:color w:val="auto"/>
              </w:rPr>
            </w:pPr>
            <w:r>
              <w:rPr>
                <w:rFonts w:ascii="Times New Roman" w:cs="Times New Roman" w:eastAsia="Times New Roman" w:hAnsi="Times New Roman"/>
                <w:sz w:val="15"/>
                <w:szCs w:val="15"/>
                <w:b w:val="1"/>
                <w:bCs w:val="1"/>
                <w:color w:val="auto"/>
              </w:rPr>
              <w:t>SUN COMMUNITIES, INC.</w:t>
            </w: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2"/>
        </w:trPr>
        <w:tc>
          <w:tcPr>
            <w:tcW w:w="6300" w:type="dxa"/>
            <w:vAlign w:val="bottom"/>
            <w:gridSpan w:val="26"/>
          </w:tcPr>
          <w:p>
            <w:pPr>
              <w:spacing w:after="0"/>
              <w:rPr>
                <w:sz w:val="20"/>
                <w:szCs w:val="20"/>
                <w:color w:val="auto"/>
              </w:rPr>
            </w:pPr>
            <w:r>
              <w:rPr>
                <w:rFonts w:ascii="Times New Roman" w:cs="Times New Roman" w:eastAsia="Times New Roman" w:hAnsi="Times New Roman"/>
                <w:sz w:val="17"/>
                <w:szCs w:val="17"/>
                <w:b w:val="1"/>
                <w:bCs w:val="1"/>
                <w:color w:val="auto"/>
              </w:rPr>
              <w:t>EXHIBITS</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7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45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760" w:type="dxa"/>
            <w:vAlign w:val="bottom"/>
            <w:tcBorders>
              <w:left w:val="single" w:sz="8" w:color="auto"/>
              <w:right w:val="single" w:sz="8" w:color="auto"/>
            </w:tcBorders>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w w:val="99"/>
              </w:rPr>
              <w:t>Exhibit</w:t>
            </w: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11"/>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120" w:type="dxa"/>
            <w:vAlign w:val="bottom"/>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4520" w:type="dxa"/>
            <w:vAlign w:val="bottom"/>
            <w:tcBorders>
              <w:right w:val="single" w:sz="8" w:color="auto"/>
            </w:tcBorders>
            <w:vMerge w:val="restart"/>
          </w:tcPr>
          <w:p>
            <w:pPr>
              <w:ind w:left="1800"/>
              <w:spacing w:after="0"/>
              <w:rPr>
                <w:sz w:val="20"/>
                <w:szCs w:val="20"/>
                <w:color w:val="auto"/>
              </w:rPr>
            </w:pPr>
            <w:r>
              <w:rPr>
                <w:rFonts w:ascii="Times New Roman" w:cs="Times New Roman" w:eastAsia="Times New Roman" w:hAnsi="Times New Roman"/>
                <w:sz w:val="12"/>
                <w:szCs w:val="12"/>
                <w:b w:val="1"/>
                <w:bCs w:val="1"/>
                <w:color w:val="auto"/>
              </w:rPr>
              <w:t>Method of Filing</w:t>
            </w:r>
          </w:p>
        </w:tc>
        <w:tc>
          <w:tcPr>
            <w:tcW w:w="0" w:type="dxa"/>
            <w:vAlign w:val="bottom"/>
          </w:tcPr>
          <w:p>
            <w:pPr>
              <w:spacing w:after="0"/>
              <w:rPr>
                <w:sz w:val="1"/>
                <w:szCs w:val="1"/>
                <w:color w:val="auto"/>
              </w:rPr>
            </w:pPr>
          </w:p>
        </w:tc>
      </w:tr>
      <w:tr>
        <w:trPr>
          <w:trHeight w:val="94"/>
        </w:trPr>
        <w:tc>
          <w:tcPr>
            <w:tcW w:w="7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11"/>
            <w:vMerge w:val="continue"/>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45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76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40" w:type="dxa"/>
            <w:vAlign w:val="bottom"/>
            <w:tcBorders>
              <w:bottom w:val="single" w:sz="8" w:color="auto"/>
              <w:right w:val="single" w:sz="8" w:color="auto"/>
            </w:tcBorders>
          </w:tcPr>
          <w:p>
            <w:pPr>
              <w:spacing w:after="0"/>
              <w:rPr>
                <w:sz w:val="6"/>
                <w:szCs w:val="6"/>
                <w:color w:val="auto"/>
              </w:rPr>
            </w:pPr>
          </w:p>
        </w:tc>
        <w:tc>
          <w:tcPr>
            <w:tcW w:w="45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76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3"/>
              </w:rPr>
              <w:t>3.1</w:t>
            </w:r>
          </w:p>
        </w:tc>
        <w:tc>
          <w:tcPr>
            <w:tcW w:w="5540" w:type="dxa"/>
            <w:vAlign w:val="bottom"/>
            <w:gridSpan w:val="25"/>
            <w:vMerge w:val="restart"/>
            <w:shd w:val="clear" w:color="auto" w:fill="CCEEFF"/>
          </w:tcPr>
          <w:p>
            <w:pPr>
              <w:spacing w:after="0"/>
              <w:rPr>
                <w:rFonts w:ascii="Times New Roman" w:cs="Times New Roman" w:eastAsia="Times New Roman" w:hAnsi="Times New Roman"/>
                <w:sz w:val="12"/>
                <w:szCs w:val="12"/>
                <w:color w:val="3051F2"/>
              </w:rPr>
            </w:pPr>
            <w:hyperlink r:id="rId65">
              <w:r>
                <w:rPr>
                  <w:rFonts w:ascii="Times New Roman" w:cs="Times New Roman" w:eastAsia="Times New Roman" w:hAnsi="Times New Roman"/>
                  <w:sz w:val="12"/>
                  <w:szCs w:val="12"/>
                  <w:color w:val="3051F2"/>
                </w:rPr>
                <w:t>Sun Communities, Inc. Articles of Restatement</w:t>
              </w:r>
            </w:hyperlink>
          </w:p>
        </w:tc>
        <w:tc>
          <w:tcPr>
            <w:tcW w:w="120" w:type="dxa"/>
            <w:vAlign w:val="bottom"/>
            <w:shd w:val="clear" w:color="auto" w:fill="CCEEFF"/>
          </w:tcPr>
          <w:p>
            <w:pPr>
              <w:spacing w:after="0"/>
              <w:rPr>
                <w:sz w:val="9"/>
                <w:szCs w:val="9"/>
                <w:color w:val="auto"/>
              </w:rPr>
            </w:pPr>
          </w:p>
        </w:tc>
        <w:tc>
          <w:tcPr>
            <w:tcW w:w="340" w:type="dxa"/>
            <w:vAlign w:val="bottom"/>
            <w:tcBorders>
              <w:right w:val="single" w:sz="8" w:color="auto"/>
            </w:tcBorders>
            <w:shd w:val="clear" w:color="auto" w:fill="CCEEFF"/>
          </w:tcPr>
          <w:p>
            <w:pPr>
              <w:spacing w:after="0"/>
              <w:rPr>
                <w:sz w:val="9"/>
                <w:szCs w:val="9"/>
                <w:color w:val="auto"/>
              </w:rPr>
            </w:pPr>
          </w:p>
        </w:tc>
        <w:tc>
          <w:tcPr>
            <w:tcW w:w="4520" w:type="dxa"/>
            <w:vAlign w:val="bottom"/>
            <w:tcBorders>
              <w:right w:val="single" w:sz="8" w:color="auto"/>
            </w:tcBorders>
            <w:shd w:val="clear" w:color="auto" w:fill="CCEEFF"/>
          </w:tcPr>
          <w:p>
            <w:pPr>
              <w:spacing w:after="0" w:line="113" w:lineRule="exact"/>
              <w:rPr>
                <w:sz w:val="20"/>
                <w:szCs w:val="20"/>
                <w:color w:val="auto"/>
              </w:rPr>
            </w:pPr>
            <w:r>
              <w:rPr>
                <w:rFonts w:ascii="Times New Roman" w:cs="Times New Roman" w:eastAsia="Times New Roman" w:hAnsi="Times New Roman"/>
                <w:sz w:val="12"/>
                <w:szCs w:val="12"/>
                <w:color w:val="auto"/>
              </w:rPr>
              <w:t>Incorporated by reference to Exhibit 3.1 of Sun Communities, Inc.'s Annual Report on</w:t>
            </w:r>
          </w:p>
        </w:tc>
        <w:tc>
          <w:tcPr>
            <w:tcW w:w="0" w:type="dxa"/>
            <w:vAlign w:val="bottom"/>
          </w:tcPr>
          <w:p>
            <w:pPr>
              <w:spacing w:after="0"/>
              <w:rPr>
                <w:sz w:val="1"/>
                <w:szCs w:val="1"/>
                <w:color w:val="auto"/>
              </w:rPr>
            </w:pPr>
          </w:p>
        </w:tc>
      </w:tr>
      <w:tr>
        <w:trPr>
          <w:trHeight w:val="69"/>
        </w:trPr>
        <w:tc>
          <w:tcPr>
            <w:tcW w:w="760" w:type="dxa"/>
            <w:vAlign w:val="bottom"/>
            <w:tcBorders>
              <w:left w:val="single" w:sz="8" w:color="auto"/>
              <w:right w:val="single" w:sz="8" w:color="auto"/>
            </w:tcBorders>
            <w:vMerge w:val="continue"/>
            <w:shd w:val="clear" w:color="auto" w:fill="CCEEFF"/>
          </w:tcPr>
          <w:p>
            <w:pPr>
              <w:spacing w:after="0"/>
              <w:rPr>
                <w:sz w:val="6"/>
                <w:szCs w:val="6"/>
                <w:color w:val="auto"/>
              </w:rPr>
            </w:pPr>
          </w:p>
        </w:tc>
        <w:tc>
          <w:tcPr>
            <w:tcW w:w="5540" w:type="dxa"/>
            <w:vAlign w:val="bottom"/>
            <w:gridSpan w:val="25"/>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right w:val="single" w:sz="8" w:color="auto"/>
            </w:tcBorders>
            <w:shd w:val="clear" w:color="auto" w:fill="CCEEFF"/>
          </w:tcPr>
          <w:p>
            <w:pPr>
              <w:spacing w:after="0"/>
              <w:rPr>
                <w:sz w:val="6"/>
                <w:szCs w:val="6"/>
                <w:color w:val="auto"/>
              </w:rPr>
            </w:pPr>
          </w:p>
        </w:tc>
        <w:tc>
          <w:tcPr>
            <w:tcW w:w="452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Form 10-K filed on February 22, 2018</w:t>
            </w:r>
          </w:p>
        </w:tc>
        <w:tc>
          <w:tcPr>
            <w:tcW w:w="0" w:type="dxa"/>
            <w:vAlign w:val="bottom"/>
          </w:tcPr>
          <w:p>
            <w:pPr>
              <w:spacing w:after="0"/>
              <w:rPr>
                <w:sz w:val="1"/>
                <w:szCs w:val="1"/>
                <w:color w:val="auto"/>
              </w:rPr>
            </w:pPr>
          </w:p>
        </w:tc>
      </w:tr>
      <w:tr>
        <w:trPr>
          <w:trHeight w:val="77"/>
        </w:trPr>
        <w:tc>
          <w:tcPr>
            <w:tcW w:w="760" w:type="dxa"/>
            <w:vAlign w:val="bottom"/>
            <w:tcBorders>
              <w:top w:val="single" w:sz="8" w:color="CCEEFF"/>
              <w:left w:val="single" w:sz="8" w:color="auto"/>
              <w:bottom w:val="single" w:sz="8" w:color="auto"/>
              <w:right w:val="single" w:sz="8" w:color="auto"/>
            </w:tcBorders>
            <w:shd w:val="clear" w:color="auto" w:fill="CCEEFF"/>
          </w:tcPr>
          <w:p>
            <w:pPr>
              <w:spacing w:after="0"/>
              <w:rPr>
                <w:sz w:val="6"/>
                <w:szCs w:val="6"/>
                <w:color w:val="auto"/>
              </w:rPr>
            </w:pPr>
          </w:p>
        </w:tc>
        <w:tc>
          <w:tcPr>
            <w:tcW w:w="720" w:type="dxa"/>
            <w:vAlign w:val="bottom"/>
            <w:tcBorders>
              <w:top w:val="single" w:sz="8" w:color="3051F2"/>
              <w:bottom w:val="single" w:sz="8" w:color="auto"/>
            </w:tcBorders>
            <w:shd w:val="clear" w:color="auto" w:fill="CCEEFF"/>
          </w:tcPr>
          <w:p>
            <w:pPr>
              <w:spacing w:after="0"/>
              <w:rPr>
                <w:sz w:val="6"/>
                <w:szCs w:val="6"/>
                <w:color w:val="auto"/>
              </w:rPr>
            </w:pPr>
          </w:p>
        </w:tc>
        <w:tc>
          <w:tcPr>
            <w:tcW w:w="40" w:type="dxa"/>
            <w:vAlign w:val="bottom"/>
            <w:tcBorders>
              <w:top w:val="single" w:sz="8" w:color="3051F2"/>
              <w:bottom w:val="single" w:sz="8" w:color="auto"/>
            </w:tcBorders>
            <w:shd w:val="clear" w:color="auto" w:fill="CCEEFF"/>
          </w:tcPr>
          <w:p>
            <w:pPr>
              <w:spacing w:after="0"/>
              <w:rPr>
                <w:sz w:val="6"/>
                <w:szCs w:val="6"/>
                <w:color w:val="auto"/>
              </w:rPr>
            </w:pPr>
          </w:p>
        </w:tc>
        <w:tc>
          <w:tcPr>
            <w:tcW w:w="20" w:type="dxa"/>
            <w:vAlign w:val="bottom"/>
            <w:tcBorders>
              <w:top w:val="single" w:sz="8" w:color="3051F2"/>
              <w:bottom w:val="single" w:sz="8" w:color="auto"/>
            </w:tcBorders>
            <w:shd w:val="clear" w:color="auto" w:fill="CCEEFF"/>
          </w:tcPr>
          <w:p>
            <w:pPr>
              <w:spacing w:after="0"/>
              <w:rPr>
                <w:sz w:val="6"/>
                <w:szCs w:val="6"/>
                <w:color w:val="auto"/>
              </w:rPr>
            </w:pPr>
          </w:p>
        </w:tc>
        <w:tc>
          <w:tcPr>
            <w:tcW w:w="180" w:type="dxa"/>
            <w:vAlign w:val="bottom"/>
            <w:tcBorders>
              <w:top w:val="single" w:sz="8" w:color="3051F2"/>
              <w:bottom w:val="single" w:sz="8" w:color="auto"/>
            </w:tcBorders>
            <w:shd w:val="clear" w:color="auto" w:fill="CCEEFF"/>
          </w:tcPr>
          <w:p>
            <w:pPr>
              <w:spacing w:after="0"/>
              <w:rPr>
                <w:sz w:val="6"/>
                <w:szCs w:val="6"/>
                <w:color w:val="auto"/>
              </w:rPr>
            </w:pPr>
          </w:p>
        </w:tc>
        <w:tc>
          <w:tcPr>
            <w:tcW w:w="180" w:type="dxa"/>
            <w:vAlign w:val="bottom"/>
            <w:tcBorders>
              <w:top w:val="single" w:sz="8" w:color="3051F2"/>
              <w:bottom w:val="single" w:sz="8" w:color="auto"/>
            </w:tcBorders>
            <w:shd w:val="clear" w:color="auto" w:fill="CCEEFF"/>
          </w:tcPr>
          <w:p>
            <w:pPr>
              <w:spacing w:after="0"/>
              <w:rPr>
                <w:sz w:val="6"/>
                <w:szCs w:val="6"/>
                <w:color w:val="auto"/>
              </w:rPr>
            </w:pPr>
          </w:p>
        </w:tc>
        <w:tc>
          <w:tcPr>
            <w:tcW w:w="580" w:type="dxa"/>
            <w:vAlign w:val="bottom"/>
            <w:tcBorders>
              <w:top w:val="single" w:sz="8" w:color="3051F2"/>
              <w:bottom w:val="single" w:sz="8" w:color="auto"/>
            </w:tcBorders>
            <w:shd w:val="clear" w:color="auto" w:fill="CCEEFF"/>
          </w:tcPr>
          <w:p>
            <w:pPr>
              <w:spacing w:after="0"/>
              <w:rPr>
                <w:sz w:val="6"/>
                <w:szCs w:val="6"/>
                <w:color w:val="auto"/>
              </w:rPr>
            </w:pPr>
          </w:p>
        </w:tc>
        <w:tc>
          <w:tcPr>
            <w:tcW w:w="40" w:type="dxa"/>
            <w:vAlign w:val="bottom"/>
            <w:tcBorders>
              <w:top w:val="single" w:sz="8" w:color="3051F2"/>
              <w:bottom w:val="single" w:sz="8" w:color="auto"/>
            </w:tcBorders>
            <w:shd w:val="clear" w:color="auto" w:fill="CCEEFF"/>
          </w:tcPr>
          <w:p>
            <w:pPr>
              <w:spacing w:after="0"/>
              <w:rPr>
                <w:sz w:val="6"/>
                <w:szCs w:val="6"/>
                <w:color w:val="auto"/>
              </w:rPr>
            </w:pPr>
          </w:p>
        </w:tc>
        <w:tc>
          <w:tcPr>
            <w:tcW w:w="40" w:type="dxa"/>
            <w:vAlign w:val="bottom"/>
            <w:tcBorders>
              <w:top w:val="single" w:sz="8" w:color="3051F2"/>
              <w:bottom w:val="single" w:sz="8" w:color="auto"/>
            </w:tcBorders>
            <w:shd w:val="clear" w:color="auto" w:fill="CCEEFF"/>
          </w:tcPr>
          <w:p>
            <w:pPr>
              <w:spacing w:after="0"/>
              <w:rPr>
                <w:sz w:val="6"/>
                <w:szCs w:val="6"/>
                <w:color w:val="auto"/>
              </w:rPr>
            </w:pPr>
          </w:p>
        </w:tc>
        <w:tc>
          <w:tcPr>
            <w:tcW w:w="20" w:type="dxa"/>
            <w:vAlign w:val="bottom"/>
            <w:tcBorders>
              <w:top w:val="single" w:sz="8" w:color="3051F2"/>
              <w:bottom w:val="single" w:sz="8" w:color="auto"/>
            </w:tcBorders>
            <w:shd w:val="clear" w:color="auto" w:fill="CCEEFF"/>
          </w:tcPr>
          <w:p>
            <w:pPr>
              <w:spacing w:after="0"/>
              <w:rPr>
                <w:sz w:val="6"/>
                <w:szCs w:val="6"/>
                <w:color w:val="auto"/>
              </w:rPr>
            </w:pPr>
          </w:p>
        </w:tc>
        <w:tc>
          <w:tcPr>
            <w:tcW w:w="480" w:type="dxa"/>
            <w:vAlign w:val="bottom"/>
            <w:tcBorders>
              <w:top w:val="single" w:sz="8" w:color="3051F2"/>
              <w:bottom w:val="single" w:sz="8" w:color="auto"/>
            </w:tcBorders>
            <w:shd w:val="clear" w:color="auto" w:fill="CCEEFF"/>
          </w:tcPr>
          <w:p>
            <w:pPr>
              <w:spacing w:after="0"/>
              <w:rPr>
                <w:sz w:val="6"/>
                <w:szCs w:val="6"/>
                <w:color w:val="auto"/>
              </w:rPr>
            </w:pPr>
          </w:p>
        </w:tc>
        <w:tc>
          <w:tcPr>
            <w:tcW w:w="40" w:type="dxa"/>
            <w:vAlign w:val="bottom"/>
            <w:tcBorders>
              <w:top w:val="single" w:sz="8" w:color="3051F2"/>
              <w:bottom w:val="single" w:sz="8" w:color="auto"/>
            </w:tcBorders>
            <w:shd w:val="clear" w:color="auto" w:fill="CCEEFF"/>
          </w:tcPr>
          <w:p>
            <w:pPr>
              <w:spacing w:after="0"/>
              <w:rPr>
                <w:sz w:val="6"/>
                <w:szCs w:val="6"/>
                <w:color w:val="auto"/>
              </w:rPr>
            </w:pPr>
          </w:p>
        </w:tc>
        <w:tc>
          <w:tcPr>
            <w:tcW w:w="80" w:type="dxa"/>
            <w:vAlign w:val="bottom"/>
            <w:tcBorders>
              <w:top w:val="single" w:sz="8" w:color="CCEEFF"/>
              <w:bottom w:val="single" w:sz="8" w:color="auto"/>
            </w:tcBorders>
            <w:shd w:val="clear" w:color="auto" w:fill="CCEEFF"/>
          </w:tcPr>
          <w:p>
            <w:pPr>
              <w:spacing w:after="0"/>
              <w:rPr>
                <w:sz w:val="6"/>
                <w:szCs w:val="6"/>
                <w:color w:val="auto"/>
              </w:rPr>
            </w:pPr>
          </w:p>
        </w:tc>
        <w:tc>
          <w:tcPr>
            <w:tcW w:w="100" w:type="dxa"/>
            <w:vAlign w:val="bottom"/>
            <w:tcBorders>
              <w:top w:val="single" w:sz="8" w:color="CCEEFF"/>
              <w:bottom w:val="single" w:sz="8" w:color="auto"/>
            </w:tcBorders>
            <w:shd w:val="clear" w:color="auto" w:fill="CCEEFF"/>
          </w:tcPr>
          <w:p>
            <w:pPr>
              <w:spacing w:after="0"/>
              <w:rPr>
                <w:sz w:val="6"/>
                <w:szCs w:val="6"/>
                <w:color w:val="auto"/>
              </w:rPr>
            </w:pPr>
          </w:p>
        </w:tc>
        <w:tc>
          <w:tcPr>
            <w:tcW w:w="60" w:type="dxa"/>
            <w:vAlign w:val="bottom"/>
            <w:tcBorders>
              <w:top w:val="single" w:sz="8" w:color="CCEEFF"/>
              <w:bottom w:val="single" w:sz="8" w:color="auto"/>
            </w:tcBorders>
            <w:shd w:val="clear" w:color="auto" w:fill="CCEEFF"/>
          </w:tcPr>
          <w:p>
            <w:pPr>
              <w:spacing w:after="0"/>
              <w:rPr>
                <w:sz w:val="6"/>
                <w:szCs w:val="6"/>
                <w:color w:val="auto"/>
              </w:rPr>
            </w:pPr>
          </w:p>
        </w:tc>
        <w:tc>
          <w:tcPr>
            <w:tcW w:w="100" w:type="dxa"/>
            <w:vAlign w:val="bottom"/>
            <w:tcBorders>
              <w:top w:val="single" w:sz="8" w:color="CCEEFF"/>
              <w:bottom w:val="single" w:sz="8" w:color="auto"/>
            </w:tcBorders>
            <w:shd w:val="clear" w:color="auto" w:fill="CCEEFF"/>
          </w:tcPr>
          <w:p>
            <w:pPr>
              <w:spacing w:after="0"/>
              <w:rPr>
                <w:sz w:val="6"/>
                <w:szCs w:val="6"/>
                <w:color w:val="auto"/>
              </w:rPr>
            </w:pPr>
          </w:p>
        </w:tc>
        <w:tc>
          <w:tcPr>
            <w:tcW w:w="200" w:type="dxa"/>
            <w:vAlign w:val="bottom"/>
            <w:tcBorders>
              <w:top w:val="single" w:sz="8" w:color="CCEEFF"/>
              <w:bottom w:val="single" w:sz="8" w:color="auto"/>
            </w:tcBorders>
            <w:shd w:val="clear" w:color="auto" w:fill="CCEEFF"/>
          </w:tcPr>
          <w:p>
            <w:pPr>
              <w:spacing w:after="0"/>
              <w:rPr>
                <w:sz w:val="6"/>
                <w:szCs w:val="6"/>
                <w:color w:val="auto"/>
              </w:rPr>
            </w:pPr>
          </w:p>
        </w:tc>
        <w:tc>
          <w:tcPr>
            <w:tcW w:w="520" w:type="dxa"/>
            <w:vAlign w:val="bottom"/>
            <w:tcBorders>
              <w:top w:val="single" w:sz="8" w:color="CCEEFF"/>
              <w:bottom w:val="single" w:sz="8" w:color="auto"/>
            </w:tcBorders>
            <w:shd w:val="clear" w:color="auto" w:fill="CCEEFF"/>
          </w:tcPr>
          <w:p>
            <w:pPr>
              <w:spacing w:after="0"/>
              <w:rPr>
                <w:sz w:val="6"/>
                <w:szCs w:val="6"/>
                <w:color w:val="auto"/>
              </w:rPr>
            </w:pPr>
          </w:p>
        </w:tc>
        <w:tc>
          <w:tcPr>
            <w:tcW w:w="20" w:type="dxa"/>
            <w:vAlign w:val="bottom"/>
            <w:tcBorders>
              <w:top w:val="single" w:sz="8" w:color="CCEEFF"/>
              <w:bottom w:val="single" w:sz="8" w:color="auto"/>
            </w:tcBorders>
            <w:shd w:val="clear" w:color="auto" w:fill="CCEEFF"/>
          </w:tcPr>
          <w:p>
            <w:pPr>
              <w:spacing w:after="0"/>
              <w:rPr>
                <w:sz w:val="6"/>
                <w:szCs w:val="6"/>
                <w:color w:val="auto"/>
              </w:rPr>
            </w:pPr>
          </w:p>
        </w:tc>
        <w:tc>
          <w:tcPr>
            <w:tcW w:w="100" w:type="dxa"/>
            <w:vAlign w:val="bottom"/>
            <w:tcBorders>
              <w:top w:val="single" w:sz="8" w:color="CCEEFF"/>
              <w:bottom w:val="single" w:sz="8" w:color="auto"/>
            </w:tcBorders>
            <w:shd w:val="clear" w:color="auto" w:fill="CCEEFF"/>
          </w:tcPr>
          <w:p>
            <w:pPr>
              <w:spacing w:after="0"/>
              <w:rPr>
                <w:sz w:val="6"/>
                <w:szCs w:val="6"/>
                <w:color w:val="auto"/>
              </w:rPr>
            </w:pPr>
          </w:p>
        </w:tc>
        <w:tc>
          <w:tcPr>
            <w:tcW w:w="20" w:type="dxa"/>
            <w:vAlign w:val="bottom"/>
            <w:tcBorders>
              <w:top w:val="single" w:sz="8" w:color="CCEEFF"/>
              <w:bottom w:val="single" w:sz="8" w:color="auto"/>
            </w:tcBorders>
            <w:shd w:val="clear" w:color="auto" w:fill="CCEEFF"/>
          </w:tcPr>
          <w:p>
            <w:pPr>
              <w:spacing w:after="0"/>
              <w:rPr>
                <w:sz w:val="6"/>
                <w:szCs w:val="6"/>
                <w:color w:val="auto"/>
              </w:rPr>
            </w:pPr>
          </w:p>
        </w:tc>
        <w:tc>
          <w:tcPr>
            <w:tcW w:w="160" w:type="dxa"/>
            <w:vAlign w:val="bottom"/>
            <w:tcBorders>
              <w:top w:val="single" w:sz="8" w:color="CCEEFF"/>
              <w:bottom w:val="single" w:sz="8" w:color="auto"/>
            </w:tcBorders>
            <w:shd w:val="clear" w:color="auto" w:fill="CCEEFF"/>
          </w:tcPr>
          <w:p>
            <w:pPr>
              <w:spacing w:after="0"/>
              <w:rPr>
                <w:sz w:val="6"/>
                <w:szCs w:val="6"/>
                <w:color w:val="auto"/>
              </w:rPr>
            </w:pPr>
          </w:p>
        </w:tc>
        <w:tc>
          <w:tcPr>
            <w:tcW w:w="160" w:type="dxa"/>
            <w:vAlign w:val="bottom"/>
            <w:tcBorders>
              <w:top w:val="single" w:sz="8" w:color="CCEEFF"/>
              <w:bottom w:val="single" w:sz="8" w:color="auto"/>
            </w:tcBorders>
            <w:shd w:val="clear" w:color="auto" w:fill="CCEEFF"/>
          </w:tcPr>
          <w:p>
            <w:pPr>
              <w:spacing w:after="0"/>
              <w:rPr>
                <w:sz w:val="6"/>
                <w:szCs w:val="6"/>
                <w:color w:val="auto"/>
              </w:rPr>
            </w:pPr>
          </w:p>
        </w:tc>
        <w:tc>
          <w:tcPr>
            <w:tcW w:w="700" w:type="dxa"/>
            <w:vAlign w:val="bottom"/>
            <w:tcBorders>
              <w:top w:val="single" w:sz="8" w:color="CCEEFF"/>
              <w:bottom w:val="single" w:sz="8" w:color="auto"/>
            </w:tcBorders>
            <w:shd w:val="clear" w:color="auto" w:fill="CCEEFF"/>
          </w:tcPr>
          <w:p>
            <w:pPr>
              <w:spacing w:after="0"/>
              <w:rPr>
                <w:sz w:val="6"/>
                <w:szCs w:val="6"/>
                <w:color w:val="auto"/>
              </w:rPr>
            </w:pPr>
          </w:p>
        </w:tc>
        <w:tc>
          <w:tcPr>
            <w:tcW w:w="400" w:type="dxa"/>
            <w:vAlign w:val="bottom"/>
            <w:tcBorders>
              <w:top w:val="single" w:sz="8" w:color="CCEEFF"/>
              <w:bottom w:val="single" w:sz="8" w:color="auto"/>
            </w:tcBorders>
            <w:shd w:val="clear" w:color="auto" w:fill="CCEEFF"/>
          </w:tcPr>
          <w:p>
            <w:pPr>
              <w:spacing w:after="0"/>
              <w:rPr>
                <w:sz w:val="6"/>
                <w:szCs w:val="6"/>
                <w:color w:val="auto"/>
              </w:rPr>
            </w:pPr>
          </w:p>
        </w:tc>
        <w:tc>
          <w:tcPr>
            <w:tcW w:w="580" w:type="dxa"/>
            <w:vAlign w:val="bottom"/>
            <w:tcBorders>
              <w:top w:val="single" w:sz="8" w:color="CCEEFF"/>
              <w:bottom w:val="single" w:sz="8" w:color="auto"/>
            </w:tcBorders>
            <w:shd w:val="clear" w:color="auto" w:fill="CCEEFF"/>
          </w:tcPr>
          <w:p>
            <w:pPr>
              <w:spacing w:after="0"/>
              <w:rPr>
                <w:sz w:val="6"/>
                <w:szCs w:val="6"/>
                <w:color w:val="auto"/>
              </w:rPr>
            </w:pPr>
          </w:p>
        </w:tc>
        <w:tc>
          <w:tcPr>
            <w:tcW w:w="120" w:type="dxa"/>
            <w:vAlign w:val="bottom"/>
            <w:tcBorders>
              <w:top w:val="single" w:sz="8" w:color="CCEEFF"/>
              <w:bottom w:val="single" w:sz="8" w:color="auto"/>
            </w:tcBorders>
            <w:shd w:val="clear" w:color="auto" w:fill="CCEEFF"/>
          </w:tcPr>
          <w:p>
            <w:pPr>
              <w:spacing w:after="0"/>
              <w:rPr>
                <w:sz w:val="6"/>
                <w:szCs w:val="6"/>
                <w:color w:val="auto"/>
              </w:rPr>
            </w:pPr>
          </w:p>
        </w:tc>
        <w:tc>
          <w:tcPr>
            <w:tcW w:w="340" w:type="dxa"/>
            <w:vAlign w:val="bottom"/>
            <w:tcBorders>
              <w:top w:val="single" w:sz="8" w:color="CCEEFF"/>
              <w:bottom w:val="single" w:sz="8" w:color="auto"/>
              <w:right w:val="single" w:sz="8" w:color="auto"/>
            </w:tcBorders>
            <w:shd w:val="clear" w:color="auto" w:fill="CCEEFF"/>
          </w:tcPr>
          <w:p>
            <w:pPr>
              <w:spacing w:after="0"/>
              <w:rPr>
                <w:sz w:val="6"/>
                <w:szCs w:val="6"/>
                <w:color w:val="auto"/>
              </w:rPr>
            </w:pPr>
          </w:p>
        </w:tc>
        <w:tc>
          <w:tcPr>
            <w:tcW w:w="4520" w:type="dxa"/>
            <w:vAlign w:val="bottom"/>
            <w:tcBorders>
              <w:top w:val="single" w:sz="8" w:color="CCEEFF"/>
              <w:bottom w:val="single" w:sz="8" w:color="auto"/>
              <w:right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7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3"/>
              </w:rPr>
              <w:t>3.2</w:t>
            </w:r>
          </w:p>
        </w:tc>
        <w:tc>
          <w:tcPr>
            <w:tcW w:w="5540" w:type="dxa"/>
            <w:vAlign w:val="bottom"/>
            <w:gridSpan w:val="25"/>
            <w:vMerge w:val="restart"/>
          </w:tcPr>
          <w:p>
            <w:pPr>
              <w:spacing w:after="0"/>
              <w:rPr>
                <w:rFonts w:ascii="Times New Roman" w:cs="Times New Roman" w:eastAsia="Times New Roman" w:hAnsi="Times New Roman"/>
                <w:sz w:val="12"/>
                <w:szCs w:val="12"/>
                <w:color w:val="3051F2"/>
              </w:rPr>
            </w:pPr>
            <w:hyperlink r:id="rId66">
              <w:r>
                <w:rPr>
                  <w:rFonts w:ascii="Times New Roman" w:cs="Times New Roman" w:eastAsia="Times New Roman" w:hAnsi="Times New Roman"/>
                  <w:sz w:val="12"/>
                  <w:szCs w:val="12"/>
                  <w:color w:val="3051F2"/>
                </w:rPr>
                <w:t>Fifth Amended and Restated Bylaws</w:t>
              </w:r>
            </w:hyperlink>
          </w:p>
        </w:tc>
        <w:tc>
          <w:tcPr>
            <w:tcW w:w="120" w:type="dxa"/>
            <w:vAlign w:val="bottom"/>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4520" w:type="dxa"/>
            <w:vAlign w:val="bottom"/>
            <w:tcBorders>
              <w:right w:val="single" w:sz="8" w:color="auto"/>
            </w:tcBorders>
          </w:tcPr>
          <w:p>
            <w:pPr>
              <w:spacing w:after="0" w:line="114" w:lineRule="exact"/>
              <w:rPr>
                <w:sz w:val="20"/>
                <w:szCs w:val="20"/>
                <w:color w:val="auto"/>
              </w:rPr>
            </w:pPr>
            <w:r>
              <w:rPr>
                <w:rFonts w:ascii="Times New Roman" w:cs="Times New Roman" w:eastAsia="Times New Roman" w:hAnsi="Times New Roman"/>
                <w:sz w:val="12"/>
                <w:szCs w:val="12"/>
                <w:color w:val="auto"/>
              </w:rPr>
              <w:t>Incorporated by reference to Exhibit 3.1 to Sun Communities, Inc.'s Current Report on</w:t>
            </w:r>
          </w:p>
        </w:tc>
        <w:tc>
          <w:tcPr>
            <w:tcW w:w="0" w:type="dxa"/>
            <w:vAlign w:val="bottom"/>
          </w:tcPr>
          <w:p>
            <w:pPr>
              <w:spacing w:after="0"/>
              <w:rPr>
                <w:sz w:val="1"/>
                <w:szCs w:val="1"/>
                <w:color w:val="auto"/>
              </w:rPr>
            </w:pPr>
          </w:p>
        </w:tc>
      </w:tr>
      <w:tr>
        <w:trPr>
          <w:trHeight w:val="69"/>
        </w:trPr>
        <w:tc>
          <w:tcPr>
            <w:tcW w:w="760" w:type="dxa"/>
            <w:vAlign w:val="bottom"/>
            <w:tcBorders>
              <w:left w:val="single" w:sz="8" w:color="auto"/>
              <w:right w:val="single" w:sz="8" w:color="auto"/>
            </w:tcBorders>
            <w:vMerge w:val="continue"/>
          </w:tcPr>
          <w:p>
            <w:pPr>
              <w:spacing w:after="0"/>
              <w:rPr>
                <w:sz w:val="6"/>
                <w:szCs w:val="6"/>
                <w:color w:val="auto"/>
              </w:rPr>
            </w:pPr>
          </w:p>
        </w:tc>
        <w:tc>
          <w:tcPr>
            <w:tcW w:w="5540" w:type="dxa"/>
            <w:vAlign w:val="bottom"/>
            <w:gridSpan w:val="25"/>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Borders>
              <w:right w:val="single" w:sz="8" w:color="auto"/>
            </w:tcBorders>
          </w:tcPr>
          <w:p>
            <w:pPr>
              <w:spacing w:after="0"/>
              <w:rPr>
                <w:sz w:val="6"/>
                <w:szCs w:val="6"/>
                <w:color w:val="auto"/>
              </w:rPr>
            </w:pPr>
          </w:p>
        </w:tc>
        <w:tc>
          <w:tcPr>
            <w:tcW w:w="45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2"/>
                <w:szCs w:val="12"/>
                <w:color w:val="auto"/>
              </w:rPr>
              <w:t>Form 8-K filed on May 15, 2025</w:t>
            </w:r>
          </w:p>
        </w:tc>
        <w:tc>
          <w:tcPr>
            <w:tcW w:w="0" w:type="dxa"/>
            <w:vAlign w:val="bottom"/>
          </w:tcPr>
          <w:p>
            <w:pPr>
              <w:spacing w:after="0"/>
              <w:rPr>
                <w:sz w:val="1"/>
                <w:szCs w:val="1"/>
                <w:color w:val="auto"/>
              </w:rPr>
            </w:pPr>
          </w:p>
        </w:tc>
      </w:tr>
      <w:tr>
        <w:trPr>
          <w:trHeight w:val="77"/>
        </w:trPr>
        <w:tc>
          <w:tcPr>
            <w:tcW w:w="760" w:type="dxa"/>
            <w:vAlign w:val="bottom"/>
            <w:tcBorders>
              <w:left w:val="single" w:sz="8" w:color="auto"/>
              <w:bottom w:val="single" w:sz="8" w:color="auto"/>
              <w:right w:val="single" w:sz="8" w:color="auto"/>
            </w:tcBorders>
          </w:tcPr>
          <w:p>
            <w:pPr>
              <w:spacing w:after="0"/>
              <w:rPr>
                <w:sz w:val="6"/>
                <w:szCs w:val="6"/>
                <w:color w:val="auto"/>
              </w:rPr>
            </w:pPr>
          </w:p>
        </w:tc>
        <w:tc>
          <w:tcPr>
            <w:tcW w:w="720" w:type="dxa"/>
            <w:vAlign w:val="bottom"/>
            <w:tcBorders>
              <w:top w:val="single" w:sz="8" w:color="3051F2"/>
              <w:bottom w:val="single" w:sz="8" w:color="auto"/>
            </w:tcBorders>
          </w:tcPr>
          <w:p>
            <w:pPr>
              <w:spacing w:after="0"/>
              <w:rPr>
                <w:sz w:val="6"/>
                <w:szCs w:val="6"/>
                <w:color w:val="auto"/>
              </w:rPr>
            </w:pPr>
          </w:p>
        </w:tc>
        <w:tc>
          <w:tcPr>
            <w:tcW w:w="40" w:type="dxa"/>
            <w:vAlign w:val="bottom"/>
            <w:tcBorders>
              <w:top w:val="single" w:sz="8" w:color="3051F2"/>
              <w:bottom w:val="single" w:sz="8" w:color="auto"/>
            </w:tcBorders>
          </w:tcPr>
          <w:p>
            <w:pPr>
              <w:spacing w:after="0"/>
              <w:rPr>
                <w:sz w:val="6"/>
                <w:szCs w:val="6"/>
                <w:color w:val="auto"/>
              </w:rPr>
            </w:pPr>
          </w:p>
        </w:tc>
        <w:tc>
          <w:tcPr>
            <w:tcW w:w="20" w:type="dxa"/>
            <w:vAlign w:val="bottom"/>
            <w:tcBorders>
              <w:top w:val="single" w:sz="8" w:color="3051F2"/>
              <w:bottom w:val="single" w:sz="8" w:color="auto"/>
            </w:tcBorders>
          </w:tcPr>
          <w:p>
            <w:pPr>
              <w:spacing w:after="0"/>
              <w:rPr>
                <w:sz w:val="6"/>
                <w:szCs w:val="6"/>
                <w:color w:val="auto"/>
              </w:rPr>
            </w:pPr>
          </w:p>
        </w:tc>
        <w:tc>
          <w:tcPr>
            <w:tcW w:w="180" w:type="dxa"/>
            <w:vAlign w:val="bottom"/>
            <w:tcBorders>
              <w:top w:val="single" w:sz="8" w:color="3051F2"/>
              <w:bottom w:val="single" w:sz="8" w:color="auto"/>
            </w:tcBorders>
          </w:tcPr>
          <w:p>
            <w:pPr>
              <w:spacing w:after="0"/>
              <w:rPr>
                <w:sz w:val="6"/>
                <w:szCs w:val="6"/>
                <w:color w:val="auto"/>
              </w:rPr>
            </w:pPr>
          </w:p>
        </w:tc>
        <w:tc>
          <w:tcPr>
            <w:tcW w:w="180" w:type="dxa"/>
            <w:vAlign w:val="bottom"/>
            <w:tcBorders>
              <w:top w:val="single" w:sz="8" w:color="3051F2"/>
              <w:bottom w:val="single" w:sz="8" w:color="auto"/>
            </w:tcBorders>
          </w:tcPr>
          <w:p>
            <w:pPr>
              <w:spacing w:after="0"/>
              <w:rPr>
                <w:sz w:val="6"/>
                <w:szCs w:val="6"/>
                <w:color w:val="auto"/>
              </w:rPr>
            </w:pPr>
          </w:p>
        </w:tc>
        <w:tc>
          <w:tcPr>
            <w:tcW w:w="580" w:type="dxa"/>
            <w:vAlign w:val="bottom"/>
            <w:tcBorders>
              <w:top w:val="single" w:sz="8" w:color="3051F2"/>
              <w:bottom w:val="single" w:sz="8" w:color="auto"/>
            </w:tcBorders>
          </w:tcPr>
          <w:p>
            <w:pPr>
              <w:spacing w:after="0"/>
              <w:rPr>
                <w:sz w:val="6"/>
                <w:szCs w:val="6"/>
                <w:color w:val="auto"/>
              </w:rPr>
            </w:pPr>
          </w:p>
        </w:tc>
        <w:tc>
          <w:tcPr>
            <w:tcW w:w="40" w:type="dxa"/>
            <w:vAlign w:val="bottom"/>
            <w:tcBorders>
              <w:top w:val="single" w:sz="8" w:color="3051F2"/>
              <w:bottom w:val="single" w:sz="8" w:color="auto"/>
            </w:tcBorders>
          </w:tcPr>
          <w:p>
            <w:pPr>
              <w:spacing w:after="0"/>
              <w:rPr>
                <w:sz w:val="6"/>
                <w:szCs w:val="6"/>
                <w:color w:val="auto"/>
              </w:rPr>
            </w:pPr>
          </w:p>
        </w:tc>
        <w:tc>
          <w:tcPr>
            <w:tcW w:w="40" w:type="dxa"/>
            <w:vAlign w:val="bottom"/>
            <w:tcBorders>
              <w:top w:val="single" w:sz="8" w:color="3051F2"/>
              <w:bottom w:val="single" w:sz="8" w:color="auto"/>
            </w:tcBorders>
          </w:tcPr>
          <w:p>
            <w:pPr>
              <w:spacing w:after="0"/>
              <w:rPr>
                <w:sz w:val="6"/>
                <w:szCs w:val="6"/>
                <w:color w:val="auto"/>
              </w:rPr>
            </w:pPr>
          </w:p>
        </w:tc>
        <w:tc>
          <w:tcPr>
            <w:tcW w:w="20" w:type="dxa"/>
            <w:vAlign w:val="bottom"/>
            <w:tcBorders>
              <w:top w:val="single" w:sz="8" w:color="3051F2"/>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40" w:type="dxa"/>
            <w:vAlign w:val="bottom"/>
            <w:tcBorders>
              <w:bottom w:val="single" w:sz="8" w:color="auto"/>
              <w:right w:val="single" w:sz="8" w:color="auto"/>
            </w:tcBorders>
          </w:tcPr>
          <w:p>
            <w:pPr>
              <w:spacing w:after="0"/>
              <w:rPr>
                <w:sz w:val="6"/>
                <w:szCs w:val="6"/>
                <w:color w:val="auto"/>
              </w:rPr>
            </w:pPr>
          </w:p>
        </w:tc>
        <w:tc>
          <w:tcPr>
            <w:tcW w:w="45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76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3"/>
              </w:rPr>
              <w:t>3.3</w:t>
            </w:r>
          </w:p>
        </w:tc>
        <w:tc>
          <w:tcPr>
            <w:tcW w:w="5540" w:type="dxa"/>
            <w:vAlign w:val="bottom"/>
            <w:gridSpan w:val="25"/>
            <w:vMerge w:val="restart"/>
            <w:shd w:val="clear" w:color="auto" w:fill="CCEEFF"/>
          </w:tcPr>
          <w:p>
            <w:pPr>
              <w:spacing w:after="0"/>
              <w:rPr>
                <w:rFonts w:ascii="Times New Roman" w:cs="Times New Roman" w:eastAsia="Times New Roman" w:hAnsi="Times New Roman"/>
                <w:sz w:val="12"/>
                <w:szCs w:val="12"/>
                <w:color w:val="3051F2"/>
              </w:rPr>
            </w:pPr>
            <w:hyperlink r:id="rId67">
              <w:r>
                <w:rPr>
                  <w:rFonts w:ascii="Times New Roman" w:cs="Times New Roman" w:eastAsia="Times New Roman" w:hAnsi="Times New Roman"/>
                  <w:sz w:val="12"/>
                  <w:szCs w:val="12"/>
                  <w:color w:val="3051F2"/>
                </w:rPr>
                <w:t>Sun Communities, Inc. Articles of Amendment effective May 18, 2023</w:t>
              </w:r>
            </w:hyperlink>
          </w:p>
        </w:tc>
        <w:tc>
          <w:tcPr>
            <w:tcW w:w="120" w:type="dxa"/>
            <w:vAlign w:val="bottom"/>
            <w:shd w:val="clear" w:color="auto" w:fill="CCEEFF"/>
          </w:tcPr>
          <w:p>
            <w:pPr>
              <w:spacing w:after="0"/>
              <w:rPr>
                <w:sz w:val="9"/>
                <w:szCs w:val="9"/>
                <w:color w:val="auto"/>
              </w:rPr>
            </w:pPr>
          </w:p>
        </w:tc>
        <w:tc>
          <w:tcPr>
            <w:tcW w:w="340" w:type="dxa"/>
            <w:vAlign w:val="bottom"/>
            <w:tcBorders>
              <w:right w:val="single" w:sz="8" w:color="auto"/>
            </w:tcBorders>
            <w:shd w:val="clear" w:color="auto" w:fill="CCEEFF"/>
          </w:tcPr>
          <w:p>
            <w:pPr>
              <w:spacing w:after="0"/>
              <w:rPr>
                <w:sz w:val="9"/>
                <w:szCs w:val="9"/>
                <w:color w:val="auto"/>
              </w:rPr>
            </w:pPr>
          </w:p>
        </w:tc>
        <w:tc>
          <w:tcPr>
            <w:tcW w:w="4520" w:type="dxa"/>
            <w:vAlign w:val="bottom"/>
            <w:tcBorders>
              <w:right w:val="single" w:sz="8" w:color="auto"/>
            </w:tcBorders>
            <w:shd w:val="clear" w:color="auto" w:fill="CCEEFF"/>
          </w:tcPr>
          <w:p>
            <w:pPr>
              <w:spacing w:after="0" w:line="114" w:lineRule="exact"/>
              <w:rPr>
                <w:sz w:val="20"/>
                <w:szCs w:val="20"/>
                <w:color w:val="auto"/>
              </w:rPr>
            </w:pPr>
            <w:r>
              <w:rPr>
                <w:rFonts w:ascii="Times New Roman" w:cs="Times New Roman" w:eastAsia="Times New Roman" w:hAnsi="Times New Roman"/>
                <w:sz w:val="12"/>
                <w:szCs w:val="12"/>
                <w:color w:val="auto"/>
              </w:rPr>
              <w:t>Incorporated by reference to Exhibit 3.1 to Sun Communities, Inc.'s Current Report on</w:t>
            </w:r>
          </w:p>
        </w:tc>
        <w:tc>
          <w:tcPr>
            <w:tcW w:w="0" w:type="dxa"/>
            <w:vAlign w:val="bottom"/>
          </w:tcPr>
          <w:p>
            <w:pPr>
              <w:spacing w:after="0"/>
              <w:rPr>
                <w:sz w:val="1"/>
                <w:szCs w:val="1"/>
                <w:color w:val="auto"/>
              </w:rPr>
            </w:pPr>
          </w:p>
        </w:tc>
      </w:tr>
      <w:tr>
        <w:trPr>
          <w:trHeight w:val="69"/>
        </w:trPr>
        <w:tc>
          <w:tcPr>
            <w:tcW w:w="760" w:type="dxa"/>
            <w:vAlign w:val="bottom"/>
            <w:tcBorders>
              <w:left w:val="single" w:sz="8" w:color="auto"/>
              <w:right w:val="single" w:sz="8" w:color="auto"/>
            </w:tcBorders>
            <w:vMerge w:val="continue"/>
            <w:shd w:val="clear" w:color="auto" w:fill="CCEEFF"/>
          </w:tcPr>
          <w:p>
            <w:pPr>
              <w:spacing w:after="0"/>
              <w:rPr>
                <w:sz w:val="6"/>
                <w:szCs w:val="6"/>
                <w:color w:val="auto"/>
              </w:rPr>
            </w:pPr>
          </w:p>
        </w:tc>
        <w:tc>
          <w:tcPr>
            <w:tcW w:w="5540" w:type="dxa"/>
            <w:vAlign w:val="bottom"/>
            <w:gridSpan w:val="25"/>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right w:val="single" w:sz="8" w:color="auto"/>
            </w:tcBorders>
            <w:shd w:val="clear" w:color="auto" w:fill="CCEEFF"/>
          </w:tcPr>
          <w:p>
            <w:pPr>
              <w:spacing w:after="0"/>
              <w:rPr>
                <w:sz w:val="6"/>
                <w:szCs w:val="6"/>
                <w:color w:val="auto"/>
              </w:rPr>
            </w:pPr>
          </w:p>
        </w:tc>
        <w:tc>
          <w:tcPr>
            <w:tcW w:w="452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Form 8-K filed on May 19, 2023</w:t>
            </w:r>
          </w:p>
        </w:tc>
        <w:tc>
          <w:tcPr>
            <w:tcW w:w="0" w:type="dxa"/>
            <w:vAlign w:val="bottom"/>
          </w:tcPr>
          <w:p>
            <w:pPr>
              <w:spacing w:after="0"/>
              <w:rPr>
                <w:sz w:val="1"/>
                <w:szCs w:val="1"/>
                <w:color w:val="auto"/>
              </w:rPr>
            </w:pPr>
          </w:p>
        </w:tc>
      </w:tr>
      <w:tr>
        <w:trPr>
          <w:trHeight w:val="77"/>
        </w:trPr>
        <w:tc>
          <w:tcPr>
            <w:tcW w:w="760" w:type="dxa"/>
            <w:vAlign w:val="bottom"/>
            <w:tcBorders>
              <w:top w:val="single" w:sz="8" w:color="CCEEFF"/>
              <w:left w:val="single" w:sz="8" w:color="auto"/>
              <w:bottom w:val="single" w:sz="8" w:color="auto"/>
              <w:right w:val="single" w:sz="8" w:color="auto"/>
            </w:tcBorders>
            <w:shd w:val="clear" w:color="auto" w:fill="CCEEFF"/>
          </w:tcPr>
          <w:p>
            <w:pPr>
              <w:spacing w:after="0"/>
              <w:rPr>
                <w:sz w:val="6"/>
                <w:szCs w:val="6"/>
                <w:color w:val="auto"/>
              </w:rPr>
            </w:pPr>
          </w:p>
        </w:tc>
        <w:tc>
          <w:tcPr>
            <w:tcW w:w="720" w:type="dxa"/>
            <w:vAlign w:val="bottom"/>
            <w:tcBorders>
              <w:top w:val="single" w:sz="8" w:color="3051F2"/>
              <w:bottom w:val="single" w:sz="8" w:color="auto"/>
            </w:tcBorders>
            <w:shd w:val="clear" w:color="auto" w:fill="CCEEFF"/>
          </w:tcPr>
          <w:p>
            <w:pPr>
              <w:spacing w:after="0"/>
              <w:rPr>
                <w:sz w:val="6"/>
                <w:szCs w:val="6"/>
                <w:color w:val="auto"/>
              </w:rPr>
            </w:pPr>
          </w:p>
        </w:tc>
        <w:tc>
          <w:tcPr>
            <w:tcW w:w="40" w:type="dxa"/>
            <w:vAlign w:val="bottom"/>
            <w:tcBorders>
              <w:top w:val="single" w:sz="8" w:color="3051F2"/>
              <w:bottom w:val="single" w:sz="8" w:color="auto"/>
            </w:tcBorders>
            <w:shd w:val="clear" w:color="auto" w:fill="CCEEFF"/>
          </w:tcPr>
          <w:p>
            <w:pPr>
              <w:spacing w:after="0"/>
              <w:rPr>
                <w:sz w:val="6"/>
                <w:szCs w:val="6"/>
                <w:color w:val="auto"/>
              </w:rPr>
            </w:pPr>
          </w:p>
        </w:tc>
        <w:tc>
          <w:tcPr>
            <w:tcW w:w="20" w:type="dxa"/>
            <w:vAlign w:val="bottom"/>
            <w:tcBorders>
              <w:top w:val="single" w:sz="8" w:color="3051F2"/>
              <w:bottom w:val="single" w:sz="8" w:color="auto"/>
            </w:tcBorders>
            <w:shd w:val="clear" w:color="auto" w:fill="CCEEFF"/>
          </w:tcPr>
          <w:p>
            <w:pPr>
              <w:spacing w:after="0"/>
              <w:rPr>
                <w:sz w:val="6"/>
                <w:szCs w:val="6"/>
                <w:color w:val="auto"/>
              </w:rPr>
            </w:pPr>
          </w:p>
        </w:tc>
        <w:tc>
          <w:tcPr>
            <w:tcW w:w="180" w:type="dxa"/>
            <w:vAlign w:val="bottom"/>
            <w:tcBorders>
              <w:top w:val="single" w:sz="8" w:color="3051F2"/>
              <w:bottom w:val="single" w:sz="8" w:color="auto"/>
            </w:tcBorders>
            <w:shd w:val="clear" w:color="auto" w:fill="CCEEFF"/>
          </w:tcPr>
          <w:p>
            <w:pPr>
              <w:spacing w:after="0"/>
              <w:rPr>
                <w:sz w:val="6"/>
                <w:szCs w:val="6"/>
                <w:color w:val="auto"/>
              </w:rPr>
            </w:pPr>
          </w:p>
        </w:tc>
        <w:tc>
          <w:tcPr>
            <w:tcW w:w="180" w:type="dxa"/>
            <w:vAlign w:val="bottom"/>
            <w:tcBorders>
              <w:top w:val="single" w:sz="8" w:color="3051F2"/>
              <w:bottom w:val="single" w:sz="8" w:color="auto"/>
            </w:tcBorders>
            <w:shd w:val="clear" w:color="auto" w:fill="CCEEFF"/>
          </w:tcPr>
          <w:p>
            <w:pPr>
              <w:spacing w:after="0"/>
              <w:rPr>
                <w:sz w:val="6"/>
                <w:szCs w:val="6"/>
                <w:color w:val="auto"/>
              </w:rPr>
            </w:pPr>
          </w:p>
        </w:tc>
        <w:tc>
          <w:tcPr>
            <w:tcW w:w="580" w:type="dxa"/>
            <w:vAlign w:val="bottom"/>
            <w:tcBorders>
              <w:top w:val="single" w:sz="8" w:color="3051F2"/>
              <w:bottom w:val="single" w:sz="8" w:color="auto"/>
            </w:tcBorders>
            <w:shd w:val="clear" w:color="auto" w:fill="CCEEFF"/>
          </w:tcPr>
          <w:p>
            <w:pPr>
              <w:spacing w:after="0"/>
              <w:rPr>
                <w:sz w:val="6"/>
                <w:szCs w:val="6"/>
                <w:color w:val="auto"/>
              </w:rPr>
            </w:pPr>
          </w:p>
        </w:tc>
        <w:tc>
          <w:tcPr>
            <w:tcW w:w="40" w:type="dxa"/>
            <w:vAlign w:val="bottom"/>
            <w:tcBorders>
              <w:top w:val="single" w:sz="8" w:color="3051F2"/>
              <w:bottom w:val="single" w:sz="8" w:color="auto"/>
            </w:tcBorders>
            <w:shd w:val="clear" w:color="auto" w:fill="CCEEFF"/>
          </w:tcPr>
          <w:p>
            <w:pPr>
              <w:spacing w:after="0"/>
              <w:rPr>
                <w:sz w:val="6"/>
                <w:szCs w:val="6"/>
                <w:color w:val="auto"/>
              </w:rPr>
            </w:pPr>
          </w:p>
        </w:tc>
        <w:tc>
          <w:tcPr>
            <w:tcW w:w="40" w:type="dxa"/>
            <w:vAlign w:val="bottom"/>
            <w:tcBorders>
              <w:top w:val="single" w:sz="8" w:color="3051F2"/>
              <w:bottom w:val="single" w:sz="8" w:color="auto"/>
            </w:tcBorders>
            <w:shd w:val="clear" w:color="auto" w:fill="CCEEFF"/>
          </w:tcPr>
          <w:p>
            <w:pPr>
              <w:spacing w:after="0"/>
              <w:rPr>
                <w:sz w:val="6"/>
                <w:szCs w:val="6"/>
                <w:color w:val="auto"/>
              </w:rPr>
            </w:pPr>
          </w:p>
        </w:tc>
        <w:tc>
          <w:tcPr>
            <w:tcW w:w="20" w:type="dxa"/>
            <w:vAlign w:val="bottom"/>
            <w:tcBorders>
              <w:top w:val="single" w:sz="8" w:color="3051F2"/>
              <w:bottom w:val="single" w:sz="8" w:color="auto"/>
            </w:tcBorders>
            <w:shd w:val="clear" w:color="auto" w:fill="CCEEFF"/>
          </w:tcPr>
          <w:p>
            <w:pPr>
              <w:spacing w:after="0"/>
              <w:rPr>
                <w:sz w:val="6"/>
                <w:szCs w:val="6"/>
                <w:color w:val="auto"/>
              </w:rPr>
            </w:pPr>
          </w:p>
        </w:tc>
        <w:tc>
          <w:tcPr>
            <w:tcW w:w="480" w:type="dxa"/>
            <w:vAlign w:val="bottom"/>
            <w:tcBorders>
              <w:top w:val="single" w:sz="8" w:color="3051F2"/>
              <w:bottom w:val="single" w:sz="8" w:color="auto"/>
            </w:tcBorders>
            <w:shd w:val="clear" w:color="auto" w:fill="CCEEFF"/>
          </w:tcPr>
          <w:p>
            <w:pPr>
              <w:spacing w:after="0"/>
              <w:rPr>
                <w:sz w:val="6"/>
                <w:szCs w:val="6"/>
                <w:color w:val="auto"/>
              </w:rPr>
            </w:pPr>
          </w:p>
        </w:tc>
        <w:tc>
          <w:tcPr>
            <w:tcW w:w="40" w:type="dxa"/>
            <w:vAlign w:val="bottom"/>
            <w:tcBorders>
              <w:top w:val="single" w:sz="8" w:color="3051F2"/>
              <w:bottom w:val="single" w:sz="8" w:color="auto"/>
            </w:tcBorders>
            <w:shd w:val="clear" w:color="auto" w:fill="CCEEFF"/>
          </w:tcPr>
          <w:p>
            <w:pPr>
              <w:spacing w:after="0"/>
              <w:rPr>
                <w:sz w:val="6"/>
                <w:szCs w:val="6"/>
                <w:color w:val="auto"/>
              </w:rPr>
            </w:pPr>
          </w:p>
        </w:tc>
        <w:tc>
          <w:tcPr>
            <w:tcW w:w="80" w:type="dxa"/>
            <w:vAlign w:val="bottom"/>
            <w:tcBorders>
              <w:top w:val="single" w:sz="8" w:color="3051F2"/>
              <w:bottom w:val="single" w:sz="8" w:color="auto"/>
            </w:tcBorders>
            <w:shd w:val="clear" w:color="auto" w:fill="CCEEFF"/>
          </w:tcPr>
          <w:p>
            <w:pPr>
              <w:spacing w:after="0"/>
              <w:rPr>
                <w:sz w:val="6"/>
                <w:szCs w:val="6"/>
                <w:color w:val="auto"/>
              </w:rPr>
            </w:pPr>
          </w:p>
        </w:tc>
        <w:tc>
          <w:tcPr>
            <w:tcW w:w="100" w:type="dxa"/>
            <w:vAlign w:val="bottom"/>
            <w:tcBorders>
              <w:top w:val="single" w:sz="8" w:color="3051F2"/>
              <w:bottom w:val="single" w:sz="8" w:color="auto"/>
            </w:tcBorders>
            <w:shd w:val="clear" w:color="auto" w:fill="CCEEFF"/>
          </w:tcPr>
          <w:p>
            <w:pPr>
              <w:spacing w:after="0"/>
              <w:rPr>
                <w:sz w:val="6"/>
                <w:szCs w:val="6"/>
                <w:color w:val="auto"/>
              </w:rPr>
            </w:pPr>
          </w:p>
        </w:tc>
        <w:tc>
          <w:tcPr>
            <w:tcW w:w="60" w:type="dxa"/>
            <w:vAlign w:val="bottom"/>
            <w:tcBorders>
              <w:top w:val="single" w:sz="8" w:color="3051F2"/>
              <w:bottom w:val="single" w:sz="8" w:color="auto"/>
            </w:tcBorders>
            <w:shd w:val="clear" w:color="auto" w:fill="CCEEFF"/>
          </w:tcPr>
          <w:p>
            <w:pPr>
              <w:spacing w:after="0"/>
              <w:rPr>
                <w:sz w:val="6"/>
                <w:szCs w:val="6"/>
                <w:color w:val="auto"/>
              </w:rPr>
            </w:pPr>
          </w:p>
        </w:tc>
        <w:tc>
          <w:tcPr>
            <w:tcW w:w="100" w:type="dxa"/>
            <w:vAlign w:val="bottom"/>
            <w:tcBorders>
              <w:top w:val="single" w:sz="8" w:color="3051F2"/>
              <w:bottom w:val="single" w:sz="8" w:color="auto"/>
            </w:tcBorders>
            <w:shd w:val="clear" w:color="auto" w:fill="CCEEFF"/>
          </w:tcPr>
          <w:p>
            <w:pPr>
              <w:spacing w:after="0"/>
              <w:rPr>
                <w:sz w:val="6"/>
                <w:szCs w:val="6"/>
                <w:color w:val="auto"/>
              </w:rPr>
            </w:pPr>
          </w:p>
        </w:tc>
        <w:tc>
          <w:tcPr>
            <w:tcW w:w="200" w:type="dxa"/>
            <w:vAlign w:val="bottom"/>
            <w:tcBorders>
              <w:top w:val="single" w:sz="8" w:color="3051F2"/>
              <w:bottom w:val="single" w:sz="8" w:color="auto"/>
            </w:tcBorders>
            <w:shd w:val="clear" w:color="auto" w:fill="CCEEFF"/>
          </w:tcPr>
          <w:p>
            <w:pPr>
              <w:spacing w:after="0"/>
              <w:rPr>
                <w:sz w:val="6"/>
                <w:szCs w:val="6"/>
                <w:color w:val="auto"/>
              </w:rPr>
            </w:pPr>
          </w:p>
        </w:tc>
        <w:tc>
          <w:tcPr>
            <w:tcW w:w="520" w:type="dxa"/>
            <w:vAlign w:val="bottom"/>
            <w:tcBorders>
              <w:top w:val="single" w:sz="8" w:color="3051F2"/>
              <w:bottom w:val="single" w:sz="8" w:color="auto"/>
            </w:tcBorders>
            <w:shd w:val="clear" w:color="auto" w:fill="CCEEFF"/>
          </w:tcPr>
          <w:p>
            <w:pPr>
              <w:spacing w:after="0"/>
              <w:rPr>
                <w:sz w:val="6"/>
                <w:szCs w:val="6"/>
                <w:color w:val="auto"/>
              </w:rPr>
            </w:pPr>
          </w:p>
        </w:tc>
        <w:tc>
          <w:tcPr>
            <w:tcW w:w="20" w:type="dxa"/>
            <w:vAlign w:val="bottom"/>
            <w:tcBorders>
              <w:top w:val="single" w:sz="8" w:color="3051F2"/>
              <w:bottom w:val="single" w:sz="8" w:color="auto"/>
            </w:tcBorders>
            <w:shd w:val="clear" w:color="auto" w:fill="CCEEFF"/>
          </w:tcPr>
          <w:p>
            <w:pPr>
              <w:spacing w:after="0"/>
              <w:rPr>
                <w:sz w:val="6"/>
                <w:szCs w:val="6"/>
                <w:color w:val="auto"/>
              </w:rPr>
            </w:pPr>
          </w:p>
        </w:tc>
        <w:tc>
          <w:tcPr>
            <w:tcW w:w="100" w:type="dxa"/>
            <w:vAlign w:val="bottom"/>
            <w:tcBorders>
              <w:top w:val="single" w:sz="8" w:color="3051F2"/>
              <w:bottom w:val="single" w:sz="8" w:color="auto"/>
            </w:tcBorders>
            <w:shd w:val="clear" w:color="auto" w:fill="CCEEFF"/>
          </w:tcPr>
          <w:p>
            <w:pPr>
              <w:spacing w:after="0"/>
              <w:rPr>
                <w:sz w:val="6"/>
                <w:szCs w:val="6"/>
                <w:color w:val="auto"/>
              </w:rPr>
            </w:pPr>
          </w:p>
        </w:tc>
        <w:tc>
          <w:tcPr>
            <w:tcW w:w="20" w:type="dxa"/>
            <w:vAlign w:val="bottom"/>
            <w:tcBorders>
              <w:top w:val="single" w:sz="8" w:color="CCEEFF"/>
              <w:bottom w:val="single" w:sz="8" w:color="auto"/>
            </w:tcBorders>
            <w:shd w:val="clear" w:color="auto" w:fill="CCEEFF"/>
          </w:tcPr>
          <w:p>
            <w:pPr>
              <w:spacing w:after="0"/>
              <w:rPr>
                <w:sz w:val="6"/>
                <w:szCs w:val="6"/>
                <w:color w:val="auto"/>
              </w:rPr>
            </w:pPr>
          </w:p>
        </w:tc>
        <w:tc>
          <w:tcPr>
            <w:tcW w:w="160" w:type="dxa"/>
            <w:vAlign w:val="bottom"/>
            <w:tcBorders>
              <w:top w:val="single" w:sz="8" w:color="CCEEFF"/>
              <w:bottom w:val="single" w:sz="8" w:color="auto"/>
            </w:tcBorders>
            <w:shd w:val="clear" w:color="auto" w:fill="CCEEFF"/>
          </w:tcPr>
          <w:p>
            <w:pPr>
              <w:spacing w:after="0"/>
              <w:rPr>
                <w:sz w:val="6"/>
                <w:szCs w:val="6"/>
                <w:color w:val="auto"/>
              </w:rPr>
            </w:pPr>
          </w:p>
        </w:tc>
        <w:tc>
          <w:tcPr>
            <w:tcW w:w="160" w:type="dxa"/>
            <w:vAlign w:val="bottom"/>
            <w:tcBorders>
              <w:top w:val="single" w:sz="8" w:color="CCEEFF"/>
              <w:bottom w:val="single" w:sz="8" w:color="auto"/>
            </w:tcBorders>
            <w:shd w:val="clear" w:color="auto" w:fill="CCEEFF"/>
          </w:tcPr>
          <w:p>
            <w:pPr>
              <w:spacing w:after="0"/>
              <w:rPr>
                <w:sz w:val="6"/>
                <w:szCs w:val="6"/>
                <w:color w:val="auto"/>
              </w:rPr>
            </w:pPr>
          </w:p>
        </w:tc>
        <w:tc>
          <w:tcPr>
            <w:tcW w:w="700" w:type="dxa"/>
            <w:vAlign w:val="bottom"/>
            <w:tcBorders>
              <w:top w:val="single" w:sz="8" w:color="CCEEFF"/>
              <w:bottom w:val="single" w:sz="8" w:color="auto"/>
            </w:tcBorders>
            <w:shd w:val="clear" w:color="auto" w:fill="CCEEFF"/>
          </w:tcPr>
          <w:p>
            <w:pPr>
              <w:spacing w:after="0"/>
              <w:rPr>
                <w:sz w:val="6"/>
                <w:szCs w:val="6"/>
                <w:color w:val="auto"/>
              </w:rPr>
            </w:pPr>
          </w:p>
        </w:tc>
        <w:tc>
          <w:tcPr>
            <w:tcW w:w="400" w:type="dxa"/>
            <w:vAlign w:val="bottom"/>
            <w:tcBorders>
              <w:top w:val="single" w:sz="8" w:color="CCEEFF"/>
              <w:bottom w:val="single" w:sz="8" w:color="auto"/>
            </w:tcBorders>
            <w:shd w:val="clear" w:color="auto" w:fill="CCEEFF"/>
          </w:tcPr>
          <w:p>
            <w:pPr>
              <w:spacing w:after="0"/>
              <w:rPr>
                <w:sz w:val="6"/>
                <w:szCs w:val="6"/>
                <w:color w:val="auto"/>
              </w:rPr>
            </w:pPr>
          </w:p>
        </w:tc>
        <w:tc>
          <w:tcPr>
            <w:tcW w:w="580" w:type="dxa"/>
            <w:vAlign w:val="bottom"/>
            <w:tcBorders>
              <w:top w:val="single" w:sz="8" w:color="CCEEFF"/>
              <w:bottom w:val="single" w:sz="8" w:color="auto"/>
            </w:tcBorders>
            <w:shd w:val="clear" w:color="auto" w:fill="CCEEFF"/>
          </w:tcPr>
          <w:p>
            <w:pPr>
              <w:spacing w:after="0"/>
              <w:rPr>
                <w:sz w:val="6"/>
                <w:szCs w:val="6"/>
                <w:color w:val="auto"/>
              </w:rPr>
            </w:pPr>
          </w:p>
        </w:tc>
        <w:tc>
          <w:tcPr>
            <w:tcW w:w="120" w:type="dxa"/>
            <w:vAlign w:val="bottom"/>
            <w:tcBorders>
              <w:top w:val="single" w:sz="8" w:color="CCEEFF"/>
              <w:bottom w:val="single" w:sz="8" w:color="auto"/>
            </w:tcBorders>
            <w:shd w:val="clear" w:color="auto" w:fill="CCEEFF"/>
          </w:tcPr>
          <w:p>
            <w:pPr>
              <w:spacing w:after="0"/>
              <w:rPr>
                <w:sz w:val="6"/>
                <w:szCs w:val="6"/>
                <w:color w:val="auto"/>
              </w:rPr>
            </w:pPr>
          </w:p>
        </w:tc>
        <w:tc>
          <w:tcPr>
            <w:tcW w:w="340" w:type="dxa"/>
            <w:vAlign w:val="bottom"/>
            <w:tcBorders>
              <w:top w:val="single" w:sz="8" w:color="CCEEFF"/>
              <w:bottom w:val="single" w:sz="8" w:color="auto"/>
              <w:right w:val="single" w:sz="8" w:color="auto"/>
            </w:tcBorders>
            <w:shd w:val="clear" w:color="auto" w:fill="CCEEFF"/>
          </w:tcPr>
          <w:p>
            <w:pPr>
              <w:spacing w:after="0"/>
              <w:rPr>
                <w:sz w:val="6"/>
                <w:szCs w:val="6"/>
                <w:color w:val="auto"/>
              </w:rPr>
            </w:pPr>
          </w:p>
        </w:tc>
        <w:tc>
          <w:tcPr>
            <w:tcW w:w="4520" w:type="dxa"/>
            <w:vAlign w:val="bottom"/>
            <w:tcBorders>
              <w:top w:val="single" w:sz="8" w:color="CCEEFF"/>
              <w:bottom w:val="single" w:sz="8" w:color="auto"/>
              <w:right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7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3"/>
              </w:rPr>
              <w:t>4.1</w:t>
            </w:r>
          </w:p>
        </w:tc>
        <w:tc>
          <w:tcPr>
            <w:tcW w:w="6000" w:type="dxa"/>
            <w:vAlign w:val="bottom"/>
            <w:tcBorders>
              <w:right w:val="single" w:sz="8" w:color="auto"/>
            </w:tcBorders>
            <w:gridSpan w:val="27"/>
            <w:vMerge w:val="restart"/>
          </w:tcPr>
          <w:p>
            <w:pPr>
              <w:spacing w:after="0"/>
              <w:rPr>
                <w:rFonts w:ascii="Times New Roman" w:cs="Times New Roman" w:eastAsia="Times New Roman" w:hAnsi="Times New Roman"/>
                <w:sz w:val="12"/>
                <w:szCs w:val="12"/>
                <w:color w:val="3051F2"/>
              </w:rPr>
            </w:pPr>
            <w:hyperlink r:id="rId68">
              <w:r>
                <w:rPr>
                  <w:rFonts w:ascii="Times New Roman" w:cs="Times New Roman" w:eastAsia="Times New Roman" w:hAnsi="Times New Roman"/>
                  <w:sz w:val="12"/>
                  <w:szCs w:val="12"/>
                  <w:color w:val="3051F2"/>
                </w:rPr>
                <w:t>Description of the Registrant’s Securities registered pursuant to Section 12 of the Securities Exchange Act of 1934</w:t>
              </w:r>
            </w:hyperlink>
          </w:p>
        </w:tc>
        <w:tc>
          <w:tcPr>
            <w:tcW w:w="4520" w:type="dxa"/>
            <w:vAlign w:val="bottom"/>
            <w:tcBorders>
              <w:right w:val="single" w:sz="8" w:color="auto"/>
            </w:tcBorders>
          </w:tcPr>
          <w:p>
            <w:pPr>
              <w:spacing w:after="0" w:line="114" w:lineRule="exact"/>
              <w:rPr>
                <w:sz w:val="20"/>
                <w:szCs w:val="20"/>
                <w:color w:val="auto"/>
              </w:rPr>
            </w:pPr>
            <w:r>
              <w:rPr>
                <w:rFonts w:ascii="Times New Roman" w:cs="Times New Roman" w:eastAsia="Times New Roman" w:hAnsi="Times New Roman"/>
                <w:sz w:val="12"/>
                <w:szCs w:val="12"/>
                <w:color w:val="auto"/>
              </w:rPr>
              <w:t>Incorporated by reference to Exhibit 4.1 of Sun Communities, Inc.'s Annual Report on</w:t>
            </w:r>
          </w:p>
        </w:tc>
        <w:tc>
          <w:tcPr>
            <w:tcW w:w="0" w:type="dxa"/>
            <w:vAlign w:val="bottom"/>
          </w:tcPr>
          <w:p>
            <w:pPr>
              <w:spacing w:after="0"/>
              <w:rPr>
                <w:sz w:val="1"/>
                <w:szCs w:val="1"/>
                <w:color w:val="auto"/>
              </w:rPr>
            </w:pPr>
          </w:p>
        </w:tc>
      </w:tr>
      <w:tr>
        <w:trPr>
          <w:trHeight w:val="69"/>
        </w:trPr>
        <w:tc>
          <w:tcPr>
            <w:tcW w:w="760" w:type="dxa"/>
            <w:vAlign w:val="bottom"/>
            <w:tcBorders>
              <w:left w:val="single" w:sz="8" w:color="auto"/>
              <w:right w:val="single" w:sz="8" w:color="auto"/>
            </w:tcBorders>
            <w:vMerge w:val="continue"/>
          </w:tcPr>
          <w:p>
            <w:pPr>
              <w:spacing w:after="0"/>
              <w:rPr>
                <w:sz w:val="6"/>
                <w:szCs w:val="6"/>
                <w:color w:val="auto"/>
              </w:rPr>
            </w:pPr>
          </w:p>
        </w:tc>
        <w:tc>
          <w:tcPr>
            <w:tcW w:w="6000" w:type="dxa"/>
            <w:vAlign w:val="bottom"/>
            <w:tcBorders>
              <w:right w:val="single" w:sz="8" w:color="auto"/>
            </w:tcBorders>
            <w:gridSpan w:val="27"/>
            <w:vMerge w:val="continue"/>
          </w:tcPr>
          <w:p>
            <w:pPr>
              <w:spacing w:after="0"/>
              <w:rPr>
                <w:sz w:val="6"/>
                <w:szCs w:val="6"/>
                <w:color w:val="auto"/>
              </w:rPr>
            </w:pPr>
          </w:p>
        </w:tc>
        <w:tc>
          <w:tcPr>
            <w:tcW w:w="45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2"/>
                <w:szCs w:val="12"/>
                <w:color w:val="auto"/>
              </w:rPr>
              <w:t>Form 10-K filed for the year ended December 31, 2019</w:t>
            </w:r>
          </w:p>
        </w:tc>
        <w:tc>
          <w:tcPr>
            <w:tcW w:w="0" w:type="dxa"/>
            <w:vAlign w:val="bottom"/>
          </w:tcPr>
          <w:p>
            <w:pPr>
              <w:spacing w:after="0"/>
              <w:rPr>
                <w:sz w:val="1"/>
                <w:szCs w:val="1"/>
                <w:color w:val="auto"/>
              </w:rPr>
            </w:pPr>
          </w:p>
        </w:tc>
      </w:tr>
      <w:tr>
        <w:trPr>
          <w:trHeight w:val="77"/>
        </w:trPr>
        <w:tc>
          <w:tcPr>
            <w:tcW w:w="760" w:type="dxa"/>
            <w:vAlign w:val="bottom"/>
            <w:tcBorders>
              <w:left w:val="single" w:sz="8" w:color="auto"/>
              <w:bottom w:val="single" w:sz="8" w:color="auto"/>
              <w:right w:val="single" w:sz="8" w:color="auto"/>
            </w:tcBorders>
          </w:tcPr>
          <w:p>
            <w:pPr>
              <w:spacing w:after="0"/>
              <w:rPr>
                <w:sz w:val="6"/>
                <w:szCs w:val="6"/>
                <w:color w:val="auto"/>
              </w:rPr>
            </w:pPr>
          </w:p>
        </w:tc>
        <w:tc>
          <w:tcPr>
            <w:tcW w:w="720" w:type="dxa"/>
            <w:vAlign w:val="bottom"/>
            <w:tcBorders>
              <w:top w:val="single" w:sz="8" w:color="3051F2"/>
              <w:bottom w:val="single" w:sz="8" w:color="auto"/>
            </w:tcBorders>
          </w:tcPr>
          <w:p>
            <w:pPr>
              <w:spacing w:after="0"/>
              <w:rPr>
                <w:sz w:val="6"/>
                <w:szCs w:val="6"/>
                <w:color w:val="auto"/>
              </w:rPr>
            </w:pPr>
          </w:p>
        </w:tc>
        <w:tc>
          <w:tcPr>
            <w:tcW w:w="40" w:type="dxa"/>
            <w:vAlign w:val="bottom"/>
            <w:tcBorders>
              <w:top w:val="single" w:sz="8" w:color="3051F2"/>
              <w:bottom w:val="single" w:sz="8" w:color="auto"/>
            </w:tcBorders>
          </w:tcPr>
          <w:p>
            <w:pPr>
              <w:spacing w:after="0"/>
              <w:rPr>
                <w:sz w:val="6"/>
                <w:szCs w:val="6"/>
                <w:color w:val="auto"/>
              </w:rPr>
            </w:pPr>
          </w:p>
        </w:tc>
        <w:tc>
          <w:tcPr>
            <w:tcW w:w="20" w:type="dxa"/>
            <w:vAlign w:val="bottom"/>
            <w:tcBorders>
              <w:top w:val="single" w:sz="8" w:color="3051F2"/>
              <w:bottom w:val="single" w:sz="8" w:color="auto"/>
            </w:tcBorders>
          </w:tcPr>
          <w:p>
            <w:pPr>
              <w:spacing w:after="0"/>
              <w:rPr>
                <w:sz w:val="6"/>
                <w:szCs w:val="6"/>
                <w:color w:val="auto"/>
              </w:rPr>
            </w:pPr>
          </w:p>
        </w:tc>
        <w:tc>
          <w:tcPr>
            <w:tcW w:w="180" w:type="dxa"/>
            <w:vAlign w:val="bottom"/>
            <w:tcBorders>
              <w:top w:val="single" w:sz="8" w:color="3051F2"/>
              <w:bottom w:val="single" w:sz="8" w:color="auto"/>
            </w:tcBorders>
          </w:tcPr>
          <w:p>
            <w:pPr>
              <w:spacing w:after="0"/>
              <w:rPr>
                <w:sz w:val="6"/>
                <w:szCs w:val="6"/>
                <w:color w:val="auto"/>
              </w:rPr>
            </w:pPr>
          </w:p>
        </w:tc>
        <w:tc>
          <w:tcPr>
            <w:tcW w:w="180" w:type="dxa"/>
            <w:vAlign w:val="bottom"/>
            <w:tcBorders>
              <w:top w:val="single" w:sz="8" w:color="3051F2"/>
              <w:bottom w:val="single" w:sz="8" w:color="auto"/>
            </w:tcBorders>
          </w:tcPr>
          <w:p>
            <w:pPr>
              <w:spacing w:after="0"/>
              <w:rPr>
                <w:sz w:val="6"/>
                <w:szCs w:val="6"/>
                <w:color w:val="auto"/>
              </w:rPr>
            </w:pPr>
          </w:p>
        </w:tc>
        <w:tc>
          <w:tcPr>
            <w:tcW w:w="580" w:type="dxa"/>
            <w:vAlign w:val="bottom"/>
            <w:tcBorders>
              <w:top w:val="single" w:sz="8" w:color="3051F2"/>
              <w:bottom w:val="single" w:sz="8" w:color="auto"/>
            </w:tcBorders>
          </w:tcPr>
          <w:p>
            <w:pPr>
              <w:spacing w:after="0"/>
              <w:rPr>
                <w:sz w:val="6"/>
                <w:szCs w:val="6"/>
                <w:color w:val="auto"/>
              </w:rPr>
            </w:pPr>
          </w:p>
        </w:tc>
        <w:tc>
          <w:tcPr>
            <w:tcW w:w="40" w:type="dxa"/>
            <w:vAlign w:val="bottom"/>
            <w:tcBorders>
              <w:top w:val="single" w:sz="8" w:color="3051F2"/>
              <w:bottom w:val="single" w:sz="8" w:color="auto"/>
            </w:tcBorders>
          </w:tcPr>
          <w:p>
            <w:pPr>
              <w:spacing w:after="0"/>
              <w:rPr>
                <w:sz w:val="6"/>
                <w:szCs w:val="6"/>
                <w:color w:val="auto"/>
              </w:rPr>
            </w:pPr>
          </w:p>
        </w:tc>
        <w:tc>
          <w:tcPr>
            <w:tcW w:w="40" w:type="dxa"/>
            <w:vAlign w:val="bottom"/>
            <w:tcBorders>
              <w:top w:val="single" w:sz="8" w:color="3051F2"/>
              <w:bottom w:val="single" w:sz="8" w:color="auto"/>
            </w:tcBorders>
          </w:tcPr>
          <w:p>
            <w:pPr>
              <w:spacing w:after="0"/>
              <w:rPr>
                <w:sz w:val="6"/>
                <w:szCs w:val="6"/>
                <w:color w:val="auto"/>
              </w:rPr>
            </w:pPr>
          </w:p>
        </w:tc>
        <w:tc>
          <w:tcPr>
            <w:tcW w:w="20" w:type="dxa"/>
            <w:vAlign w:val="bottom"/>
            <w:tcBorders>
              <w:top w:val="single" w:sz="8" w:color="3051F2"/>
              <w:bottom w:val="single" w:sz="8" w:color="auto"/>
            </w:tcBorders>
          </w:tcPr>
          <w:p>
            <w:pPr>
              <w:spacing w:after="0"/>
              <w:rPr>
                <w:sz w:val="6"/>
                <w:szCs w:val="6"/>
                <w:color w:val="auto"/>
              </w:rPr>
            </w:pPr>
          </w:p>
        </w:tc>
        <w:tc>
          <w:tcPr>
            <w:tcW w:w="480" w:type="dxa"/>
            <w:vAlign w:val="bottom"/>
            <w:tcBorders>
              <w:top w:val="single" w:sz="8" w:color="3051F2"/>
              <w:bottom w:val="single" w:sz="8" w:color="auto"/>
            </w:tcBorders>
          </w:tcPr>
          <w:p>
            <w:pPr>
              <w:spacing w:after="0"/>
              <w:rPr>
                <w:sz w:val="6"/>
                <w:szCs w:val="6"/>
                <w:color w:val="auto"/>
              </w:rPr>
            </w:pPr>
          </w:p>
        </w:tc>
        <w:tc>
          <w:tcPr>
            <w:tcW w:w="40" w:type="dxa"/>
            <w:vAlign w:val="bottom"/>
            <w:tcBorders>
              <w:top w:val="single" w:sz="8" w:color="3051F2"/>
              <w:bottom w:val="single" w:sz="8" w:color="auto"/>
            </w:tcBorders>
          </w:tcPr>
          <w:p>
            <w:pPr>
              <w:spacing w:after="0"/>
              <w:rPr>
                <w:sz w:val="6"/>
                <w:szCs w:val="6"/>
                <w:color w:val="auto"/>
              </w:rPr>
            </w:pPr>
          </w:p>
        </w:tc>
        <w:tc>
          <w:tcPr>
            <w:tcW w:w="80" w:type="dxa"/>
            <w:vAlign w:val="bottom"/>
            <w:tcBorders>
              <w:top w:val="single" w:sz="8" w:color="3051F2"/>
              <w:bottom w:val="single" w:sz="8" w:color="auto"/>
            </w:tcBorders>
          </w:tcPr>
          <w:p>
            <w:pPr>
              <w:spacing w:after="0"/>
              <w:rPr>
                <w:sz w:val="6"/>
                <w:szCs w:val="6"/>
                <w:color w:val="auto"/>
              </w:rPr>
            </w:pPr>
          </w:p>
        </w:tc>
        <w:tc>
          <w:tcPr>
            <w:tcW w:w="100" w:type="dxa"/>
            <w:vAlign w:val="bottom"/>
            <w:tcBorders>
              <w:top w:val="single" w:sz="8" w:color="3051F2"/>
              <w:bottom w:val="single" w:sz="8" w:color="auto"/>
            </w:tcBorders>
          </w:tcPr>
          <w:p>
            <w:pPr>
              <w:spacing w:after="0"/>
              <w:rPr>
                <w:sz w:val="6"/>
                <w:szCs w:val="6"/>
                <w:color w:val="auto"/>
              </w:rPr>
            </w:pPr>
          </w:p>
        </w:tc>
        <w:tc>
          <w:tcPr>
            <w:tcW w:w="60" w:type="dxa"/>
            <w:vAlign w:val="bottom"/>
            <w:tcBorders>
              <w:top w:val="single" w:sz="8" w:color="3051F2"/>
              <w:bottom w:val="single" w:sz="8" w:color="auto"/>
            </w:tcBorders>
          </w:tcPr>
          <w:p>
            <w:pPr>
              <w:spacing w:after="0"/>
              <w:rPr>
                <w:sz w:val="6"/>
                <w:szCs w:val="6"/>
                <w:color w:val="auto"/>
              </w:rPr>
            </w:pPr>
          </w:p>
        </w:tc>
        <w:tc>
          <w:tcPr>
            <w:tcW w:w="100" w:type="dxa"/>
            <w:vAlign w:val="bottom"/>
            <w:tcBorders>
              <w:top w:val="single" w:sz="8" w:color="3051F2"/>
              <w:bottom w:val="single" w:sz="8" w:color="auto"/>
            </w:tcBorders>
          </w:tcPr>
          <w:p>
            <w:pPr>
              <w:spacing w:after="0"/>
              <w:rPr>
                <w:sz w:val="6"/>
                <w:szCs w:val="6"/>
                <w:color w:val="auto"/>
              </w:rPr>
            </w:pPr>
          </w:p>
        </w:tc>
        <w:tc>
          <w:tcPr>
            <w:tcW w:w="200" w:type="dxa"/>
            <w:vAlign w:val="bottom"/>
            <w:tcBorders>
              <w:top w:val="single" w:sz="8" w:color="3051F2"/>
              <w:bottom w:val="single" w:sz="8" w:color="auto"/>
            </w:tcBorders>
          </w:tcPr>
          <w:p>
            <w:pPr>
              <w:spacing w:after="0"/>
              <w:rPr>
                <w:sz w:val="6"/>
                <w:szCs w:val="6"/>
                <w:color w:val="auto"/>
              </w:rPr>
            </w:pPr>
          </w:p>
        </w:tc>
        <w:tc>
          <w:tcPr>
            <w:tcW w:w="520" w:type="dxa"/>
            <w:vAlign w:val="bottom"/>
            <w:tcBorders>
              <w:top w:val="single" w:sz="8" w:color="3051F2"/>
              <w:bottom w:val="single" w:sz="8" w:color="auto"/>
            </w:tcBorders>
          </w:tcPr>
          <w:p>
            <w:pPr>
              <w:spacing w:after="0"/>
              <w:rPr>
                <w:sz w:val="6"/>
                <w:szCs w:val="6"/>
                <w:color w:val="auto"/>
              </w:rPr>
            </w:pPr>
          </w:p>
        </w:tc>
        <w:tc>
          <w:tcPr>
            <w:tcW w:w="20" w:type="dxa"/>
            <w:vAlign w:val="bottom"/>
            <w:tcBorders>
              <w:top w:val="single" w:sz="8" w:color="3051F2"/>
              <w:bottom w:val="single" w:sz="8" w:color="auto"/>
            </w:tcBorders>
          </w:tcPr>
          <w:p>
            <w:pPr>
              <w:spacing w:after="0"/>
              <w:rPr>
                <w:sz w:val="6"/>
                <w:szCs w:val="6"/>
                <w:color w:val="auto"/>
              </w:rPr>
            </w:pPr>
          </w:p>
        </w:tc>
        <w:tc>
          <w:tcPr>
            <w:tcW w:w="100" w:type="dxa"/>
            <w:vAlign w:val="bottom"/>
            <w:tcBorders>
              <w:top w:val="single" w:sz="8" w:color="3051F2"/>
              <w:bottom w:val="single" w:sz="8" w:color="auto"/>
            </w:tcBorders>
          </w:tcPr>
          <w:p>
            <w:pPr>
              <w:spacing w:after="0"/>
              <w:rPr>
                <w:sz w:val="6"/>
                <w:szCs w:val="6"/>
                <w:color w:val="auto"/>
              </w:rPr>
            </w:pPr>
          </w:p>
        </w:tc>
        <w:tc>
          <w:tcPr>
            <w:tcW w:w="20" w:type="dxa"/>
            <w:vAlign w:val="bottom"/>
            <w:tcBorders>
              <w:top w:val="single" w:sz="8" w:color="3051F2"/>
              <w:bottom w:val="single" w:sz="8" w:color="auto"/>
            </w:tcBorders>
          </w:tcPr>
          <w:p>
            <w:pPr>
              <w:spacing w:after="0"/>
              <w:rPr>
                <w:sz w:val="6"/>
                <w:szCs w:val="6"/>
                <w:color w:val="auto"/>
              </w:rPr>
            </w:pPr>
          </w:p>
        </w:tc>
        <w:tc>
          <w:tcPr>
            <w:tcW w:w="160" w:type="dxa"/>
            <w:vAlign w:val="bottom"/>
            <w:tcBorders>
              <w:top w:val="single" w:sz="8" w:color="3051F2"/>
              <w:bottom w:val="single" w:sz="8" w:color="auto"/>
            </w:tcBorders>
          </w:tcPr>
          <w:p>
            <w:pPr>
              <w:spacing w:after="0"/>
              <w:rPr>
                <w:sz w:val="6"/>
                <w:szCs w:val="6"/>
                <w:color w:val="auto"/>
              </w:rPr>
            </w:pPr>
          </w:p>
        </w:tc>
        <w:tc>
          <w:tcPr>
            <w:tcW w:w="160" w:type="dxa"/>
            <w:vAlign w:val="bottom"/>
            <w:tcBorders>
              <w:top w:val="single" w:sz="8" w:color="3051F2"/>
              <w:bottom w:val="single" w:sz="8" w:color="auto"/>
            </w:tcBorders>
          </w:tcPr>
          <w:p>
            <w:pPr>
              <w:spacing w:after="0"/>
              <w:rPr>
                <w:sz w:val="6"/>
                <w:szCs w:val="6"/>
                <w:color w:val="auto"/>
              </w:rPr>
            </w:pPr>
          </w:p>
        </w:tc>
        <w:tc>
          <w:tcPr>
            <w:tcW w:w="700" w:type="dxa"/>
            <w:vAlign w:val="bottom"/>
            <w:tcBorders>
              <w:top w:val="single" w:sz="8" w:color="3051F2"/>
              <w:bottom w:val="single" w:sz="8" w:color="auto"/>
            </w:tcBorders>
          </w:tcPr>
          <w:p>
            <w:pPr>
              <w:spacing w:after="0"/>
              <w:rPr>
                <w:sz w:val="6"/>
                <w:szCs w:val="6"/>
                <w:color w:val="auto"/>
              </w:rPr>
            </w:pPr>
          </w:p>
        </w:tc>
        <w:tc>
          <w:tcPr>
            <w:tcW w:w="400" w:type="dxa"/>
            <w:vAlign w:val="bottom"/>
            <w:tcBorders>
              <w:top w:val="single" w:sz="8" w:color="3051F2"/>
              <w:bottom w:val="single" w:sz="8" w:color="auto"/>
            </w:tcBorders>
          </w:tcPr>
          <w:p>
            <w:pPr>
              <w:spacing w:after="0"/>
              <w:rPr>
                <w:sz w:val="6"/>
                <w:szCs w:val="6"/>
                <w:color w:val="auto"/>
              </w:rPr>
            </w:pPr>
          </w:p>
        </w:tc>
        <w:tc>
          <w:tcPr>
            <w:tcW w:w="580" w:type="dxa"/>
            <w:vAlign w:val="bottom"/>
            <w:tcBorders>
              <w:top w:val="single" w:sz="8" w:color="3051F2"/>
              <w:bottom w:val="single" w:sz="8" w:color="auto"/>
            </w:tcBorders>
          </w:tcPr>
          <w:p>
            <w:pPr>
              <w:spacing w:after="0"/>
              <w:rPr>
                <w:sz w:val="6"/>
                <w:szCs w:val="6"/>
                <w:color w:val="auto"/>
              </w:rPr>
            </w:pPr>
          </w:p>
        </w:tc>
        <w:tc>
          <w:tcPr>
            <w:tcW w:w="120" w:type="dxa"/>
            <w:vAlign w:val="bottom"/>
            <w:tcBorders>
              <w:top w:val="single" w:sz="8" w:color="3051F2"/>
              <w:bottom w:val="single" w:sz="8" w:color="auto"/>
            </w:tcBorders>
          </w:tcPr>
          <w:p>
            <w:pPr>
              <w:spacing w:after="0"/>
              <w:rPr>
                <w:sz w:val="6"/>
                <w:szCs w:val="6"/>
                <w:color w:val="auto"/>
              </w:rPr>
            </w:pPr>
          </w:p>
        </w:tc>
        <w:tc>
          <w:tcPr>
            <w:tcW w:w="340" w:type="dxa"/>
            <w:vAlign w:val="bottom"/>
            <w:tcBorders>
              <w:bottom w:val="single" w:sz="8" w:color="auto"/>
              <w:right w:val="single" w:sz="8" w:color="auto"/>
            </w:tcBorders>
          </w:tcPr>
          <w:p>
            <w:pPr>
              <w:spacing w:after="0"/>
              <w:rPr>
                <w:sz w:val="6"/>
                <w:szCs w:val="6"/>
                <w:color w:val="auto"/>
              </w:rPr>
            </w:pPr>
          </w:p>
        </w:tc>
        <w:tc>
          <w:tcPr>
            <w:tcW w:w="45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76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3"/>
              </w:rPr>
              <w:t>4.2</w:t>
            </w:r>
          </w:p>
        </w:tc>
        <w:tc>
          <w:tcPr>
            <w:tcW w:w="6000" w:type="dxa"/>
            <w:vAlign w:val="bottom"/>
            <w:tcBorders>
              <w:right w:val="single" w:sz="8" w:color="auto"/>
            </w:tcBorders>
            <w:gridSpan w:val="27"/>
            <w:shd w:val="clear" w:color="auto" w:fill="CCEEFF"/>
          </w:tcPr>
          <w:p>
            <w:pPr>
              <w:spacing w:after="0" w:line="126" w:lineRule="exact"/>
              <w:rPr>
                <w:rFonts w:ascii="Times New Roman" w:cs="Times New Roman" w:eastAsia="Times New Roman" w:hAnsi="Times New Roman"/>
                <w:sz w:val="12"/>
                <w:szCs w:val="12"/>
                <w:color w:val="3051F2"/>
              </w:rPr>
            </w:pPr>
            <w:hyperlink r:id="rId69">
              <w:r>
                <w:rPr>
                  <w:rFonts w:ascii="Times New Roman" w:cs="Times New Roman" w:eastAsia="Times New Roman" w:hAnsi="Times New Roman"/>
                  <w:sz w:val="12"/>
                  <w:szCs w:val="12"/>
                  <w:color w:val="3051F2"/>
                </w:rPr>
                <w:t>Indenture, dated as of June 28, 2021 by and between Sun Communities Operating Limited Partnership and UMB Bank,</w:t>
              </w:r>
            </w:hyperlink>
          </w:p>
        </w:tc>
        <w:tc>
          <w:tcPr>
            <w:tcW w:w="4520" w:type="dxa"/>
            <w:vAlign w:val="bottom"/>
            <w:tcBorders>
              <w:right w:val="single" w:sz="8" w:color="auto"/>
            </w:tcBorders>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Incorporated by reference to Exhibit 4.1 of Sun Communities Inc.'s Current Report on</w:t>
            </w:r>
          </w:p>
        </w:tc>
        <w:tc>
          <w:tcPr>
            <w:tcW w:w="0" w:type="dxa"/>
            <w:vAlign w:val="bottom"/>
          </w:tcPr>
          <w:p>
            <w:pPr>
              <w:spacing w:after="0"/>
              <w:rPr>
                <w:sz w:val="1"/>
                <w:szCs w:val="1"/>
                <w:color w:val="auto"/>
              </w:rPr>
            </w:pPr>
          </w:p>
        </w:tc>
      </w:tr>
      <w:tr>
        <w:trPr>
          <w:trHeight w:val="71"/>
        </w:trPr>
        <w:tc>
          <w:tcPr>
            <w:tcW w:w="760" w:type="dxa"/>
            <w:vAlign w:val="bottom"/>
            <w:tcBorders>
              <w:top w:val="single" w:sz="8" w:color="CCEEFF"/>
              <w:left w:val="single" w:sz="8" w:color="auto"/>
              <w:right w:val="single" w:sz="8" w:color="auto"/>
            </w:tcBorders>
            <w:vMerge w:val="continue"/>
            <w:shd w:val="clear" w:color="auto" w:fill="CCEEFF"/>
          </w:tcPr>
          <w:p>
            <w:pPr>
              <w:spacing w:after="0"/>
              <w:rPr>
                <w:sz w:val="6"/>
                <w:szCs w:val="6"/>
                <w:color w:val="auto"/>
              </w:rPr>
            </w:pPr>
          </w:p>
        </w:tc>
        <w:tc>
          <w:tcPr>
            <w:tcW w:w="5540" w:type="dxa"/>
            <w:vAlign w:val="bottom"/>
            <w:tcBorders>
              <w:top w:val="single" w:sz="8" w:color="3051F2"/>
            </w:tcBorders>
            <w:gridSpan w:val="25"/>
            <w:vMerge w:val="restart"/>
            <w:shd w:val="clear" w:color="auto" w:fill="CCEEFF"/>
          </w:tcPr>
          <w:p>
            <w:pPr>
              <w:spacing w:after="0" w:line="128" w:lineRule="exact"/>
              <w:rPr>
                <w:rFonts w:ascii="Times New Roman" w:cs="Times New Roman" w:eastAsia="Times New Roman" w:hAnsi="Times New Roman"/>
                <w:sz w:val="12"/>
                <w:szCs w:val="12"/>
                <w:color w:val="3051F2"/>
              </w:rPr>
            </w:pPr>
            <w:hyperlink r:id="rId69">
              <w:r>
                <w:rPr>
                  <w:rFonts w:ascii="Times New Roman" w:cs="Times New Roman" w:eastAsia="Times New Roman" w:hAnsi="Times New Roman"/>
                  <w:sz w:val="12"/>
                  <w:szCs w:val="12"/>
                  <w:color w:val="3051F2"/>
                </w:rPr>
                <w:t>N.A. as trustee.</w:t>
              </w:r>
            </w:hyperlink>
          </w:p>
        </w:tc>
        <w:tc>
          <w:tcPr>
            <w:tcW w:w="120" w:type="dxa"/>
            <w:vAlign w:val="bottom"/>
            <w:tcBorders>
              <w:top w:val="single" w:sz="8" w:color="3051F2"/>
            </w:tcBorders>
            <w:shd w:val="clear" w:color="auto" w:fill="CCEEFF"/>
          </w:tcPr>
          <w:p>
            <w:pPr>
              <w:spacing w:after="0"/>
              <w:rPr>
                <w:sz w:val="6"/>
                <w:szCs w:val="6"/>
                <w:color w:val="auto"/>
              </w:rPr>
            </w:pPr>
          </w:p>
        </w:tc>
        <w:tc>
          <w:tcPr>
            <w:tcW w:w="340" w:type="dxa"/>
            <w:vAlign w:val="bottom"/>
            <w:tcBorders>
              <w:top w:val="single" w:sz="8" w:color="3051F2"/>
              <w:right w:val="single" w:sz="8" w:color="auto"/>
            </w:tcBorders>
            <w:shd w:val="clear" w:color="auto" w:fill="CCEEFF"/>
          </w:tcPr>
          <w:p>
            <w:pPr>
              <w:spacing w:after="0"/>
              <w:rPr>
                <w:sz w:val="6"/>
                <w:szCs w:val="6"/>
                <w:color w:val="auto"/>
              </w:rPr>
            </w:pPr>
          </w:p>
        </w:tc>
        <w:tc>
          <w:tcPr>
            <w:tcW w:w="4520" w:type="dxa"/>
            <w:vAlign w:val="bottom"/>
            <w:tcBorders>
              <w:top w:val="single" w:sz="8" w:color="CCEEFF"/>
              <w:right w:val="single" w:sz="8" w:color="auto"/>
            </w:tcBorders>
            <w:vMerge w:val="restart"/>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Form 8-K filed on June 28, 2021</w:t>
            </w:r>
          </w:p>
        </w:tc>
        <w:tc>
          <w:tcPr>
            <w:tcW w:w="0" w:type="dxa"/>
            <w:vAlign w:val="bottom"/>
          </w:tcPr>
          <w:p>
            <w:pPr>
              <w:spacing w:after="0"/>
              <w:rPr>
                <w:sz w:val="1"/>
                <w:szCs w:val="1"/>
                <w:color w:val="auto"/>
              </w:rPr>
            </w:pPr>
          </w:p>
        </w:tc>
      </w:tr>
      <w:tr>
        <w:trPr>
          <w:trHeight w:val="103"/>
        </w:trPr>
        <w:tc>
          <w:tcPr>
            <w:tcW w:w="760" w:type="dxa"/>
            <w:vAlign w:val="bottom"/>
            <w:tcBorders>
              <w:left w:val="single" w:sz="8" w:color="auto"/>
              <w:bottom w:val="single" w:sz="8" w:color="auto"/>
              <w:right w:val="single" w:sz="8" w:color="auto"/>
            </w:tcBorders>
            <w:shd w:val="clear" w:color="auto" w:fill="CCEEFF"/>
          </w:tcPr>
          <w:p>
            <w:pPr>
              <w:spacing w:after="0"/>
              <w:rPr>
                <w:sz w:val="8"/>
                <w:szCs w:val="8"/>
                <w:color w:val="auto"/>
              </w:rPr>
            </w:pPr>
          </w:p>
        </w:tc>
        <w:tc>
          <w:tcPr>
            <w:tcW w:w="5540" w:type="dxa"/>
            <w:vAlign w:val="bottom"/>
            <w:tcBorders>
              <w:bottom w:val="single" w:sz="8" w:color="auto"/>
            </w:tcBorders>
            <w:gridSpan w:val="25"/>
            <w:vMerge w:val="continue"/>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340" w:type="dxa"/>
            <w:vAlign w:val="bottom"/>
            <w:tcBorders>
              <w:bottom w:val="single" w:sz="8" w:color="auto"/>
              <w:right w:val="single" w:sz="8" w:color="auto"/>
            </w:tcBorders>
            <w:shd w:val="clear" w:color="auto" w:fill="CCEEFF"/>
          </w:tcPr>
          <w:p>
            <w:pPr>
              <w:spacing w:after="0"/>
              <w:rPr>
                <w:sz w:val="8"/>
                <w:szCs w:val="8"/>
                <w:color w:val="auto"/>
              </w:rPr>
            </w:pPr>
          </w:p>
        </w:tc>
        <w:tc>
          <w:tcPr>
            <w:tcW w:w="4520" w:type="dxa"/>
            <w:vAlign w:val="bottom"/>
            <w:tcBorders>
              <w:bottom w:val="single" w:sz="8" w:color="auto"/>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7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3"/>
              </w:rPr>
              <w:t>4.3</w:t>
            </w:r>
          </w:p>
        </w:tc>
        <w:tc>
          <w:tcPr>
            <w:tcW w:w="5540" w:type="dxa"/>
            <w:vAlign w:val="bottom"/>
            <w:gridSpan w:val="25"/>
          </w:tcPr>
          <w:p>
            <w:pPr>
              <w:spacing w:after="0" w:line="119" w:lineRule="exact"/>
              <w:rPr>
                <w:rFonts w:ascii="Times New Roman" w:cs="Times New Roman" w:eastAsia="Times New Roman" w:hAnsi="Times New Roman"/>
                <w:sz w:val="12"/>
                <w:szCs w:val="12"/>
                <w:color w:val="3051F2"/>
              </w:rPr>
            </w:pPr>
            <w:hyperlink r:id="rId69">
              <w:r>
                <w:rPr>
                  <w:rFonts w:ascii="Times New Roman" w:cs="Times New Roman" w:eastAsia="Times New Roman" w:hAnsi="Times New Roman"/>
                  <w:sz w:val="12"/>
                  <w:szCs w:val="12"/>
                  <w:color w:val="3051F2"/>
                </w:rPr>
                <w:t>First Supplemental Indenture, dated as of June 28, 2021 by and among Sun Communities Operating</w:t>
              </w:r>
            </w:hyperlink>
          </w:p>
        </w:tc>
        <w:tc>
          <w:tcPr>
            <w:tcW w:w="460" w:type="dxa"/>
            <w:vAlign w:val="bottom"/>
            <w:tcBorders>
              <w:right w:val="single" w:sz="8" w:color="auto"/>
            </w:tcBorders>
            <w:gridSpan w:val="2"/>
          </w:tcPr>
          <w:p>
            <w:pPr>
              <w:ind w:left="40"/>
              <w:spacing w:after="0" w:line="119" w:lineRule="exact"/>
              <w:rPr>
                <w:rFonts w:ascii="Times New Roman" w:cs="Times New Roman" w:eastAsia="Times New Roman" w:hAnsi="Times New Roman"/>
                <w:sz w:val="12"/>
                <w:szCs w:val="12"/>
                <w:color w:val="3051F2"/>
                <w:w w:val="99"/>
              </w:rPr>
            </w:pPr>
            <w:hyperlink r:id="rId69">
              <w:r>
                <w:rPr>
                  <w:rFonts w:ascii="Times New Roman" w:cs="Times New Roman" w:eastAsia="Times New Roman" w:hAnsi="Times New Roman"/>
                  <w:sz w:val="12"/>
                  <w:szCs w:val="12"/>
                  <w:color w:val="3051F2"/>
                  <w:w w:val="99"/>
                </w:rPr>
                <w:t>Limited</w:t>
              </w:r>
            </w:hyperlink>
          </w:p>
        </w:tc>
        <w:tc>
          <w:tcPr>
            <w:tcW w:w="4520" w:type="dxa"/>
            <w:vAlign w:val="bottom"/>
            <w:tcBorders>
              <w:right w:val="single" w:sz="8" w:color="auto"/>
            </w:tcBorders>
          </w:tcPr>
          <w:p>
            <w:pPr>
              <w:spacing w:after="0" w:line="119" w:lineRule="exact"/>
              <w:rPr>
                <w:sz w:val="20"/>
                <w:szCs w:val="20"/>
                <w:color w:val="auto"/>
              </w:rPr>
            </w:pPr>
            <w:r>
              <w:rPr>
                <w:rFonts w:ascii="Times New Roman" w:cs="Times New Roman" w:eastAsia="Times New Roman" w:hAnsi="Times New Roman"/>
                <w:sz w:val="12"/>
                <w:szCs w:val="12"/>
                <w:color w:val="auto"/>
              </w:rPr>
              <w:t>Incorporated by reference to Exhibit 4.2 of Sun Communities Inc.'s Current Report on</w:t>
            </w:r>
          </w:p>
        </w:tc>
        <w:tc>
          <w:tcPr>
            <w:tcW w:w="0" w:type="dxa"/>
            <w:vAlign w:val="bottom"/>
          </w:tcPr>
          <w:p>
            <w:pPr>
              <w:spacing w:after="0"/>
              <w:rPr>
                <w:sz w:val="1"/>
                <w:szCs w:val="1"/>
                <w:color w:val="auto"/>
              </w:rPr>
            </w:pPr>
          </w:p>
        </w:tc>
      </w:tr>
      <w:tr>
        <w:trPr>
          <w:trHeight w:val="71"/>
        </w:trPr>
        <w:tc>
          <w:tcPr>
            <w:tcW w:w="760" w:type="dxa"/>
            <w:vAlign w:val="bottom"/>
            <w:tcBorders>
              <w:left w:val="single" w:sz="8" w:color="auto"/>
              <w:right w:val="single" w:sz="8" w:color="auto"/>
            </w:tcBorders>
            <w:vMerge w:val="continue"/>
          </w:tcPr>
          <w:p>
            <w:pPr>
              <w:spacing w:after="0"/>
              <w:rPr>
                <w:sz w:val="6"/>
                <w:szCs w:val="6"/>
                <w:color w:val="auto"/>
              </w:rPr>
            </w:pPr>
          </w:p>
        </w:tc>
        <w:tc>
          <w:tcPr>
            <w:tcW w:w="5540" w:type="dxa"/>
            <w:vAlign w:val="bottom"/>
            <w:tcBorders>
              <w:top w:val="single" w:sz="8" w:color="3051F2"/>
            </w:tcBorders>
            <w:gridSpan w:val="25"/>
            <w:vMerge w:val="restart"/>
          </w:tcPr>
          <w:p>
            <w:pPr>
              <w:spacing w:after="0" w:line="128" w:lineRule="exact"/>
              <w:rPr>
                <w:rFonts w:ascii="Times New Roman" w:cs="Times New Roman" w:eastAsia="Times New Roman" w:hAnsi="Times New Roman"/>
                <w:sz w:val="12"/>
                <w:szCs w:val="12"/>
                <w:color w:val="3051F2"/>
              </w:rPr>
            </w:pPr>
            <w:hyperlink r:id="rId69">
              <w:r>
                <w:rPr>
                  <w:rFonts w:ascii="Times New Roman" w:cs="Times New Roman" w:eastAsia="Times New Roman" w:hAnsi="Times New Roman"/>
                  <w:sz w:val="12"/>
                  <w:szCs w:val="12"/>
                  <w:color w:val="3051F2"/>
                </w:rPr>
                <w:t>Partnership, Sun Communities, Inc., and UMB Bank, N.A. as trustee.</w:t>
              </w:r>
            </w:hyperlink>
          </w:p>
        </w:tc>
        <w:tc>
          <w:tcPr>
            <w:tcW w:w="120" w:type="dxa"/>
            <w:vAlign w:val="bottom"/>
            <w:tcBorders>
              <w:top w:val="single" w:sz="8" w:color="3051F2"/>
            </w:tcBorders>
          </w:tcPr>
          <w:p>
            <w:pPr>
              <w:spacing w:after="0"/>
              <w:rPr>
                <w:sz w:val="6"/>
                <w:szCs w:val="6"/>
                <w:color w:val="auto"/>
              </w:rPr>
            </w:pPr>
          </w:p>
        </w:tc>
        <w:tc>
          <w:tcPr>
            <w:tcW w:w="340" w:type="dxa"/>
            <w:vAlign w:val="bottom"/>
            <w:tcBorders>
              <w:top w:val="single" w:sz="8" w:color="3051F2"/>
              <w:right w:val="single" w:sz="8" w:color="auto"/>
            </w:tcBorders>
          </w:tcPr>
          <w:p>
            <w:pPr>
              <w:spacing w:after="0"/>
              <w:rPr>
                <w:sz w:val="6"/>
                <w:szCs w:val="6"/>
                <w:color w:val="auto"/>
              </w:rPr>
            </w:pPr>
          </w:p>
        </w:tc>
        <w:tc>
          <w:tcPr>
            <w:tcW w:w="4520" w:type="dxa"/>
            <w:vAlign w:val="bottom"/>
            <w:tcBorders>
              <w:right w:val="single" w:sz="8" w:color="auto"/>
            </w:tcBorders>
            <w:vMerge w:val="restart"/>
          </w:tcPr>
          <w:p>
            <w:pPr>
              <w:spacing w:after="0" w:line="128" w:lineRule="exact"/>
              <w:rPr>
                <w:sz w:val="20"/>
                <w:szCs w:val="20"/>
                <w:color w:val="auto"/>
              </w:rPr>
            </w:pPr>
            <w:r>
              <w:rPr>
                <w:rFonts w:ascii="Times New Roman" w:cs="Times New Roman" w:eastAsia="Times New Roman" w:hAnsi="Times New Roman"/>
                <w:sz w:val="12"/>
                <w:szCs w:val="12"/>
                <w:color w:val="auto"/>
              </w:rPr>
              <w:t>Form 8-K filed on June 28, 2021</w:t>
            </w:r>
          </w:p>
        </w:tc>
        <w:tc>
          <w:tcPr>
            <w:tcW w:w="0" w:type="dxa"/>
            <w:vAlign w:val="bottom"/>
          </w:tcPr>
          <w:p>
            <w:pPr>
              <w:spacing w:after="0"/>
              <w:rPr>
                <w:sz w:val="1"/>
                <w:szCs w:val="1"/>
                <w:color w:val="auto"/>
              </w:rPr>
            </w:pPr>
          </w:p>
        </w:tc>
      </w:tr>
      <w:tr>
        <w:trPr>
          <w:trHeight w:val="57"/>
        </w:trPr>
        <w:tc>
          <w:tcPr>
            <w:tcW w:w="760" w:type="dxa"/>
            <w:vAlign w:val="bottom"/>
            <w:tcBorders>
              <w:left w:val="single" w:sz="8" w:color="auto"/>
              <w:right w:val="single" w:sz="8" w:color="auto"/>
            </w:tcBorders>
          </w:tcPr>
          <w:p>
            <w:pPr>
              <w:spacing w:after="0"/>
              <w:rPr>
                <w:sz w:val="4"/>
                <w:szCs w:val="4"/>
                <w:color w:val="auto"/>
              </w:rPr>
            </w:pPr>
          </w:p>
        </w:tc>
        <w:tc>
          <w:tcPr>
            <w:tcW w:w="5540" w:type="dxa"/>
            <w:vAlign w:val="bottom"/>
            <w:gridSpan w:val="25"/>
            <w:vMerge w:val="continue"/>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Borders>
              <w:right w:val="single" w:sz="8" w:color="auto"/>
            </w:tcBorders>
          </w:tcPr>
          <w:p>
            <w:pPr>
              <w:spacing w:after="0"/>
              <w:rPr>
                <w:sz w:val="4"/>
                <w:szCs w:val="4"/>
                <w:color w:val="auto"/>
              </w:rPr>
            </w:pPr>
          </w:p>
        </w:tc>
        <w:tc>
          <w:tcPr>
            <w:tcW w:w="452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760" w:type="dxa"/>
            <w:vAlign w:val="bottom"/>
            <w:tcBorders>
              <w:left w:val="single" w:sz="8" w:color="auto"/>
              <w:bottom w:val="single" w:sz="8" w:color="auto"/>
              <w:right w:val="single" w:sz="8" w:color="auto"/>
            </w:tcBorders>
          </w:tcPr>
          <w:p>
            <w:pPr>
              <w:spacing w:after="0"/>
              <w:rPr>
                <w:sz w:val="2"/>
                <w:szCs w:val="2"/>
                <w:color w:val="auto"/>
              </w:rPr>
            </w:pPr>
          </w:p>
        </w:tc>
        <w:tc>
          <w:tcPr>
            <w:tcW w:w="720" w:type="dxa"/>
            <w:vAlign w:val="bottom"/>
            <w:tcBorders>
              <w:top w:val="single" w:sz="8" w:color="3051F2"/>
              <w:bottom w:val="single" w:sz="8" w:color="auto"/>
            </w:tcBorders>
          </w:tcPr>
          <w:p>
            <w:pPr>
              <w:spacing w:after="0"/>
              <w:rPr>
                <w:sz w:val="2"/>
                <w:szCs w:val="2"/>
                <w:color w:val="auto"/>
              </w:rPr>
            </w:pPr>
          </w:p>
        </w:tc>
        <w:tc>
          <w:tcPr>
            <w:tcW w:w="40" w:type="dxa"/>
            <w:vAlign w:val="bottom"/>
            <w:tcBorders>
              <w:top w:val="single" w:sz="8" w:color="3051F2"/>
              <w:bottom w:val="single" w:sz="8" w:color="auto"/>
            </w:tcBorders>
          </w:tcPr>
          <w:p>
            <w:pPr>
              <w:spacing w:after="0"/>
              <w:rPr>
                <w:sz w:val="2"/>
                <w:szCs w:val="2"/>
                <w:color w:val="auto"/>
              </w:rPr>
            </w:pPr>
          </w:p>
        </w:tc>
        <w:tc>
          <w:tcPr>
            <w:tcW w:w="20" w:type="dxa"/>
            <w:vAlign w:val="bottom"/>
            <w:tcBorders>
              <w:top w:val="single" w:sz="8" w:color="3051F2"/>
              <w:bottom w:val="single" w:sz="8" w:color="auto"/>
            </w:tcBorders>
          </w:tcPr>
          <w:p>
            <w:pPr>
              <w:spacing w:after="0"/>
              <w:rPr>
                <w:sz w:val="2"/>
                <w:szCs w:val="2"/>
                <w:color w:val="auto"/>
              </w:rPr>
            </w:pPr>
          </w:p>
        </w:tc>
        <w:tc>
          <w:tcPr>
            <w:tcW w:w="180" w:type="dxa"/>
            <w:vAlign w:val="bottom"/>
            <w:tcBorders>
              <w:top w:val="single" w:sz="8" w:color="3051F2"/>
              <w:bottom w:val="single" w:sz="8" w:color="auto"/>
            </w:tcBorders>
          </w:tcPr>
          <w:p>
            <w:pPr>
              <w:spacing w:after="0"/>
              <w:rPr>
                <w:sz w:val="2"/>
                <w:szCs w:val="2"/>
                <w:color w:val="auto"/>
              </w:rPr>
            </w:pPr>
          </w:p>
        </w:tc>
        <w:tc>
          <w:tcPr>
            <w:tcW w:w="180" w:type="dxa"/>
            <w:vAlign w:val="bottom"/>
            <w:tcBorders>
              <w:top w:val="single" w:sz="8" w:color="3051F2"/>
              <w:bottom w:val="single" w:sz="8" w:color="auto"/>
            </w:tcBorders>
          </w:tcPr>
          <w:p>
            <w:pPr>
              <w:spacing w:after="0"/>
              <w:rPr>
                <w:sz w:val="2"/>
                <w:szCs w:val="2"/>
                <w:color w:val="auto"/>
              </w:rPr>
            </w:pPr>
          </w:p>
        </w:tc>
        <w:tc>
          <w:tcPr>
            <w:tcW w:w="580" w:type="dxa"/>
            <w:vAlign w:val="bottom"/>
            <w:tcBorders>
              <w:top w:val="single" w:sz="8" w:color="3051F2"/>
              <w:bottom w:val="single" w:sz="8" w:color="auto"/>
            </w:tcBorders>
          </w:tcPr>
          <w:p>
            <w:pPr>
              <w:spacing w:after="0"/>
              <w:rPr>
                <w:sz w:val="2"/>
                <w:szCs w:val="2"/>
                <w:color w:val="auto"/>
              </w:rPr>
            </w:pPr>
          </w:p>
        </w:tc>
        <w:tc>
          <w:tcPr>
            <w:tcW w:w="40" w:type="dxa"/>
            <w:vAlign w:val="bottom"/>
            <w:tcBorders>
              <w:top w:val="single" w:sz="8" w:color="3051F2"/>
              <w:bottom w:val="single" w:sz="8" w:color="auto"/>
            </w:tcBorders>
          </w:tcPr>
          <w:p>
            <w:pPr>
              <w:spacing w:after="0"/>
              <w:rPr>
                <w:sz w:val="2"/>
                <w:szCs w:val="2"/>
                <w:color w:val="auto"/>
              </w:rPr>
            </w:pPr>
          </w:p>
        </w:tc>
        <w:tc>
          <w:tcPr>
            <w:tcW w:w="40" w:type="dxa"/>
            <w:vAlign w:val="bottom"/>
            <w:tcBorders>
              <w:top w:val="single" w:sz="8" w:color="3051F2"/>
              <w:bottom w:val="single" w:sz="8" w:color="auto"/>
            </w:tcBorders>
          </w:tcPr>
          <w:p>
            <w:pPr>
              <w:spacing w:after="0"/>
              <w:rPr>
                <w:sz w:val="2"/>
                <w:szCs w:val="2"/>
                <w:color w:val="auto"/>
              </w:rPr>
            </w:pPr>
          </w:p>
        </w:tc>
        <w:tc>
          <w:tcPr>
            <w:tcW w:w="20" w:type="dxa"/>
            <w:vAlign w:val="bottom"/>
            <w:tcBorders>
              <w:top w:val="single" w:sz="8" w:color="3051F2"/>
              <w:bottom w:val="single" w:sz="8" w:color="auto"/>
            </w:tcBorders>
          </w:tcPr>
          <w:p>
            <w:pPr>
              <w:spacing w:after="0"/>
              <w:rPr>
                <w:sz w:val="2"/>
                <w:szCs w:val="2"/>
                <w:color w:val="auto"/>
              </w:rPr>
            </w:pPr>
          </w:p>
        </w:tc>
        <w:tc>
          <w:tcPr>
            <w:tcW w:w="480" w:type="dxa"/>
            <w:vAlign w:val="bottom"/>
            <w:tcBorders>
              <w:top w:val="single" w:sz="8" w:color="3051F2"/>
              <w:bottom w:val="single" w:sz="8" w:color="auto"/>
            </w:tcBorders>
          </w:tcPr>
          <w:p>
            <w:pPr>
              <w:spacing w:after="0"/>
              <w:rPr>
                <w:sz w:val="2"/>
                <w:szCs w:val="2"/>
                <w:color w:val="auto"/>
              </w:rPr>
            </w:pPr>
          </w:p>
        </w:tc>
        <w:tc>
          <w:tcPr>
            <w:tcW w:w="40" w:type="dxa"/>
            <w:vAlign w:val="bottom"/>
            <w:tcBorders>
              <w:top w:val="single" w:sz="8" w:color="3051F2"/>
              <w:bottom w:val="single" w:sz="8" w:color="auto"/>
            </w:tcBorders>
          </w:tcPr>
          <w:p>
            <w:pPr>
              <w:spacing w:after="0"/>
              <w:rPr>
                <w:sz w:val="2"/>
                <w:szCs w:val="2"/>
                <w:color w:val="auto"/>
              </w:rPr>
            </w:pPr>
          </w:p>
        </w:tc>
        <w:tc>
          <w:tcPr>
            <w:tcW w:w="80" w:type="dxa"/>
            <w:vAlign w:val="bottom"/>
            <w:tcBorders>
              <w:top w:val="single" w:sz="8" w:color="3051F2"/>
              <w:bottom w:val="single" w:sz="8" w:color="auto"/>
            </w:tcBorders>
          </w:tcPr>
          <w:p>
            <w:pPr>
              <w:spacing w:after="0"/>
              <w:rPr>
                <w:sz w:val="2"/>
                <w:szCs w:val="2"/>
                <w:color w:val="auto"/>
              </w:rPr>
            </w:pPr>
          </w:p>
        </w:tc>
        <w:tc>
          <w:tcPr>
            <w:tcW w:w="100" w:type="dxa"/>
            <w:vAlign w:val="bottom"/>
            <w:tcBorders>
              <w:top w:val="single" w:sz="8" w:color="3051F2"/>
              <w:bottom w:val="single" w:sz="8" w:color="auto"/>
            </w:tcBorders>
          </w:tcPr>
          <w:p>
            <w:pPr>
              <w:spacing w:after="0"/>
              <w:rPr>
                <w:sz w:val="2"/>
                <w:szCs w:val="2"/>
                <w:color w:val="auto"/>
              </w:rPr>
            </w:pPr>
          </w:p>
        </w:tc>
        <w:tc>
          <w:tcPr>
            <w:tcW w:w="60" w:type="dxa"/>
            <w:vAlign w:val="bottom"/>
            <w:tcBorders>
              <w:top w:val="single" w:sz="8" w:color="3051F2"/>
              <w:bottom w:val="single" w:sz="8" w:color="auto"/>
            </w:tcBorders>
          </w:tcPr>
          <w:p>
            <w:pPr>
              <w:spacing w:after="0"/>
              <w:rPr>
                <w:sz w:val="2"/>
                <w:szCs w:val="2"/>
                <w:color w:val="auto"/>
              </w:rPr>
            </w:pPr>
          </w:p>
        </w:tc>
        <w:tc>
          <w:tcPr>
            <w:tcW w:w="100" w:type="dxa"/>
            <w:vAlign w:val="bottom"/>
            <w:tcBorders>
              <w:top w:val="single" w:sz="8" w:color="3051F2"/>
              <w:bottom w:val="single" w:sz="8" w:color="auto"/>
            </w:tcBorders>
          </w:tcPr>
          <w:p>
            <w:pPr>
              <w:spacing w:after="0"/>
              <w:rPr>
                <w:sz w:val="2"/>
                <w:szCs w:val="2"/>
                <w:color w:val="auto"/>
              </w:rPr>
            </w:pPr>
          </w:p>
        </w:tc>
        <w:tc>
          <w:tcPr>
            <w:tcW w:w="200" w:type="dxa"/>
            <w:vAlign w:val="bottom"/>
            <w:tcBorders>
              <w:top w:val="single" w:sz="8" w:color="3051F2"/>
              <w:bottom w:val="single" w:sz="8" w:color="auto"/>
            </w:tcBorders>
          </w:tcPr>
          <w:p>
            <w:pPr>
              <w:spacing w:after="0"/>
              <w:rPr>
                <w:sz w:val="2"/>
                <w:szCs w:val="2"/>
                <w:color w:val="auto"/>
              </w:rPr>
            </w:pPr>
          </w:p>
        </w:tc>
        <w:tc>
          <w:tcPr>
            <w:tcW w:w="520" w:type="dxa"/>
            <w:vAlign w:val="bottom"/>
            <w:tcBorders>
              <w:top w:val="single" w:sz="8" w:color="3051F2"/>
              <w:bottom w:val="single" w:sz="8" w:color="auto"/>
            </w:tcBorders>
          </w:tcPr>
          <w:p>
            <w:pPr>
              <w:spacing w:after="0"/>
              <w:rPr>
                <w:sz w:val="2"/>
                <w:szCs w:val="2"/>
                <w:color w:val="auto"/>
              </w:rPr>
            </w:pPr>
          </w:p>
        </w:tc>
        <w:tc>
          <w:tcPr>
            <w:tcW w:w="20" w:type="dxa"/>
            <w:vAlign w:val="bottom"/>
            <w:tcBorders>
              <w:top w:val="single" w:sz="8" w:color="3051F2"/>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7"/>
        </w:trPr>
        <w:tc>
          <w:tcPr>
            <w:tcW w:w="76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3"/>
              </w:rPr>
              <w:t>4.4</w:t>
            </w:r>
          </w:p>
        </w:tc>
        <w:tc>
          <w:tcPr>
            <w:tcW w:w="5540" w:type="dxa"/>
            <w:vAlign w:val="bottom"/>
            <w:gridSpan w:val="25"/>
            <w:vMerge w:val="restart"/>
            <w:shd w:val="clear" w:color="auto" w:fill="CCEEFF"/>
          </w:tcPr>
          <w:p>
            <w:pPr>
              <w:spacing w:after="0"/>
              <w:rPr>
                <w:rFonts w:ascii="Times New Roman" w:cs="Times New Roman" w:eastAsia="Times New Roman" w:hAnsi="Times New Roman"/>
                <w:sz w:val="12"/>
                <w:szCs w:val="12"/>
                <w:color w:val="3051F2"/>
              </w:rPr>
            </w:pPr>
            <w:hyperlink r:id="rId69">
              <w:r>
                <w:rPr>
                  <w:rFonts w:ascii="Times New Roman" w:cs="Times New Roman" w:eastAsia="Times New Roman" w:hAnsi="Times New Roman"/>
                  <w:sz w:val="12"/>
                  <w:szCs w:val="12"/>
                  <w:color w:val="3051F2"/>
                </w:rPr>
                <w:t>Form of Global Note for 2.700% Notes due 2031</w:t>
              </w:r>
            </w:hyperlink>
          </w:p>
        </w:tc>
        <w:tc>
          <w:tcPr>
            <w:tcW w:w="120" w:type="dxa"/>
            <w:vAlign w:val="bottom"/>
            <w:shd w:val="clear" w:color="auto" w:fill="CCEEFF"/>
          </w:tcPr>
          <w:p>
            <w:pPr>
              <w:spacing w:after="0"/>
              <w:rPr>
                <w:sz w:val="9"/>
                <w:szCs w:val="9"/>
                <w:color w:val="auto"/>
              </w:rPr>
            </w:pPr>
          </w:p>
        </w:tc>
        <w:tc>
          <w:tcPr>
            <w:tcW w:w="340" w:type="dxa"/>
            <w:vAlign w:val="bottom"/>
            <w:tcBorders>
              <w:right w:val="single" w:sz="8" w:color="auto"/>
            </w:tcBorders>
            <w:shd w:val="clear" w:color="auto" w:fill="CCEEFF"/>
          </w:tcPr>
          <w:p>
            <w:pPr>
              <w:spacing w:after="0"/>
              <w:rPr>
                <w:sz w:val="9"/>
                <w:szCs w:val="9"/>
                <w:color w:val="auto"/>
              </w:rPr>
            </w:pPr>
          </w:p>
        </w:tc>
        <w:tc>
          <w:tcPr>
            <w:tcW w:w="4520" w:type="dxa"/>
            <w:vAlign w:val="bottom"/>
            <w:tcBorders>
              <w:right w:val="single" w:sz="8" w:color="auto"/>
            </w:tcBorders>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Incorporated by reference to Exhibit 4.3 of Sun Communities Inc.'s Current Report on</w:t>
            </w:r>
          </w:p>
        </w:tc>
        <w:tc>
          <w:tcPr>
            <w:tcW w:w="0" w:type="dxa"/>
            <w:vAlign w:val="bottom"/>
          </w:tcPr>
          <w:p>
            <w:pPr>
              <w:spacing w:after="0"/>
              <w:rPr>
                <w:sz w:val="1"/>
                <w:szCs w:val="1"/>
                <w:color w:val="auto"/>
              </w:rPr>
            </w:pPr>
          </w:p>
        </w:tc>
      </w:tr>
      <w:tr>
        <w:trPr>
          <w:trHeight w:val="69"/>
        </w:trPr>
        <w:tc>
          <w:tcPr>
            <w:tcW w:w="760" w:type="dxa"/>
            <w:vAlign w:val="bottom"/>
            <w:tcBorders>
              <w:left w:val="single" w:sz="8" w:color="auto"/>
              <w:right w:val="single" w:sz="8" w:color="auto"/>
            </w:tcBorders>
            <w:vMerge w:val="continue"/>
            <w:shd w:val="clear" w:color="auto" w:fill="CCEEFF"/>
          </w:tcPr>
          <w:p>
            <w:pPr>
              <w:spacing w:after="0"/>
              <w:rPr>
                <w:sz w:val="6"/>
                <w:szCs w:val="6"/>
                <w:color w:val="auto"/>
              </w:rPr>
            </w:pPr>
          </w:p>
        </w:tc>
        <w:tc>
          <w:tcPr>
            <w:tcW w:w="5540" w:type="dxa"/>
            <w:vAlign w:val="bottom"/>
            <w:gridSpan w:val="25"/>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right w:val="single" w:sz="8" w:color="auto"/>
            </w:tcBorders>
            <w:shd w:val="clear" w:color="auto" w:fill="CCEEFF"/>
          </w:tcPr>
          <w:p>
            <w:pPr>
              <w:spacing w:after="0"/>
              <w:rPr>
                <w:sz w:val="6"/>
                <w:szCs w:val="6"/>
                <w:color w:val="auto"/>
              </w:rPr>
            </w:pPr>
          </w:p>
        </w:tc>
        <w:tc>
          <w:tcPr>
            <w:tcW w:w="452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Form 8-K filed on June 28, 2021</w:t>
            </w:r>
          </w:p>
        </w:tc>
        <w:tc>
          <w:tcPr>
            <w:tcW w:w="0" w:type="dxa"/>
            <w:vAlign w:val="bottom"/>
          </w:tcPr>
          <w:p>
            <w:pPr>
              <w:spacing w:after="0"/>
              <w:rPr>
                <w:sz w:val="1"/>
                <w:szCs w:val="1"/>
                <w:color w:val="auto"/>
              </w:rPr>
            </w:pPr>
          </w:p>
        </w:tc>
      </w:tr>
      <w:tr>
        <w:trPr>
          <w:trHeight w:val="77"/>
        </w:trPr>
        <w:tc>
          <w:tcPr>
            <w:tcW w:w="760" w:type="dxa"/>
            <w:vAlign w:val="bottom"/>
            <w:tcBorders>
              <w:top w:val="single" w:sz="8" w:color="CCEEFF"/>
              <w:left w:val="single" w:sz="8" w:color="auto"/>
              <w:bottom w:val="single" w:sz="8" w:color="auto"/>
              <w:right w:val="single" w:sz="8" w:color="auto"/>
            </w:tcBorders>
            <w:shd w:val="clear" w:color="auto" w:fill="CCEEFF"/>
          </w:tcPr>
          <w:p>
            <w:pPr>
              <w:spacing w:after="0"/>
              <w:rPr>
                <w:sz w:val="6"/>
                <w:szCs w:val="6"/>
                <w:color w:val="auto"/>
              </w:rPr>
            </w:pPr>
          </w:p>
        </w:tc>
        <w:tc>
          <w:tcPr>
            <w:tcW w:w="720" w:type="dxa"/>
            <w:vAlign w:val="bottom"/>
            <w:tcBorders>
              <w:top w:val="single" w:sz="8" w:color="3051F2"/>
              <w:bottom w:val="single" w:sz="8" w:color="auto"/>
            </w:tcBorders>
            <w:shd w:val="clear" w:color="auto" w:fill="CCEEFF"/>
          </w:tcPr>
          <w:p>
            <w:pPr>
              <w:spacing w:after="0"/>
              <w:rPr>
                <w:sz w:val="6"/>
                <w:szCs w:val="6"/>
                <w:color w:val="auto"/>
              </w:rPr>
            </w:pPr>
          </w:p>
        </w:tc>
        <w:tc>
          <w:tcPr>
            <w:tcW w:w="40" w:type="dxa"/>
            <w:vAlign w:val="bottom"/>
            <w:tcBorders>
              <w:top w:val="single" w:sz="8" w:color="3051F2"/>
              <w:bottom w:val="single" w:sz="8" w:color="auto"/>
            </w:tcBorders>
            <w:shd w:val="clear" w:color="auto" w:fill="CCEEFF"/>
          </w:tcPr>
          <w:p>
            <w:pPr>
              <w:spacing w:after="0"/>
              <w:rPr>
                <w:sz w:val="6"/>
                <w:szCs w:val="6"/>
                <w:color w:val="auto"/>
              </w:rPr>
            </w:pPr>
          </w:p>
        </w:tc>
        <w:tc>
          <w:tcPr>
            <w:tcW w:w="20" w:type="dxa"/>
            <w:vAlign w:val="bottom"/>
            <w:tcBorders>
              <w:top w:val="single" w:sz="8" w:color="3051F2"/>
              <w:bottom w:val="single" w:sz="8" w:color="auto"/>
            </w:tcBorders>
            <w:shd w:val="clear" w:color="auto" w:fill="CCEEFF"/>
          </w:tcPr>
          <w:p>
            <w:pPr>
              <w:spacing w:after="0"/>
              <w:rPr>
                <w:sz w:val="6"/>
                <w:szCs w:val="6"/>
                <w:color w:val="auto"/>
              </w:rPr>
            </w:pPr>
          </w:p>
        </w:tc>
        <w:tc>
          <w:tcPr>
            <w:tcW w:w="180" w:type="dxa"/>
            <w:vAlign w:val="bottom"/>
            <w:tcBorders>
              <w:top w:val="single" w:sz="8" w:color="3051F2"/>
              <w:bottom w:val="single" w:sz="8" w:color="auto"/>
            </w:tcBorders>
            <w:shd w:val="clear" w:color="auto" w:fill="CCEEFF"/>
          </w:tcPr>
          <w:p>
            <w:pPr>
              <w:spacing w:after="0"/>
              <w:rPr>
                <w:sz w:val="6"/>
                <w:szCs w:val="6"/>
                <w:color w:val="auto"/>
              </w:rPr>
            </w:pPr>
          </w:p>
        </w:tc>
        <w:tc>
          <w:tcPr>
            <w:tcW w:w="180" w:type="dxa"/>
            <w:vAlign w:val="bottom"/>
            <w:tcBorders>
              <w:top w:val="single" w:sz="8" w:color="3051F2"/>
              <w:bottom w:val="single" w:sz="8" w:color="auto"/>
            </w:tcBorders>
            <w:shd w:val="clear" w:color="auto" w:fill="CCEEFF"/>
          </w:tcPr>
          <w:p>
            <w:pPr>
              <w:spacing w:after="0"/>
              <w:rPr>
                <w:sz w:val="6"/>
                <w:szCs w:val="6"/>
                <w:color w:val="auto"/>
              </w:rPr>
            </w:pPr>
          </w:p>
        </w:tc>
        <w:tc>
          <w:tcPr>
            <w:tcW w:w="580" w:type="dxa"/>
            <w:vAlign w:val="bottom"/>
            <w:tcBorders>
              <w:top w:val="single" w:sz="8" w:color="3051F2"/>
              <w:bottom w:val="single" w:sz="8" w:color="auto"/>
            </w:tcBorders>
            <w:shd w:val="clear" w:color="auto" w:fill="CCEEFF"/>
          </w:tcPr>
          <w:p>
            <w:pPr>
              <w:spacing w:after="0"/>
              <w:rPr>
                <w:sz w:val="6"/>
                <w:szCs w:val="6"/>
                <w:color w:val="auto"/>
              </w:rPr>
            </w:pPr>
          </w:p>
        </w:tc>
        <w:tc>
          <w:tcPr>
            <w:tcW w:w="40" w:type="dxa"/>
            <w:vAlign w:val="bottom"/>
            <w:tcBorders>
              <w:top w:val="single" w:sz="8" w:color="3051F2"/>
              <w:bottom w:val="single" w:sz="8" w:color="auto"/>
            </w:tcBorders>
            <w:shd w:val="clear" w:color="auto" w:fill="CCEEFF"/>
          </w:tcPr>
          <w:p>
            <w:pPr>
              <w:spacing w:after="0"/>
              <w:rPr>
                <w:sz w:val="6"/>
                <w:szCs w:val="6"/>
                <w:color w:val="auto"/>
              </w:rPr>
            </w:pPr>
          </w:p>
        </w:tc>
        <w:tc>
          <w:tcPr>
            <w:tcW w:w="40" w:type="dxa"/>
            <w:vAlign w:val="bottom"/>
            <w:tcBorders>
              <w:top w:val="single" w:sz="8" w:color="3051F2"/>
              <w:bottom w:val="single" w:sz="8" w:color="auto"/>
            </w:tcBorders>
            <w:shd w:val="clear" w:color="auto" w:fill="CCEEFF"/>
          </w:tcPr>
          <w:p>
            <w:pPr>
              <w:spacing w:after="0"/>
              <w:rPr>
                <w:sz w:val="6"/>
                <w:szCs w:val="6"/>
                <w:color w:val="auto"/>
              </w:rPr>
            </w:pPr>
          </w:p>
        </w:tc>
        <w:tc>
          <w:tcPr>
            <w:tcW w:w="20" w:type="dxa"/>
            <w:vAlign w:val="bottom"/>
            <w:tcBorders>
              <w:top w:val="single" w:sz="8" w:color="3051F2"/>
              <w:bottom w:val="single" w:sz="8" w:color="auto"/>
            </w:tcBorders>
            <w:shd w:val="clear" w:color="auto" w:fill="CCEEFF"/>
          </w:tcPr>
          <w:p>
            <w:pPr>
              <w:spacing w:after="0"/>
              <w:rPr>
                <w:sz w:val="6"/>
                <w:szCs w:val="6"/>
                <w:color w:val="auto"/>
              </w:rPr>
            </w:pPr>
          </w:p>
        </w:tc>
        <w:tc>
          <w:tcPr>
            <w:tcW w:w="480" w:type="dxa"/>
            <w:vAlign w:val="bottom"/>
            <w:tcBorders>
              <w:top w:val="single" w:sz="8" w:color="3051F2"/>
              <w:bottom w:val="single" w:sz="8" w:color="auto"/>
            </w:tcBorders>
            <w:shd w:val="clear" w:color="auto" w:fill="CCEEFF"/>
          </w:tcPr>
          <w:p>
            <w:pPr>
              <w:spacing w:after="0"/>
              <w:rPr>
                <w:sz w:val="6"/>
                <w:szCs w:val="6"/>
                <w:color w:val="auto"/>
              </w:rPr>
            </w:pPr>
          </w:p>
        </w:tc>
        <w:tc>
          <w:tcPr>
            <w:tcW w:w="40" w:type="dxa"/>
            <w:vAlign w:val="bottom"/>
            <w:tcBorders>
              <w:top w:val="single" w:sz="8" w:color="3051F2"/>
              <w:bottom w:val="single" w:sz="8" w:color="auto"/>
            </w:tcBorders>
            <w:shd w:val="clear" w:color="auto" w:fill="CCEEFF"/>
          </w:tcPr>
          <w:p>
            <w:pPr>
              <w:spacing w:after="0"/>
              <w:rPr>
                <w:sz w:val="6"/>
                <w:szCs w:val="6"/>
                <w:color w:val="auto"/>
              </w:rPr>
            </w:pPr>
          </w:p>
        </w:tc>
        <w:tc>
          <w:tcPr>
            <w:tcW w:w="80" w:type="dxa"/>
            <w:vAlign w:val="bottom"/>
            <w:tcBorders>
              <w:top w:val="single" w:sz="8" w:color="3051F2"/>
              <w:bottom w:val="single" w:sz="8" w:color="auto"/>
            </w:tcBorders>
            <w:shd w:val="clear" w:color="auto" w:fill="CCEEFF"/>
          </w:tcPr>
          <w:p>
            <w:pPr>
              <w:spacing w:after="0"/>
              <w:rPr>
                <w:sz w:val="6"/>
                <w:szCs w:val="6"/>
                <w:color w:val="auto"/>
              </w:rPr>
            </w:pPr>
          </w:p>
        </w:tc>
        <w:tc>
          <w:tcPr>
            <w:tcW w:w="100" w:type="dxa"/>
            <w:vAlign w:val="bottom"/>
            <w:tcBorders>
              <w:top w:val="single" w:sz="8" w:color="CCEEFF"/>
              <w:bottom w:val="single" w:sz="8" w:color="auto"/>
            </w:tcBorders>
            <w:shd w:val="clear" w:color="auto" w:fill="CCEEFF"/>
          </w:tcPr>
          <w:p>
            <w:pPr>
              <w:spacing w:after="0"/>
              <w:rPr>
                <w:sz w:val="6"/>
                <w:szCs w:val="6"/>
                <w:color w:val="auto"/>
              </w:rPr>
            </w:pPr>
          </w:p>
        </w:tc>
        <w:tc>
          <w:tcPr>
            <w:tcW w:w="60" w:type="dxa"/>
            <w:vAlign w:val="bottom"/>
            <w:tcBorders>
              <w:top w:val="single" w:sz="8" w:color="CCEEFF"/>
              <w:bottom w:val="single" w:sz="8" w:color="auto"/>
            </w:tcBorders>
            <w:shd w:val="clear" w:color="auto" w:fill="CCEEFF"/>
          </w:tcPr>
          <w:p>
            <w:pPr>
              <w:spacing w:after="0"/>
              <w:rPr>
                <w:sz w:val="6"/>
                <w:szCs w:val="6"/>
                <w:color w:val="auto"/>
              </w:rPr>
            </w:pPr>
          </w:p>
        </w:tc>
        <w:tc>
          <w:tcPr>
            <w:tcW w:w="100" w:type="dxa"/>
            <w:vAlign w:val="bottom"/>
            <w:tcBorders>
              <w:top w:val="single" w:sz="8" w:color="CCEEFF"/>
              <w:bottom w:val="single" w:sz="8" w:color="auto"/>
            </w:tcBorders>
            <w:shd w:val="clear" w:color="auto" w:fill="CCEEFF"/>
          </w:tcPr>
          <w:p>
            <w:pPr>
              <w:spacing w:after="0"/>
              <w:rPr>
                <w:sz w:val="6"/>
                <w:szCs w:val="6"/>
                <w:color w:val="auto"/>
              </w:rPr>
            </w:pPr>
          </w:p>
        </w:tc>
        <w:tc>
          <w:tcPr>
            <w:tcW w:w="200" w:type="dxa"/>
            <w:vAlign w:val="bottom"/>
            <w:tcBorders>
              <w:top w:val="single" w:sz="8" w:color="CCEEFF"/>
              <w:bottom w:val="single" w:sz="8" w:color="auto"/>
            </w:tcBorders>
            <w:shd w:val="clear" w:color="auto" w:fill="CCEEFF"/>
          </w:tcPr>
          <w:p>
            <w:pPr>
              <w:spacing w:after="0"/>
              <w:rPr>
                <w:sz w:val="6"/>
                <w:szCs w:val="6"/>
                <w:color w:val="auto"/>
              </w:rPr>
            </w:pPr>
          </w:p>
        </w:tc>
        <w:tc>
          <w:tcPr>
            <w:tcW w:w="520" w:type="dxa"/>
            <w:vAlign w:val="bottom"/>
            <w:tcBorders>
              <w:top w:val="single" w:sz="8" w:color="CCEEFF"/>
              <w:bottom w:val="single" w:sz="8" w:color="auto"/>
            </w:tcBorders>
            <w:shd w:val="clear" w:color="auto" w:fill="CCEEFF"/>
          </w:tcPr>
          <w:p>
            <w:pPr>
              <w:spacing w:after="0"/>
              <w:rPr>
                <w:sz w:val="6"/>
                <w:szCs w:val="6"/>
                <w:color w:val="auto"/>
              </w:rPr>
            </w:pPr>
          </w:p>
        </w:tc>
        <w:tc>
          <w:tcPr>
            <w:tcW w:w="20" w:type="dxa"/>
            <w:vAlign w:val="bottom"/>
            <w:tcBorders>
              <w:top w:val="single" w:sz="8" w:color="CCEEFF"/>
              <w:bottom w:val="single" w:sz="8" w:color="auto"/>
            </w:tcBorders>
            <w:shd w:val="clear" w:color="auto" w:fill="CCEEFF"/>
          </w:tcPr>
          <w:p>
            <w:pPr>
              <w:spacing w:after="0"/>
              <w:rPr>
                <w:sz w:val="6"/>
                <w:szCs w:val="6"/>
                <w:color w:val="auto"/>
              </w:rPr>
            </w:pPr>
          </w:p>
        </w:tc>
        <w:tc>
          <w:tcPr>
            <w:tcW w:w="100" w:type="dxa"/>
            <w:vAlign w:val="bottom"/>
            <w:tcBorders>
              <w:top w:val="single" w:sz="8" w:color="CCEEFF"/>
              <w:bottom w:val="single" w:sz="8" w:color="auto"/>
            </w:tcBorders>
            <w:shd w:val="clear" w:color="auto" w:fill="CCEEFF"/>
          </w:tcPr>
          <w:p>
            <w:pPr>
              <w:spacing w:after="0"/>
              <w:rPr>
                <w:sz w:val="6"/>
                <w:szCs w:val="6"/>
                <w:color w:val="auto"/>
              </w:rPr>
            </w:pPr>
          </w:p>
        </w:tc>
        <w:tc>
          <w:tcPr>
            <w:tcW w:w="20" w:type="dxa"/>
            <w:vAlign w:val="bottom"/>
            <w:tcBorders>
              <w:top w:val="single" w:sz="8" w:color="CCEEFF"/>
              <w:bottom w:val="single" w:sz="8" w:color="auto"/>
            </w:tcBorders>
            <w:shd w:val="clear" w:color="auto" w:fill="CCEEFF"/>
          </w:tcPr>
          <w:p>
            <w:pPr>
              <w:spacing w:after="0"/>
              <w:rPr>
                <w:sz w:val="6"/>
                <w:szCs w:val="6"/>
                <w:color w:val="auto"/>
              </w:rPr>
            </w:pPr>
          </w:p>
        </w:tc>
        <w:tc>
          <w:tcPr>
            <w:tcW w:w="160" w:type="dxa"/>
            <w:vAlign w:val="bottom"/>
            <w:tcBorders>
              <w:top w:val="single" w:sz="8" w:color="CCEEFF"/>
              <w:bottom w:val="single" w:sz="8" w:color="auto"/>
            </w:tcBorders>
            <w:shd w:val="clear" w:color="auto" w:fill="CCEEFF"/>
          </w:tcPr>
          <w:p>
            <w:pPr>
              <w:spacing w:after="0"/>
              <w:rPr>
                <w:sz w:val="6"/>
                <w:szCs w:val="6"/>
                <w:color w:val="auto"/>
              </w:rPr>
            </w:pPr>
          </w:p>
        </w:tc>
        <w:tc>
          <w:tcPr>
            <w:tcW w:w="160" w:type="dxa"/>
            <w:vAlign w:val="bottom"/>
            <w:tcBorders>
              <w:top w:val="single" w:sz="8" w:color="CCEEFF"/>
              <w:bottom w:val="single" w:sz="8" w:color="auto"/>
            </w:tcBorders>
            <w:shd w:val="clear" w:color="auto" w:fill="CCEEFF"/>
          </w:tcPr>
          <w:p>
            <w:pPr>
              <w:spacing w:after="0"/>
              <w:rPr>
                <w:sz w:val="6"/>
                <w:szCs w:val="6"/>
                <w:color w:val="auto"/>
              </w:rPr>
            </w:pPr>
          </w:p>
        </w:tc>
        <w:tc>
          <w:tcPr>
            <w:tcW w:w="700" w:type="dxa"/>
            <w:vAlign w:val="bottom"/>
            <w:tcBorders>
              <w:top w:val="single" w:sz="8" w:color="CCEEFF"/>
              <w:bottom w:val="single" w:sz="8" w:color="auto"/>
            </w:tcBorders>
            <w:shd w:val="clear" w:color="auto" w:fill="CCEEFF"/>
          </w:tcPr>
          <w:p>
            <w:pPr>
              <w:spacing w:after="0"/>
              <w:rPr>
                <w:sz w:val="6"/>
                <w:szCs w:val="6"/>
                <w:color w:val="auto"/>
              </w:rPr>
            </w:pPr>
          </w:p>
        </w:tc>
        <w:tc>
          <w:tcPr>
            <w:tcW w:w="400" w:type="dxa"/>
            <w:vAlign w:val="bottom"/>
            <w:tcBorders>
              <w:top w:val="single" w:sz="8" w:color="CCEEFF"/>
              <w:bottom w:val="single" w:sz="8" w:color="auto"/>
            </w:tcBorders>
            <w:shd w:val="clear" w:color="auto" w:fill="CCEEFF"/>
          </w:tcPr>
          <w:p>
            <w:pPr>
              <w:spacing w:after="0"/>
              <w:rPr>
                <w:sz w:val="6"/>
                <w:szCs w:val="6"/>
                <w:color w:val="auto"/>
              </w:rPr>
            </w:pPr>
          </w:p>
        </w:tc>
        <w:tc>
          <w:tcPr>
            <w:tcW w:w="580" w:type="dxa"/>
            <w:vAlign w:val="bottom"/>
            <w:tcBorders>
              <w:top w:val="single" w:sz="8" w:color="CCEEFF"/>
              <w:bottom w:val="single" w:sz="8" w:color="auto"/>
            </w:tcBorders>
            <w:shd w:val="clear" w:color="auto" w:fill="CCEEFF"/>
          </w:tcPr>
          <w:p>
            <w:pPr>
              <w:spacing w:after="0"/>
              <w:rPr>
                <w:sz w:val="6"/>
                <w:szCs w:val="6"/>
                <w:color w:val="auto"/>
              </w:rPr>
            </w:pPr>
          </w:p>
        </w:tc>
        <w:tc>
          <w:tcPr>
            <w:tcW w:w="120" w:type="dxa"/>
            <w:vAlign w:val="bottom"/>
            <w:tcBorders>
              <w:top w:val="single" w:sz="8" w:color="CCEEFF"/>
              <w:bottom w:val="single" w:sz="8" w:color="auto"/>
            </w:tcBorders>
            <w:shd w:val="clear" w:color="auto" w:fill="CCEEFF"/>
          </w:tcPr>
          <w:p>
            <w:pPr>
              <w:spacing w:after="0"/>
              <w:rPr>
                <w:sz w:val="6"/>
                <w:szCs w:val="6"/>
                <w:color w:val="auto"/>
              </w:rPr>
            </w:pPr>
          </w:p>
        </w:tc>
        <w:tc>
          <w:tcPr>
            <w:tcW w:w="340" w:type="dxa"/>
            <w:vAlign w:val="bottom"/>
            <w:tcBorders>
              <w:top w:val="single" w:sz="8" w:color="CCEEFF"/>
              <w:bottom w:val="single" w:sz="8" w:color="auto"/>
              <w:right w:val="single" w:sz="8" w:color="auto"/>
            </w:tcBorders>
            <w:shd w:val="clear" w:color="auto" w:fill="CCEEFF"/>
          </w:tcPr>
          <w:p>
            <w:pPr>
              <w:spacing w:after="0"/>
              <w:rPr>
                <w:sz w:val="6"/>
                <w:szCs w:val="6"/>
                <w:color w:val="auto"/>
              </w:rPr>
            </w:pPr>
          </w:p>
        </w:tc>
        <w:tc>
          <w:tcPr>
            <w:tcW w:w="4520" w:type="dxa"/>
            <w:vAlign w:val="bottom"/>
            <w:tcBorders>
              <w:top w:val="single" w:sz="8" w:color="CCEEFF"/>
              <w:bottom w:val="single" w:sz="8" w:color="auto"/>
              <w:right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7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3"/>
              </w:rPr>
              <w:t>4.5</w:t>
            </w:r>
          </w:p>
        </w:tc>
        <w:tc>
          <w:tcPr>
            <w:tcW w:w="6000" w:type="dxa"/>
            <w:vAlign w:val="bottom"/>
            <w:tcBorders>
              <w:right w:val="single" w:sz="8" w:color="auto"/>
            </w:tcBorders>
            <w:gridSpan w:val="27"/>
          </w:tcPr>
          <w:p>
            <w:pPr>
              <w:spacing w:after="0" w:line="126" w:lineRule="exact"/>
              <w:rPr>
                <w:rFonts w:ascii="Times New Roman" w:cs="Times New Roman" w:eastAsia="Times New Roman" w:hAnsi="Times New Roman"/>
                <w:sz w:val="12"/>
                <w:szCs w:val="12"/>
                <w:color w:val="3051F2"/>
              </w:rPr>
            </w:pPr>
            <w:hyperlink r:id="rId70">
              <w:r>
                <w:rPr>
                  <w:rFonts w:ascii="Times New Roman" w:cs="Times New Roman" w:eastAsia="Times New Roman" w:hAnsi="Times New Roman"/>
                  <w:sz w:val="12"/>
                  <w:szCs w:val="12"/>
                  <w:color w:val="3051F2"/>
                </w:rPr>
                <w:t>Second Supplemental Indenture, dated as of October 5, 2021 by and among Sun Communities Operating Limited</w:t>
              </w:r>
            </w:hyperlink>
          </w:p>
        </w:tc>
        <w:tc>
          <w:tcPr>
            <w:tcW w:w="4520" w:type="dxa"/>
            <w:vAlign w:val="bottom"/>
            <w:tcBorders>
              <w:right w:val="single" w:sz="8" w:color="auto"/>
            </w:tcBorders>
          </w:tcPr>
          <w:p>
            <w:pPr>
              <w:spacing w:after="0" w:line="126" w:lineRule="exact"/>
              <w:rPr>
                <w:sz w:val="20"/>
                <w:szCs w:val="20"/>
                <w:color w:val="auto"/>
              </w:rPr>
            </w:pPr>
            <w:r>
              <w:rPr>
                <w:rFonts w:ascii="Times New Roman" w:cs="Times New Roman" w:eastAsia="Times New Roman" w:hAnsi="Times New Roman"/>
                <w:sz w:val="12"/>
                <w:szCs w:val="12"/>
                <w:color w:val="auto"/>
              </w:rPr>
              <w:t>Incorporated by reference to Exhibit 4.3 of Sun Communities Inc.'s Current Report on</w:t>
            </w:r>
          </w:p>
        </w:tc>
        <w:tc>
          <w:tcPr>
            <w:tcW w:w="0" w:type="dxa"/>
            <w:vAlign w:val="bottom"/>
          </w:tcPr>
          <w:p>
            <w:pPr>
              <w:spacing w:after="0"/>
              <w:rPr>
                <w:sz w:val="1"/>
                <w:szCs w:val="1"/>
                <w:color w:val="auto"/>
              </w:rPr>
            </w:pPr>
          </w:p>
        </w:tc>
      </w:tr>
      <w:tr>
        <w:trPr>
          <w:trHeight w:val="62"/>
        </w:trPr>
        <w:tc>
          <w:tcPr>
            <w:tcW w:w="760" w:type="dxa"/>
            <w:vAlign w:val="bottom"/>
            <w:tcBorders>
              <w:left w:val="single" w:sz="8" w:color="auto"/>
              <w:right w:val="single" w:sz="8" w:color="auto"/>
            </w:tcBorders>
            <w:vMerge w:val="continue"/>
          </w:tcPr>
          <w:p>
            <w:pPr>
              <w:spacing w:after="0"/>
              <w:rPr>
                <w:sz w:val="5"/>
                <w:szCs w:val="5"/>
                <w:color w:val="auto"/>
              </w:rPr>
            </w:pPr>
          </w:p>
        </w:tc>
        <w:tc>
          <w:tcPr>
            <w:tcW w:w="5540" w:type="dxa"/>
            <w:vAlign w:val="bottom"/>
            <w:tcBorders>
              <w:top w:val="single" w:sz="8" w:color="3051F2"/>
            </w:tcBorders>
            <w:gridSpan w:val="25"/>
            <w:vMerge w:val="restart"/>
          </w:tcPr>
          <w:p>
            <w:pPr>
              <w:spacing w:after="0" w:line="96" w:lineRule="exact"/>
              <w:rPr>
                <w:rFonts w:ascii="Times New Roman" w:cs="Times New Roman" w:eastAsia="Times New Roman" w:hAnsi="Times New Roman"/>
                <w:sz w:val="11"/>
                <w:szCs w:val="11"/>
                <w:color w:val="3051F2"/>
              </w:rPr>
            </w:pPr>
            <w:hyperlink r:id="rId70">
              <w:r>
                <w:rPr>
                  <w:rFonts w:ascii="Times New Roman" w:cs="Times New Roman" w:eastAsia="Times New Roman" w:hAnsi="Times New Roman"/>
                  <w:sz w:val="11"/>
                  <w:szCs w:val="11"/>
                  <w:color w:val="3051F2"/>
                </w:rPr>
                <w:t>Partnership, Sun Communities, Inc., and UMB Bank, N.A. as trustee</w:t>
              </w:r>
            </w:hyperlink>
          </w:p>
        </w:tc>
        <w:tc>
          <w:tcPr>
            <w:tcW w:w="120" w:type="dxa"/>
            <w:vAlign w:val="bottom"/>
            <w:tcBorders>
              <w:top w:val="single" w:sz="8" w:color="3051F2"/>
            </w:tcBorders>
          </w:tcPr>
          <w:p>
            <w:pPr>
              <w:spacing w:after="0"/>
              <w:rPr>
                <w:sz w:val="5"/>
                <w:szCs w:val="5"/>
                <w:color w:val="auto"/>
              </w:rPr>
            </w:pPr>
          </w:p>
        </w:tc>
        <w:tc>
          <w:tcPr>
            <w:tcW w:w="340" w:type="dxa"/>
            <w:vAlign w:val="bottom"/>
            <w:tcBorders>
              <w:top w:val="single" w:sz="8" w:color="3051F2"/>
              <w:right w:val="single" w:sz="8" w:color="auto"/>
            </w:tcBorders>
          </w:tcPr>
          <w:p>
            <w:pPr>
              <w:spacing w:after="0"/>
              <w:rPr>
                <w:sz w:val="5"/>
                <w:szCs w:val="5"/>
                <w:color w:val="auto"/>
              </w:rPr>
            </w:pPr>
          </w:p>
        </w:tc>
        <w:tc>
          <w:tcPr>
            <w:tcW w:w="4520" w:type="dxa"/>
            <w:vAlign w:val="bottom"/>
            <w:tcBorders>
              <w:right w:val="single" w:sz="8" w:color="auto"/>
            </w:tcBorders>
            <w:vMerge w:val="restart"/>
          </w:tcPr>
          <w:p>
            <w:pPr>
              <w:spacing w:after="0" w:line="96" w:lineRule="exact"/>
              <w:rPr>
                <w:sz w:val="20"/>
                <w:szCs w:val="20"/>
                <w:color w:val="auto"/>
              </w:rPr>
            </w:pPr>
            <w:r>
              <w:rPr>
                <w:rFonts w:ascii="Times New Roman" w:cs="Times New Roman" w:eastAsia="Times New Roman" w:hAnsi="Times New Roman"/>
                <w:sz w:val="11"/>
                <w:szCs w:val="11"/>
                <w:color w:val="auto"/>
              </w:rPr>
              <w:t>Form 8-K filed on October 5, 2021</w:t>
            </w:r>
          </w:p>
        </w:tc>
        <w:tc>
          <w:tcPr>
            <w:tcW w:w="0" w:type="dxa"/>
            <w:vAlign w:val="bottom"/>
          </w:tcPr>
          <w:p>
            <w:pPr>
              <w:spacing w:after="0"/>
              <w:rPr>
                <w:sz w:val="1"/>
                <w:szCs w:val="1"/>
                <w:color w:val="auto"/>
              </w:rPr>
            </w:pPr>
          </w:p>
        </w:tc>
      </w:tr>
      <w:tr>
        <w:trPr>
          <w:trHeight w:val="33"/>
        </w:trPr>
        <w:tc>
          <w:tcPr>
            <w:tcW w:w="760" w:type="dxa"/>
            <w:vAlign w:val="bottom"/>
            <w:tcBorders>
              <w:left w:val="single" w:sz="8" w:color="auto"/>
              <w:right w:val="single" w:sz="8" w:color="auto"/>
            </w:tcBorders>
          </w:tcPr>
          <w:p>
            <w:pPr>
              <w:spacing w:after="0"/>
              <w:rPr>
                <w:sz w:val="2"/>
                <w:szCs w:val="2"/>
                <w:color w:val="auto"/>
              </w:rPr>
            </w:pPr>
          </w:p>
        </w:tc>
        <w:tc>
          <w:tcPr>
            <w:tcW w:w="5540" w:type="dxa"/>
            <w:vAlign w:val="bottom"/>
            <w:gridSpan w:val="25"/>
            <w:vMerge w:val="continue"/>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4520" w:type="dxa"/>
            <w:vAlign w:val="bottom"/>
            <w:tcBorders>
              <w:right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6"/>
        </w:trPr>
        <w:tc>
          <w:tcPr>
            <w:tcW w:w="760" w:type="dxa"/>
            <w:vAlign w:val="bottom"/>
            <w:tcBorders>
              <w:left w:val="single" w:sz="8" w:color="auto"/>
              <w:bottom w:val="single" w:sz="8" w:color="auto"/>
              <w:right w:val="single" w:sz="8" w:color="auto"/>
            </w:tcBorders>
          </w:tcPr>
          <w:p>
            <w:pPr>
              <w:spacing w:after="0"/>
              <w:rPr>
                <w:sz w:val="2"/>
                <w:szCs w:val="2"/>
                <w:color w:val="auto"/>
              </w:rPr>
            </w:pPr>
          </w:p>
        </w:tc>
        <w:tc>
          <w:tcPr>
            <w:tcW w:w="720" w:type="dxa"/>
            <w:vAlign w:val="bottom"/>
            <w:tcBorders>
              <w:top w:val="single" w:sz="8" w:color="3051F2"/>
              <w:bottom w:val="single" w:sz="8" w:color="auto"/>
            </w:tcBorders>
          </w:tcPr>
          <w:p>
            <w:pPr>
              <w:spacing w:after="0"/>
              <w:rPr>
                <w:sz w:val="2"/>
                <w:szCs w:val="2"/>
                <w:color w:val="auto"/>
              </w:rPr>
            </w:pPr>
          </w:p>
        </w:tc>
        <w:tc>
          <w:tcPr>
            <w:tcW w:w="40" w:type="dxa"/>
            <w:vAlign w:val="bottom"/>
            <w:tcBorders>
              <w:top w:val="single" w:sz="8" w:color="3051F2"/>
              <w:bottom w:val="single" w:sz="8" w:color="auto"/>
            </w:tcBorders>
          </w:tcPr>
          <w:p>
            <w:pPr>
              <w:spacing w:after="0"/>
              <w:rPr>
                <w:sz w:val="2"/>
                <w:szCs w:val="2"/>
                <w:color w:val="auto"/>
              </w:rPr>
            </w:pPr>
          </w:p>
        </w:tc>
        <w:tc>
          <w:tcPr>
            <w:tcW w:w="20" w:type="dxa"/>
            <w:vAlign w:val="bottom"/>
            <w:tcBorders>
              <w:top w:val="single" w:sz="8" w:color="3051F2"/>
              <w:bottom w:val="single" w:sz="8" w:color="auto"/>
            </w:tcBorders>
          </w:tcPr>
          <w:p>
            <w:pPr>
              <w:spacing w:after="0"/>
              <w:rPr>
                <w:sz w:val="2"/>
                <w:szCs w:val="2"/>
                <w:color w:val="auto"/>
              </w:rPr>
            </w:pPr>
          </w:p>
        </w:tc>
        <w:tc>
          <w:tcPr>
            <w:tcW w:w="180" w:type="dxa"/>
            <w:vAlign w:val="bottom"/>
            <w:tcBorders>
              <w:top w:val="single" w:sz="8" w:color="3051F2"/>
              <w:bottom w:val="single" w:sz="8" w:color="auto"/>
            </w:tcBorders>
          </w:tcPr>
          <w:p>
            <w:pPr>
              <w:spacing w:after="0"/>
              <w:rPr>
                <w:sz w:val="2"/>
                <w:szCs w:val="2"/>
                <w:color w:val="auto"/>
              </w:rPr>
            </w:pPr>
          </w:p>
        </w:tc>
        <w:tc>
          <w:tcPr>
            <w:tcW w:w="180" w:type="dxa"/>
            <w:vAlign w:val="bottom"/>
            <w:tcBorders>
              <w:top w:val="single" w:sz="8" w:color="3051F2"/>
              <w:bottom w:val="single" w:sz="8" w:color="auto"/>
            </w:tcBorders>
          </w:tcPr>
          <w:p>
            <w:pPr>
              <w:spacing w:after="0"/>
              <w:rPr>
                <w:sz w:val="2"/>
                <w:szCs w:val="2"/>
                <w:color w:val="auto"/>
              </w:rPr>
            </w:pPr>
          </w:p>
        </w:tc>
        <w:tc>
          <w:tcPr>
            <w:tcW w:w="580" w:type="dxa"/>
            <w:vAlign w:val="bottom"/>
            <w:tcBorders>
              <w:top w:val="single" w:sz="8" w:color="3051F2"/>
              <w:bottom w:val="single" w:sz="8" w:color="auto"/>
            </w:tcBorders>
          </w:tcPr>
          <w:p>
            <w:pPr>
              <w:spacing w:after="0"/>
              <w:rPr>
                <w:sz w:val="2"/>
                <w:szCs w:val="2"/>
                <w:color w:val="auto"/>
              </w:rPr>
            </w:pPr>
          </w:p>
        </w:tc>
        <w:tc>
          <w:tcPr>
            <w:tcW w:w="40" w:type="dxa"/>
            <w:vAlign w:val="bottom"/>
            <w:tcBorders>
              <w:top w:val="single" w:sz="8" w:color="3051F2"/>
              <w:bottom w:val="single" w:sz="8" w:color="auto"/>
            </w:tcBorders>
          </w:tcPr>
          <w:p>
            <w:pPr>
              <w:spacing w:after="0"/>
              <w:rPr>
                <w:sz w:val="2"/>
                <w:szCs w:val="2"/>
                <w:color w:val="auto"/>
              </w:rPr>
            </w:pPr>
          </w:p>
        </w:tc>
        <w:tc>
          <w:tcPr>
            <w:tcW w:w="40" w:type="dxa"/>
            <w:vAlign w:val="bottom"/>
            <w:tcBorders>
              <w:top w:val="single" w:sz="8" w:color="3051F2"/>
              <w:bottom w:val="single" w:sz="8" w:color="auto"/>
            </w:tcBorders>
          </w:tcPr>
          <w:p>
            <w:pPr>
              <w:spacing w:after="0"/>
              <w:rPr>
                <w:sz w:val="2"/>
                <w:szCs w:val="2"/>
                <w:color w:val="auto"/>
              </w:rPr>
            </w:pPr>
          </w:p>
        </w:tc>
        <w:tc>
          <w:tcPr>
            <w:tcW w:w="20" w:type="dxa"/>
            <w:vAlign w:val="bottom"/>
            <w:tcBorders>
              <w:top w:val="single" w:sz="8" w:color="3051F2"/>
              <w:bottom w:val="single" w:sz="8" w:color="auto"/>
            </w:tcBorders>
          </w:tcPr>
          <w:p>
            <w:pPr>
              <w:spacing w:after="0"/>
              <w:rPr>
                <w:sz w:val="2"/>
                <w:szCs w:val="2"/>
                <w:color w:val="auto"/>
              </w:rPr>
            </w:pPr>
          </w:p>
        </w:tc>
        <w:tc>
          <w:tcPr>
            <w:tcW w:w="480" w:type="dxa"/>
            <w:vAlign w:val="bottom"/>
            <w:tcBorders>
              <w:top w:val="single" w:sz="8" w:color="3051F2"/>
              <w:bottom w:val="single" w:sz="8" w:color="auto"/>
            </w:tcBorders>
          </w:tcPr>
          <w:p>
            <w:pPr>
              <w:spacing w:after="0"/>
              <w:rPr>
                <w:sz w:val="2"/>
                <w:szCs w:val="2"/>
                <w:color w:val="auto"/>
              </w:rPr>
            </w:pPr>
          </w:p>
        </w:tc>
        <w:tc>
          <w:tcPr>
            <w:tcW w:w="40" w:type="dxa"/>
            <w:vAlign w:val="bottom"/>
            <w:tcBorders>
              <w:top w:val="single" w:sz="8" w:color="3051F2"/>
              <w:bottom w:val="single" w:sz="8" w:color="auto"/>
            </w:tcBorders>
          </w:tcPr>
          <w:p>
            <w:pPr>
              <w:spacing w:after="0"/>
              <w:rPr>
                <w:sz w:val="2"/>
                <w:szCs w:val="2"/>
                <w:color w:val="auto"/>
              </w:rPr>
            </w:pPr>
          </w:p>
        </w:tc>
        <w:tc>
          <w:tcPr>
            <w:tcW w:w="80" w:type="dxa"/>
            <w:vAlign w:val="bottom"/>
            <w:tcBorders>
              <w:top w:val="single" w:sz="8" w:color="3051F2"/>
              <w:bottom w:val="single" w:sz="8" w:color="auto"/>
            </w:tcBorders>
          </w:tcPr>
          <w:p>
            <w:pPr>
              <w:spacing w:after="0"/>
              <w:rPr>
                <w:sz w:val="2"/>
                <w:szCs w:val="2"/>
                <w:color w:val="auto"/>
              </w:rPr>
            </w:pPr>
          </w:p>
        </w:tc>
        <w:tc>
          <w:tcPr>
            <w:tcW w:w="100" w:type="dxa"/>
            <w:vAlign w:val="bottom"/>
            <w:tcBorders>
              <w:top w:val="single" w:sz="8" w:color="3051F2"/>
              <w:bottom w:val="single" w:sz="8" w:color="auto"/>
            </w:tcBorders>
          </w:tcPr>
          <w:p>
            <w:pPr>
              <w:spacing w:after="0"/>
              <w:rPr>
                <w:sz w:val="2"/>
                <w:szCs w:val="2"/>
                <w:color w:val="auto"/>
              </w:rPr>
            </w:pPr>
          </w:p>
        </w:tc>
        <w:tc>
          <w:tcPr>
            <w:tcW w:w="60" w:type="dxa"/>
            <w:vAlign w:val="bottom"/>
            <w:tcBorders>
              <w:top w:val="single" w:sz="8" w:color="3051F2"/>
              <w:bottom w:val="single" w:sz="8" w:color="auto"/>
            </w:tcBorders>
          </w:tcPr>
          <w:p>
            <w:pPr>
              <w:spacing w:after="0"/>
              <w:rPr>
                <w:sz w:val="2"/>
                <w:szCs w:val="2"/>
                <w:color w:val="auto"/>
              </w:rPr>
            </w:pPr>
          </w:p>
        </w:tc>
        <w:tc>
          <w:tcPr>
            <w:tcW w:w="100" w:type="dxa"/>
            <w:vAlign w:val="bottom"/>
            <w:tcBorders>
              <w:top w:val="single" w:sz="8" w:color="3051F2"/>
              <w:bottom w:val="single" w:sz="8" w:color="auto"/>
            </w:tcBorders>
          </w:tcPr>
          <w:p>
            <w:pPr>
              <w:spacing w:after="0"/>
              <w:rPr>
                <w:sz w:val="2"/>
                <w:szCs w:val="2"/>
                <w:color w:val="auto"/>
              </w:rPr>
            </w:pPr>
          </w:p>
        </w:tc>
        <w:tc>
          <w:tcPr>
            <w:tcW w:w="200" w:type="dxa"/>
            <w:vAlign w:val="bottom"/>
            <w:tcBorders>
              <w:top w:val="single" w:sz="8" w:color="3051F2"/>
              <w:bottom w:val="single" w:sz="8" w:color="auto"/>
            </w:tcBorders>
          </w:tcPr>
          <w:p>
            <w:pPr>
              <w:spacing w:after="0"/>
              <w:rPr>
                <w:sz w:val="2"/>
                <w:szCs w:val="2"/>
                <w:color w:val="auto"/>
              </w:rPr>
            </w:pPr>
          </w:p>
        </w:tc>
        <w:tc>
          <w:tcPr>
            <w:tcW w:w="520" w:type="dxa"/>
            <w:vAlign w:val="bottom"/>
            <w:tcBorders>
              <w:top w:val="single" w:sz="8" w:color="3051F2"/>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7"/>
        </w:trPr>
        <w:tc>
          <w:tcPr>
            <w:tcW w:w="76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3"/>
              </w:rPr>
              <w:t>4.6</w:t>
            </w:r>
          </w:p>
        </w:tc>
        <w:tc>
          <w:tcPr>
            <w:tcW w:w="5540" w:type="dxa"/>
            <w:vAlign w:val="bottom"/>
            <w:gridSpan w:val="25"/>
            <w:vMerge w:val="restart"/>
            <w:shd w:val="clear" w:color="auto" w:fill="CCEEFF"/>
          </w:tcPr>
          <w:p>
            <w:pPr>
              <w:spacing w:after="0"/>
              <w:rPr>
                <w:rFonts w:ascii="Times New Roman" w:cs="Times New Roman" w:eastAsia="Times New Roman" w:hAnsi="Times New Roman"/>
                <w:sz w:val="12"/>
                <w:szCs w:val="12"/>
                <w:color w:val="3051F2"/>
              </w:rPr>
            </w:pPr>
            <w:hyperlink r:id="rId70">
              <w:r>
                <w:rPr>
                  <w:rFonts w:ascii="Times New Roman" w:cs="Times New Roman" w:eastAsia="Times New Roman" w:hAnsi="Times New Roman"/>
                  <w:sz w:val="12"/>
                  <w:szCs w:val="12"/>
                  <w:color w:val="3051F2"/>
                </w:rPr>
                <w:t>Form of Global Note for 2.300% Notes due 2028</w:t>
              </w:r>
            </w:hyperlink>
          </w:p>
        </w:tc>
        <w:tc>
          <w:tcPr>
            <w:tcW w:w="120" w:type="dxa"/>
            <w:vAlign w:val="bottom"/>
            <w:shd w:val="clear" w:color="auto" w:fill="CCEEFF"/>
          </w:tcPr>
          <w:p>
            <w:pPr>
              <w:spacing w:after="0"/>
              <w:rPr>
                <w:sz w:val="9"/>
                <w:szCs w:val="9"/>
                <w:color w:val="auto"/>
              </w:rPr>
            </w:pPr>
          </w:p>
        </w:tc>
        <w:tc>
          <w:tcPr>
            <w:tcW w:w="340" w:type="dxa"/>
            <w:vAlign w:val="bottom"/>
            <w:tcBorders>
              <w:right w:val="single" w:sz="8" w:color="auto"/>
            </w:tcBorders>
            <w:shd w:val="clear" w:color="auto" w:fill="CCEEFF"/>
          </w:tcPr>
          <w:p>
            <w:pPr>
              <w:spacing w:after="0"/>
              <w:rPr>
                <w:sz w:val="9"/>
                <w:szCs w:val="9"/>
                <w:color w:val="auto"/>
              </w:rPr>
            </w:pPr>
          </w:p>
        </w:tc>
        <w:tc>
          <w:tcPr>
            <w:tcW w:w="4520" w:type="dxa"/>
            <w:vAlign w:val="bottom"/>
            <w:tcBorders>
              <w:right w:val="single" w:sz="8" w:color="auto"/>
            </w:tcBorders>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Incorporated by reference to Exhibit 4.4 of Sun Communities Inc.'s Current Report on</w:t>
            </w:r>
          </w:p>
        </w:tc>
        <w:tc>
          <w:tcPr>
            <w:tcW w:w="0" w:type="dxa"/>
            <w:vAlign w:val="bottom"/>
          </w:tcPr>
          <w:p>
            <w:pPr>
              <w:spacing w:after="0"/>
              <w:rPr>
                <w:sz w:val="1"/>
                <w:szCs w:val="1"/>
                <w:color w:val="auto"/>
              </w:rPr>
            </w:pPr>
          </w:p>
        </w:tc>
      </w:tr>
      <w:tr>
        <w:trPr>
          <w:trHeight w:val="69"/>
        </w:trPr>
        <w:tc>
          <w:tcPr>
            <w:tcW w:w="760" w:type="dxa"/>
            <w:vAlign w:val="bottom"/>
            <w:tcBorders>
              <w:left w:val="single" w:sz="8" w:color="auto"/>
              <w:right w:val="single" w:sz="8" w:color="auto"/>
            </w:tcBorders>
            <w:vMerge w:val="continue"/>
            <w:shd w:val="clear" w:color="auto" w:fill="CCEEFF"/>
          </w:tcPr>
          <w:p>
            <w:pPr>
              <w:spacing w:after="0"/>
              <w:rPr>
                <w:sz w:val="6"/>
                <w:szCs w:val="6"/>
                <w:color w:val="auto"/>
              </w:rPr>
            </w:pPr>
          </w:p>
        </w:tc>
        <w:tc>
          <w:tcPr>
            <w:tcW w:w="5540" w:type="dxa"/>
            <w:vAlign w:val="bottom"/>
            <w:gridSpan w:val="25"/>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right w:val="single" w:sz="8" w:color="auto"/>
            </w:tcBorders>
            <w:shd w:val="clear" w:color="auto" w:fill="CCEEFF"/>
          </w:tcPr>
          <w:p>
            <w:pPr>
              <w:spacing w:after="0"/>
              <w:rPr>
                <w:sz w:val="6"/>
                <w:szCs w:val="6"/>
                <w:color w:val="auto"/>
              </w:rPr>
            </w:pPr>
          </w:p>
        </w:tc>
        <w:tc>
          <w:tcPr>
            <w:tcW w:w="452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Form 8-K filed on October 5, 2021</w:t>
            </w:r>
          </w:p>
        </w:tc>
        <w:tc>
          <w:tcPr>
            <w:tcW w:w="0" w:type="dxa"/>
            <w:vAlign w:val="bottom"/>
          </w:tcPr>
          <w:p>
            <w:pPr>
              <w:spacing w:after="0"/>
              <w:rPr>
                <w:sz w:val="1"/>
                <w:szCs w:val="1"/>
                <w:color w:val="auto"/>
              </w:rPr>
            </w:pPr>
          </w:p>
        </w:tc>
      </w:tr>
      <w:tr>
        <w:trPr>
          <w:trHeight w:val="77"/>
        </w:trPr>
        <w:tc>
          <w:tcPr>
            <w:tcW w:w="760" w:type="dxa"/>
            <w:vAlign w:val="bottom"/>
            <w:tcBorders>
              <w:top w:val="single" w:sz="8" w:color="CCEEFF"/>
              <w:left w:val="single" w:sz="8" w:color="auto"/>
              <w:bottom w:val="single" w:sz="8" w:color="auto"/>
              <w:right w:val="single" w:sz="8" w:color="auto"/>
            </w:tcBorders>
            <w:shd w:val="clear" w:color="auto" w:fill="CCEEFF"/>
          </w:tcPr>
          <w:p>
            <w:pPr>
              <w:spacing w:after="0"/>
              <w:rPr>
                <w:sz w:val="6"/>
                <w:szCs w:val="6"/>
                <w:color w:val="auto"/>
              </w:rPr>
            </w:pPr>
          </w:p>
        </w:tc>
        <w:tc>
          <w:tcPr>
            <w:tcW w:w="720" w:type="dxa"/>
            <w:vAlign w:val="bottom"/>
            <w:tcBorders>
              <w:top w:val="single" w:sz="8" w:color="3051F2"/>
              <w:bottom w:val="single" w:sz="8" w:color="auto"/>
            </w:tcBorders>
            <w:shd w:val="clear" w:color="auto" w:fill="CCEEFF"/>
          </w:tcPr>
          <w:p>
            <w:pPr>
              <w:spacing w:after="0"/>
              <w:rPr>
                <w:sz w:val="6"/>
                <w:szCs w:val="6"/>
                <w:color w:val="auto"/>
              </w:rPr>
            </w:pPr>
          </w:p>
        </w:tc>
        <w:tc>
          <w:tcPr>
            <w:tcW w:w="40" w:type="dxa"/>
            <w:vAlign w:val="bottom"/>
            <w:tcBorders>
              <w:top w:val="single" w:sz="8" w:color="3051F2"/>
              <w:bottom w:val="single" w:sz="8" w:color="auto"/>
            </w:tcBorders>
            <w:shd w:val="clear" w:color="auto" w:fill="CCEEFF"/>
          </w:tcPr>
          <w:p>
            <w:pPr>
              <w:spacing w:after="0"/>
              <w:rPr>
                <w:sz w:val="6"/>
                <w:szCs w:val="6"/>
                <w:color w:val="auto"/>
              </w:rPr>
            </w:pPr>
          </w:p>
        </w:tc>
        <w:tc>
          <w:tcPr>
            <w:tcW w:w="20" w:type="dxa"/>
            <w:vAlign w:val="bottom"/>
            <w:tcBorders>
              <w:top w:val="single" w:sz="8" w:color="3051F2"/>
              <w:bottom w:val="single" w:sz="8" w:color="auto"/>
            </w:tcBorders>
            <w:shd w:val="clear" w:color="auto" w:fill="CCEEFF"/>
          </w:tcPr>
          <w:p>
            <w:pPr>
              <w:spacing w:after="0"/>
              <w:rPr>
                <w:sz w:val="6"/>
                <w:szCs w:val="6"/>
                <w:color w:val="auto"/>
              </w:rPr>
            </w:pPr>
          </w:p>
        </w:tc>
        <w:tc>
          <w:tcPr>
            <w:tcW w:w="180" w:type="dxa"/>
            <w:vAlign w:val="bottom"/>
            <w:tcBorders>
              <w:top w:val="single" w:sz="8" w:color="3051F2"/>
              <w:bottom w:val="single" w:sz="8" w:color="auto"/>
            </w:tcBorders>
            <w:shd w:val="clear" w:color="auto" w:fill="CCEEFF"/>
          </w:tcPr>
          <w:p>
            <w:pPr>
              <w:spacing w:after="0"/>
              <w:rPr>
                <w:sz w:val="6"/>
                <w:szCs w:val="6"/>
                <w:color w:val="auto"/>
              </w:rPr>
            </w:pPr>
          </w:p>
        </w:tc>
        <w:tc>
          <w:tcPr>
            <w:tcW w:w="180" w:type="dxa"/>
            <w:vAlign w:val="bottom"/>
            <w:tcBorders>
              <w:top w:val="single" w:sz="8" w:color="3051F2"/>
              <w:bottom w:val="single" w:sz="8" w:color="auto"/>
            </w:tcBorders>
            <w:shd w:val="clear" w:color="auto" w:fill="CCEEFF"/>
          </w:tcPr>
          <w:p>
            <w:pPr>
              <w:spacing w:after="0"/>
              <w:rPr>
                <w:sz w:val="6"/>
                <w:szCs w:val="6"/>
                <w:color w:val="auto"/>
              </w:rPr>
            </w:pPr>
          </w:p>
        </w:tc>
        <w:tc>
          <w:tcPr>
            <w:tcW w:w="580" w:type="dxa"/>
            <w:vAlign w:val="bottom"/>
            <w:tcBorders>
              <w:top w:val="single" w:sz="8" w:color="3051F2"/>
              <w:bottom w:val="single" w:sz="8" w:color="auto"/>
            </w:tcBorders>
            <w:shd w:val="clear" w:color="auto" w:fill="CCEEFF"/>
          </w:tcPr>
          <w:p>
            <w:pPr>
              <w:spacing w:after="0"/>
              <w:rPr>
                <w:sz w:val="6"/>
                <w:szCs w:val="6"/>
                <w:color w:val="auto"/>
              </w:rPr>
            </w:pPr>
          </w:p>
        </w:tc>
        <w:tc>
          <w:tcPr>
            <w:tcW w:w="40" w:type="dxa"/>
            <w:vAlign w:val="bottom"/>
            <w:tcBorders>
              <w:top w:val="single" w:sz="8" w:color="3051F2"/>
              <w:bottom w:val="single" w:sz="8" w:color="auto"/>
            </w:tcBorders>
            <w:shd w:val="clear" w:color="auto" w:fill="CCEEFF"/>
          </w:tcPr>
          <w:p>
            <w:pPr>
              <w:spacing w:after="0"/>
              <w:rPr>
                <w:sz w:val="6"/>
                <w:szCs w:val="6"/>
                <w:color w:val="auto"/>
              </w:rPr>
            </w:pPr>
          </w:p>
        </w:tc>
        <w:tc>
          <w:tcPr>
            <w:tcW w:w="40" w:type="dxa"/>
            <w:vAlign w:val="bottom"/>
            <w:tcBorders>
              <w:top w:val="single" w:sz="8" w:color="3051F2"/>
              <w:bottom w:val="single" w:sz="8" w:color="auto"/>
            </w:tcBorders>
            <w:shd w:val="clear" w:color="auto" w:fill="CCEEFF"/>
          </w:tcPr>
          <w:p>
            <w:pPr>
              <w:spacing w:after="0"/>
              <w:rPr>
                <w:sz w:val="6"/>
                <w:szCs w:val="6"/>
                <w:color w:val="auto"/>
              </w:rPr>
            </w:pPr>
          </w:p>
        </w:tc>
        <w:tc>
          <w:tcPr>
            <w:tcW w:w="20" w:type="dxa"/>
            <w:vAlign w:val="bottom"/>
            <w:tcBorders>
              <w:top w:val="single" w:sz="8" w:color="3051F2"/>
              <w:bottom w:val="single" w:sz="8" w:color="auto"/>
            </w:tcBorders>
            <w:shd w:val="clear" w:color="auto" w:fill="CCEEFF"/>
          </w:tcPr>
          <w:p>
            <w:pPr>
              <w:spacing w:after="0"/>
              <w:rPr>
                <w:sz w:val="6"/>
                <w:szCs w:val="6"/>
                <w:color w:val="auto"/>
              </w:rPr>
            </w:pPr>
          </w:p>
        </w:tc>
        <w:tc>
          <w:tcPr>
            <w:tcW w:w="480" w:type="dxa"/>
            <w:vAlign w:val="bottom"/>
            <w:tcBorders>
              <w:top w:val="single" w:sz="8" w:color="3051F2"/>
              <w:bottom w:val="single" w:sz="8" w:color="auto"/>
            </w:tcBorders>
            <w:shd w:val="clear" w:color="auto" w:fill="CCEEFF"/>
          </w:tcPr>
          <w:p>
            <w:pPr>
              <w:spacing w:after="0"/>
              <w:rPr>
                <w:sz w:val="6"/>
                <w:szCs w:val="6"/>
                <w:color w:val="auto"/>
              </w:rPr>
            </w:pPr>
          </w:p>
        </w:tc>
        <w:tc>
          <w:tcPr>
            <w:tcW w:w="40" w:type="dxa"/>
            <w:vAlign w:val="bottom"/>
            <w:tcBorders>
              <w:top w:val="single" w:sz="8" w:color="3051F2"/>
              <w:bottom w:val="single" w:sz="8" w:color="auto"/>
            </w:tcBorders>
            <w:shd w:val="clear" w:color="auto" w:fill="CCEEFF"/>
          </w:tcPr>
          <w:p>
            <w:pPr>
              <w:spacing w:after="0"/>
              <w:rPr>
                <w:sz w:val="6"/>
                <w:szCs w:val="6"/>
                <w:color w:val="auto"/>
              </w:rPr>
            </w:pPr>
          </w:p>
        </w:tc>
        <w:tc>
          <w:tcPr>
            <w:tcW w:w="80" w:type="dxa"/>
            <w:vAlign w:val="bottom"/>
            <w:tcBorders>
              <w:top w:val="single" w:sz="8" w:color="3051F2"/>
              <w:bottom w:val="single" w:sz="8" w:color="auto"/>
            </w:tcBorders>
            <w:shd w:val="clear" w:color="auto" w:fill="CCEEFF"/>
          </w:tcPr>
          <w:p>
            <w:pPr>
              <w:spacing w:after="0"/>
              <w:rPr>
                <w:sz w:val="6"/>
                <w:szCs w:val="6"/>
                <w:color w:val="auto"/>
              </w:rPr>
            </w:pPr>
          </w:p>
        </w:tc>
        <w:tc>
          <w:tcPr>
            <w:tcW w:w="100" w:type="dxa"/>
            <w:vAlign w:val="bottom"/>
            <w:tcBorders>
              <w:top w:val="single" w:sz="8" w:color="CCEEFF"/>
              <w:bottom w:val="single" w:sz="8" w:color="auto"/>
            </w:tcBorders>
            <w:shd w:val="clear" w:color="auto" w:fill="CCEEFF"/>
          </w:tcPr>
          <w:p>
            <w:pPr>
              <w:spacing w:after="0"/>
              <w:rPr>
                <w:sz w:val="6"/>
                <w:szCs w:val="6"/>
                <w:color w:val="auto"/>
              </w:rPr>
            </w:pPr>
          </w:p>
        </w:tc>
        <w:tc>
          <w:tcPr>
            <w:tcW w:w="60" w:type="dxa"/>
            <w:vAlign w:val="bottom"/>
            <w:tcBorders>
              <w:top w:val="single" w:sz="8" w:color="CCEEFF"/>
              <w:bottom w:val="single" w:sz="8" w:color="auto"/>
            </w:tcBorders>
            <w:shd w:val="clear" w:color="auto" w:fill="CCEEFF"/>
          </w:tcPr>
          <w:p>
            <w:pPr>
              <w:spacing w:after="0"/>
              <w:rPr>
                <w:sz w:val="6"/>
                <w:szCs w:val="6"/>
                <w:color w:val="auto"/>
              </w:rPr>
            </w:pPr>
          </w:p>
        </w:tc>
        <w:tc>
          <w:tcPr>
            <w:tcW w:w="100" w:type="dxa"/>
            <w:vAlign w:val="bottom"/>
            <w:tcBorders>
              <w:top w:val="single" w:sz="8" w:color="CCEEFF"/>
              <w:bottom w:val="single" w:sz="8" w:color="auto"/>
            </w:tcBorders>
            <w:shd w:val="clear" w:color="auto" w:fill="CCEEFF"/>
          </w:tcPr>
          <w:p>
            <w:pPr>
              <w:spacing w:after="0"/>
              <w:rPr>
                <w:sz w:val="6"/>
                <w:szCs w:val="6"/>
                <w:color w:val="auto"/>
              </w:rPr>
            </w:pPr>
          </w:p>
        </w:tc>
        <w:tc>
          <w:tcPr>
            <w:tcW w:w="200" w:type="dxa"/>
            <w:vAlign w:val="bottom"/>
            <w:tcBorders>
              <w:top w:val="single" w:sz="8" w:color="CCEEFF"/>
              <w:bottom w:val="single" w:sz="8" w:color="auto"/>
            </w:tcBorders>
            <w:shd w:val="clear" w:color="auto" w:fill="CCEEFF"/>
          </w:tcPr>
          <w:p>
            <w:pPr>
              <w:spacing w:after="0"/>
              <w:rPr>
                <w:sz w:val="6"/>
                <w:szCs w:val="6"/>
                <w:color w:val="auto"/>
              </w:rPr>
            </w:pPr>
          </w:p>
        </w:tc>
        <w:tc>
          <w:tcPr>
            <w:tcW w:w="520" w:type="dxa"/>
            <w:vAlign w:val="bottom"/>
            <w:tcBorders>
              <w:top w:val="single" w:sz="8" w:color="CCEEFF"/>
              <w:bottom w:val="single" w:sz="8" w:color="auto"/>
            </w:tcBorders>
            <w:shd w:val="clear" w:color="auto" w:fill="CCEEFF"/>
          </w:tcPr>
          <w:p>
            <w:pPr>
              <w:spacing w:after="0"/>
              <w:rPr>
                <w:sz w:val="6"/>
                <w:szCs w:val="6"/>
                <w:color w:val="auto"/>
              </w:rPr>
            </w:pPr>
          </w:p>
        </w:tc>
        <w:tc>
          <w:tcPr>
            <w:tcW w:w="20" w:type="dxa"/>
            <w:vAlign w:val="bottom"/>
            <w:tcBorders>
              <w:top w:val="single" w:sz="8" w:color="CCEEFF"/>
              <w:bottom w:val="single" w:sz="8" w:color="auto"/>
            </w:tcBorders>
            <w:shd w:val="clear" w:color="auto" w:fill="CCEEFF"/>
          </w:tcPr>
          <w:p>
            <w:pPr>
              <w:spacing w:after="0"/>
              <w:rPr>
                <w:sz w:val="6"/>
                <w:szCs w:val="6"/>
                <w:color w:val="auto"/>
              </w:rPr>
            </w:pPr>
          </w:p>
        </w:tc>
        <w:tc>
          <w:tcPr>
            <w:tcW w:w="100" w:type="dxa"/>
            <w:vAlign w:val="bottom"/>
            <w:tcBorders>
              <w:top w:val="single" w:sz="8" w:color="CCEEFF"/>
              <w:bottom w:val="single" w:sz="8" w:color="auto"/>
            </w:tcBorders>
            <w:shd w:val="clear" w:color="auto" w:fill="CCEEFF"/>
          </w:tcPr>
          <w:p>
            <w:pPr>
              <w:spacing w:after="0"/>
              <w:rPr>
                <w:sz w:val="6"/>
                <w:szCs w:val="6"/>
                <w:color w:val="auto"/>
              </w:rPr>
            </w:pPr>
          </w:p>
        </w:tc>
        <w:tc>
          <w:tcPr>
            <w:tcW w:w="20" w:type="dxa"/>
            <w:vAlign w:val="bottom"/>
            <w:tcBorders>
              <w:top w:val="single" w:sz="8" w:color="CCEEFF"/>
              <w:bottom w:val="single" w:sz="8" w:color="auto"/>
            </w:tcBorders>
            <w:shd w:val="clear" w:color="auto" w:fill="CCEEFF"/>
          </w:tcPr>
          <w:p>
            <w:pPr>
              <w:spacing w:after="0"/>
              <w:rPr>
                <w:sz w:val="6"/>
                <w:szCs w:val="6"/>
                <w:color w:val="auto"/>
              </w:rPr>
            </w:pPr>
          </w:p>
        </w:tc>
        <w:tc>
          <w:tcPr>
            <w:tcW w:w="160" w:type="dxa"/>
            <w:vAlign w:val="bottom"/>
            <w:tcBorders>
              <w:top w:val="single" w:sz="8" w:color="CCEEFF"/>
              <w:bottom w:val="single" w:sz="8" w:color="auto"/>
            </w:tcBorders>
            <w:shd w:val="clear" w:color="auto" w:fill="CCEEFF"/>
          </w:tcPr>
          <w:p>
            <w:pPr>
              <w:spacing w:after="0"/>
              <w:rPr>
                <w:sz w:val="6"/>
                <w:szCs w:val="6"/>
                <w:color w:val="auto"/>
              </w:rPr>
            </w:pPr>
          </w:p>
        </w:tc>
        <w:tc>
          <w:tcPr>
            <w:tcW w:w="160" w:type="dxa"/>
            <w:vAlign w:val="bottom"/>
            <w:tcBorders>
              <w:top w:val="single" w:sz="8" w:color="CCEEFF"/>
              <w:bottom w:val="single" w:sz="8" w:color="auto"/>
            </w:tcBorders>
            <w:shd w:val="clear" w:color="auto" w:fill="CCEEFF"/>
          </w:tcPr>
          <w:p>
            <w:pPr>
              <w:spacing w:after="0"/>
              <w:rPr>
                <w:sz w:val="6"/>
                <w:szCs w:val="6"/>
                <w:color w:val="auto"/>
              </w:rPr>
            </w:pPr>
          </w:p>
        </w:tc>
        <w:tc>
          <w:tcPr>
            <w:tcW w:w="700" w:type="dxa"/>
            <w:vAlign w:val="bottom"/>
            <w:tcBorders>
              <w:top w:val="single" w:sz="8" w:color="CCEEFF"/>
              <w:bottom w:val="single" w:sz="8" w:color="auto"/>
            </w:tcBorders>
            <w:shd w:val="clear" w:color="auto" w:fill="CCEEFF"/>
          </w:tcPr>
          <w:p>
            <w:pPr>
              <w:spacing w:after="0"/>
              <w:rPr>
                <w:sz w:val="6"/>
                <w:szCs w:val="6"/>
                <w:color w:val="auto"/>
              </w:rPr>
            </w:pPr>
          </w:p>
        </w:tc>
        <w:tc>
          <w:tcPr>
            <w:tcW w:w="400" w:type="dxa"/>
            <w:vAlign w:val="bottom"/>
            <w:tcBorders>
              <w:top w:val="single" w:sz="8" w:color="CCEEFF"/>
              <w:bottom w:val="single" w:sz="8" w:color="auto"/>
            </w:tcBorders>
            <w:shd w:val="clear" w:color="auto" w:fill="CCEEFF"/>
          </w:tcPr>
          <w:p>
            <w:pPr>
              <w:spacing w:after="0"/>
              <w:rPr>
                <w:sz w:val="6"/>
                <w:szCs w:val="6"/>
                <w:color w:val="auto"/>
              </w:rPr>
            </w:pPr>
          </w:p>
        </w:tc>
        <w:tc>
          <w:tcPr>
            <w:tcW w:w="580" w:type="dxa"/>
            <w:vAlign w:val="bottom"/>
            <w:tcBorders>
              <w:top w:val="single" w:sz="8" w:color="CCEEFF"/>
              <w:bottom w:val="single" w:sz="8" w:color="auto"/>
            </w:tcBorders>
            <w:shd w:val="clear" w:color="auto" w:fill="CCEEFF"/>
          </w:tcPr>
          <w:p>
            <w:pPr>
              <w:spacing w:after="0"/>
              <w:rPr>
                <w:sz w:val="6"/>
                <w:szCs w:val="6"/>
                <w:color w:val="auto"/>
              </w:rPr>
            </w:pPr>
          </w:p>
        </w:tc>
        <w:tc>
          <w:tcPr>
            <w:tcW w:w="120" w:type="dxa"/>
            <w:vAlign w:val="bottom"/>
            <w:tcBorders>
              <w:top w:val="single" w:sz="8" w:color="CCEEFF"/>
              <w:bottom w:val="single" w:sz="8" w:color="auto"/>
            </w:tcBorders>
            <w:shd w:val="clear" w:color="auto" w:fill="CCEEFF"/>
          </w:tcPr>
          <w:p>
            <w:pPr>
              <w:spacing w:after="0"/>
              <w:rPr>
                <w:sz w:val="6"/>
                <w:szCs w:val="6"/>
                <w:color w:val="auto"/>
              </w:rPr>
            </w:pPr>
          </w:p>
        </w:tc>
        <w:tc>
          <w:tcPr>
            <w:tcW w:w="340" w:type="dxa"/>
            <w:vAlign w:val="bottom"/>
            <w:tcBorders>
              <w:top w:val="single" w:sz="8" w:color="CCEEFF"/>
              <w:bottom w:val="single" w:sz="8" w:color="auto"/>
              <w:right w:val="single" w:sz="8" w:color="auto"/>
            </w:tcBorders>
            <w:shd w:val="clear" w:color="auto" w:fill="CCEEFF"/>
          </w:tcPr>
          <w:p>
            <w:pPr>
              <w:spacing w:after="0"/>
              <w:rPr>
                <w:sz w:val="6"/>
                <w:szCs w:val="6"/>
                <w:color w:val="auto"/>
              </w:rPr>
            </w:pPr>
          </w:p>
        </w:tc>
        <w:tc>
          <w:tcPr>
            <w:tcW w:w="4520" w:type="dxa"/>
            <w:vAlign w:val="bottom"/>
            <w:tcBorders>
              <w:top w:val="single" w:sz="8" w:color="CCEEFF"/>
              <w:bottom w:val="single" w:sz="8" w:color="auto"/>
              <w:right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7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3"/>
              </w:rPr>
              <w:t>4.7</w:t>
            </w:r>
          </w:p>
        </w:tc>
        <w:tc>
          <w:tcPr>
            <w:tcW w:w="5540" w:type="dxa"/>
            <w:vAlign w:val="bottom"/>
            <w:gridSpan w:val="25"/>
          </w:tcPr>
          <w:p>
            <w:pPr>
              <w:spacing w:after="0" w:line="126" w:lineRule="exact"/>
              <w:rPr>
                <w:rFonts w:ascii="Times New Roman" w:cs="Times New Roman" w:eastAsia="Times New Roman" w:hAnsi="Times New Roman"/>
                <w:sz w:val="12"/>
                <w:szCs w:val="12"/>
                <w:color w:val="3051F2"/>
              </w:rPr>
            </w:pPr>
            <w:hyperlink r:id="rId71">
              <w:r>
                <w:rPr>
                  <w:rFonts w:ascii="Times New Roman" w:cs="Times New Roman" w:eastAsia="Times New Roman" w:hAnsi="Times New Roman"/>
                  <w:sz w:val="12"/>
                  <w:szCs w:val="12"/>
                  <w:color w:val="3051F2"/>
                </w:rPr>
                <w:t>Third Supplemental Indenture, dated as of April 12, 2022 by and among Sun Communities Operating</w:t>
              </w:r>
            </w:hyperlink>
          </w:p>
        </w:tc>
        <w:tc>
          <w:tcPr>
            <w:tcW w:w="460" w:type="dxa"/>
            <w:vAlign w:val="bottom"/>
            <w:tcBorders>
              <w:right w:val="single" w:sz="8" w:color="auto"/>
            </w:tcBorders>
            <w:gridSpan w:val="2"/>
          </w:tcPr>
          <w:p>
            <w:pPr>
              <w:ind w:left="40"/>
              <w:spacing w:after="0" w:line="126" w:lineRule="exact"/>
              <w:rPr>
                <w:rFonts w:ascii="Times New Roman" w:cs="Times New Roman" w:eastAsia="Times New Roman" w:hAnsi="Times New Roman"/>
                <w:sz w:val="12"/>
                <w:szCs w:val="12"/>
                <w:color w:val="3051F2"/>
                <w:w w:val="99"/>
              </w:rPr>
            </w:pPr>
            <w:hyperlink r:id="rId71">
              <w:r>
                <w:rPr>
                  <w:rFonts w:ascii="Times New Roman" w:cs="Times New Roman" w:eastAsia="Times New Roman" w:hAnsi="Times New Roman"/>
                  <w:sz w:val="12"/>
                  <w:szCs w:val="12"/>
                  <w:color w:val="3051F2"/>
                  <w:w w:val="99"/>
                </w:rPr>
                <w:t>Limited</w:t>
              </w:r>
            </w:hyperlink>
          </w:p>
        </w:tc>
        <w:tc>
          <w:tcPr>
            <w:tcW w:w="4520" w:type="dxa"/>
            <w:vAlign w:val="bottom"/>
            <w:tcBorders>
              <w:right w:val="single" w:sz="8" w:color="auto"/>
            </w:tcBorders>
          </w:tcPr>
          <w:p>
            <w:pPr>
              <w:spacing w:after="0" w:line="126" w:lineRule="exact"/>
              <w:rPr>
                <w:sz w:val="20"/>
                <w:szCs w:val="20"/>
                <w:color w:val="auto"/>
              </w:rPr>
            </w:pPr>
            <w:r>
              <w:rPr>
                <w:rFonts w:ascii="Times New Roman" w:cs="Times New Roman" w:eastAsia="Times New Roman" w:hAnsi="Times New Roman"/>
                <w:sz w:val="12"/>
                <w:szCs w:val="12"/>
                <w:color w:val="auto"/>
              </w:rPr>
              <w:t>Incorporated by reference to Exhibit 4.2 of Sun Communities Inc.'s Current Report on</w:t>
            </w:r>
          </w:p>
        </w:tc>
        <w:tc>
          <w:tcPr>
            <w:tcW w:w="0" w:type="dxa"/>
            <w:vAlign w:val="bottom"/>
          </w:tcPr>
          <w:p>
            <w:pPr>
              <w:spacing w:after="0"/>
              <w:rPr>
                <w:sz w:val="1"/>
                <w:szCs w:val="1"/>
                <w:color w:val="auto"/>
              </w:rPr>
            </w:pPr>
          </w:p>
        </w:tc>
      </w:tr>
      <w:tr>
        <w:trPr>
          <w:trHeight w:val="71"/>
        </w:trPr>
        <w:tc>
          <w:tcPr>
            <w:tcW w:w="760" w:type="dxa"/>
            <w:vAlign w:val="bottom"/>
            <w:tcBorders>
              <w:left w:val="single" w:sz="8" w:color="auto"/>
              <w:right w:val="single" w:sz="8" w:color="auto"/>
            </w:tcBorders>
            <w:vMerge w:val="continue"/>
          </w:tcPr>
          <w:p>
            <w:pPr>
              <w:spacing w:after="0"/>
              <w:rPr>
                <w:sz w:val="6"/>
                <w:szCs w:val="6"/>
                <w:color w:val="auto"/>
              </w:rPr>
            </w:pPr>
          </w:p>
        </w:tc>
        <w:tc>
          <w:tcPr>
            <w:tcW w:w="5540" w:type="dxa"/>
            <w:vAlign w:val="bottom"/>
            <w:tcBorders>
              <w:top w:val="single" w:sz="8" w:color="3051F2"/>
            </w:tcBorders>
            <w:gridSpan w:val="25"/>
            <w:vMerge w:val="restart"/>
          </w:tcPr>
          <w:p>
            <w:pPr>
              <w:spacing w:after="0" w:line="128" w:lineRule="exact"/>
              <w:rPr>
                <w:rFonts w:ascii="Times New Roman" w:cs="Times New Roman" w:eastAsia="Times New Roman" w:hAnsi="Times New Roman"/>
                <w:sz w:val="12"/>
                <w:szCs w:val="12"/>
                <w:color w:val="3051F2"/>
              </w:rPr>
            </w:pPr>
            <w:hyperlink r:id="rId71">
              <w:r>
                <w:rPr>
                  <w:rFonts w:ascii="Times New Roman" w:cs="Times New Roman" w:eastAsia="Times New Roman" w:hAnsi="Times New Roman"/>
                  <w:sz w:val="12"/>
                  <w:szCs w:val="12"/>
                  <w:color w:val="3051F2"/>
                </w:rPr>
                <w:t>Partnership, Sun Communities, Inc., and UMB Bank, N.A. as trustee.</w:t>
              </w:r>
            </w:hyperlink>
          </w:p>
        </w:tc>
        <w:tc>
          <w:tcPr>
            <w:tcW w:w="120" w:type="dxa"/>
            <w:vAlign w:val="bottom"/>
            <w:tcBorders>
              <w:top w:val="single" w:sz="8" w:color="3051F2"/>
            </w:tcBorders>
          </w:tcPr>
          <w:p>
            <w:pPr>
              <w:spacing w:after="0"/>
              <w:rPr>
                <w:sz w:val="6"/>
                <w:szCs w:val="6"/>
                <w:color w:val="auto"/>
              </w:rPr>
            </w:pPr>
          </w:p>
        </w:tc>
        <w:tc>
          <w:tcPr>
            <w:tcW w:w="340" w:type="dxa"/>
            <w:vAlign w:val="bottom"/>
            <w:tcBorders>
              <w:top w:val="single" w:sz="8" w:color="3051F2"/>
              <w:right w:val="single" w:sz="8" w:color="auto"/>
            </w:tcBorders>
          </w:tcPr>
          <w:p>
            <w:pPr>
              <w:spacing w:after="0"/>
              <w:rPr>
                <w:sz w:val="6"/>
                <w:szCs w:val="6"/>
                <w:color w:val="auto"/>
              </w:rPr>
            </w:pPr>
          </w:p>
        </w:tc>
        <w:tc>
          <w:tcPr>
            <w:tcW w:w="4520" w:type="dxa"/>
            <w:vAlign w:val="bottom"/>
            <w:tcBorders>
              <w:right w:val="single" w:sz="8" w:color="auto"/>
            </w:tcBorders>
            <w:vMerge w:val="restart"/>
          </w:tcPr>
          <w:p>
            <w:pPr>
              <w:spacing w:after="0" w:line="128" w:lineRule="exact"/>
              <w:rPr>
                <w:sz w:val="20"/>
                <w:szCs w:val="20"/>
                <w:color w:val="auto"/>
              </w:rPr>
            </w:pPr>
            <w:r>
              <w:rPr>
                <w:rFonts w:ascii="Times New Roman" w:cs="Times New Roman" w:eastAsia="Times New Roman" w:hAnsi="Times New Roman"/>
                <w:sz w:val="12"/>
                <w:szCs w:val="12"/>
                <w:color w:val="auto"/>
              </w:rPr>
              <w:t>Form 8-k filed on April 12, 2022</w:t>
            </w:r>
          </w:p>
        </w:tc>
        <w:tc>
          <w:tcPr>
            <w:tcW w:w="0" w:type="dxa"/>
            <w:vAlign w:val="bottom"/>
          </w:tcPr>
          <w:p>
            <w:pPr>
              <w:spacing w:after="0"/>
              <w:rPr>
                <w:sz w:val="1"/>
                <w:szCs w:val="1"/>
                <w:color w:val="auto"/>
              </w:rPr>
            </w:pPr>
          </w:p>
        </w:tc>
      </w:tr>
      <w:tr>
        <w:trPr>
          <w:trHeight w:val="57"/>
        </w:trPr>
        <w:tc>
          <w:tcPr>
            <w:tcW w:w="760" w:type="dxa"/>
            <w:vAlign w:val="bottom"/>
            <w:tcBorders>
              <w:left w:val="single" w:sz="8" w:color="auto"/>
              <w:right w:val="single" w:sz="8" w:color="auto"/>
            </w:tcBorders>
          </w:tcPr>
          <w:p>
            <w:pPr>
              <w:spacing w:after="0"/>
              <w:rPr>
                <w:sz w:val="4"/>
                <w:szCs w:val="4"/>
                <w:color w:val="auto"/>
              </w:rPr>
            </w:pPr>
          </w:p>
        </w:tc>
        <w:tc>
          <w:tcPr>
            <w:tcW w:w="5540" w:type="dxa"/>
            <w:vAlign w:val="bottom"/>
            <w:gridSpan w:val="25"/>
            <w:vMerge w:val="continue"/>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Borders>
              <w:right w:val="single" w:sz="8" w:color="auto"/>
            </w:tcBorders>
          </w:tcPr>
          <w:p>
            <w:pPr>
              <w:spacing w:after="0"/>
              <w:rPr>
                <w:sz w:val="4"/>
                <w:szCs w:val="4"/>
                <w:color w:val="auto"/>
              </w:rPr>
            </w:pPr>
          </w:p>
        </w:tc>
        <w:tc>
          <w:tcPr>
            <w:tcW w:w="452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760" w:type="dxa"/>
            <w:vAlign w:val="bottom"/>
            <w:tcBorders>
              <w:left w:val="single" w:sz="8" w:color="auto"/>
              <w:bottom w:val="single" w:sz="8" w:color="auto"/>
              <w:right w:val="single" w:sz="8" w:color="auto"/>
            </w:tcBorders>
          </w:tcPr>
          <w:p>
            <w:pPr>
              <w:spacing w:after="0"/>
              <w:rPr>
                <w:sz w:val="2"/>
                <w:szCs w:val="2"/>
                <w:color w:val="auto"/>
              </w:rPr>
            </w:pPr>
          </w:p>
        </w:tc>
        <w:tc>
          <w:tcPr>
            <w:tcW w:w="720" w:type="dxa"/>
            <w:vAlign w:val="bottom"/>
            <w:tcBorders>
              <w:top w:val="single" w:sz="8" w:color="3051F2"/>
              <w:bottom w:val="single" w:sz="8" w:color="auto"/>
            </w:tcBorders>
          </w:tcPr>
          <w:p>
            <w:pPr>
              <w:spacing w:after="0"/>
              <w:rPr>
                <w:sz w:val="2"/>
                <w:szCs w:val="2"/>
                <w:color w:val="auto"/>
              </w:rPr>
            </w:pPr>
          </w:p>
        </w:tc>
        <w:tc>
          <w:tcPr>
            <w:tcW w:w="40" w:type="dxa"/>
            <w:vAlign w:val="bottom"/>
            <w:tcBorders>
              <w:top w:val="single" w:sz="8" w:color="3051F2"/>
              <w:bottom w:val="single" w:sz="8" w:color="auto"/>
            </w:tcBorders>
          </w:tcPr>
          <w:p>
            <w:pPr>
              <w:spacing w:after="0"/>
              <w:rPr>
                <w:sz w:val="2"/>
                <w:szCs w:val="2"/>
                <w:color w:val="auto"/>
              </w:rPr>
            </w:pPr>
          </w:p>
        </w:tc>
        <w:tc>
          <w:tcPr>
            <w:tcW w:w="20" w:type="dxa"/>
            <w:vAlign w:val="bottom"/>
            <w:tcBorders>
              <w:top w:val="single" w:sz="8" w:color="3051F2"/>
              <w:bottom w:val="single" w:sz="8" w:color="auto"/>
            </w:tcBorders>
          </w:tcPr>
          <w:p>
            <w:pPr>
              <w:spacing w:after="0"/>
              <w:rPr>
                <w:sz w:val="2"/>
                <w:szCs w:val="2"/>
                <w:color w:val="auto"/>
              </w:rPr>
            </w:pPr>
          </w:p>
        </w:tc>
        <w:tc>
          <w:tcPr>
            <w:tcW w:w="180" w:type="dxa"/>
            <w:vAlign w:val="bottom"/>
            <w:tcBorders>
              <w:top w:val="single" w:sz="8" w:color="3051F2"/>
              <w:bottom w:val="single" w:sz="8" w:color="auto"/>
            </w:tcBorders>
          </w:tcPr>
          <w:p>
            <w:pPr>
              <w:spacing w:after="0"/>
              <w:rPr>
                <w:sz w:val="2"/>
                <w:szCs w:val="2"/>
                <w:color w:val="auto"/>
              </w:rPr>
            </w:pPr>
          </w:p>
        </w:tc>
        <w:tc>
          <w:tcPr>
            <w:tcW w:w="180" w:type="dxa"/>
            <w:vAlign w:val="bottom"/>
            <w:tcBorders>
              <w:top w:val="single" w:sz="8" w:color="3051F2"/>
              <w:bottom w:val="single" w:sz="8" w:color="auto"/>
            </w:tcBorders>
          </w:tcPr>
          <w:p>
            <w:pPr>
              <w:spacing w:after="0"/>
              <w:rPr>
                <w:sz w:val="2"/>
                <w:szCs w:val="2"/>
                <w:color w:val="auto"/>
              </w:rPr>
            </w:pPr>
          </w:p>
        </w:tc>
        <w:tc>
          <w:tcPr>
            <w:tcW w:w="580" w:type="dxa"/>
            <w:vAlign w:val="bottom"/>
            <w:tcBorders>
              <w:top w:val="single" w:sz="8" w:color="3051F2"/>
              <w:bottom w:val="single" w:sz="8" w:color="auto"/>
            </w:tcBorders>
          </w:tcPr>
          <w:p>
            <w:pPr>
              <w:spacing w:after="0"/>
              <w:rPr>
                <w:sz w:val="2"/>
                <w:szCs w:val="2"/>
                <w:color w:val="auto"/>
              </w:rPr>
            </w:pPr>
          </w:p>
        </w:tc>
        <w:tc>
          <w:tcPr>
            <w:tcW w:w="40" w:type="dxa"/>
            <w:vAlign w:val="bottom"/>
            <w:tcBorders>
              <w:top w:val="single" w:sz="8" w:color="3051F2"/>
              <w:bottom w:val="single" w:sz="8" w:color="auto"/>
            </w:tcBorders>
          </w:tcPr>
          <w:p>
            <w:pPr>
              <w:spacing w:after="0"/>
              <w:rPr>
                <w:sz w:val="2"/>
                <w:szCs w:val="2"/>
                <w:color w:val="auto"/>
              </w:rPr>
            </w:pPr>
          </w:p>
        </w:tc>
        <w:tc>
          <w:tcPr>
            <w:tcW w:w="40" w:type="dxa"/>
            <w:vAlign w:val="bottom"/>
            <w:tcBorders>
              <w:top w:val="single" w:sz="8" w:color="3051F2"/>
              <w:bottom w:val="single" w:sz="8" w:color="auto"/>
            </w:tcBorders>
          </w:tcPr>
          <w:p>
            <w:pPr>
              <w:spacing w:after="0"/>
              <w:rPr>
                <w:sz w:val="2"/>
                <w:szCs w:val="2"/>
                <w:color w:val="auto"/>
              </w:rPr>
            </w:pPr>
          </w:p>
        </w:tc>
        <w:tc>
          <w:tcPr>
            <w:tcW w:w="20" w:type="dxa"/>
            <w:vAlign w:val="bottom"/>
            <w:tcBorders>
              <w:top w:val="single" w:sz="8" w:color="3051F2"/>
              <w:bottom w:val="single" w:sz="8" w:color="auto"/>
            </w:tcBorders>
          </w:tcPr>
          <w:p>
            <w:pPr>
              <w:spacing w:after="0"/>
              <w:rPr>
                <w:sz w:val="2"/>
                <w:szCs w:val="2"/>
                <w:color w:val="auto"/>
              </w:rPr>
            </w:pPr>
          </w:p>
        </w:tc>
        <w:tc>
          <w:tcPr>
            <w:tcW w:w="480" w:type="dxa"/>
            <w:vAlign w:val="bottom"/>
            <w:tcBorders>
              <w:top w:val="single" w:sz="8" w:color="3051F2"/>
              <w:bottom w:val="single" w:sz="8" w:color="auto"/>
            </w:tcBorders>
          </w:tcPr>
          <w:p>
            <w:pPr>
              <w:spacing w:after="0"/>
              <w:rPr>
                <w:sz w:val="2"/>
                <w:szCs w:val="2"/>
                <w:color w:val="auto"/>
              </w:rPr>
            </w:pPr>
          </w:p>
        </w:tc>
        <w:tc>
          <w:tcPr>
            <w:tcW w:w="40" w:type="dxa"/>
            <w:vAlign w:val="bottom"/>
            <w:tcBorders>
              <w:top w:val="single" w:sz="8" w:color="3051F2"/>
              <w:bottom w:val="single" w:sz="8" w:color="auto"/>
            </w:tcBorders>
          </w:tcPr>
          <w:p>
            <w:pPr>
              <w:spacing w:after="0"/>
              <w:rPr>
                <w:sz w:val="2"/>
                <w:szCs w:val="2"/>
                <w:color w:val="auto"/>
              </w:rPr>
            </w:pPr>
          </w:p>
        </w:tc>
        <w:tc>
          <w:tcPr>
            <w:tcW w:w="80" w:type="dxa"/>
            <w:vAlign w:val="bottom"/>
            <w:tcBorders>
              <w:top w:val="single" w:sz="8" w:color="3051F2"/>
              <w:bottom w:val="single" w:sz="8" w:color="auto"/>
            </w:tcBorders>
          </w:tcPr>
          <w:p>
            <w:pPr>
              <w:spacing w:after="0"/>
              <w:rPr>
                <w:sz w:val="2"/>
                <w:szCs w:val="2"/>
                <w:color w:val="auto"/>
              </w:rPr>
            </w:pPr>
          </w:p>
        </w:tc>
        <w:tc>
          <w:tcPr>
            <w:tcW w:w="100" w:type="dxa"/>
            <w:vAlign w:val="bottom"/>
            <w:tcBorders>
              <w:top w:val="single" w:sz="8" w:color="3051F2"/>
              <w:bottom w:val="single" w:sz="8" w:color="auto"/>
            </w:tcBorders>
          </w:tcPr>
          <w:p>
            <w:pPr>
              <w:spacing w:after="0"/>
              <w:rPr>
                <w:sz w:val="2"/>
                <w:szCs w:val="2"/>
                <w:color w:val="auto"/>
              </w:rPr>
            </w:pPr>
          </w:p>
        </w:tc>
        <w:tc>
          <w:tcPr>
            <w:tcW w:w="60" w:type="dxa"/>
            <w:vAlign w:val="bottom"/>
            <w:tcBorders>
              <w:top w:val="single" w:sz="8" w:color="3051F2"/>
              <w:bottom w:val="single" w:sz="8" w:color="auto"/>
            </w:tcBorders>
          </w:tcPr>
          <w:p>
            <w:pPr>
              <w:spacing w:after="0"/>
              <w:rPr>
                <w:sz w:val="2"/>
                <w:szCs w:val="2"/>
                <w:color w:val="auto"/>
              </w:rPr>
            </w:pPr>
          </w:p>
        </w:tc>
        <w:tc>
          <w:tcPr>
            <w:tcW w:w="100" w:type="dxa"/>
            <w:vAlign w:val="bottom"/>
            <w:tcBorders>
              <w:top w:val="single" w:sz="8" w:color="3051F2"/>
              <w:bottom w:val="single" w:sz="8" w:color="auto"/>
            </w:tcBorders>
          </w:tcPr>
          <w:p>
            <w:pPr>
              <w:spacing w:after="0"/>
              <w:rPr>
                <w:sz w:val="2"/>
                <w:szCs w:val="2"/>
                <w:color w:val="auto"/>
              </w:rPr>
            </w:pPr>
          </w:p>
        </w:tc>
        <w:tc>
          <w:tcPr>
            <w:tcW w:w="200" w:type="dxa"/>
            <w:vAlign w:val="bottom"/>
            <w:tcBorders>
              <w:top w:val="single" w:sz="8" w:color="3051F2"/>
              <w:bottom w:val="single" w:sz="8" w:color="auto"/>
            </w:tcBorders>
          </w:tcPr>
          <w:p>
            <w:pPr>
              <w:spacing w:after="0"/>
              <w:rPr>
                <w:sz w:val="2"/>
                <w:szCs w:val="2"/>
                <w:color w:val="auto"/>
              </w:rPr>
            </w:pPr>
          </w:p>
        </w:tc>
        <w:tc>
          <w:tcPr>
            <w:tcW w:w="520" w:type="dxa"/>
            <w:vAlign w:val="bottom"/>
            <w:tcBorders>
              <w:top w:val="single" w:sz="8" w:color="3051F2"/>
              <w:bottom w:val="single" w:sz="8" w:color="auto"/>
            </w:tcBorders>
          </w:tcPr>
          <w:p>
            <w:pPr>
              <w:spacing w:after="0"/>
              <w:rPr>
                <w:sz w:val="2"/>
                <w:szCs w:val="2"/>
                <w:color w:val="auto"/>
              </w:rPr>
            </w:pPr>
          </w:p>
        </w:tc>
        <w:tc>
          <w:tcPr>
            <w:tcW w:w="20" w:type="dxa"/>
            <w:vAlign w:val="bottom"/>
            <w:tcBorders>
              <w:top w:val="single" w:sz="8" w:color="3051F2"/>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7"/>
        </w:trPr>
        <w:tc>
          <w:tcPr>
            <w:tcW w:w="76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3"/>
              </w:rPr>
              <w:t>4.8</w:t>
            </w:r>
          </w:p>
        </w:tc>
        <w:tc>
          <w:tcPr>
            <w:tcW w:w="5540" w:type="dxa"/>
            <w:vAlign w:val="bottom"/>
            <w:gridSpan w:val="25"/>
            <w:vMerge w:val="restart"/>
            <w:shd w:val="clear" w:color="auto" w:fill="CCEEFF"/>
          </w:tcPr>
          <w:p>
            <w:pPr>
              <w:spacing w:after="0"/>
              <w:rPr>
                <w:rFonts w:ascii="Times New Roman" w:cs="Times New Roman" w:eastAsia="Times New Roman" w:hAnsi="Times New Roman"/>
                <w:sz w:val="12"/>
                <w:szCs w:val="12"/>
                <w:color w:val="3051F2"/>
              </w:rPr>
            </w:pPr>
            <w:hyperlink r:id="rId72">
              <w:r>
                <w:rPr>
                  <w:rFonts w:ascii="Times New Roman" w:cs="Times New Roman" w:eastAsia="Times New Roman" w:hAnsi="Times New Roman"/>
                  <w:sz w:val="12"/>
                  <w:szCs w:val="12"/>
                  <w:color w:val="3051F2"/>
                </w:rPr>
                <w:t>Form of Global Note for 4.200% Notes due 2032</w:t>
              </w:r>
            </w:hyperlink>
          </w:p>
        </w:tc>
        <w:tc>
          <w:tcPr>
            <w:tcW w:w="120" w:type="dxa"/>
            <w:vAlign w:val="bottom"/>
            <w:shd w:val="clear" w:color="auto" w:fill="CCEEFF"/>
          </w:tcPr>
          <w:p>
            <w:pPr>
              <w:spacing w:after="0"/>
              <w:rPr>
                <w:sz w:val="9"/>
                <w:szCs w:val="9"/>
                <w:color w:val="auto"/>
              </w:rPr>
            </w:pPr>
          </w:p>
        </w:tc>
        <w:tc>
          <w:tcPr>
            <w:tcW w:w="340" w:type="dxa"/>
            <w:vAlign w:val="bottom"/>
            <w:tcBorders>
              <w:right w:val="single" w:sz="8" w:color="auto"/>
            </w:tcBorders>
            <w:shd w:val="clear" w:color="auto" w:fill="CCEEFF"/>
          </w:tcPr>
          <w:p>
            <w:pPr>
              <w:spacing w:after="0"/>
              <w:rPr>
                <w:sz w:val="9"/>
                <w:szCs w:val="9"/>
                <w:color w:val="auto"/>
              </w:rPr>
            </w:pPr>
          </w:p>
        </w:tc>
        <w:tc>
          <w:tcPr>
            <w:tcW w:w="4520" w:type="dxa"/>
            <w:vAlign w:val="bottom"/>
            <w:tcBorders>
              <w:right w:val="single" w:sz="8" w:color="auto"/>
            </w:tcBorders>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Incorporated by reference to Exhibit 4.3 of Sun Communities Inc.'s Current Report on</w:t>
            </w:r>
          </w:p>
        </w:tc>
        <w:tc>
          <w:tcPr>
            <w:tcW w:w="0" w:type="dxa"/>
            <w:vAlign w:val="bottom"/>
          </w:tcPr>
          <w:p>
            <w:pPr>
              <w:spacing w:after="0"/>
              <w:rPr>
                <w:sz w:val="1"/>
                <w:szCs w:val="1"/>
                <w:color w:val="auto"/>
              </w:rPr>
            </w:pPr>
          </w:p>
        </w:tc>
      </w:tr>
      <w:tr>
        <w:trPr>
          <w:trHeight w:val="69"/>
        </w:trPr>
        <w:tc>
          <w:tcPr>
            <w:tcW w:w="760" w:type="dxa"/>
            <w:vAlign w:val="bottom"/>
            <w:tcBorders>
              <w:left w:val="single" w:sz="8" w:color="auto"/>
              <w:right w:val="single" w:sz="8" w:color="auto"/>
            </w:tcBorders>
            <w:vMerge w:val="continue"/>
            <w:shd w:val="clear" w:color="auto" w:fill="CCEEFF"/>
          </w:tcPr>
          <w:p>
            <w:pPr>
              <w:spacing w:after="0"/>
              <w:rPr>
                <w:sz w:val="6"/>
                <w:szCs w:val="6"/>
                <w:color w:val="auto"/>
              </w:rPr>
            </w:pPr>
          </w:p>
        </w:tc>
        <w:tc>
          <w:tcPr>
            <w:tcW w:w="5540" w:type="dxa"/>
            <w:vAlign w:val="bottom"/>
            <w:gridSpan w:val="25"/>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right w:val="single" w:sz="8" w:color="auto"/>
            </w:tcBorders>
            <w:shd w:val="clear" w:color="auto" w:fill="CCEEFF"/>
          </w:tcPr>
          <w:p>
            <w:pPr>
              <w:spacing w:after="0"/>
              <w:rPr>
                <w:sz w:val="6"/>
                <w:szCs w:val="6"/>
                <w:color w:val="auto"/>
              </w:rPr>
            </w:pPr>
          </w:p>
        </w:tc>
        <w:tc>
          <w:tcPr>
            <w:tcW w:w="452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Form 8-K filed on April 12, 2022</w:t>
            </w:r>
          </w:p>
        </w:tc>
        <w:tc>
          <w:tcPr>
            <w:tcW w:w="0" w:type="dxa"/>
            <w:vAlign w:val="bottom"/>
          </w:tcPr>
          <w:p>
            <w:pPr>
              <w:spacing w:after="0"/>
              <w:rPr>
                <w:sz w:val="1"/>
                <w:szCs w:val="1"/>
                <w:color w:val="auto"/>
              </w:rPr>
            </w:pPr>
          </w:p>
        </w:tc>
      </w:tr>
      <w:tr>
        <w:trPr>
          <w:trHeight w:val="77"/>
        </w:trPr>
        <w:tc>
          <w:tcPr>
            <w:tcW w:w="760" w:type="dxa"/>
            <w:vAlign w:val="bottom"/>
            <w:tcBorders>
              <w:top w:val="single" w:sz="8" w:color="CCEEFF"/>
              <w:left w:val="single" w:sz="8" w:color="auto"/>
              <w:bottom w:val="single" w:sz="8" w:color="auto"/>
              <w:right w:val="single" w:sz="8" w:color="auto"/>
            </w:tcBorders>
            <w:shd w:val="clear" w:color="auto" w:fill="CCEEFF"/>
          </w:tcPr>
          <w:p>
            <w:pPr>
              <w:spacing w:after="0"/>
              <w:rPr>
                <w:sz w:val="6"/>
                <w:szCs w:val="6"/>
                <w:color w:val="auto"/>
              </w:rPr>
            </w:pPr>
          </w:p>
        </w:tc>
        <w:tc>
          <w:tcPr>
            <w:tcW w:w="720" w:type="dxa"/>
            <w:vAlign w:val="bottom"/>
            <w:tcBorders>
              <w:top w:val="single" w:sz="8" w:color="3051F2"/>
              <w:bottom w:val="single" w:sz="8" w:color="auto"/>
            </w:tcBorders>
            <w:shd w:val="clear" w:color="auto" w:fill="CCEEFF"/>
          </w:tcPr>
          <w:p>
            <w:pPr>
              <w:spacing w:after="0"/>
              <w:rPr>
                <w:sz w:val="6"/>
                <w:szCs w:val="6"/>
                <w:color w:val="auto"/>
              </w:rPr>
            </w:pPr>
          </w:p>
        </w:tc>
        <w:tc>
          <w:tcPr>
            <w:tcW w:w="40" w:type="dxa"/>
            <w:vAlign w:val="bottom"/>
            <w:tcBorders>
              <w:top w:val="single" w:sz="8" w:color="3051F2"/>
              <w:bottom w:val="single" w:sz="8" w:color="auto"/>
            </w:tcBorders>
            <w:shd w:val="clear" w:color="auto" w:fill="CCEEFF"/>
          </w:tcPr>
          <w:p>
            <w:pPr>
              <w:spacing w:after="0"/>
              <w:rPr>
                <w:sz w:val="6"/>
                <w:szCs w:val="6"/>
                <w:color w:val="auto"/>
              </w:rPr>
            </w:pPr>
          </w:p>
        </w:tc>
        <w:tc>
          <w:tcPr>
            <w:tcW w:w="20" w:type="dxa"/>
            <w:vAlign w:val="bottom"/>
            <w:tcBorders>
              <w:top w:val="single" w:sz="8" w:color="3051F2"/>
              <w:bottom w:val="single" w:sz="8" w:color="auto"/>
            </w:tcBorders>
            <w:shd w:val="clear" w:color="auto" w:fill="CCEEFF"/>
          </w:tcPr>
          <w:p>
            <w:pPr>
              <w:spacing w:after="0"/>
              <w:rPr>
                <w:sz w:val="6"/>
                <w:szCs w:val="6"/>
                <w:color w:val="auto"/>
              </w:rPr>
            </w:pPr>
          </w:p>
        </w:tc>
        <w:tc>
          <w:tcPr>
            <w:tcW w:w="180" w:type="dxa"/>
            <w:vAlign w:val="bottom"/>
            <w:tcBorders>
              <w:top w:val="single" w:sz="8" w:color="3051F2"/>
              <w:bottom w:val="single" w:sz="8" w:color="auto"/>
            </w:tcBorders>
            <w:shd w:val="clear" w:color="auto" w:fill="CCEEFF"/>
          </w:tcPr>
          <w:p>
            <w:pPr>
              <w:spacing w:after="0"/>
              <w:rPr>
                <w:sz w:val="6"/>
                <w:szCs w:val="6"/>
                <w:color w:val="auto"/>
              </w:rPr>
            </w:pPr>
          </w:p>
        </w:tc>
        <w:tc>
          <w:tcPr>
            <w:tcW w:w="180" w:type="dxa"/>
            <w:vAlign w:val="bottom"/>
            <w:tcBorders>
              <w:top w:val="single" w:sz="8" w:color="3051F2"/>
              <w:bottom w:val="single" w:sz="8" w:color="auto"/>
            </w:tcBorders>
            <w:shd w:val="clear" w:color="auto" w:fill="CCEEFF"/>
          </w:tcPr>
          <w:p>
            <w:pPr>
              <w:spacing w:after="0"/>
              <w:rPr>
                <w:sz w:val="6"/>
                <w:szCs w:val="6"/>
                <w:color w:val="auto"/>
              </w:rPr>
            </w:pPr>
          </w:p>
        </w:tc>
        <w:tc>
          <w:tcPr>
            <w:tcW w:w="580" w:type="dxa"/>
            <w:vAlign w:val="bottom"/>
            <w:tcBorders>
              <w:top w:val="single" w:sz="8" w:color="3051F2"/>
              <w:bottom w:val="single" w:sz="8" w:color="auto"/>
            </w:tcBorders>
            <w:shd w:val="clear" w:color="auto" w:fill="CCEEFF"/>
          </w:tcPr>
          <w:p>
            <w:pPr>
              <w:spacing w:after="0"/>
              <w:rPr>
                <w:sz w:val="6"/>
                <w:szCs w:val="6"/>
                <w:color w:val="auto"/>
              </w:rPr>
            </w:pPr>
          </w:p>
        </w:tc>
        <w:tc>
          <w:tcPr>
            <w:tcW w:w="40" w:type="dxa"/>
            <w:vAlign w:val="bottom"/>
            <w:tcBorders>
              <w:top w:val="single" w:sz="8" w:color="3051F2"/>
              <w:bottom w:val="single" w:sz="8" w:color="auto"/>
            </w:tcBorders>
            <w:shd w:val="clear" w:color="auto" w:fill="CCEEFF"/>
          </w:tcPr>
          <w:p>
            <w:pPr>
              <w:spacing w:after="0"/>
              <w:rPr>
                <w:sz w:val="6"/>
                <w:szCs w:val="6"/>
                <w:color w:val="auto"/>
              </w:rPr>
            </w:pPr>
          </w:p>
        </w:tc>
        <w:tc>
          <w:tcPr>
            <w:tcW w:w="40" w:type="dxa"/>
            <w:vAlign w:val="bottom"/>
            <w:tcBorders>
              <w:top w:val="single" w:sz="8" w:color="3051F2"/>
              <w:bottom w:val="single" w:sz="8" w:color="auto"/>
            </w:tcBorders>
            <w:shd w:val="clear" w:color="auto" w:fill="CCEEFF"/>
          </w:tcPr>
          <w:p>
            <w:pPr>
              <w:spacing w:after="0"/>
              <w:rPr>
                <w:sz w:val="6"/>
                <w:szCs w:val="6"/>
                <w:color w:val="auto"/>
              </w:rPr>
            </w:pPr>
          </w:p>
        </w:tc>
        <w:tc>
          <w:tcPr>
            <w:tcW w:w="20" w:type="dxa"/>
            <w:vAlign w:val="bottom"/>
            <w:tcBorders>
              <w:top w:val="single" w:sz="8" w:color="3051F2"/>
              <w:bottom w:val="single" w:sz="8" w:color="auto"/>
            </w:tcBorders>
            <w:shd w:val="clear" w:color="auto" w:fill="CCEEFF"/>
          </w:tcPr>
          <w:p>
            <w:pPr>
              <w:spacing w:after="0"/>
              <w:rPr>
                <w:sz w:val="6"/>
                <w:szCs w:val="6"/>
                <w:color w:val="auto"/>
              </w:rPr>
            </w:pPr>
          </w:p>
        </w:tc>
        <w:tc>
          <w:tcPr>
            <w:tcW w:w="480" w:type="dxa"/>
            <w:vAlign w:val="bottom"/>
            <w:tcBorders>
              <w:top w:val="single" w:sz="8" w:color="3051F2"/>
              <w:bottom w:val="single" w:sz="8" w:color="auto"/>
            </w:tcBorders>
            <w:shd w:val="clear" w:color="auto" w:fill="CCEEFF"/>
          </w:tcPr>
          <w:p>
            <w:pPr>
              <w:spacing w:after="0"/>
              <w:rPr>
                <w:sz w:val="6"/>
                <w:szCs w:val="6"/>
                <w:color w:val="auto"/>
              </w:rPr>
            </w:pPr>
          </w:p>
        </w:tc>
        <w:tc>
          <w:tcPr>
            <w:tcW w:w="40" w:type="dxa"/>
            <w:vAlign w:val="bottom"/>
            <w:tcBorders>
              <w:top w:val="single" w:sz="8" w:color="3051F2"/>
              <w:bottom w:val="single" w:sz="8" w:color="auto"/>
            </w:tcBorders>
            <w:shd w:val="clear" w:color="auto" w:fill="CCEEFF"/>
          </w:tcPr>
          <w:p>
            <w:pPr>
              <w:spacing w:after="0"/>
              <w:rPr>
                <w:sz w:val="6"/>
                <w:szCs w:val="6"/>
                <w:color w:val="auto"/>
              </w:rPr>
            </w:pPr>
          </w:p>
        </w:tc>
        <w:tc>
          <w:tcPr>
            <w:tcW w:w="80" w:type="dxa"/>
            <w:vAlign w:val="bottom"/>
            <w:tcBorders>
              <w:top w:val="single" w:sz="8" w:color="3051F2"/>
              <w:bottom w:val="single" w:sz="8" w:color="auto"/>
            </w:tcBorders>
            <w:shd w:val="clear" w:color="auto" w:fill="CCEEFF"/>
          </w:tcPr>
          <w:p>
            <w:pPr>
              <w:spacing w:after="0"/>
              <w:rPr>
                <w:sz w:val="6"/>
                <w:szCs w:val="6"/>
                <w:color w:val="auto"/>
              </w:rPr>
            </w:pPr>
          </w:p>
        </w:tc>
        <w:tc>
          <w:tcPr>
            <w:tcW w:w="100" w:type="dxa"/>
            <w:vAlign w:val="bottom"/>
            <w:tcBorders>
              <w:top w:val="single" w:sz="8" w:color="CCEEFF"/>
              <w:bottom w:val="single" w:sz="8" w:color="auto"/>
            </w:tcBorders>
            <w:shd w:val="clear" w:color="auto" w:fill="CCEEFF"/>
          </w:tcPr>
          <w:p>
            <w:pPr>
              <w:spacing w:after="0"/>
              <w:rPr>
                <w:sz w:val="6"/>
                <w:szCs w:val="6"/>
                <w:color w:val="auto"/>
              </w:rPr>
            </w:pPr>
          </w:p>
        </w:tc>
        <w:tc>
          <w:tcPr>
            <w:tcW w:w="60" w:type="dxa"/>
            <w:vAlign w:val="bottom"/>
            <w:tcBorders>
              <w:top w:val="single" w:sz="8" w:color="CCEEFF"/>
              <w:bottom w:val="single" w:sz="8" w:color="auto"/>
            </w:tcBorders>
            <w:shd w:val="clear" w:color="auto" w:fill="CCEEFF"/>
          </w:tcPr>
          <w:p>
            <w:pPr>
              <w:spacing w:after="0"/>
              <w:rPr>
                <w:sz w:val="6"/>
                <w:szCs w:val="6"/>
                <w:color w:val="auto"/>
              </w:rPr>
            </w:pPr>
          </w:p>
        </w:tc>
        <w:tc>
          <w:tcPr>
            <w:tcW w:w="100" w:type="dxa"/>
            <w:vAlign w:val="bottom"/>
            <w:tcBorders>
              <w:top w:val="single" w:sz="8" w:color="CCEEFF"/>
              <w:bottom w:val="single" w:sz="8" w:color="auto"/>
            </w:tcBorders>
            <w:shd w:val="clear" w:color="auto" w:fill="CCEEFF"/>
          </w:tcPr>
          <w:p>
            <w:pPr>
              <w:spacing w:after="0"/>
              <w:rPr>
                <w:sz w:val="6"/>
                <w:szCs w:val="6"/>
                <w:color w:val="auto"/>
              </w:rPr>
            </w:pPr>
          </w:p>
        </w:tc>
        <w:tc>
          <w:tcPr>
            <w:tcW w:w="200" w:type="dxa"/>
            <w:vAlign w:val="bottom"/>
            <w:tcBorders>
              <w:top w:val="single" w:sz="8" w:color="CCEEFF"/>
              <w:bottom w:val="single" w:sz="8" w:color="auto"/>
            </w:tcBorders>
            <w:shd w:val="clear" w:color="auto" w:fill="CCEEFF"/>
          </w:tcPr>
          <w:p>
            <w:pPr>
              <w:spacing w:after="0"/>
              <w:rPr>
                <w:sz w:val="6"/>
                <w:szCs w:val="6"/>
                <w:color w:val="auto"/>
              </w:rPr>
            </w:pPr>
          </w:p>
        </w:tc>
        <w:tc>
          <w:tcPr>
            <w:tcW w:w="520" w:type="dxa"/>
            <w:vAlign w:val="bottom"/>
            <w:tcBorders>
              <w:top w:val="single" w:sz="8" w:color="CCEEFF"/>
              <w:bottom w:val="single" w:sz="8" w:color="auto"/>
            </w:tcBorders>
            <w:shd w:val="clear" w:color="auto" w:fill="CCEEFF"/>
          </w:tcPr>
          <w:p>
            <w:pPr>
              <w:spacing w:after="0"/>
              <w:rPr>
                <w:sz w:val="6"/>
                <w:szCs w:val="6"/>
                <w:color w:val="auto"/>
              </w:rPr>
            </w:pPr>
          </w:p>
        </w:tc>
        <w:tc>
          <w:tcPr>
            <w:tcW w:w="20" w:type="dxa"/>
            <w:vAlign w:val="bottom"/>
            <w:tcBorders>
              <w:top w:val="single" w:sz="8" w:color="CCEEFF"/>
              <w:bottom w:val="single" w:sz="8" w:color="auto"/>
            </w:tcBorders>
            <w:shd w:val="clear" w:color="auto" w:fill="CCEEFF"/>
          </w:tcPr>
          <w:p>
            <w:pPr>
              <w:spacing w:after="0"/>
              <w:rPr>
                <w:sz w:val="6"/>
                <w:szCs w:val="6"/>
                <w:color w:val="auto"/>
              </w:rPr>
            </w:pPr>
          </w:p>
        </w:tc>
        <w:tc>
          <w:tcPr>
            <w:tcW w:w="100" w:type="dxa"/>
            <w:vAlign w:val="bottom"/>
            <w:tcBorders>
              <w:top w:val="single" w:sz="8" w:color="CCEEFF"/>
              <w:bottom w:val="single" w:sz="8" w:color="auto"/>
            </w:tcBorders>
            <w:shd w:val="clear" w:color="auto" w:fill="CCEEFF"/>
          </w:tcPr>
          <w:p>
            <w:pPr>
              <w:spacing w:after="0"/>
              <w:rPr>
                <w:sz w:val="6"/>
                <w:szCs w:val="6"/>
                <w:color w:val="auto"/>
              </w:rPr>
            </w:pPr>
          </w:p>
        </w:tc>
        <w:tc>
          <w:tcPr>
            <w:tcW w:w="20" w:type="dxa"/>
            <w:vAlign w:val="bottom"/>
            <w:tcBorders>
              <w:top w:val="single" w:sz="8" w:color="CCEEFF"/>
              <w:bottom w:val="single" w:sz="8" w:color="auto"/>
            </w:tcBorders>
            <w:shd w:val="clear" w:color="auto" w:fill="CCEEFF"/>
          </w:tcPr>
          <w:p>
            <w:pPr>
              <w:spacing w:after="0"/>
              <w:rPr>
                <w:sz w:val="6"/>
                <w:szCs w:val="6"/>
                <w:color w:val="auto"/>
              </w:rPr>
            </w:pPr>
          </w:p>
        </w:tc>
        <w:tc>
          <w:tcPr>
            <w:tcW w:w="160" w:type="dxa"/>
            <w:vAlign w:val="bottom"/>
            <w:tcBorders>
              <w:top w:val="single" w:sz="8" w:color="CCEEFF"/>
              <w:bottom w:val="single" w:sz="8" w:color="auto"/>
            </w:tcBorders>
            <w:shd w:val="clear" w:color="auto" w:fill="CCEEFF"/>
          </w:tcPr>
          <w:p>
            <w:pPr>
              <w:spacing w:after="0"/>
              <w:rPr>
                <w:sz w:val="6"/>
                <w:szCs w:val="6"/>
                <w:color w:val="auto"/>
              </w:rPr>
            </w:pPr>
          </w:p>
        </w:tc>
        <w:tc>
          <w:tcPr>
            <w:tcW w:w="160" w:type="dxa"/>
            <w:vAlign w:val="bottom"/>
            <w:tcBorders>
              <w:top w:val="single" w:sz="8" w:color="CCEEFF"/>
              <w:bottom w:val="single" w:sz="8" w:color="auto"/>
            </w:tcBorders>
            <w:shd w:val="clear" w:color="auto" w:fill="CCEEFF"/>
          </w:tcPr>
          <w:p>
            <w:pPr>
              <w:spacing w:after="0"/>
              <w:rPr>
                <w:sz w:val="6"/>
                <w:szCs w:val="6"/>
                <w:color w:val="auto"/>
              </w:rPr>
            </w:pPr>
          </w:p>
        </w:tc>
        <w:tc>
          <w:tcPr>
            <w:tcW w:w="700" w:type="dxa"/>
            <w:vAlign w:val="bottom"/>
            <w:tcBorders>
              <w:top w:val="single" w:sz="8" w:color="CCEEFF"/>
              <w:bottom w:val="single" w:sz="8" w:color="auto"/>
            </w:tcBorders>
            <w:shd w:val="clear" w:color="auto" w:fill="CCEEFF"/>
          </w:tcPr>
          <w:p>
            <w:pPr>
              <w:spacing w:after="0"/>
              <w:rPr>
                <w:sz w:val="6"/>
                <w:szCs w:val="6"/>
                <w:color w:val="auto"/>
              </w:rPr>
            </w:pPr>
          </w:p>
        </w:tc>
        <w:tc>
          <w:tcPr>
            <w:tcW w:w="400" w:type="dxa"/>
            <w:vAlign w:val="bottom"/>
            <w:tcBorders>
              <w:top w:val="single" w:sz="8" w:color="CCEEFF"/>
              <w:bottom w:val="single" w:sz="8" w:color="auto"/>
            </w:tcBorders>
            <w:shd w:val="clear" w:color="auto" w:fill="CCEEFF"/>
          </w:tcPr>
          <w:p>
            <w:pPr>
              <w:spacing w:after="0"/>
              <w:rPr>
                <w:sz w:val="6"/>
                <w:szCs w:val="6"/>
                <w:color w:val="auto"/>
              </w:rPr>
            </w:pPr>
          </w:p>
        </w:tc>
        <w:tc>
          <w:tcPr>
            <w:tcW w:w="580" w:type="dxa"/>
            <w:vAlign w:val="bottom"/>
            <w:tcBorders>
              <w:top w:val="single" w:sz="8" w:color="CCEEFF"/>
              <w:bottom w:val="single" w:sz="8" w:color="auto"/>
            </w:tcBorders>
            <w:shd w:val="clear" w:color="auto" w:fill="CCEEFF"/>
          </w:tcPr>
          <w:p>
            <w:pPr>
              <w:spacing w:after="0"/>
              <w:rPr>
                <w:sz w:val="6"/>
                <w:szCs w:val="6"/>
                <w:color w:val="auto"/>
              </w:rPr>
            </w:pPr>
          </w:p>
        </w:tc>
        <w:tc>
          <w:tcPr>
            <w:tcW w:w="120" w:type="dxa"/>
            <w:vAlign w:val="bottom"/>
            <w:tcBorders>
              <w:top w:val="single" w:sz="8" w:color="CCEEFF"/>
              <w:bottom w:val="single" w:sz="8" w:color="auto"/>
            </w:tcBorders>
            <w:shd w:val="clear" w:color="auto" w:fill="CCEEFF"/>
          </w:tcPr>
          <w:p>
            <w:pPr>
              <w:spacing w:after="0"/>
              <w:rPr>
                <w:sz w:val="6"/>
                <w:szCs w:val="6"/>
                <w:color w:val="auto"/>
              </w:rPr>
            </w:pPr>
          </w:p>
        </w:tc>
        <w:tc>
          <w:tcPr>
            <w:tcW w:w="340" w:type="dxa"/>
            <w:vAlign w:val="bottom"/>
            <w:tcBorders>
              <w:top w:val="single" w:sz="8" w:color="CCEEFF"/>
              <w:bottom w:val="single" w:sz="8" w:color="auto"/>
              <w:right w:val="single" w:sz="8" w:color="auto"/>
            </w:tcBorders>
            <w:shd w:val="clear" w:color="auto" w:fill="CCEEFF"/>
          </w:tcPr>
          <w:p>
            <w:pPr>
              <w:spacing w:after="0"/>
              <w:rPr>
                <w:sz w:val="6"/>
                <w:szCs w:val="6"/>
                <w:color w:val="auto"/>
              </w:rPr>
            </w:pPr>
          </w:p>
        </w:tc>
        <w:tc>
          <w:tcPr>
            <w:tcW w:w="4520" w:type="dxa"/>
            <w:vAlign w:val="bottom"/>
            <w:tcBorders>
              <w:top w:val="single" w:sz="8" w:color="CCEEFF"/>
              <w:bottom w:val="single" w:sz="8" w:color="auto"/>
              <w:right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7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6"/>
              </w:rPr>
              <w:t>10.1*</w:t>
            </w:r>
          </w:p>
        </w:tc>
        <w:tc>
          <w:tcPr>
            <w:tcW w:w="6000" w:type="dxa"/>
            <w:vAlign w:val="bottom"/>
            <w:tcBorders>
              <w:right w:val="single" w:sz="8" w:color="auto"/>
            </w:tcBorders>
            <w:gridSpan w:val="27"/>
          </w:tcPr>
          <w:p>
            <w:pPr>
              <w:spacing w:after="0" w:line="126" w:lineRule="exact"/>
              <w:rPr>
                <w:rFonts w:ascii="Times New Roman" w:cs="Times New Roman" w:eastAsia="Times New Roman" w:hAnsi="Times New Roman"/>
                <w:sz w:val="12"/>
                <w:szCs w:val="12"/>
                <w:color w:val="3051F2"/>
              </w:rPr>
            </w:pPr>
            <w:hyperlink r:id="rId73">
              <w:r>
                <w:rPr>
                  <w:rFonts w:ascii="Times New Roman" w:cs="Times New Roman" w:eastAsia="Times New Roman" w:hAnsi="Times New Roman"/>
                  <w:sz w:val="12"/>
                  <w:szCs w:val="12"/>
                  <w:color w:val="3051F2"/>
                </w:rPr>
                <w:t>Lease, dated November 1, 2002, by and between Sun Communities Operating Limited Partnership as Tenant and</w:t>
              </w:r>
            </w:hyperlink>
          </w:p>
        </w:tc>
        <w:tc>
          <w:tcPr>
            <w:tcW w:w="4520" w:type="dxa"/>
            <w:vAlign w:val="bottom"/>
            <w:tcBorders>
              <w:right w:val="single" w:sz="8" w:color="auto"/>
            </w:tcBorders>
          </w:tcPr>
          <w:p>
            <w:pPr>
              <w:spacing w:after="0" w:line="126" w:lineRule="exact"/>
              <w:rPr>
                <w:sz w:val="20"/>
                <w:szCs w:val="20"/>
                <w:color w:val="auto"/>
              </w:rPr>
            </w:pPr>
            <w:r>
              <w:rPr>
                <w:rFonts w:ascii="Times New Roman" w:cs="Times New Roman" w:eastAsia="Times New Roman" w:hAnsi="Times New Roman"/>
                <w:sz w:val="12"/>
                <w:szCs w:val="12"/>
                <w:color w:val="auto"/>
              </w:rPr>
              <w:t>Incorporated by reference to Exhibit 10.61 of Sun Communities, Inc.'s Annual Report on</w:t>
            </w:r>
          </w:p>
        </w:tc>
        <w:tc>
          <w:tcPr>
            <w:tcW w:w="0" w:type="dxa"/>
            <w:vAlign w:val="bottom"/>
          </w:tcPr>
          <w:p>
            <w:pPr>
              <w:spacing w:after="0"/>
              <w:rPr>
                <w:sz w:val="1"/>
                <w:szCs w:val="1"/>
                <w:color w:val="auto"/>
              </w:rPr>
            </w:pPr>
          </w:p>
        </w:tc>
      </w:tr>
      <w:tr>
        <w:trPr>
          <w:trHeight w:val="62"/>
        </w:trPr>
        <w:tc>
          <w:tcPr>
            <w:tcW w:w="760" w:type="dxa"/>
            <w:vAlign w:val="bottom"/>
            <w:tcBorders>
              <w:left w:val="single" w:sz="8" w:color="auto"/>
              <w:right w:val="single" w:sz="8" w:color="auto"/>
            </w:tcBorders>
            <w:vMerge w:val="continue"/>
          </w:tcPr>
          <w:p>
            <w:pPr>
              <w:spacing w:after="0"/>
              <w:rPr>
                <w:sz w:val="5"/>
                <w:szCs w:val="5"/>
                <w:color w:val="auto"/>
              </w:rPr>
            </w:pPr>
          </w:p>
        </w:tc>
        <w:tc>
          <w:tcPr>
            <w:tcW w:w="5540" w:type="dxa"/>
            <w:vAlign w:val="bottom"/>
            <w:tcBorders>
              <w:top w:val="single" w:sz="8" w:color="3051F2"/>
            </w:tcBorders>
            <w:gridSpan w:val="25"/>
            <w:vMerge w:val="restart"/>
          </w:tcPr>
          <w:p>
            <w:pPr>
              <w:spacing w:after="0" w:line="96" w:lineRule="exact"/>
              <w:rPr>
                <w:rFonts w:ascii="Times New Roman" w:cs="Times New Roman" w:eastAsia="Times New Roman" w:hAnsi="Times New Roman"/>
                <w:sz w:val="11"/>
                <w:szCs w:val="11"/>
                <w:color w:val="3051F2"/>
              </w:rPr>
            </w:pPr>
            <w:hyperlink r:id="rId73">
              <w:r>
                <w:rPr>
                  <w:rFonts w:ascii="Times New Roman" w:cs="Times New Roman" w:eastAsia="Times New Roman" w:hAnsi="Times New Roman"/>
                  <w:sz w:val="11"/>
                  <w:szCs w:val="11"/>
                  <w:color w:val="3051F2"/>
                </w:rPr>
                <w:t>American Center LLC as Landlord</w:t>
              </w:r>
            </w:hyperlink>
          </w:p>
        </w:tc>
        <w:tc>
          <w:tcPr>
            <w:tcW w:w="120" w:type="dxa"/>
            <w:vAlign w:val="bottom"/>
            <w:tcBorders>
              <w:top w:val="single" w:sz="8" w:color="3051F2"/>
            </w:tcBorders>
          </w:tcPr>
          <w:p>
            <w:pPr>
              <w:spacing w:after="0"/>
              <w:rPr>
                <w:sz w:val="5"/>
                <w:szCs w:val="5"/>
                <w:color w:val="auto"/>
              </w:rPr>
            </w:pPr>
          </w:p>
        </w:tc>
        <w:tc>
          <w:tcPr>
            <w:tcW w:w="340" w:type="dxa"/>
            <w:vAlign w:val="bottom"/>
            <w:tcBorders>
              <w:top w:val="single" w:sz="8" w:color="3051F2"/>
              <w:right w:val="single" w:sz="8" w:color="auto"/>
            </w:tcBorders>
          </w:tcPr>
          <w:p>
            <w:pPr>
              <w:spacing w:after="0"/>
              <w:rPr>
                <w:sz w:val="5"/>
                <w:szCs w:val="5"/>
                <w:color w:val="auto"/>
              </w:rPr>
            </w:pPr>
          </w:p>
        </w:tc>
        <w:tc>
          <w:tcPr>
            <w:tcW w:w="4520" w:type="dxa"/>
            <w:vAlign w:val="bottom"/>
            <w:tcBorders>
              <w:right w:val="single" w:sz="8" w:color="auto"/>
            </w:tcBorders>
            <w:vMerge w:val="restart"/>
          </w:tcPr>
          <w:p>
            <w:pPr>
              <w:spacing w:after="0" w:line="96" w:lineRule="exact"/>
              <w:rPr>
                <w:sz w:val="20"/>
                <w:szCs w:val="20"/>
                <w:color w:val="auto"/>
              </w:rPr>
            </w:pPr>
            <w:r>
              <w:rPr>
                <w:rFonts w:ascii="Times New Roman" w:cs="Times New Roman" w:eastAsia="Times New Roman" w:hAnsi="Times New Roman"/>
                <w:sz w:val="11"/>
                <w:szCs w:val="11"/>
                <w:color w:val="auto"/>
              </w:rPr>
              <w:t>Form 10-K for the year ended December 31, 2002, as amended</w:t>
            </w:r>
          </w:p>
        </w:tc>
        <w:tc>
          <w:tcPr>
            <w:tcW w:w="0" w:type="dxa"/>
            <w:vAlign w:val="bottom"/>
          </w:tcPr>
          <w:p>
            <w:pPr>
              <w:spacing w:after="0"/>
              <w:rPr>
                <w:sz w:val="1"/>
                <w:szCs w:val="1"/>
                <w:color w:val="auto"/>
              </w:rPr>
            </w:pPr>
          </w:p>
        </w:tc>
      </w:tr>
      <w:tr>
        <w:trPr>
          <w:trHeight w:val="33"/>
        </w:trPr>
        <w:tc>
          <w:tcPr>
            <w:tcW w:w="760" w:type="dxa"/>
            <w:vAlign w:val="bottom"/>
            <w:tcBorders>
              <w:left w:val="single" w:sz="8" w:color="auto"/>
              <w:right w:val="single" w:sz="8" w:color="auto"/>
            </w:tcBorders>
          </w:tcPr>
          <w:p>
            <w:pPr>
              <w:spacing w:after="0"/>
              <w:rPr>
                <w:sz w:val="2"/>
                <w:szCs w:val="2"/>
                <w:color w:val="auto"/>
              </w:rPr>
            </w:pPr>
          </w:p>
        </w:tc>
        <w:tc>
          <w:tcPr>
            <w:tcW w:w="5540" w:type="dxa"/>
            <w:vAlign w:val="bottom"/>
            <w:gridSpan w:val="25"/>
            <w:vMerge w:val="continue"/>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4520" w:type="dxa"/>
            <w:vAlign w:val="bottom"/>
            <w:tcBorders>
              <w:right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6"/>
        </w:trPr>
        <w:tc>
          <w:tcPr>
            <w:tcW w:w="760" w:type="dxa"/>
            <w:vAlign w:val="bottom"/>
            <w:tcBorders>
              <w:left w:val="single" w:sz="8" w:color="auto"/>
              <w:bottom w:val="single" w:sz="8" w:color="auto"/>
              <w:right w:val="single" w:sz="8" w:color="auto"/>
            </w:tcBorders>
          </w:tcPr>
          <w:p>
            <w:pPr>
              <w:spacing w:after="0"/>
              <w:rPr>
                <w:sz w:val="2"/>
                <w:szCs w:val="2"/>
                <w:color w:val="auto"/>
              </w:rPr>
            </w:pPr>
          </w:p>
        </w:tc>
        <w:tc>
          <w:tcPr>
            <w:tcW w:w="720" w:type="dxa"/>
            <w:vAlign w:val="bottom"/>
            <w:tcBorders>
              <w:top w:val="single" w:sz="8" w:color="3051F2"/>
              <w:bottom w:val="single" w:sz="8" w:color="auto"/>
            </w:tcBorders>
          </w:tcPr>
          <w:p>
            <w:pPr>
              <w:spacing w:after="0"/>
              <w:rPr>
                <w:sz w:val="2"/>
                <w:szCs w:val="2"/>
                <w:color w:val="auto"/>
              </w:rPr>
            </w:pPr>
          </w:p>
        </w:tc>
        <w:tc>
          <w:tcPr>
            <w:tcW w:w="40" w:type="dxa"/>
            <w:vAlign w:val="bottom"/>
            <w:tcBorders>
              <w:top w:val="single" w:sz="8" w:color="3051F2"/>
              <w:bottom w:val="single" w:sz="8" w:color="auto"/>
            </w:tcBorders>
          </w:tcPr>
          <w:p>
            <w:pPr>
              <w:spacing w:after="0"/>
              <w:rPr>
                <w:sz w:val="2"/>
                <w:szCs w:val="2"/>
                <w:color w:val="auto"/>
              </w:rPr>
            </w:pPr>
          </w:p>
        </w:tc>
        <w:tc>
          <w:tcPr>
            <w:tcW w:w="20" w:type="dxa"/>
            <w:vAlign w:val="bottom"/>
            <w:tcBorders>
              <w:top w:val="single" w:sz="8" w:color="3051F2"/>
              <w:bottom w:val="single" w:sz="8" w:color="auto"/>
            </w:tcBorders>
          </w:tcPr>
          <w:p>
            <w:pPr>
              <w:spacing w:after="0"/>
              <w:rPr>
                <w:sz w:val="2"/>
                <w:szCs w:val="2"/>
                <w:color w:val="auto"/>
              </w:rPr>
            </w:pPr>
          </w:p>
        </w:tc>
        <w:tc>
          <w:tcPr>
            <w:tcW w:w="180" w:type="dxa"/>
            <w:vAlign w:val="bottom"/>
            <w:tcBorders>
              <w:top w:val="single" w:sz="8" w:color="3051F2"/>
              <w:bottom w:val="single" w:sz="8" w:color="auto"/>
            </w:tcBorders>
          </w:tcPr>
          <w:p>
            <w:pPr>
              <w:spacing w:after="0"/>
              <w:rPr>
                <w:sz w:val="2"/>
                <w:szCs w:val="2"/>
                <w:color w:val="auto"/>
              </w:rPr>
            </w:pPr>
          </w:p>
        </w:tc>
        <w:tc>
          <w:tcPr>
            <w:tcW w:w="180" w:type="dxa"/>
            <w:vAlign w:val="bottom"/>
            <w:tcBorders>
              <w:top w:val="single" w:sz="8" w:color="3051F2"/>
              <w:bottom w:val="single" w:sz="8" w:color="auto"/>
            </w:tcBorders>
          </w:tcPr>
          <w:p>
            <w:pPr>
              <w:spacing w:after="0"/>
              <w:rPr>
                <w:sz w:val="2"/>
                <w:szCs w:val="2"/>
                <w:color w:val="auto"/>
              </w:rPr>
            </w:pPr>
          </w:p>
        </w:tc>
        <w:tc>
          <w:tcPr>
            <w:tcW w:w="580" w:type="dxa"/>
            <w:vAlign w:val="bottom"/>
            <w:tcBorders>
              <w:top w:val="single" w:sz="8" w:color="3051F2"/>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76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10.2*</w:t>
            </w:r>
          </w:p>
        </w:tc>
        <w:tc>
          <w:tcPr>
            <w:tcW w:w="6000" w:type="dxa"/>
            <w:vAlign w:val="bottom"/>
            <w:tcBorders>
              <w:right w:val="single" w:sz="8" w:color="auto"/>
            </w:tcBorders>
            <w:gridSpan w:val="27"/>
            <w:shd w:val="clear" w:color="auto" w:fill="CCEEFF"/>
          </w:tcPr>
          <w:p>
            <w:pPr>
              <w:spacing w:after="0" w:line="119" w:lineRule="exact"/>
              <w:rPr>
                <w:rFonts w:ascii="Times New Roman" w:cs="Times New Roman" w:eastAsia="Times New Roman" w:hAnsi="Times New Roman"/>
                <w:sz w:val="12"/>
                <w:szCs w:val="12"/>
                <w:color w:val="3051F2"/>
              </w:rPr>
            </w:pPr>
            <w:hyperlink r:id="rId74">
              <w:r>
                <w:rPr>
                  <w:rFonts w:ascii="Times New Roman" w:cs="Times New Roman" w:eastAsia="Times New Roman" w:hAnsi="Times New Roman"/>
                  <w:sz w:val="12"/>
                  <w:szCs w:val="12"/>
                  <w:color w:val="3051F2"/>
                </w:rPr>
                <w:t>Sixth Lease Modification dated June 26, 2018 by and between Sun Communities Operating Limited Partnership as</w:t>
              </w:r>
            </w:hyperlink>
          </w:p>
        </w:tc>
        <w:tc>
          <w:tcPr>
            <w:tcW w:w="4520" w:type="dxa"/>
            <w:vAlign w:val="bottom"/>
            <w:tcBorders>
              <w:right w:val="single" w:sz="8" w:color="auto"/>
            </w:tcBorders>
            <w:shd w:val="clear" w:color="auto" w:fill="CCEEFF"/>
          </w:tcPr>
          <w:p>
            <w:pPr>
              <w:spacing w:after="0" w:line="119" w:lineRule="exact"/>
              <w:rPr>
                <w:sz w:val="20"/>
                <w:szCs w:val="20"/>
                <w:color w:val="auto"/>
              </w:rPr>
            </w:pPr>
            <w:r>
              <w:rPr>
                <w:rFonts w:ascii="Times New Roman" w:cs="Times New Roman" w:eastAsia="Times New Roman" w:hAnsi="Times New Roman"/>
                <w:sz w:val="12"/>
                <w:szCs w:val="12"/>
                <w:color w:val="auto"/>
              </w:rPr>
              <w:t>Incorporated by reference to Exhibit 10.9 of Sun Communities, Inc.'s Annual Report on</w:t>
            </w:r>
          </w:p>
        </w:tc>
        <w:tc>
          <w:tcPr>
            <w:tcW w:w="0" w:type="dxa"/>
            <w:vAlign w:val="bottom"/>
          </w:tcPr>
          <w:p>
            <w:pPr>
              <w:spacing w:after="0"/>
              <w:rPr>
                <w:sz w:val="1"/>
                <w:szCs w:val="1"/>
                <w:color w:val="auto"/>
              </w:rPr>
            </w:pPr>
          </w:p>
        </w:tc>
      </w:tr>
      <w:tr>
        <w:trPr>
          <w:trHeight w:val="62"/>
        </w:trPr>
        <w:tc>
          <w:tcPr>
            <w:tcW w:w="760" w:type="dxa"/>
            <w:vAlign w:val="bottom"/>
            <w:tcBorders>
              <w:top w:val="single" w:sz="8" w:color="CCEEFF"/>
              <w:left w:val="single" w:sz="8" w:color="auto"/>
              <w:right w:val="single" w:sz="8" w:color="auto"/>
            </w:tcBorders>
            <w:vMerge w:val="continue"/>
            <w:shd w:val="clear" w:color="auto" w:fill="CCEEFF"/>
          </w:tcPr>
          <w:p>
            <w:pPr>
              <w:spacing w:after="0"/>
              <w:rPr>
                <w:sz w:val="5"/>
                <w:szCs w:val="5"/>
                <w:color w:val="auto"/>
              </w:rPr>
            </w:pPr>
          </w:p>
        </w:tc>
        <w:tc>
          <w:tcPr>
            <w:tcW w:w="5540" w:type="dxa"/>
            <w:vAlign w:val="bottom"/>
            <w:tcBorders>
              <w:top w:val="single" w:sz="8" w:color="3051F2"/>
            </w:tcBorders>
            <w:gridSpan w:val="25"/>
            <w:vMerge w:val="restart"/>
            <w:shd w:val="clear" w:color="auto" w:fill="CCEEFF"/>
          </w:tcPr>
          <w:p>
            <w:pPr>
              <w:spacing w:after="0" w:line="96" w:lineRule="exact"/>
              <w:rPr>
                <w:rFonts w:ascii="Times New Roman" w:cs="Times New Roman" w:eastAsia="Times New Roman" w:hAnsi="Times New Roman"/>
                <w:sz w:val="11"/>
                <w:szCs w:val="11"/>
                <w:color w:val="3051F2"/>
              </w:rPr>
            </w:pPr>
            <w:hyperlink r:id="rId74">
              <w:r>
                <w:rPr>
                  <w:rFonts w:ascii="Times New Roman" w:cs="Times New Roman" w:eastAsia="Times New Roman" w:hAnsi="Times New Roman"/>
                  <w:sz w:val="11"/>
                  <w:szCs w:val="11"/>
                  <w:color w:val="3051F2"/>
                </w:rPr>
                <w:t>Tenant and American Center LLC as Landlord</w:t>
              </w:r>
            </w:hyperlink>
          </w:p>
        </w:tc>
        <w:tc>
          <w:tcPr>
            <w:tcW w:w="120" w:type="dxa"/>
            <w:vAlign w:val="bottom"/>
            <w:tcBorders>
              <w:top w:val="single" w:sz="8" w:color="3051F2"/>
            </w:tcBorders>
            <w:shd w:val="clear" w:color="auto" w:fill="CCEEFF"/>
          </w:tcPr>
          <w:p>
            <w:pPr>
              <w:spacing w:after="0"/>
              <w:rPr>
                <w:sz w:val="5"/>
                <w:szCs w:val="5"/>
                <w:color w:val="auto"/>
              </w:rPr>
            </w:pPr>
          </w:p>
        </w:tc>
        <w:tc>
          <w:tcPr>
            <w:tcW w:w="340" w:type="dxa"/>
            <w:vAlign w:val="bottom"/>
            <w:tcBorders>
              <w:top w:val="single" w:sz="8" w:color="3051F2"/>
              <w:right w:val="single" w:sz="8" w:color="auto"/>
            </w:tcBorders>
            <w:shd w:val="clear" w:color="auto" w:fill="CCEEFF"/>
          </w:tcPr>
          <w:p>
            <w:pPr>
              <w:spacing w:after="0"/>
              <w:rPr>
                <w:sz w:val="5"/>
                <w:szCs w:val="5"/>
                <w:color w:val="auto"/>
              </w:rPr>
            </w:pPr>
          </w:p>
        </w:tc>
        <w:tc>
          <w:tcPr>
            <w:tcW w:w="4520" w:type="dxa"/>
            <w:vAlign w:val="bottom"/>
            <w:tcBorders>
              <w:top w:val="single" w:sz="8" w:color="CCEEFF"/>
              <w:right w:val="single" w:sz="8" w:color="auto"/>
            </w:tcBorders>
            <w:vMerge w:val="restart"/>
            <w:shd w:val="clear" w:color="auto" w:fill="CCEEFF"/>
          </w:tcPr>
          <w:p>
            <w:pPr>
              <w:spacing w:after="0" w:line="96" w:lineRule="exact"/>
              <w:rPr>
                <w:sz w:val="20"/>
                <w:szCs w:val="20"/>
                <w:color w:val="auto"/>
              </w:rPr>
            </w:pPr>
            <w:r>
              <w:rPr>
                <w:rFonts w:ascii="Times New Roman" w:cs="Times New Roman" w:eastAsia="Times New Roman" w:hAnsi="Times New Roman"/>
                <w:sz w:val="11"/>
                <w:szCs w:val="11"/>
                <w:color w:val="auto"/>
              </w:rPr>
              <w:t>Form 10-K filed on February 21, 2019</w:t>
            </w:r>
          </w:p>
        </w:tc>
        <w:tc>
          <w:tcPr>
            <w:tcW w:w="0" w:type="dxa"/>
            <w:vAlign w:val="bottom"/>
          </w:tcPr>
          <w:p>
            <w:pPr>
              <w:spacing w:after="0"/>
              <w:rPr>
                <w:sz w:val="1"/>
                <w:szCs w:val="1"/>
                <w:color w:val="auto"/>
              </w:rPr>
            </w:pPr>
          </w:p>
        </w:tc>
      </w:tr>
      <w:tr>
        <w:trPr>
          <w:trHeight w:val="80"/>
        </w:trPr>
        <w:tc>
          <w:tcPr>
            <w:tcW w:w="760" w:type="dxa"/>
            <w:vAlign w:val="bottom"/>
            <w:tcBorders>
              <w:left w:val="single" w:sz="8" w:color="auto"/>
              <w:bottom w:val="single" w:sz="8" w:color="auto"/>
              <w:right w:val="single" w:sz="8" w:color="auto"/>
            </w:tcBorders>
            <w:shd w:val="clear" w:color="auto" w:fill="CCEEFF"/>
          </w:tcPr>
          <w:p>
            <w:pPr>
              <w:spacing w:after="0"/>
              <w:rPr>
                <w:sz w:val="6"/>
                <w:szCs w:val="6"/>
                <w:color w:val="auto"/>
              </w:rPr>
            </w:pPr>
          </w:p>
        </w:tc>
        <w:tc>
          <w:tcPr>
            <w:tcW w:w="5540" w:type="dxa"/>
            <w:vAlign w:val="bottom"/>
            <w:tcBorders>
              <w:bottom w:val="single" w:sz="8" w:color="auto"/>
            </w:tcBorders>
            <w:gridSpan w:val="25"/>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340" w:type="dxa"/>
            <w:vAlign w:val="bottom"/>
            <w:tcBorders>
              <w:bottom w:val="single" w:sz="8" w:color="auto"/>
              <w:right w:val="single" w:sz="8" w:color="auto"/>
            </w:tcBorders>
            <w:shd w:val="clear" w:color="auto" w:fill="CCEEFF"/>
          </w:tcPr>
          <w:p>
            <w:pPr>
              <w:spacing w:after="0"/>
              <w:rPr>
                <w:sz w:val="6"/>
                <w:szCs w:val="6"/>
                <w:color w:val="auto"/>
              </w:rPr>
            </w:pPr>
          </w:p>
        </w:tc>
        <w:tc>
          <w:tcPr>
            <w:tcW w:w="4520" w:type="dxa"/>
            <w:vAlign w:val="bottom"/>
            <w:tcBorders>
              <w:bottom w:val="single" w:sz="8" w:color="auto"/>
              <w:right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7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6"/>
              </w:rPr>
              <w:t>10.3*</w:t>
            </w:r>
          </w:p>
        </w:tc>
        <w:tc>
          <w:tcPr>
            <w:tcW w:w="6000" w:type="dxa"/>
            <w:vAlign w:val="bottom"/>
            <w:tcBorders>
              <w:right w:val="single" w:sz="8" w:color="auto"/>
            </w:tcBorders>
            <w:gridSpan w:val="27"/>
          </w:tcPr>
          <w:p>
            <w:pPr>
              <w:spacing w:after="0" w:line="119" w:lineRule="exact"/>
              <w:rPr>
                <w:rFonts w:ascii="Times New Roman" w:cs="Times New Roman" w:eastAsia="Times New Roman" w:hAnsi="Times New Roman"/>
                <w:sz w:val="12"/>
                <w:szCs w:val="12"/>
                <w:color w:val="3051F2"/>
              </w:rPr>
            </w:pPr>
            <w:hyperlink r:id="rId75">
              <w:r>
                <w:rPr>
                  <w:rFonts w:ascii="Times New Roman" w:cs="Times New Roman" w:eastAsia="Times New Roman" w:hAnsi="Times New Roman"/>
                  <w:sz w:val="12"/>
                  <w:szCs w:val="12"/>
                  <w:color w:val="3051F2"/>
                </w:rPr>
                <w:t>Fourth Amended and Restated Agreement of Limited Partnership of Sun Communities Operating Limited Partnership</w:t>
              </w:r>
            </w:hyperlink>
          </w:p>
        </w:tc>
        <w:tc>
          <w:tcPr>
            <w:tcW w:w="4520" w:type="dxa"/>
            <w:vAlign w:val="bottom"/>
            <w:tcBorders>
              <w:right w:val="single" w:sz="8" w:color="auto"/>
            </w:tcBorders>
          </w:tcPr>
          <w:p>
            <w:pPr>
              <w:spacing w:after="0" w:line="119" w:lineRule="exact"/>
              <w:rPr>
                <w:sz w:val="20"/>
                <w:szCs w:val="20"/>
                <w:color w:val="auto"/>
              </w:rPr>
            </w:pPr>
            <w:r>
              <w:rPr>
                <w:rFonts w:ascii="Times New Roman" w:cs="Times New Roman" w:eastAsia="Times New Roman" w:hAnsi="Times New Roman"/>
                <w:sz w:val="12"/>
                <w:szCs w:val="12"/>
                <w:color w:val="auto"/>
              </w:rPr>
              <w:t>Incorporated by reference to Exhibit 10.1 of Sun Communities, Inc.'s Annual Report on</w:t>
            </w:r>
          </w:p>
        </w:tc>
        <w:tc>
          <w:tcPr>
            <w:tcW w:w="0" w:type="dxa"/>
            <w:vAlign w:val="bottom"/>
          </w:tcPr>
          <w:p>
            <w:pPr>
              <w:spacing w:after="0"/>
              <w:rPr>
                <w:sz w:val="1"/>
                <w:szCs w:val="1"/>
                <w:color w:val="auto"/>
              </w:rPr>
            </w:pPr>
          </w:p>
        </w:tc>
      </w:tr>
      <w:tr>
        <w:trPr>
          <w:trHeight w:val="71"/>
        </w:trPr>
        <w:tc>
          <w:tcPr>
            <w:tcW w:w="760" w:type="dxa"/>
            <w:vAlign w:val="bottom"/>
            <w:tcBorders>
              <w:left w:val="single" w:sz="8" w:color="auto"/>
              <w:right w:val="single" w:sz="8" w:color="auto"/>
            </w:tcBorders>
            <w:vMerge w:val="continue"/>
          </w:tcPr>
          <w:p>
            <w:pPr>
              <w:spacing w:after="0"/>
              <w:rPr>
                <w:sz w:val="6"/>
                <w:szCs w:val="6"/>
                <w:color w:val="auto"/>
              </w:rPr>
            </w:pPr>
          </w:p>
        </w:tc>
        <w:tc>
          <w:tcPr>
            <w:tcW w:w="5540" w:type="dxa"/>
            <w:vAlign w:val="bottom"/>
            <w:tcBorders>
              <w:top w:val="single" w:sz="8" w:color="3051F2"/>
            </w:tcBorders>
            <w:gridSpan w:val="25"/>
            <w:vMerge w:val="restart"/>
          </w:tcPr>
          <w:p>
            <w:pPr>
              <w:spacing w:after="0" w:line="128" w:lineRule="exact"/>
              <w:rPr>
                <w:rFonts w:ascii="Times New Roman" w:cs="Times New Roman" w:eastAsia="Times New Roman" w:hAnsi="Times New Roman"/>
                <w:sz w:val="12"/>
                <w:szCs w:val="12"/>
                <w:color w:val="3051F2"/>
              </w:rPr>
            </w:pPr>
            <w:hyperlink r:id="rId75">
              <w:r>
                <w:rPr>
                  <w:rFonts w:ascii="Times New Roman" w:cs="Times New Roman" w:eastAsia="Times New Roman" w:hAnsi="Times New Roman"/>
                  <w:sz w:val="12"/>
                  <w:szCs w:val="12"/>
                  <w:color w:val="3051F2"/>
                </w:rPr>
                <w:t>dated January 31, 2019</w:t>
              </w:r>
            </w:hyperlink>
          </w:p>
        </w:tc>
        <w:tc>
          <w:tcPr>
            <w:tcW w:w="120" w:type="dxa"/>
            <w:vAlign w:val="bottom"/>
            <w:tcBorders>
              <w:top w:val="single" w:sz="8" w:color="3051F2"/>
            </w:tcBorders>
          </w:tcPr>
          <w:p>
            <w:pPr>
              <w:spacing w:after="0"/>
              <w:rPr>
                <w:sz w:val="6"/>
                <w:szCs w:val="6"/>
                <w:color w:val="auto"/>
              </w:rPr>
            </w:pPr>
          </w:p>
        </w:tc>
        <w:tc>
          <w:tcPr>
            <w:tcW w:w="340" w:type="dxa"/>
            <w:vAlign w:val="bottom"/>
            <w:tcBorders>
              <w:top w:val="single" w:sz="8" w:color="3051F2"/>
              <w:right w:val="single" w:sz="8" w:color="auto"/>
            </w:tcBorders>
          </w:tcPr>
          <w:p>
            <w:pPr>
              <w:spacing w:after="0"/>
              <w:rPr>
                <w:sz w:val="6"/>
                <w:szCs w:val="6"/>
                <w:color w:val="auto"/>
              </w:rPr>
            </w:pPr>
          </w:p>
        </w:tc>
        <w:tc>
          <w:tcPr>
            <w:tcW w:w="4520" w:type="dxa"/>
            <w:vAlign w:val="bottom"/>
            <w:tcBorders>
              <w:right w:val="single" w:sz="8" w:color="auto"/>
            </w:tcBorders>
            <w:vMerge w:val="restart"/>
          </w:tcPr>
          <w:p>
            <w:pPr>
              <w:spacing w:after="0" w:line="128" w:lineRule="exact"/>
              <w:rPr>
                <w:sz w:val="20"/>
                <w:szCs w:val="20"/>
                <w:color w:val="auto"/>
              </w:rPr>
            </w:pPr>
            <w:r>
              <w:rPr>
                <w:rFonts w:ascii="Times New Roman" w:cs="Times New Roman" w:eastAsia="Times New Roman" w:hAnsi="Times New Roman"/>
                <w:sz w:val="12"/>
                <w:szCs w:val="12"/>
                <w:color w:val="auto"/>
              </w:rPr>
              <w:t>Form 10-K filed on February 5, 2019</w:t>
            </w:r>
          </w:p>
        </w:tc>
        <w:tc>
          <w:tcPr>
            <w:tcW w:w="0" w:type="dxa"/>
            <w:vAlign w:val="bottom"/>
          </w:tcPr>
          <w:p>
            <w:pPr>
              <w:spacing w:after="0"/>
              <w:rPr>
                <w:sz w:val="1"/>
                <w:szCs w:val="1"/>
                <w:color w:val="auto"/>
              </w:rPr>
            </w:pPr>
          </w:p>
        </w:tc>
      </w:tr>
      <w:tr>
        <w:trPr>
          <w:trHeight w:val="57"/>
        </w:trPr>
        <w:tc>
          <w:tcPr>
            <w:tcW w:w="760" w:type="dxa"/>
            <w:vAlign w:val="bottom"/>
            <w:tcBorders>
              <w:left w:val="single" w:sz="8" w:color="auto"/>
              <w:right w:val="single" w:sz="8" w:color="auto"/>
            </w:tcBorders>
          </w:tcPr>
          <w:p>
            <w:pPr>
              <w:spacing w:after="0"/>
              <w:rPr>
                <w:sz w:val="4"/>
                <w:szCs w:val="4"/>
                <w:color w:val="auto"/>
              </w:rPr>
            </w:pPr>
          </w:p>
        </w:tc>
        <w:tc>
          <w:tcPr>
            <w:tcW w:w="5540" w:type="dxa"/>
            <w:vAlign w:val="bottom"/>
            <w:gridSpan w:val="25"/>
            <w:vMerge w:val="continue"/>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Borders>
              <w:right w:val="single" w:sz="8" w:color="auto"/>
            </w:tcBorders>
          </w:tcPr>
          <w:p>
            <w:pPr>
              <w:spacing w:after="0"/>
              <w:rPr>
                <w:sz w:val="4"/>
                <w:szCs w:val="4"/>
                <w:color w:val="auto"/>
              </w:rPr>
            </w:pPr>
          </w:p>
        </w:tc>
        <w:tc>
          <w:tcPr>
            <w:tcW w:w="452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760" w:type="dxa"/>
            <w:vAlign w:val="bottom"/>
            <w:tcBorders>
              <w:left w:val="single" w:sz="8" w:color="auto"/>
              <w:bottom w:val="single" w:sz="8" w:color="auto"/>
              <w:right w:val="single" w:sz="8" w:color="auto"/>
            </w:tcBorders>
          </w:tcPr>
          <w:p>
            <w:pPr>
              <w:spacing w:after="0"/>
              <w:rPr>
                <w:sz w:val="2"/>
                <w:szCs w:val="2"/>
                <w:color w:val="auto"/>
              </w:rPr>
            </w:pPr>
          </w:p>
        </w:tc>
        <w:tc>
          <w:tcPr>
            <w:tcW w:w="720" w:type="dxa"/>
            <w:vAlign w:val="bottom"/>
            <w:tcBorders>
              <w:top w:val="single" w:sz="8" w:color="3051F2"/>
              <w:bottom w:val="single" w:sz="8" w:color="auto"/>
            </w:tcBorders>
          </w:tcPr>
          <w:p>
            <w:pPr>
              <w:spacing w:after="0"/>
              <w:rPr>
                <w:sz w:val="2"/>
                <w:szCs w:val="2"/>
                <w:color w:val="auto"/>
              </w:rPr>
            </w:pPr>
          </w:p>
        </w:tc>
        <w:tc>
          <w:tcPr>
            <w:tcW w:w="40" w:type="dxa"/>
            <w:vAlign w:val="bottom"/>
            <w:tcBorders>
              <w:top w:val="single" w:sz="8" w:color="3051F2"/>
              <w:bottom w:val="single" w:sz="8" w:color="auto"/>
            </w:tcBorders>
          </w:tcPr>
          <w:p>
            <w:pPr>
              <w:spacing w:after="0"/>
              <w:rPr>
                <w:sz w:val="2"/>
                <w:szCs w:val="2"/>
                <w:color w:val="auto"/>
              </w:rPr>
            </w:pPr>
          </w:p>
        </w:tc>
        <w:tc>
          <w:tcPr>
            <w:tcW w:w="20" w:type="dxa"/>
            <w:vAlign w:val="bottom"/>
            <w:tcBorders>
              <w:top w:val="single" w:sz="8" w:color="3051F2"/>
              <w:bottom w:val="single" w:sz="8" w:color="auto"/>
            </w:tcBorders>
          </w:tcPr>
          <w:p>
            <w:pPr>
              <w:spacing w:after="0"/>
              <w:rPr>
                <w:sz w:val="2"/>
                <w:szCs w:val="2"/>
                <w:color w:val="auto"/>
              </w:rPr>
            </w:pPr>
          </w:p>
        </w:tc>
        <w:tc>
          <w:tcPr>
            <w:tcW w:w="180" w:type="dxa"/>
            <w:vAlign w:val="bottom"/>
            <w:tcBorders>
              <w:top w:val="single" w:sz="8" w:color="3051F2"/>
              <w:bottom w:val="single" w:sz="8" w:color="auto"/>
            </w:tcBorders>
          </w:tcPr>
          <w:p>
            <w:pPr>
              <w:spacing w:after="0"/>
              <w:rPr>
                <w:sz w:val="2"/>
                <w:szCs w:val="2"/>
                <w:color w:val="auto"/>
              </w:rPr>
            </w:pPr>
          </w:p>
        </w:tc>
        <w:tc>
          <w:tcPr>
            <w:tcW w:w="180" w:type="dxa"/>
            <w:vAlign w:val="bottom"/>
            <w:tcBorders>
              <w:top w:val="single" w:sz="8" w:color="3051F2"/>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76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10.4*</w:t>
            </w:r>
          </w:p>
        </w:tc>
        <w:tc>
          <w:tcPr>
            <w:tcW w:w="6000" w:type="dxa"/>
            <w:vAlign w:val="bottom"/>
            <w:tcBorders>
              <w:right w:val="single" w:sz="8" w:color="auto"/>
            </w:tcBorders>
            <w:gridSpan w:val="27"/>
            <w:shd w:val="clear" w:color="auto" w:fill="CCEEFF"/>
          </w:tcPr>
          <w:p>
            <w:pPr>
              <w:spacing w:after="0" w:line="119" w:lineRule="exact"/>
              <w:rPr>
                <w:rFonts w:ascii="Times New Roman" w:cs="Times New Roman" w:eastAsia="Times New Roman" w:hAnsi="Times New Roman"/>
                <w:sz w:val="12"/>
                <w:szCs w:val="12"/>
                <w:color w:val="3051F2"/>
              </w:rPr>
            </w:pPr>
            <w:hyperlink r:id="rId76">
              <w:r>
                <w:rPr>
                  <w:rFonts w:ascii="Times New Roman" w:cs="Times New Roman" w:eastAsia="Times New Roman" w:hAnsi="Times New Roman"/>
                  <w:sz w:val="12"/>
                  <w:szCs w:val="12"/>
                  <w:color w:val="3051F2"/>
                </w:rPr>
                <w:t>First Amendment to the Fourth Amended and Restated Agreement of Limited Partnership of Sun Communities</w:t>
              </w:r>
            </w:hyperlink>
          </w:p>
        </w:tc>
        <w:tc>
          <w:tcPr>
            <w:tcW w:w="4520" w:type="dxa"/>
            <w:vAlign w:val="bottom"/>
            <w:tcBorders>
              <w:right w:val="single" w:sz="8" w:color="auto"/>
            </w:tcBorders>
            <w:shd w:val="clear" w:color="auto" w:fill="CCEEFF"/>
          </w:tcPr>
          <w:p>
            <w:pPr>
              <w:spacing w:after="0" w:line="119" w:lineRule="exact"/>
              <w:rPr>
                <w:sz w:val="20"/>
                <w:szCs w:val="20"/>
                <w:color w:val="auto"/>
              </w:rPr>
            </w:pPr>
            <w:r>
              <w:rPr>
                <w:rFonts w:ascii="Times New Roman" w:cs="Times New Roman" w:eastAsia="Times New Roman" w:hAnsi="Times New Roman"/>
                <w:sz w:val="12"/>
                <w:szCs w:val="12"/>
                <w:color w:val="auto"/>
              </w:rPr>
              <w:t>Incorporated by reference to Exhibit 10.1 of Sun Communities, Inc.'s Current Report on</w:t>
            </w:r>
          </w:p>
        </w:tc>
        <w:tc>
          <w:tcPr>
            <w:tcW w:w="0" w:type="dxa"/>
            <w:vAlign w:val="bottom"/>
          </w:tcPr>
          <w:p>
            <w:pPr>
              <w:spacing w:after="0"/>
              <w:rPr>
                <w:sz w:val="1"/>
                <w:szCs w:val="1"/>
                <w:color w:val="auto"/>
              </w:rPr>
            </w:pPr>
          </w:p>
        </w:tc>
      </w:tr>
      <w:tr>
        <w:trPr>
          <w:trHeight w:val="71"/>
        </w:trPr>
        <w:tc>
          <w:tcPr>
            <w:tcW w:w="760" w:type="dxa"/>
            <w:vAlign w:val="bottom"/>
            <w:tcBorders>
              <w:top w:val="single" w:sz="8" w:color="CCEEFF"/>
              <w:left w:val="single" w:sz="8" w:color="auto"/>
              <w:right w:val="single" w:sz="8" w:color="auto"/>
            </w:tcBorders>
            <w:vMerge w:val="continue"/>
            <w:shd w:val="clear" w:color="auto" w:fill="CCEEFF"/>
          </w:tcPr>
          <w:p>
            <w:pPr>
              <w:spacing w:after="0"/>
              <w:rPr>
                <w:sz w:val="6"/>
                <w:szCs w:val="6"/>
                <w:color w:val="auto"/>
              </w:rPr>
            </w:pPr>
          </w:p>
        </w:tc>
        <w:tc>
          <w:tcPr>
            <w:tcW w:w="5540" w:type="dxa"/>
            <w:vAlign w:val="bottom"/>
            <w:tcBorders>
              <w:top w:val="single" w:sz="8" w:color="3051F2"/>
            </w:tcBorders>
            <w:gridSpan w:val="25"/>
            <w:vMerge w:val="restart"/>
            <w:shd w:val="clear" w:color="auto" w:fill="CCEEFF"/>
          </w:tcPr>
          <w:p>
            <w:pPr>
              <w:spacing w:after="0" w:line="128" w:lineRule="exact"/>
              <w:rPr>
                <w:rFonts w:ascii="Times New Roman" w:cs="Times New Roman" w:eastAsia="Times New Roman" w:hAnsi="Times New Roman"/>
                <w:sz w:val="12"/>
                <w:szCs w:val="12"/>
                <w:color w:val="3051F2"/>
              </w:rPr>
            </w:pPr>
            <w:hyperlink r:id="rId76">
              <w:r>
                <w:rPr>
                  <w:rFonts w:ascii="Times New Roman" w:cs="Times New Roman" w:eastAsia="Times New Roman" w:hAnsi="Times New Roman"/>
                  <w:sz w:val="12"/>
                  <w:szCs w:val="12"/>
                  <w:color w:val="3051F2"/>
                </w:rPr>
                <w:t>Operating Limited Partnership, dated January 9, 2020.</w:t>
              </w:r>
            </w:hyperlink>
          </w:p>
        </w:tc>
        <w:tc>
          <w:tcPr>
            <w:tcW w:w="120" w:type="dxa"/>
            <w:vAlign w:val="bottom"/>
            <w:tcBorders>
              <w:top w:val="single" w:sz="8" w:color="3051F2"/>
            </w:tcBorders>
            <w:shd w:val="clear" w:color="auto" w:fill="CCEEFF"/>
          </w:tcPr>
          <w:p>
            <w:pPr>
              <w:spacing w:after="0"/>
              <w:rPr>
                <w:sz w:val="6"/>
                <w:szCs w:val="6"/>
                <w:color w:val="auto"/>
              </w:rPr>
            </w:pPr>
          </w:p>
        </w:tc>
        <w:tc>
          <w:tcPr>
            <w:tcW w:w="340" w:type="dxa"/>
            <w:vAlign w:val="bottom"/>
            <w:tcBorders>
              <w:top w:val="single" w:sz="8" w:color="3051F2"/>
              <w:right w:val="single" w:sz="8" w:color="auto"/>
            </w:tcBorders>
            <w:shd w:val="clear" w:color="auto" w:fill="CCEEFF"/>
          </w:tcPr>
          <w:p>
            <w:pPr>
              <w:spacing w:after="0"/>
              <w:rPr>
                <w:sz w:val="6"/>
                <w:szCs w:val="6"/>
                <w:color w:val="auto"/>
              </w:rPr>
            </w:pPr>
          </w:p>
        </w:tc>
        <w:tc>
          <w:tcPr>
            <w:tcW w:w="4520" w:type="dxa"/>
            <w:vAlign w:val="bottom"/>
            <w:tcBorders>
              <w:top w:val="single" w:sz="8" w:color="CCEEFF"/>
              <w:right w:val="single" w:sz="8" w:color="auto"/>
            </w:tcBorders>
            <w:vMerge w:val="restart"/>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Form 8-K filed January 13, 2020</w:t>
            </w:r>
          </w:p>
        </w:tc>
        <w:tc>
          <w:tcPr>
            <w:tcW w:w="0" w:type="dxa"/>
            <w:vAlign w:val="bottom"/>
          </w:tcPr>
          <w:p>
            <w:pPr>
              <w:spacing w:after="0"/>
              <w:rPr>
                <w:sz w:val="1"/>
                <w:szCs w:val="1"/>
                <w:color w:val="auto"/>
              </w:rPr>
            </w:pPr>
          </w:p>
        </w:tc>
      </w:tr>
      <w:tr>
        <w:trPr>
          <w:trHeight w:val="103"/>
        </w:trPr>
        <w:tc>
          <w:tcPr>
            <w:tcW w:w="760" w:type="dxa"/>
            <w:vAlign w:val="bottom"/>
            <w:tcBorders>
              <w:left w:val="single" w:sz="8" w:color="auto"/>
              <w:bottom w:val="single" w:sz="8" w:color="auto"/>
              <w:right w:val="single" w:sz="8" w:color="auto"/>
            </w:tcBorders>
            <w:shd w:val="clear" w:color="auto" w:fill="CCEEFF"/>
          </w:tcPr>
          <w:p>
            <w:pPr>
              <w:spacing w:after="0"/>
              <w:rPr>
                <w:sz w:val="8"/>
                <w:szCs w:val="8"/>
                <w:color w:val="auto"/>
              </w:rPr>
            </w:pPr>
          </w:p>
        </w:tc>
        <w:tc>
          <w:tcPr>
            <w:tcW w:w="5540" w:type="dxa"/>
            <w:vAlign w:val="bottom"/>
            <w:tcBorders>
              <w:bottom w:val="single" w:sz="8" w:color="auto"/>
            </w:tcBorders>
            <w:gridSpan w:val="25"/>
            <w:vMerge w:val="continue"/>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340" w:type="dxa"/>
            <w:vAlign w:val="bottom"/>
            <w:tcBorders>
              <w:bottom w:val="single" w:sz="8" w:color="auto"/>
              <w:right w:val="single" w:sz="8" w:color="auto"/>
            </w:tcBorders>
            <w:shd w:val="clear" w:color="auto" w:fill="CCEEFF"/>
          </w:tcPr>
          <w:p>
            <w:pPr>
              <w:spacing w:after="0"/>
              <w:rPr>
                <w:sz w:val="8"/>
                <w:szCs w:val="8"/>
                <w:color w:val="auto"/>
              </w:rPr>
            </w:pPr>
          </w:p>
        </w:tc>
        <w:tc>
          <w:tcPr>
            <w:tcW w:w="4520" w:type="dxa"/>
            <w:vAlign w:val="bottom"/>
            <w:tcBorders>
              <w:bottom w:val="single" w:sz="8" w:color="auto"/>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7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6"/>
              </w:rPr>
              <w:t>10.5*</w:t>
            </w:r>
          </w:p>
        </w:tc>
        <w:tc>
          <w:tcPr>
            <w:tcW w:w="6000" w:type="dxa"/>
            <w:vAlign w:val="bottom"/>
            <w:tcBorders>
              <w:right w:val="single" w:sz="8" w:color="auto"/>
            </w:tcBorders>
            <w:gridSpan w:val="27"/>
          </w:tcPr>
          <w:p>
            <w:pPr>
              <w:spacing w:after="0" w:line="119" w:lineRule="exact"/>
              <w:rPr>
                <w:rFonts w:ascii="Times New Roman" w:cs="Times New Roman" w:eastAsia="Times New Roman" w:hAnsi="Times New Roman"/>
                <w:sz w:val="12"/>
                <w:szCs w:val="12"/>
                <w:color w:val="3051F2"/>
              </w:rPr>
            </w:pPr>
            <w:hyperlink r:id="rId77">
              <w:r>
                <w:rPr>
                  <w:rFonts w:ascii="Times New Roman" w:cs="Times New Roman" w:eastAsia="Times New Roman" w:hAnsi="Times New Roman"/>
                  <w:sz w:val="12"/>
                  <w:szCs w:val="12"/>
                  <w:color w:val="3051F2"/>
                </w:rPr>
                <w:t>Fourth Amendment to the Fourth Amended and Restated Agreement of Limited Partnership of Sun Communities</w:t>
              </w:r>
            </w:hyperlink>
          </w:p>
        </w:tc>
        <w:tc>
          <w:tcPr>
            <w:tcW w:w="4520" w:type="dxa"/>
            <w:vAlign w:val="bottom"/>
            <w:tcBorders>
              <w:right w:val="single" w:sz="8" w:color="auto"/>
            </w:tcBorders>
          </w:tcPr>
          <w:p>
            <w:pPr>
              <w:spacing w:after="0" w:line="119" w:lineRule="exact"/>
              <w:rPr>
                <w:sz w:val="20"/>
                <w:szCs w:val="20"/>
                <w:color w:val="auto"/>
              </w:rPr>
            </w:pPr>
            <w:r>
              <w:rPr>
                <w:rFonts w:ascii="Times New Roman" w:cs="Times New Roman" w:eastAsia="Times New Roman" w:hAnsi="Times New Roman"/>
                <w:sz w:val="12"/>
                <w:szCs w:val="12"/>
                <w:color w:val="auto"/>
              </w:rPr>
              <w:t>Incorporated by reference to Exhibit 10.1 of Sun Communities, Inc.'s Current Report on</w:t>
            </w:r>
          </w:p>
        </w:tc>
        <w:tc>
          <w:tcPr>
            <w:tcW w:w="0" w:type="dxa"/>
            <w:vAlign w:val="bottom"/>
          </w:tcPr>
          <w:p>
            <w:pPr>
              <w:spacing w:after="0"/>
              <w:rPr>
                <w:sz w:val="1"/>
                <w:szCs w:val="1"/>
                <w:color w:val="auto"/>
              </w:rPr>
            </w:pPr>
          </w:p>
        </w:tc>
      </w:tr>
      <w:tr>
        <w:trPr>
          <w:trHeight w:val="71"/>
        </w:trPr>
        <w:tc>
          <w:tcPr>
            <w:tcW w:w="760" w:type="dxa"/>
            <w:vAlign w:val="bottom"/>
            <w:tcBorders>
              <w:left w:val="single" w:sz="8" w:color="auto"/>
              <w:right w:val="single" w:sz="8" w:color="auto"/>
            </w:tcBorders>
            <w:vMerge w:val="continue"/>
          </w:tcPr>
          <w:p>
            <w:pPr>
              <w:spacing w:after="0"/>
              <w:rPr>
                <w:sz w:val="6"/>
                <w:szCs w:val="6"/>
                <w:color w:val="auto"/>
              </w:rPr>
            </w:pPr>
          </w:p>
        </w:tc>
        <w:tc>
          <w:tcPr>
            <w:tcW w:w="5540" w:type="dxa"/>
            <w:vAlign w:val="bottom"/>
            <w:tcBorders>
              <w:top w:val="single" w:sz="8" w:color="3051F2"/>
            </w:tcBorders>
            <w:gridSpan w:val="25"/>
            <w:vMerge w:val="restart"/>
          </w:tcPr>
          <w:p>
            <w:pPr>
              <w:spacing w:after="0" w:line="128" w:lineRule="exact"/>
              <w:rPr>
                <w:rFonts w:ascii="Times New Roman" w:cs="Times New Roman" w:eastAsia="Times New Roman" w:hAnsi="Times New Roman"/>
                <w:sz w:val="12"/>
                <w:szCs w:val="12"/>
                <w:color w:val="3051F2"/>
              </w:rPr>
            </w:pPr>
            <w:hyperlink r:id="rId77">
              <w:r>
                <w:rPr>
                  <w:rFonts w:ascii="Times New Roman" w:cs="Times New Roman" w:eastAsia="Times New Roman" w:hAnsi="Times New Roman"/>
                  <w:sz w:val="12"/>
                  <w:szCs w:val="12"/>
                  <w:color w:val="3051F2"/>
                </w:rPr>
                <w:t>Operating Limited Partnership, dated May 14, 2020.</w:t>
              </w:r>
            </w:hyperlink>
          </w:p>
        </w:tc>
        <w:tc>
          <w:tcPr>
            <w:tcW w:w="120" w:type="dxa"/>
            <w:vAlign w:val="bottom"/>
            <w:tcBorders>
              <w:top w:val="single" w:sz="8" w:color="3051F2"/>
            </w:tcBorders>
          </w:tcPr>
          <w:p>
            <w:pPr>
              <w:spacing w:after="0"/>
              <w:rPr>
                <w:sz w:val="6"/>
                <w:szCs w:val="6"/>
                <w:color w:val="auto"/>
              </w:rPr>
            </w:pPr>
          </w:p>
        </w:tc>
        <w:tc>
          <w:tcPr>
            <w:tcW w:w="340" w:type="dxa"/>
            <w:vAlign w:val="bottom"/>
            <w:tcBorders>
              <w:top w:val="single" w:sz="8" w:color="3051F2"/>
              <w:right w:val="single" w:sz="8" w:color="auto"/>
            </w:tcBorders>
          </w:tcPr>
          <w:p>
            <w:pPr>
              <w:spacing w:after="0"/>
              <w:rPr>
                <w:sz w:val="6"/>
                <w:szCs w:val="6"/>
                <w:color w:val="auto"/>
              </w:rPr>
            </w:pPr>
          </w:p>
        </w:tc>
        <w:tc>
          <w:tcPr>
            <w:tcW w:w="4520" w:type="dxa"/>
            <w:vAlign w:val="bottom"/>
            <w:tcBorders>
              <w:right w:val="single" w:sz="8" w:color="auto"/>
            </w:tcBorders>
            <w:vMerge w:val="restart"/>
          </w:tcPr>
          <w:p>
            <w:pPr>
              <w:spacing w:after="0" w:line="128" w:lineRule="exact"/>
              <w:rPr>
                <w:sz w:val="20"/>
                <w:szCs w:val="20"/>
                <w:color w:val="auto"/>
              </w:rPr>
            </w:pPr>
            <w:r>
              <w:rPr>
                <w:rFonts w:ascii="Times New Roman" w:cs="Times New Roman" w:eastAsia="Times New Roman" w:hAnsi="Times New Roman"/>
                <w:sz w:val="12"/>
                <w:szCs w:val="12"/>
                <w:color w:val="auto"/>
              </w:rPr>
              <w:t>Form 8-K filed May 18, 2020</w:t>
            </w:r>
          </w:p>
        </w:tc>
        <w:tc>
          <w:tcPr>
            <w:tcW w:w="0" w:type="dxa"/>
            <w:vAlign w:val="bottom"/>
          </w:tcPr>
          <w:p>
            <w:pPr>
              <w:spacing w:after="0"/>
              <w:rPr>
                <w:sz w:val="1"/>
                <w:szCs w:val="1"/>
                <w:color w:val="auto"/>
              </w:rPr>
            </w:pPr>
          </w:p>
        </w:tc>
      </w:tr>
      <w:tr>
        <w:trPr>
          <w:trHeight w:val="57"/>
        </w:trPr>
        <w:tc>
          <w:tcPr>
            <w:tcW w:w="760" w:type="dxa"/>
            <w:vAlign w:val="bottom"/>
            <w:tcBorders>
              <w:left w:val="single" w:sz="8" w:color="auto"/>
              <w:right w:val="single" w:sz="8" w:color="auto"/>
            </w:tcBorders>
          </w:tcPr>
          <w:p>
            <w:pPr>
              <w:spacing w:after="0"/>
              <w:rPr>
                <w:sz w:val="4"/>
                <w:szCs w:val="4"/>
                <w:color w:val="auto"/>
              </w:rPr>
            </w:pPr>
          </w:p>
        </w:tc>
        <w:tc>
          <w:tcPr>
            <w:tcW w:w="5540" w:type="dxa"/>
            <w:vAlign w:val="bottom"/>
            <w:gridSpan w:val="25"/>
            <w:vMerge w:val="continue"/>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Borders>
              <w:right w:val="single" w:sz="8" w:color="auto"/>
            </w:tcBorders>
          </w:tcPr>
          <w:p>
            <w:pPr>
              <w:spacing w:after="0"/>
              <w:rPr>
                <w:sz w:val="4"/>
                <w:szCs w:val="4"/>
                <w:color w:val="auto"/>
              </w:rPr>
            </w:pPr>
          </w:p>
        </w:tc>
        <w:tc>
          <w:tcPr>
            <w:tcW w:w="452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760" w:type="dxa"/>
            <w:vAlign w:val="bottom"/>
            <w:tcBorders>
              <w:left w:val="single" w:sz="8" w:color="auto"/>
              <w:bottom w:val="single" w:sz="8" w:color="auto"/>
              <w:right w:val="single" w:sz="8" w:color="auto"/>
            </w:tcBorders>
          </w:tcPr>
          <w:p>
            <w:pPr>
              <w:spacing w:after="0"/>
              <w:rPr>
                <w:sz w:val="2"/>
                <w:szCs w:val="2"/>
                <w:color w:val="auto"/>
              </w:rPr>
            </w:pPr>
          </w:p>
        </w:tc>
        <w:tc>
          <w:tcPr>
            <w:tcW w:w="720" w:type="dxa"/>
            <w:vAlign w:val="bottom"/>
            <w:tcBorders>
              <w:top w:val="single" w:sz="8" w:color="3051F2"/>
              <w:bottom w:val="single" w:sz="8" w:color="auto"/>
            </w:tcBorders>
          </w:tcPr>
          <w:p>
            <w:pPr>
              <w:spacing w:after="0"/>
              <w:rPr>
                <w:sz w:val="2"/>
                <w:szCs w:val="2"/>
                <w:color w:val="auto"/>
              </w:rPr>
            </w:pPr>
          </w:p>
        </w:tc>
        <w:tc>
          <w:tcPr>
            <w:tcW w:w="40" w:type="dxa"/>
            <w:vAlign w:val="bottom"/>
            <w:tcBorders>
              <w:top w:val="single" w:sz="8" w:color="3051F2"/>
              <w:bottom w:val="single" w:sz="8" w:color="auto"/>
            </w:tcBorders>
          </w:tcPr>
          <w:p>
            <w:pPr>
              <w:spacing w:after="0"/>
              <w:rPr>
                <w:sz w:val="2"/>
                <w:szCs w:val="2"/>
                <w:color w:val="auto"/>
              </w:rPr>
            </w:pPr>
          </w:p>
        </w:tc>
        <w:tc>
          <w:tcPr>
            <w:tcW w:w="20" w:type="dxa"/>
            <w:vAlign w:val="bottom"/>
            <w:tcBorders>
              <w:top w:val="single" w:sz="8" w:color="3051F2"/>
              <w:bottom w:val="single" w:sz="8" w:color="auto"/>
            </w:tcBorders>
          </w:tcPr>
          <w:p>
            <w:pPr>
              <w:spacing w:after="0"/>
              <w:rPr>
                <w:sz w:val="2"/>
                <w:szCs w:val="2"/>
                <w:color w:val="auto"/>
              </w:rPr>
            </w:pPr>
          </w:p>
        </w:tc>
        <w:tc>
          <w:tcPr>
            <w:tcW w:w="180" w:type="dxa"/>
            <w:vAlign w:val="bottom"/>
            <w:tcBorders>
              <w:top w:val="single" w:sz="8" w:color="3051F2"/>
              <w:bottom w:val="single" w:sz="8" w:color="auto"/>
            </w:tcBorders>
          </w:tcPr>
          <w:p>
            <w:pPr>
              <w:spacing w:after="0"/>
              <w:rPr>
                <w:sz w:val="2"/>
                <w:szCs w:val="2"/>
                <w:color w:val="auto"/>
              </w:rPr>
            </w:pPr>
          </w:p>
        </w:tc>
        <w:tc>
          <w:tcPr>
            <w:tcW w:w="180" w:type="dxa"/>
            <w:vAlign w:val="bottom"/>
            <w:tcBorders>
              <w:top w:val="single" w:sz="8" w:color="3051F2"/>
              <w:bottom w:val="single" w:sz="8" w:color="auto"/>
            </w:tcBorders>
          </w:tcPr>
          <w:p>
            <w:pPr>
              <w:spacing w:after="0"/>
              <w:rPr>
                <w:sz w:val="2"/>
                <w:szCs w:val="2"/>
                <w:color w:val="auto"/>
              </w:rPr>
            </w:pPr>
          </w:p>
        </w:tc>
        <w:tc>
          <w:tcPr>
            <w:tcW w:w="580" w:type="dxa"/>
            <w:vAlign w:val="bottom"/>
            <w:tcBorders>
              <w:top w:val="single" w:sz="8" w:color="3051F2"/>
              <w:bottom w:val="single" w:sz="8" w:color="auto"/>
            </w:tcBorders>
          </w:tcPr>
          <w:p>
            <w:pPr>
              <w:spacing w:after="0"/>
              <w:rPr>
                <w:sz w:val="2"/>
                <w:szCs w:val="2"/>
                <w:color w:val="auto"/>
              </w:rPr>
            </w:pPr>
          </w:p>
        </w:tc>
        <w:tc>
          <w:tcPr>
            <w:tcW w:w="40" w:type="dxa"/>
            <w:vAlign w:val="bottom"/>
            <w:tcBorders>
              <w:top w:val="single" w:sz="8" w:color="3051F2"/>
              <w:bottom w:val="single" w:sz="8" w:color="auto"/>
            </w:tcBorders>
          </w:tcPr>
          <w:p>
            <w:pPr>
              <w:spacing w:after="0"/>
              <w:rPr>
                <w:sz w:val="2"/>
                <w:szCs w:val="2"/>
                <w:color w:val="auto"/>
              </w:rPr>
            </w:pPr>
          </w:p>
        </w:tc>
        <w:tc>
          <w:tcPr>
            <w:tcW w:w="40" w:type="dxa"/>
            <w:vAlign w:val="bottom"/>
            <w:tcBorders>
              <w:top w:val="single" w:sz="8" w:color="3051F2"/>
              <w:bottom w:val="single" w:sz="8" w:color="auto"/>
            </w:tcBorders>
          </w:tcPr>
          <w:p>
            <w:pPr>
              <w:spacing w:after="0"/>
              <w:rPr>
                <w:sz w:val="2"/>
                <w:szCs w:val="2"/>
                <w:color w:val="auto"/>
              </w:rPr>
            </w:pPr>
          </w:p>
        </w:tc>
        <w:tc>
          <w:tcPr>
            <w:tcW w:w="20" w:type="dxa"/>
            <w:vAlign w:val="bottom"/>
            <w:tcBorders>
              <w:top w:val="single" w:sz="8" w:color="3051F2"/>
              <w:bottom w:val="single" w:sz="8" w:color="auto"/>
            </w:tcBorders>
          </w:tcPr>
          <w:p>
            <w:pPr>
              <w:spacing w:after="0"/>
              <w:rPr>
                <w:sz w:val="2"/>
                <w:szCs w:val="2"/>
                <w:color w:val="auto"/>
              </w:rPr>
            </w:pPr>
          </w:p>
        </w:tc>
        <w:tc>
          <w:tcPr>
            <w:tcW w:w="480" w:type="dxa"/>
            <w:vAlign w:val="bottom"/>
            <w:tcBorders>
              <w:top w:val="single" w:sz="8" w:color="3051F2"/>
              <w:bottom w:val="single" w:sz="8" w:color="auto"/>
            </w:tcBorders>
          </w:tcPr>
          <w:p>
            <w:pPr>
              <w:spacing w:after="0"/>
              <w:rPr>
                <w:sz w:val="2"/>
                <w:szCs w:val="2"/>
                <w:color w:val="auto"/>
              </w:rPr>
            </w:pPr>
          </w:p>
        </w:tc>
        <w:tc>
          <w:tcPr>
            <w:tcW w:w="40" w:type="dxa"/>
            <w:vAlign w:val="bottom"/>
            <w:tcBorders>
              <w:top w:val="single" w:sz="8" w:color="3051F2"/>
              <w:bottom w:val="single" w:sz="8" w:color="auto"/>
            </w:tcBorders>
          </w:tcPr>
          <w:p>
            <w:pPr>
              <w:spacing w:after="0"/>
              <w:rPr>
                <w:sz w:val="2"/>
                <w:szCs w:val="2"/>
                <w:color w:val="auto"/>
              </w:rPr>
            </w:pPr>
          </w:p>
        </w:tc>
        <w:tc>
          <w:tcPr>
            <w:tcW w:w="80" w:type="dxa"/>
            <w:vAlign w:val="bottom"/>
            <w:tcBorders>
              <w:top w:val="single" w:sz="8" w:color="3051F2"/>
              <w:bottom w:val="single" w:sz="8" w:color="auto"/>
            </w:tcBorders>
          </w:tcPr>
          <w:p>
            <w:pPr>
              <w:spacing w:after="0"/>
              <w:rPr>
                <w:sz w:val="2"/>
                <w:szCs w:val="2"/>
                <w:color w:val="auto"/>
              </w:rPr>
            </w:pPr>
          </w:p>
        </w:tc>
        <w:tc>
          <w:tcPr>
            <w:tcW w:w="100" w:type="dxa"/>
            <w:vAlign w:val="bottom"/>
            <w:tcBorders>
              <w:top w:val="single" w:sz="8" w:color="3051F2"/>
              <w:bottom w:val="single" w:sz="8" w:color="auto"/>
            </w:tcBorders>
          </w:tcPr>
          <w:p>
            <w:pPr>
              <w:spacing w:after="0"/>
              <w:rPr>
                <w:sz w:val="2"/>
                <w:szCs w:val="2"/>
                <w:color w:val="auto"/>
              </w:rPr>
            </w:pPr>
          </w:p>
        </w:tc>
        <w:tc>
          <w:tcPr>
            <w:tcW w:w="60" w:type="dxa"/>
            <w:vAlign w:val="bottom"/>
            <w:tcBorders>
              <w:top w:val="single" w:sz="8" w:color="3051F2"/>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76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10.6*</w:t>
            </w:r>
          </w:p>
        </w:tc>
        <w:tc>
          <w:tcPr>
            <w:tcW w:w="6000" w:type="dxa"/>
            <w:vAlign w:val="bottom"/>
            <w:tcBorders>
              <w:right w:val="single" w:sz="8" w:color="auto"/>
            </w:tcBorders>
            <w:gridSpan w:val="27"/>
            <w:shd w:val="clear" w:color="auto" w:fill="CCEEFF"/>
          </w:tcPr>
          <w:p>
            <w:pPr>
              <w:spacing w:after="0" w:line="119" w:lineRule="exact"/>
              <w:rPr>
                <w:rFonts w:ascii="Times New Roman" w:cs="Times New Roman" w:eastAsia="Times New Roman" w:hAnsi="Times New Roman"/>
                <w:sz w:val="12"/>
                <w:szCs w:val="12"/>
                <w:color w:val="3051F2"/>
              </w:rPr>
            </w:pPr>
            <w:hyperlink r:id="rId78">
              <w:r>
                <w:rPr>
                  <w:rFonts w:ascii="Times New Roman" w:cs="Times New Roman" w:eastAsia="Times New Roman" w:hAnsi="Times New Roman"/>
                  <w:sz w:val="12"/>
                  <w:szCs w:val="12"/>
                  <w:color w:val="3051F2"/>
                </w:rPr>
                <w:t>Sixth Amendment to the Fourth Amended and Restated Agreement of Limited Partnership of Sun Communities</w:t>
              </w:r>
            </w:hyperlink>
          </w:p>
        </w:tc>
        <w:tc>
          <w:tcPr>
            <w:tcW w:w="4520" w:type="dxa"/>
            <w:vAlign w:val="bottom"/>
            <w:tcBorders>
              <w:right w:val="single" w:sz="8" w:color="auto"/>
            </w:tcBorders>
            <w:shd w:val="clear" w:color="auto" w:fill="CCEEFF"/>
          </w:tcPr>
          <w:p>
            <w:pPr>
              <w:spacing w:after="0" w:line="119" w:lineRule="exact"/>
              <w:rPr>
                <w:sz w:val="20"/>
                <w:szCs w:val="20"/>
                <w:color w:val="auto"/>
              </w:rPr>
            </w:pPr>
            <w:r>
              <w:rPr>
                <w:rFonts w:ascii="Times New Roman" w:cs="Times New Roman" w:eastAsia="Times New Roman" w:hAnsi="Times New Roman"/>
                <w:sz w:val="12"/>
                <w:szCs w:val="12"/>
                <w:color w:val="auto"/>
              </w:rPr>
              <w:t>Incorporated by reference to Exhibit 10.1 of Sun Communities, Inc.'s Current Report on</w:t>
            </w:r>
          </w:p>
        </w:tc>
        <w:tc>
          <w:tcPr>
            <w:tcW w:w="0" w:type="dxa"/>
            <w:vAlign w:val="bottom"/>
          </w:tcPr>
          <w:p>
            <w:pPr>
              <w:spacing w:after="0"/>
              <w:rPr>
                <w:sz w:val="1"/>
                <w:szCs w:val="1"/>
                <w:color w:val="auto"/>
              </w:rPr>
            </w:pPr>
          </w:p>
        </w:tc>
      </w:tr>
      <w:tr>
        <w:trPr>
          <w:trHeight w:val="71"/>
        </w:trPr>
        <w:tc>
          <w:tcPr>
            <w:tcW w:w="760" w:type="dxa"/>
            <w:vAlign w:val="bottom"/>
            <w:tcBorders>
              <w:top w:val="single" w:sz="8" w:color="CCEEFF"/>
              <w:left w:val="single" w:sz="8" w:color="auto"/>
              <w:right w:val="single" w:sz="8" w:color="auto"/>
            </w:tcBorders>
            <w:vMerge w:val="continue"/>
            <w:shd w:val="clear" w:color="auto" w:fill="CCEEFF"/>
          </w:tcPr>
          <w:p>
            <w:pPr>
              <w:spacing w:after="0"/>
              <w:rPr>
                <w:sz w:val="6"/>
                <w:szCs w:val="6"/>
                <w:color w:val="auto"/>
              </w:rPr>
            </w:pPr>
          </w:p>
        </w:tc>
        <w:tc>
          <w:tcPr>
            <w:tcW w:w="5540" w:type="dxa"/>
            <w:vAlign w:val="bottom"/>
            <w:tcBorders>
              <w:top w:val="single" w:sz="8" w:color="3051F2"/>
            </w:tcBorders>
            <w:gridSpan w:val="25"/>
            <w:vMerge w:val="restart"/>
            <w:shd w:val="clear" w:color="auto" w:fill="CCEEFF"/>
          </w:tcPr>
          <w:p>
            <w:pPr>
              <w:spacing w:after="0" w:line="128" w:lineRule="exact"/>
              <w:rPr>
                <w:rFonts w:ascii="Times New Roman" w:cs="Times New Roman" w:eastAsia="Times New Roman" w:hAnsi="Times New Roman"/>
                <w:sz w:val="12"/>
                <w:szCs w:val="12"/>
                <w:color w:val="3051F2"/>
              </w:rPr>
            </w:pPr>
            <w:hyperlink r:id="rId78">
              <w:r>
                <w:rPr>
                  <w:rFonts w:ascii="Times New Roman" w:cs="Times New Roman" w:eastAsia="Times New Roman" w:hAnsi="Times New Roman"/>
                  <w:sz w:val="12"/>
                  <w:szCs w:val="12"/>
                  <w:color w:val="3051F2"/>
                </w:rPr>
                <w:t>Operating Limited Partnership, dated September 30, 2020.</w:t>
              </w:r>
            </w:hyperlink>
          </w:p>
        </w:tc>
        <w:tc>
          <w:tcPr>
            <w:tcW w:w="120" w:type="dxa"/>
            <w:vAlign w:val="bottom"/>
            <w:tcBorders>
              <w:top w:val="single" w:sz="8" w:color="3051F2"/>
            </w:tcBorders>
            <w:shd w:val="clear" w:color="auto" w:fill="CCEEFF"/>
          </w:tcPr>
          <w:p>
            <w:pPr>
              <w:spacing w:after="0"/>
              <w:rPr>
                <w:sz w:val="6"/>
                <w:szCs w:val="6"/>
                <w:color w:val="auto"/>
              </w:rPr>
            </w:pPr>
          </w:p>
        </w:tc>
        <w:tc>
          <w:tcPr>
            <w:tcW w:w="340" w:type="dxa"/>
            <w:vAlign w:val="bottom"/>
            <w:tcBorders>
              <w:top w:val="single" w:sz="8" w:color="3051F2"/>
              <w:right w:val="single" w:sz="8" w:color="auto"/>
            </w:tcBorders>
            <w:shd w:val="clear" w:color="auto" w:fill="CCEEFF"/>
          </w:tcPr>
          <w:p>
            <w:pPr>
              <w:spacing w:after="0"/>
              <w:rPr>
                <w:sz w:val="6"/>
                <w:szCs w:val="6"/>
                <w:color w:val="auto"/>
              </w:rPr>
            </w:pPr>
          </w:p>
        </w:tc>
        <w:tc>
          <w:tcPr>
            <w:tcW w:w="4520" w:type="dxa"/>
            <w:vAlign w:val="bottom"/>
            <w:tcBorders>
              <w:top w:val="single" w:sz="8" w:color="CCEEFF"/>
              <w:right w:val="single" w:sz="8" w:color="auto"/>
            </w:tcBorders>
            <w:vMerge w:val="restart"/>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Form 8-K filed October 6, 2020</w:t>
            </w:r>
          </w:p>
        </w:tc>
        <w:tc>
          <w:tcPr>
            <w:tcW w:w="0" w:type="dxa"/>
            <w:vAlign w:val="bottom"/>
          </w:tcPr>
          <w:p>
            <w:pPr>
              <w:spacing w:after="0"/>
              <w:rPr>
                <w:sz w:val="1"/>
                <w:szCs w:val="1"/>
                <w:color w:val="auto"/>
              </w:rPr>
            </w:pPr>
          </w:p>
        </w:tc>
      </w:tr>
      <w:tr>
        <w:trPr>
          <w:trHeight w:val="103"/>
        </w:trPr>
        <w:tc>
          <w:tcPr>
            <w:tcW w:w="760" w:type="dxa"/>
            <w:vAlign w:val="bottom"/>
            <w:tcBorders>
              <w:left w:val="single" w:sz="8" w:color="auto"/>
              <w:bottom w:val="single" w:sz="8" w:color="auto"/>
              <w:right w:val="single" w:sz="8" w:color="auto"/>
            </w:tcBorders>
            <w:shd w:val="clear" w:color="auto" w:fill="CCEEFF"/>
          </w:tcPr>
          <w:p>
            <w:pPr>
              <w:spacing w:after="0"/>
              <w:rPr>
                <w:sz w:val="8"/>
                <w:szCs w:val="8"/>
                <w:color w:val="auto"/>
              </w:rPr>
            </w:pPr>
          </w:p>
        </w:tc>
        <w:tc>
          <w:tcPr>
            <w:tcW w:w="5540" w:type="dxa"/>
            <w:vAlign w:val="bottom"/>
            <w:tcBorders>
              <w:bottom w:val="single" w:sz="8" w:color="auto"/>
            </w:tcBorders>
            <w:gridSpan w:val="25"/>
            <w:vMerge w:val="continue"/>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340" w:type="dxa"/>
            <w:vAlign w:val="bottom"/>
            <w:tcBorders>
              <w:bottom w:val="single" w:sz="8" w:color="auto"/>
              <w:right w:val="single" w:sz="8" w:color="auto"/>
            </w:tcBorders>
            <w:shd w:val="clear" w:color="auto" w:fill="CCEEFF"/>
          </w:tcPr>
          <w:p>
            <w:pPr>
              <w:spacing w:after="0"/>
              <w:rPr>
                <w:sz w:val="8"/>
                <w:szCs w:val="8"/>
                <w:color w:val="auto"/>
              </w:rPr>
            </w:pPr>
          </w:p>
        </w:tc>
        <w:tc>
          <w:tcPr>
            <w:tcW w:w="4520" w:type="dxa"/>
            <w:vAlign w:val="bottom"/>
            <w:tcBorders>
              <w:bottom w:val="single" w:sz="8" w:color="auto"/>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7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6"/>
              </w:rPr>
              <w:t>10.7*</w:t>
            </w:r>
          </w:p>
        </w:tc>
        <w:tc>
          <w:tcPr>
            <w:tcW w:w="5540" w:type="dxa"/>
            <w:vAlign w:val="bottom"/>
            <w:gridSpan w:val="25"/>
          </w:tcPr>
          <w:p>
            <w:pPr>
              <w:spacing w:after="0" w:line="119" w:lineRule="exact"/>
              <w:rPr>
                <w:rFonts w:ascii="Times New Roman" w:cs="Times New Roman" w:eastAsia="Times New Roman" w:hAnsi="Times New Roman"/>
                <w:sz w:val="12"/>
                <w:szCs w:val="12"/>
                <w:color w:val="3051F2"/>
              </w:rPr>
            </w:pPr>
            <w:hyperlink r:id="rId79">
              <w:r>
                <w:rPr>
                  <w:rFonts w:ascii="Times New Roman" w:cs="Times New Roman" w:eastAsia="Times New Roman" w:hAnsi="Times New Roman"/>
                  <w:sz w:val="12"/>
                  <w:szCs w:val="12"/>
                  <w:color w:val="3051F2"/>
                </w:rPr>
                <w:t>Seventh Amendment to Agreement of Limited Partnership Agreement of Sun Communities Operating</w:t>
              </w:r>
            </w:hyperlink>
          </w:p>
        </w:tc>
        <w:tc>
          <w:tcPr>
            <w:tcW w:w="460" w:type="dxa"/>
            <w:vAlign w:val="bottom"/>
            <w:tcBorders>
              <w:right w:val="single" w:sz="8" w:color="auto"/>
            </w:tcBorders>
            <w:gridSpan w:val="2"/>
          </w:tcPr>
          <w:p>
            <w:pPr>
              <w:ind w:left="40"/>
              <w:spacing w:after="0" w:line="119" w:lineRule="exact"/>
              <w:rPr>
                <w:rFonts w:ascii="Times New Roman" w:cs="Times New Roman" w:eastAsia="Times New Roman" w:hAnsi="Times New Roman"/>
                <w:sz w:val="12"/>
                <w:szCs w:val="12"/>
                <w:color w:val="3051F2"/>
                <w:w w:val="99"/>
              </w:rPr>
            </w:pPr>
            <w:hyperlink r:id="rId79">
              <w:r>
                <w:rPr>
                  <w:rFonts w:ascii="Times New Roman" w:cs="Times New Roman" w:eastAsia="Times New Roman" w:hAnsi="Times New Roman"/>
                  <w:sz w:val="12"/>
                  <w:szCs w:val="12"/>
                  <w:color w:val="3051F2"/>
                  <w:w w:val="99"/>
                </w:rPr>
                <w:t>Limited</w:t>
              </w:r>
            </w:hyperlink>
          </w:p>
        </w:tc>
        <w:tc>
          <w:tcPr>
            <w:tcW w:w="4520" w:type="dxa"/>
            <w:vAlign w:val="bottom"/>
            <w:tcBorders>
              <w:right w:val="single" w:sz="8" w:color="auto"/>
            </w:tcBorders>
          </w:tcPr>
          <w:p>
            <w:pPr>
              <w:spacing w:after="0" w:line="119" w:lineRule="exact"/>
              <w:rPr>
                <w:sz w:val="20"/>
                <w:szCs w:val="20"/>
                <w:color w:val="auto"/>
              </w:rPr>
            </w:pPr>
            <w:r>
              <w:rPr>
                <w:rFonts w:ascii="Times New Roman" w:cs="Times New Roman" w:eastAsia="Times New Roman" w:hAnsi="Times New Roman"/>
                <w:sz w:val="12"/>
                <w:szCs w:val="12"/>
                <w:color w:val="auto"/>
              </w:rPr>
              <w:t>Incorporated by reference to Exhibit 10.1 of Sun Communities, Inc.'s Current Report on</w:t>
            </w:r>
          </w:p>
        </w:tc>
        <w:tc>
          <w:tcPr>
            <w:tcW w:w="0" w:type="dxa"/>
            <w:vAlign w:val="bottom"/>
          </w:tcPr>
          <w:p>
            <w:pPr>
              <w:spacing w:after="0"/>
              <w:rPr>
                <w:sz w:val="1"/>
                <w:szCs w:val="1"/>
                <w:color w:val="auto"/>
              </w:rPr>
            </w:pPr>
          </w:p>
        </w:tc>
      </w:tr>
      <w:tr>
        <w:trPr>
          <w:trHeight w:val="62"/>
        </w:trPr>
        <w:tc>
          <w:tcPr>
            <w:tcW w:w="760" w:type="dxa"/>
            <w:vAlign w:val="bottom"/>
            <w:tcBorders>
              <w:left w:val="single" w:sz="8" w:color="auto"/>
              <w:right w:val="single" w:sz="8" w:color="auto"/>
            </w:tcBorders>
            <w:vMerge w:val="continue"/>
          </w:tcPr>
          <w:p>
            <w:pPr>
              <w:spacing w:after="0"/>
              <w:rPr>
                <w:sz w:val="5"/>
                <w:szCs w:val="5"/>
                <w:color w:val="auto"/>
              </w:rPr>
            </w:pPr>
          </w:p>
        </w:tc>
        <w:tc>
          <w:tcPr>
            <w:tcW w:w="5540" w:type="dxa"/>
            <w:vAlign w:val="bottom"/>
            <w:tcBorders>
              <w:top w:val="single" w:sz="8" w:color="3051F2"/>
            </w:tcBorders>
            <w:gridSpan w:val="25"/>
            <w:vMerge w:val="restart"/>
          </w:tcPr>
          <w:p>
            <w:pPr>
              <w:spacing w:after="0" w:line="96" w:lineRule="exact"/>
              <w:rPr>
                <w:rFonts w:ascii="Times New Roman" w:cs="Times New Roman" w:eastAsia="Times New Roman" w:hAnsi="Times New Roman"/>
                <w:sz w:val="11"/>
                <w:szCs w:val="11"/>
                <w:color w:val="3051F2"/>
              </w:rPr>
            </w:pPr>
            <w:hyperlink r:id="rId79">
              <w:r>
                <w:rPr>
                  <w:rFonts w:ascii="Times New Roman" w:cs="Times New Roman" w:eastAsia="Times New Roman" w:hAnsi="Times New Roman"/>
                  <w:sz w:val="11"/>
                  <w:szCs w:val="11"/>
                  <w:color w:val="3051F2"/>
                </w:rPr>
                <w:t>Partnership, dated October, 30, 2020</w:t>
              </w:r>
            </w:hyperlink>
          </w:p>
        </w:tc>
        <w:tc>
          <w:tcPr>
            <w:tcW w:w="120" w:type="dxa"/>
            <w:vAlign w:val="bottom"/>
            <w:tcBorders>
              <w:top w:val="single" w:sz="8" w:color="3051F2"/>
            </w:tcBorders>
          </w:tcPr>
          <w:p>
            <w:pPr>
              <w:spacing w:after="0"/>
              <w:rPr>
                <w:sz w:val="5"/>
                <w:szCs w:val="5"/>
                <w:color w:val="auto"/>
              </w:rPr>
            </w:pPr>
          </w:p>
        </w:tc>
        <w:tc>
          <w:tcPr>
            <w:tcW w:w="340" w:type="dxa"/>
            <w:vAlign w:val="bottom"/>
            <w:tcBorders>
              <w:top w:val="single" w:sz="8" w:color="3051F2"/>
              <w:right w:val="single" w:sz="8" w:color="auto"/>
            </w:tcBorders>
          </w:tcPr>
          <w:p>
            <w:pPr>
              <w:spacing w:after="0"/>
              <w:rPr>
                <w:sz w:val="5"/>
                <w:szCs w:val="5"/>
                <w:color w:val="auto"/>
              </w:rPr>
            </w:pPr>
          </w:p>
        </w:tc>
        <w:tc>
          <w:tcPr>
            <w:tcW w:w="4520" w:type="dxa"/>
            <w:vAlign w:val="bottom"/>
            <w:tcBorders>
              <w:right w:val="single" w:sz="8" w:color="auto"/>
            </w:tcBorders>
            <w:vMerge w:val="restart"/>
          </w:tcPr>
          <w:p>
            <w:pPr>
              <w:spacing w:after="0" w:line="96" w:lineRule="exact"/>
              <w:rPr>
                <w:sz w:val="20"/>
                <w:szCs w:val="20"/>
                <w:color w:val="auto"/>
              </w:rPr>
            </w:pPr>
            <w:r>
              <w:rPr>
                <w:rFonts w:ascii="Times New Roman" w:cs="Times New Roman" w:eastAsia="Times New Roman" w:hAnsi="Times New Roman"/>
                <w:sz w:val="11"/>
                <w:szCs w:val="11"/>
                <w:color w:val="auto"/>
              </w:rPr>
              <w:t>Form 8-K filed November 5, 2020</w:t>
            </w:r>
          </w:p>
        </w:tc>
        <w:tc>
          <w:tcPr>
            <w:tcW w:w="0" w:type="dxa"/>
            <w:vAlign w:val="bottom"/>
          </w:tcPr>
          <w:p>
            <w:pPr>
              <w:spacing w:after="0"/>
              <w:rPr>
                <w:sz w:val="1"/>
                <w:szCs w:val="1"/>
                <w:color w:val="auto"/>
              </w:rPr>
            </w:pPr>
          </w:p>
        </w:tc>
      </w:tr>
      <w:tr>
        <w:trPr>
          <w:trHeight w:val="33"/>
        </w:trPr>
        <w:tc>
          <w:tcPr>
            <w:tcW w:w="760" w:type="dxa"/>
            <w:vAlign w:val="bottom"/>
            <w:tcBorders>
              <w:left w:val="single" w:sz="8" w:color="auto"/>
              <w:right w:val="single" w:sz="8" w:color="auto"/>
            </w:tcBorders>
          </w:tcPr>
          <w:p>
            <w:pPr>
              <w:spacing w:after="0"/>
              <w:rPr>
                <w:sz w:val="2"/>
                <w:szCs w:val="2"/>
                <w:color w:val="auto"/>
              </w:rPr>
            </w:pPr>
          </w:p>
        </w:tc>
        <w:tc>
          <w:tcPr>
            <w:tcW w:w="5540" w:type="dxa"/>
            <w:vAlign w:val="bottom"/>
            <w:gridSpan w:val="25"/>
            <w:vMerge w:val="continue"/>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4520" w:type="dxa"/>
            <w:vAlign w:val="bottom"/>
            <w:tcBorders>
              <w:right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6"/>
        </w:trPr>
        <w:tc>
          <w:tcPr>
            <w:tcW w:w="760" w:type="dxa"/>
            <w:vAlign w:val="bottom"/>
            <w:tcBorders>
              <w:left w:val="single" w:sz="8" w:color="auto"/>
              <w:bottom w:val="single" w:sz="8" w:color="auto"/>
              <w:right w:val="single" w:sz="8" w:color="auto"/>
            </w:tcBorders>
          </w:tcPr>
          <w:p>
            <w:pPr>
              <w:spacing w:after="0"/>
              <w:rPr>
                <w:sz w:val="2"/>
                <w:szCs w:val="2"/>
                <w:color w:val="auto"/>
              </w:rPr>
            </w:pPr>
          </w:p>
        </w:tc>
        <w:tc>
          <w:tcPr>
            <w:tcW w:w="720" w:type="dxa"/>
            <w:vAlign w:val="bottom"/>
            <w:tcBorders>
              <w:top w:val="single" w:sz="8" w:color="3051F2"/>
              <w:bottom w:val="single" w:sz="8" w:color="auto"/>
            </w:tcBorders>
          </w:tcPr>
          <w:p>
            <w:pPr>
              <w:spacing w:after="0"/>
              <w:rPr>
                <w:sz w:val="2"/>
                <w:szCs w:val="2"/>
                <w:color w:val="auto"/>
              </w:rPr>
            </w:pPr>
          </w:p>
        </w:tc>
        <w:tc>
          <w:tcPr>
            <w:tcW w:w="40" w:type="dxa"/>
            <w:vAlign w:val="bottom"/>
            <w:tcBorders>
              <w:top w:val="single" w:sz="8" w:color="3051F2"/>
              <w:bottom w:val="single" w:sz="8" w:color="auto"/>
            </w:tcBorders>
          </w:tcPr>
          <w:p>
            <w:pPr>
              <w:spacing w:after="0"/>
              <w:rPr>
                <w:sz w:val="2"/>
                <w:szCs w:val="2"/>
                <w:color w:val="auto"/>
              </w:rPr>
            </w:pPr>
          </w:p>
        </w:tc>
        <w:tc>
          <w:tcPr>
            <w:tcW w:w="20" w:type="dxa"/>
            <w:vAlign w:val="bottom"/>
            <w:tcBorders>
              <w:top w:val="single" w:sz="8" w:color="3051F2"/>
              <w:bottom w:val="single" w:sz="8" w:color="auto"/>
            </w:tcBorders>
          </w:tcPr>
          <w:p>
            <w:pPr>
              <w:spacing w:after="0"/>
              <w:rPr>
                <w:sz w:val="2"/>
                <w:szCs w:val="2"/>
                <w:color w:val="auto"/>
              </w:rPr>
            </w:pPr>
          </w:p>
        </w:tc>
        <w:tc>
          <w:tcPr>
            <w:tcW w:w="180" w:type="dxa"/>
            <w:vAlign w:val="bottom"/>
            <w:tcBorders>
              <w:top w:val="single" w:sz="8" w:color="3051F2"/>
              <w:bottom w:val="single" w:sz="8" w:color="auto"/>
            </w:tcBorders>
          </w:tcPr>
          <w:p>
            <w:pPr>
              <w:spacing w:after="0"/>
              <w:rPr>
                <w:sz w:val="2"/>
                <w:szCs w:val="2"/>
                <w:color w:val="auto"/>
              </w:rPr>
            </w:pPr>
          </w:p>
        </w:tc>
        <w:tc>
          <w:tcPr>
            <w:tcW w:w="180" w:type="dxa"/>
            <w:vAlign w:val="bottom"/>
            <w:tcBorders>
              <w:top w:val="single" w:sz="8" w:color="3051F2"/>
              <w:bottom w:val="single" w:sz="8" w:color="auto"/>
            </w:tcBorders>
          </w:tcPr>
          <w:p>
            <w:pPr>
              <w:spacing w:after="0"/>
              <w:rPr>
                <w:sz w:val="2"/>
                <w:szCs w:val="2"/>
                <w:color w:val="auto"/>
              </w:rPr>
            </w:pPr>
          </w:p>
        </w:tc>
        <w:tc>
          <w:tcPr>
            <w:tcW w:w="580" w:type="dxa"/>
            <w:vAlign w:val="bottom"/>
            <w:tcBorders>
              <w:top w:val="single" w:sz="8" w:color="3051F2"/>
              <w:bottom w:val="single" w:sz="8" w:color="auto"/>
            </w:tcBorders>
          </w:tcPr>
          <w:p>
            <w:pPr>
              <w:spacing w:after="0"/>
              <w:rPr>
                <w:sz w:val="2"/>
                <w:szCs w:val="2"/>
                <w:color w:val="auto"/>
              </w:rPr>
            </w:pPr>
          </w:p>
        </w:tc>
        <w:tc>
          <w:tcPr>
            <w:tcW w:w="40" w:type="dxa"/>
            <w:vAlign w:val="bottom"/>
            <w:tcBorders>
              <w:top w:val="single" w:sz="8" w:color="3051F2"/>
              <w:bottom w:val="single" w:sz="8" w:color="auto"/>
            </w:tcBorders>
          </w:tcPr>
          <w:p>
            <w:pPr>
              <w:spacing w:after="0"/>
              <w:rPr>
                <w:sz w:val="2"/>
                <w:szCs w:val="2"/>
                <w:color w:val="auto"/>
              </w:rPr>
            </w:pPr>
          </w:p>
        </w:tc>
        <w:tc>
          <w:tcPr>
            <w:tcW w:w="40" w:type="dxa"/>
            <w:vAlign w:val="bottom"/>
            <w:tcBorders>
              <w:top w:val="single" w:sz="8" w:color="3051F2"/>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76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10.8*</w:t>
            </w:r>
          </w:p>
        </w:tc>
        <w:tc>
          <w:tcPr>
            <w:tcW w:w="6000" w:type="dxa"/>
            <w:vAlign w:val="bottom"/>
            <w:tcBorders>
              <w:right w:val="single" w:sz="8" w:color="auto"/>
            </w:tcBorders>
            <w:gridSpan w:val="27"/>
            <w:shd w:val="clear" w:color="auto" w:fill="CCEEFF"/>
          </w:tcPr>
          <w:p>
            <w:pPr>
              <w:spacing w:after="0" w:line="119" w:lineRule="exact"/>
              <w:rPr>
                <w:rFonts w:ascii="Times New Roman" w:cs="Times New Roman" w:eastAsia="Times New Roman" w:hAnsi="Times New Roman"/>
                <w:sz w:val="12"/>
                <w:szCs w:val="12"/>
                <w:color w:val="3051F2"/>
              </w:rPr>
            </w:pPr>
            <w:hyperlink r:id="rId80">
              <w:r>
                <w:rPr>
                  <w:rFonts w:ascii="Times New Roman" w:cs="Times New Roman" w:eastAsia="Times New Roman" w:hAnsi="Times New Roman"/>
                  <w:sz w:val="12"/>
                  <w:szCs w:val="12"/>
                  <w:color w:val="3051F2"/>
                </w:rPr>
                <w:t>Eighth Amendment to Agreement of Limited Partnership of Sun Communities Operating Limited Partnership, dated</w:t>
              </w:r>
            </w:hyperlink>
          </w:p>
        </w:tc>
        <w:tc>
          <w:tcPr>
            <w:tcW w:w="4520" w:type="dxa"/>
            <w:vAlign w:val="bottom"/>
            <w:tcBorders>
              <w:right w:val="single" w:sz="8" w:color="auto"/>
            </w:tcBorders>
            <w:shd w:val="clear" w:color="auto" w:fill="CCEEFF"/>
          </w:tcPr>
          <w:p>
            <w:pPr>
              <w:spacing w:after="0" w:line="119" w:lineRule="exact"/>
              <w:rPr>
                <w:sz w:val="20"/>
                <w:szCs w:val="20"/>
                <w:color w:val="auto"/>
              </w:rPr>
            </w:pPr>
            <w:r>
              <w:rPr>
                <w:rFonts w:ascii="Times New Roman" w:cs="Times New Roman" w:eastAsia="Times New Roman" w:hAnsi="Times New Roman"/>
                <w:sz w:val="12"/>
                <w:szCs w:val="12"/>
                <w:color w:val="auto"/>
              </w:rPr>
              <w:t>Incorporated by reference to Exhibit 10.1 of Sun Communities, Inc.'s Current Report on</w:t>
            </w:r>
          </w:p>
        </w:tc>
        <w:tc>
          <w:tcPr>
            <w:tcW w:w="0" w:type="dxa"/>
            <w:vAlign w:val="bottom"/>
          </w:tcPr>
          <w:p>
            <w:pPr>
              <w:spacing w:after="0"/>
              <w:rPr>
                <w:sz w:val="1"/>
                <w:szCs w:val="1"/>
                <w:color w:val="auto"/>
              </w:rPr>
            </w:pPr>
          </w:p>
        </w:tc>
      </w:tr>
      <w:tr>
        <w:trPr>
          <w:trHeight w:val="62"/>
        </w:trPr>
        <w:tc>
          <w:tcPr>
            <w:tcW w:w="760" w:type="dxa"/>
            <w:vAlign w:val="bottom"/>
            <w:tcBorders>
              <w:top w:val="single" w:sz="8" w:color="CCEEFF"/>
              <w:left w:val="single" w:sz="8" w:color="auto"/>
              <w:right w:val="single" w:sz="8" w:color="auto"/>
            </w:tcBorders>
            <w:vMerge w:val="continue"/>
            <w:shd w:val="clear" w:color="auto" w:fill="CCEEFF"/>
          </w:tcPr>
          <w:p>
            <w:pPr>
              <w:spacing w:after="0"/>
              <w:rPr>
                <w:sz w:val="5"/>
                <w:szCs w:val="5"/>
                <w:color w:val="auto"/>
              </w:rPr>
            </w:pPr>
          </w:p>
        </w:tc>
        <w:tc>
          <w:tcPr>
            <w:tcW w:w="5540" w:type="dxa"/>
            <w:vAlign w:val="bottom"/>
            <w:tcBorders>
              <w:top w:val="single" w:sz="8" w:color="3051F2"/>
            </w:tcBorders>
            <w:gridSpan w:val="25"/>
            <w:vMerge w:val="restart"/>
            <w:shd w:val="clear" w:color="auto" w:fill="CCEEFF"/>
          </w:tcPr>
          <w:p>
            <w:pPr>
              <w:spacing w:after="0" w:line="96" w:lineRule="exact"/>
              <w:rPr>
                <w:rFonts w:ascii="Times New Roman" w:cs="Times New Roman" w:eastAsia="Times New Roman" w:hAnsi="Times New Roman"/>
                <w:sz w:val="11"/>
                <w:szCs w:val="11"/>
                <w:color w:val="3051F2"/>
              </w:rPr>
            </w:pPr>
            <w:hyperlink r:id="rId80">
              <w:r>
                <w:rPr>
                  <w:rFonts w:ascii="Times New Roman" w:cs="Times New Roman" w:eastAsia="Times New Roman" w:hAnsi="Times New Roman"/>
                  <w:sz w:val="11"/>
                  <w:szCs w:val="11"/>
                  <w:color w:val="3051F2"/>
                </w:rPr>
                <w:t>December 31, 2020</w:t>
              </w:r>
            </w:hyperlink>
          </w:p>
        </w:tc>
        <w:tc>
          <w:tcPr>
            <w:tcW w:w="120" w:type="dxa"/>
            <w:vAlign w:val="bottom"/>
            <w:tcBorders>
              <w:top w:val="single" w:sz="8" w:color="3051F2"/>
            </w:tcBorders>
            <w:shd w:val="clear" w:color="auto" w:fill="CCEEFF"/>
          </w:tcPr>
          <w:p>
            <w:pPr>
              <w:spacing w:after="0"/>
              <w:rPr>
                <w:sz w:val="5"/>
                <w:szCs w:val="5"/>
                <w:color w:val="auto"/>
              </w:rPr>
            </w:pPr>
          </w:p>
        </w:tc>
        <w:tc>
          <w:tcPr>
            <w:tcW w:w="340" w:type="dxa"/>
            <w:vAlign w:val="bottom"/>
            <w:tcBorders>
              <w:top w:val="single" w:sz="8" w:color="3051F2"/>
              <w:right w:val="single" w:sz="8" w:color="auto"/>
            </w:tcBorders>
            <w:shd w:val="clear" w:color="auto" w:fill="CCEEFF"/>
          </w:tcPr>
          <w:p>
            <w:pPr>
              <w:spacing w:after="0"/>
              <w:rPr>
                <w:sz w:val="5"/>
                <w:szCs w:val="5"/>
                <w:color w:val="auto"/>
              </w:rPr>
            </w:pPr>
          </w:p>
        </w:tc>
        <w:tc>
          <w:tcPr>
            <w:tcW w:w="4520" w:type="dxa"/>
            <w:vAlign w:val="bottom"/>
            <w:tcBorders>
              <w:top w:val="single" w:sz="8" w:color="CCEEFF"/>
              <w:right w:val="single" w:sz="8" w:color="auto"/>
            </w:tcBorders>
            <w:vMerge w:val="restart"/>
            <w:shd w:val="clear" w:color="auto" w:fill="CCEEFF"/>
          </w:tcPr>
          <w:p>
            <w:pPr>
              <w:spacing w:after="0" w:line="96" w:lineRule="exact"/>
              <w:rPr>
                <w:sz w:val="20"/>
                <w:szCs w:val="20"/>
                <w:color w:val="auto"/>
              </w:rPr>
            </w:pPr>
            <w:r>
              <w:rPr>
                <w:rFonts w:ascii="Times New Roman" w:cs="Times New Roman" w:eastAsia="Times New Roman" w:hAnsi="Times New Roman"/>
                <w:sz w:val="11"/>
                <w:szCs w:val="11"/>
                <w:color w:val="auto"/>
              </w:rPr>
              <w:t>Form 8-K filed January 4, 2021</w:t>
            </w:r>
          </w:p>
        </w:tc>
        <w:tc>
          <w:tcPr>
            <w:tcW w:w="0" w:type="dxa"/>
            <w:vAlign w:val="bottom"/>
          </w:tcPr>
          <w:p>
            <w:pPr>
              <w:spacing w:after="0"/>
              <w:rPr>
                <w:sz w:val="1"/>
                <w:szCs w:val="1"/>
                <w:color w:val="auto"/>
              </w:rPr>
            </w:pPr>
          </w:p>
        </w:tc>
      </w:tr>
      <w:tr>
        <w:trPr>
          <w:trHeight w:val="80"/>
        </w:trPr>
        <w:tc>
          <w:tcPr>
            <w:tcW w:w="760" w:type="dxa"/>
            <w:vAlign w:val="bottom"/>
            <w:tcBorders>
              <w:left w:val="single" w:sz="8" w:color="auto"/>
              <w:bottom w:val="single" w:sz="8" w:color="auto"/>
              <w:right w:val="single" w:sz="8" w:color="auto"/>
            </w:tcBorders>
            <w:shd w:val="clear" w:color="auto" w:fill="CCEEFF"/>
          </w:tcPr>
          <w:p>
            <w:pPr>
              <w:spacing w:after="0"/>
              <w:rPr>
                <w:sz w:val="6"/>
                <w:szCs w:val="6"/>
                <w:color w:val="auto"/>
              </w:rPr>
            </w:pPr>
          </w:p>
        </w:tc>
        <w:tc>
          <w:tcPr>
            <w:tcW w:w="5540" w:type="dxa"/>
            <w:vAlign w:val="bottom"/>
            <w:tcBorders>
              <w:bottom w:val="single" w:sz="8" w:color="auto"/>
            </w:tcBorders>
            <w:gridSpan w:val="25"/>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340" w:type="dxa"/>
            <w:vAlign w:val="bottom"/>
            <w:tcBorders>
              <w:bottom w:val="single" w:sz="8" w:color="auto"/>
              <w:right w:val="single" w:sz="8" w:color="auto"/>
            </w:tcBorders>
            <w:shd w:val="clear" w:color="auto" w:fill="CCEEFF"/>
          </w:tcPr>
          <w:p>
            <w:pPr>
              <w:spacing w:after="0"/>
              <w:rPr>
                <w:sz w:val="6"/>
                <w:szCs w:val="6"/>
                <w:color w:val="auto"/>
              </w:rPr>
            </w:pPr>
          </w:p>
        </w:tc>
        <w:tc>
          <w:tcPr>
            <w:tcW w:w="4520" w:type="dxa"/>
            <w:vAlign w:val="bottom"/>
            <w:tcBorders>
              <w:bottom w:val="single" w:sz="8" w:color="auto"/>
              <w:right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7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6"/>
              </w:rPr>
              <w:t>10.9*</w:t>
            </w:r>
          </w:p>
        </w:tc>
        <w:tc>
          <w:tcPr>
            <w:tcW w:w="6000" w:type="dxa"/>
            <w:vAlign w:val="bottom"/>
            <w:tcBorders>
              <w:right w:val="single" w:sz="8" w:color="auto"/>
            </w:tcBorders>
            <w:gridSpan w:val="27"/>
          </w:tcPr>
          <w:p>
            <w:pPr>
              <w:spacing w:after="0" w:line="130" w:lineRule="exact"/>
              <w:rPr>
                <w:rFonts w:ascii="Times New Roman" w:cs="Times New Roman" w:eastAsia="Times New Roman" w:hAnsi="Times New Roman"/>
                <w:sz w:val="12"/>
                <w:szCs w:val="12"/>
                <w:color w:val="3051F2"/>
              </w:rPr>
            </w:pPr>
            <w:hyperlink r:id="rId81">
              <w:r>
                <w:rPr>
                  <w:rFonts w:ascii="Times New Roman" w:cs="Times New Roman" w:eastAsia="Times New Roman" w:hAnsi="Times New Roman"/>
                  <w:sz w:val="12"/>
                  <w:szCs w:val="12"/>
                  <w:color w:val="3051F2"/>
                </w:rPr>
                <w:t>Ninth Amendment to Agreement of Limited Partnership of Sun Communities Operating Limited Partnership, dated</w:t>
              </w:r>
            </w:hyperlink>
          </w:p>
        </w:tc>
        <w:tc>
          <w:tcPr>
            <w:tcW w:w="4520" w:type="dxa"/>
            <w:vAlign w:val="bottom"/>
            <w:tcBorders>
              <w:right w:val="single" w:sz="8" w:color="auto"/>
            </w:tcBorders>
          </w:tcPr>
          <w:p>
            <w:pPr>
              <w:spacing w:after="0" w:line="130" w:lineRule="exact"/>
              <w:rPr>
                <w:sz w:val="20"/>
                <w:szCs w:val="20"/>
                <w:color w:val="auto"/>
              </w:rPr>
            </w:pPr>
            <w:r>
              <w:rPr>
                <w:rFonts w:ascii="Times New Roman" w:cs="Times New Roman" w:eastAsia="Times New Roman" w:hAnsi="Times New Roman"/>
                <w:sz w:val="12"/>
                <w:szCs w:val="12"/>
                <w:color w:val="auto"/>
              </w:rPr>
              <w:t>Incorporated by reference to Exhibit 10.1 of Sun Communities Inc.'s Current Report on</w:t>
            </w:r>
          </w:p>
        </w:tc>
        <w:tc>
          <w:tcPr>
            <w:tcW w:w="0" w:type="dxa"/>
            <w:vAlign w:val="bottom"/>
          </w:tcPr>
          <w:p>
            <w:pPr>
              <w:spacing w:after="0"/>
              <w:rPr>
                <w:sz w:val="1"/>
                <w:szCs w:val="1"/>
                <w:color w:val="auto"/>
              </w:rPr>
            </w:pPr>
          </w:p>
        </w:tc>
      </w:tr>
      <w:tr>
        <w:trPr>
          <w:trHeight w:val="51"/>
        </w:trPr>
        <w:tc>
          <w:tcPr>
            <w:tcW w:w="760" w:type="dxa"/>
            <w:vAlign w:val="bottom"/>
            <w:tcBorders>
              <w:left w:val="single" w:sz="8" w:color="auto"/>
              <w:right w:val="single" w:sz="8" w:color="auto"/>
            </w:tcBorders>
            <w:vMerge w:val="continue"/>
          </w:tcPr>
          <w:p>
            <w:pPr>
              <w:spacing w:after="0"/>
              <w:rPr>
                <w:sz w:val="4"/>
                <w:szCs w:val="4"/>
                <w:color w:val="auto"/>
              </w:rPr>
            </w:pPr>
          </w:p>
        </w:tc>
        <w:tc>
          <w:tcPr>
            <w:tcW w:w="5540" w:type="dxa"/>
            <w:vAlign w:val="bottom"/>
            <w:tcBorders>
              <w:top w:val="single" w:sz="8" w:color="3051F2"/>
            </w:tcBorders>
            <w:gridSpan w:val="25"/>
            <w:vMerge w:val="restart"/>
          </w:tcPr>
          <w:p>
            <w:pPr>
              <w:spacing w:after="0" w:line="85" w:lineRule="exact"/>
              <w:rPr>
                <w:rFonts w:ascii="Times New Roman" w:cs="Times New Roman" w:eastAsia="Times New Roman" w:hAnsi="Times New Roman"/>
                <w:sz w:val="9"/>
                <w:szCs w:val="9"/>
                <w:color w:val="3051F2"/>
              </w:rPr>
            </w:pPr>
            <w:hyperlink r:id="rId81">
              <w:r>
                <w:rPr>
                  <w:rFonts w:ascii="Times New Roman" w:cs="Times New Roman" w:eastAsia="Times New Roman" w:hAnsi="Times New Roman"/>
                  <w:sz w:val="9"/>
                  <w:szCs w:val="9"/>
                  <w:color w:val="3051F2"/>
                </w:rPr>
                <w:t>April 21, 2021</w:t>
              </w:r>
            </w:hyperlink>
          </w:p>
        </w:tc>
        <w:tc>
          <w:tcPr>
            <w:tcW w:w="120" w:type="dxa"/>
            <w:vAlign w:val="bottom"/>
            <w:tcBorders>
              <w:top w:val="single" w:sz="8" w:color="3051F2"/>
            </w:tcBorders>
          </w:tcPr>
          <w:p>
            <w:pPr>
              <w:spacing w:after="0"/>
              <w:rPr>
                <w:sz w:val="4"/>
                <w:szCs w:val="4"/>
                <w:color w:val="auto"/>
              </w:rPr>
            </w:pPr>
          </w:p>
        </w:tc>
        <w:tc>
          <w:tcPr>
            <w:tcW w:w="340" w:type="dxa"/>
            <w:vAlign w:val="bottom"/>
            <w:tcBorders>
              <w:top w:val="single" w:sz="8" w:color="3051F2"/>
              <w:right w:val="single" w:sz="8" w:color="auto"/>
            </w:tcBorders>
          </w:tcPr>
          <w:p>
            <w:pPr>
              <w:spacing w:after="0"/>
              <w:rPr>
                <w:sz w:val="4"/>
                <w:szCs w:val="4"/>
                <w:color w:val="auto"/>
              </w:rPr>
            </w:pPr>
          </w:p>
        </w:tc>
        <w:tc>
          <w:tcPr>
            <w:tcW w:w="4520" w:type="dxa"/>
            <w:vAlign w:val="bottom"/>
            <w:tcBorders>
              <w:right w:val="single" w:sz="8" w:color="auto"/>
            </w:tcBorders>
            <w:vMerge w:val="restart"/>
          </w:tcPr>
          <w:p>
            <w:pPr>
              <w:spacing w:after="0" w:line="85" w:lineRule="exact"/>
              <w:rPr>
                <w:sz w:val="20"/>
                <w:szCs w:val="20"/>
                <w:color w:val="auto"/>
              </w:rPr>
            </w:pPr>
            <w:r>
              <w:rPr>
                <w:rFonts w:ascii="Times New Roman" w:cs="Times New Roman" w:eastAsia="Times New Roman" w:hAnsi="Times New Roman"/>
                <w:sz w:val="9"/>
                <w:szCs w:val="9"/>
                <w:color w:val="auto"/>
              </w:rPr>
              <w:t>Form 8-K filed on April 23, 2021</w:t>
            </w:r>
          </w:p>
        </w:tc>
        <w:tc>
          <w:tcPr>
            <w:tcW w:w="0" w:type="dxa"/>
            <w:vAlign w:val="bottom"/>
          </w:tcPr>
          <w:p>
            <w:pPr>
              <w:spacing w:after="0"/>
              <w:rPr>
                <w:sz w:val="1"/>
                <w:szCs w:val="1"/>
                <w:color w:val="auto"/>
              </w:rPr>
            </w:pPr>
          </w:p>
        </w:tc>
      </w:tr>
      <w:tr>
        <w:trPr>
          <w:trHeight w:val="33"/>
        </w:trPr>
        <w:tc>
          <w:tcPr>
            <w:tcW w:w="760" w:type="dxa"/>
            <w:vAlign w:val="bottom"/>
            <w:tcBorders>
              <w:left w:val="single" w:sz="8" w:color="auto"/>
              <w:right w:val="single" w:sz="8" w:color="auto"/>
            </w:tcBorders>
          </w:tcPr>
          <w:p>
            <w:pPr>
              <w:spacing w:after="0"/>
              <w:rPr>
                <w:sz w:val="2"/>
                <w:szCs w:val="2"/>
                <w:color w:val="auto"/>
              </w:rPr>
            </w:pPr>
          </w:p>
        </w:tc>
        <w:tc>
          <w:tcPr>
            <w:tcW w:w="5540" w:type="dxa"/>
            <w:vAlign w:val="bottom"/>
            <w:gridSpan w:val="25"/>
            <w:vMerge w:val="continue"/>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4520" w:type="dxa"/>
            <w:vAlign w:val="bottom"/>
            <w:tcBorders>
              <w:right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6"/>
        </w:trPr>
        <w:tc>
          <w:tcPr>
            <w:tcW w:w="760" w:type="dxa"/>
            <w:vAlign w:val="bottom"/>
            <w:tcBorders>
              <w:left w:val="single" w:sz="8" w:color="auto"/>
              <w:bottom w:val="single" w:sz="8" w:color="auto"/>
              <w:right w:val="single" w:sz="8" w:color="auto"/>
            </w:tcBorders>
          </w:tcPr>
          <w:p>
            <w:pPr>
              <w:spacing w:after="0"/>
              <w:rPr>
                <w:sz w:val="2"/>
                <w:szCs w:val="2"/>
                <w:color w:val="auto"/>
              </w:rPr>
            </w:pPr>
          </w:p>
        </w:tc>
        <w:tc>
          <w:tcPr>
            <w:tcW w:w="720" w:type="dxa"/>
            <w:vAlign w:val="bottom"/>
            <w:tcBorders>
              <w:top w:val="single" w:sz="8" w:color="3051F2"/>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76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10.10*</w:t>
            </w:r>
          </w:p>
        </w:tc>
        <w:tc>
          <w:tcPr>
            <w:tcW w:w="6000" w:type="dxa"/>
            <w:vAlign w:val="bottom"/>
            <w:tcBorders>
              <w:right w:val="single" w:sz="8" w:color="auto"/>
            </w:tcBorders>
            <w:gridSpan w:val="27"/>
            <w:shd w:val="clear" w:color="auto" w:fill="CCEEFF"/>
          </w:tcPr>
          <w:p>
            <w:pPr>
              <w:spacing w:after="0" w:line="130" w:lineRule="exact"/>
              <w:rPr>
                <w:rFonts w:ascii="Times New Roman" w:cs="Times New Roman" w:eastAsia="Times New Roman" w:hAnsi="Times New Roman"/>
                <w:sz w:val="12"/>
                <w:szCs w:val="12"/>
                <w:color w:val="3051F2"/>
              </w:rPr>
            </w:pPr>
            <w:hyperlink r:id="rId82">
              <w:r>
                <w:rPr>
                  <w:rFonts w:ascii="Times New Roman" w:cs="Times New Roman" w:eastAsia="Times New Roman" w:hAnsi="Times New Roman"/>
                  <w:sz w:val="12"/>
                  <w:szCs w:val="12"/>
                  <w:color w:val="3051F2"/>
                </w:rPr>
                <w:t>Eleventh Amendment to Agreement of Limited Partnership of Sun Communities Operating Limited Partnership, dated</w:t>
              </w:r>
            </w:hyperlink>
          </w:p>
        </w:tc>
        <w:tc>
          <w:tcPr>
            <w:tcW w:w="4520" w:type="dxa"/>
            <w:vAlign w:val="bottom"/>
            <w:tcBorders>
              <w:right w:val="single" w:sz="8" w:color="auto"/>
            </w:tcBorders>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Incorporated by reference to Exhibit 10.1 to Sun Communities, Inc.'s Current Report on</w:t>
            </w:r>
          </w:p>
        </w:tc>
        <w:tc>
          <w:tcPr>
            <w:tcW w:w="0" w:type="dxa"/>
            <w:vAlign w:val="bottom"/>
          </w:tcPr>
          <w:p>
            <w:pPr>
              <w:spacing w:after="0"/>
              <w:rPr>
                <w:sz w:val="1"/>
                <w:szCs w:val="1"/>
                <w:color w:val="auto"/>
              </w:rPr>
            </w:pPr>
          </w:p>
        </w:tc>
      </w:tr>
      <w:tr>
        <w:trPr>
          <w:trHeight w:val="51"/>
        </w:trPr>
        <w:tc>
          <w:tcPr>
            <w:tcW w:w="760" w:type="dxa"/>
            <w:vAlign w:val="bottom"/>
            <w:tcBorders>
              <w:top w:val="single" w:sz="8" w:color="CCEEFF"/>
              <w:left w:val="single" w:sz="8" w:color="auto"/>
              <w:right w:val="single" w:sz="8" w:color="auto"/>
            </w:tcBorders>
            <w:vMerge w:val="continue"/>
            <w:shd w:val="clear" w:color="auto" w:fill="CCEEFF"/>
          </w:tcPr>
          <w:p>
            <w:pPr>
              <w:spacing w:after="0"/>
              <w:rPr>
                <w:sz w:val="4"/>
                <w:szCs w:val="4"/>
                <w:color w:val="auto"/>
              </w:rPr>
            </w:pPr>
          </w:p>
        </w:tc>
        <w:tc>
          <w:tcPr>
            <w:tcW w:w="5540" w:type="dxa"/>
            <w:vAlign w:val="bottom"/>
            <w:tcBorders>
              <w:top w:val="single" w:sz="8" w:color="3051F2"/>
            </w:tcBorders>
            <w:gridSpan w:val="25"/>
            <w:vMerge w:val="restart"/>
            <w:shd w:val="clear" w:color="auto" w:fill="CCEEFF"/>
          </w:tcPr>
          <w:p>
            <w:pPr>
              <w:spacing w:after="0" w:line="85" w:lineRule="exact"/>
              <w:rPr>
                <w:rFonts w:ascii="Times New Roman" w:cs="Times New Roman" w:eastAsia="Times New Roman" w:hAnsi="Times New Roman"/>
                <w:sz w:val="9"/>
                <w:szCs w:val="9"/>
                <w:color w:val="3051F2"/>
              </w:rPr>
            </w:pPr>
            <w:hyperlink r:id="rId82">
              <w:r>
                <w:rPr>
                  <w:rFonts w:ascii="Times New Roman" w:cs="Times New Roman" w:eastAsia="Times New Roman" w:hAnsi="Times New Roman"/>
                  <w:sz w:val="9"/>
                  <w:szCs w:val="9"/>
                  <w:color w:val="3051F2"/>
                </w:rPr>
                <w:t>March 23, 2023</w:t>
              </w:r>
            </w:hyperlink>
          </w:p>
        </w:tc>
        <w:tc>
          <w:tcPr>
            <w:tcW w:w="120" w:type="dxa"/>
            <w:vAlign w:val="bottom"/>
            <w:tcBorders>
              <w:top w:val="single" w:sz="8" w:color="3051F2"/>
            </w:tcBorders>
            <w:shd w:val="clear" w:color="auto" w:fill="CCEEFF"/>
          </w:tcPr>
          <w:p>
            <w:pPr>
              <w:spacing w:after="0"/>
              <w:rPr>
                <w:sz w:val="4"/>
                <w:szCs w:val="4"/>
                <w:color w:val="auto"/>
              </w:rPr>
            </w:pPr>
          </w:p>
        </w:tc>
        <w:tc>
          <w:tcPr>
            <w:tcW w:w="340" w:type="dxa"/>
            <w:vAlign w:val="bottom"/>
            <w:tcBorders>
              <w:top w:val="single" w:sz="8" w:color="3051F2"/>
              <w:right w:val="single" w:sz="8" w:color="auto"/>
            </w:tcBorders>
            <w:shd w:val="clear" w:color="auto" w:fill="CCEEFF"/>
          </w:tcPr>
          <w:p>
            <w:pPr>
              <w:spacing w:after="0"/>
              <w:rPr>
                <w:sz w:val="4"/>
                <w:szCs w:val="4"/>
                <w:color w:val="auto"/>
              </w:rPr>
            </w:pPr>
          </w:p>
        </w:tc>
        <w:tc>
          <w:tcPr>
            <w:tcW w:w="4520" w:type="dxa"/>
            <w:vAlign w:val="bottom"/>
            <w:tcBorders>
              <w:top w:val="single" w:sz="8" w:color="CCEEFF"/>
              <w:right w:val="single" w:sz="8" w:color="auto"/>
            </w:tcBorders>
            <w:vMerge w:val="restart"/>
            <w:shd w:val="clear" w:color="auto" w:fill="CCEEFF"/>
          </w:tcPr>
          <w:p>
            <w:pPr>
              <w:spacing w:after="0" w:line="85" w:lineRule="exact"/>
              <w:rPr>
                <w:sz w:val="20"/>
                <w:szCs w:val="20"/>
                <w:color w:val="auto"/>
              </w:rPr>
            </w:pPr>
            <w:r>
              <w:rPr>
                <w:rFonts w:ascii="Times New Roman" w:cs="Times New Roman" w:eastAsia="Times New Roman" w:hAnsi="Times New Roman"/>
                <w:sz w:val="9"/>
                <w:szCs w:val="9"/>
                <w:color w:val="auto"/>
              </w:rPr>
              <w:t>Form 8-K filed on March 27, 2023</w:t>
            </w:r>
          </w:p>
        </w:tc>
        <w:tc>
          <w:tcPr>
            <w:tcW w:w="0" w:type="dxa"/>
            <w:vAlign w:val="bottom"/>
          </w:tcPr>
          <w:p>
            <w:pPr>
              <w:spacing w:after="0"/>
              <w:rPr>
                <w:sz w:val="1"/>
                <w:szCs w:val="1"/>
                <w:color w:val="auto"/>
              </w:rPr>
            </w:pPr>
          </w:p>
        </w:tc>
      </w:tr>
      <w:tr>
        <w:trPr>
          <w:trHeight w:val="80"/>
        </w:trPr>
        <w:tc>
          <w:tcPr>
            <w:tcW w:w="760" w:type="dxa"/>
            <w:vAlign w:val="bottom"/>
            <w:tcBorders>
              <w:left w:val="single" w:sz="8" w:color="auto"/>
              <w:bottom w:val="single" w:sz="8" w:color="auto"/>
              <w:right w:val="single" w:sz="8" w:color="auto"/>
            </w:tcBorders>
            <w:shd w:val="clear" w:color="auto" w:fill="CCEEFF"/>
          </w:tcPr>
          <w:p>
            <w:pPr>
              <w:spacing w:after="0"/>
              <w:rPr>
                <w:sz w:val="6"/>
                <w:szCs w:val="6"/>
                <w:color w:val="auto"/>
              </w:rPr>
            </w:pPr>
          </w:p>
        </w:tc>
        <w:tc>
          <w:tcPr>
            <w:tcW w:w="5540" w:type="dxa"/>
            <w:vAlign w:val="bottom"/>
            <w:tcBorders>
              <w:bottom w:val="single" w:sz="8" w:color="auto"/>
            </w:tcBorders>
            <w:gridSpan w:val="25"/>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340" w:type="dxa"/>
            <w:vAlign w:val="bottom"/>
            <w:tcBorders>
              <w:bottom w:val="single" w:sz="8" w:color="auto"/>
              <w:right w:val="single" w:sz="8" w:color="auto"/>
            </w:tcBorders>
            <w:shd w:val="clear" w:color="auto" w:fill="CCEEFF"/>
          </w:tcPr>
          <w:p>
            <w:pPr>
              <w:spacing w:after="0"/>
              <w:rPr>
                <w:sz w:val="6"/>
                <w:szCs w:val="6"/>
                <w:color w:val="auto"/>
              </w:rPr>
            </w:pPr>
          </w:p>
        </w:tc>
        <w:tc>
          <w:tcPr>
            <w:tcW w:w="4520" w:type="dxa"/>
            <w:vAlign w:val="bottom"/>
            <w:tcBorders>
              <w:bottom w:val="single" w:sz="8" w:color="auto"/>
              <w:right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7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rPr>
              <w:t>10.11*</w:t>
            </w:r>
          </w:p>
        </w:tc>
        <w:tc>
          <w:tcPr>
            <w:tcW w:w="6000" w:type="dxa"/>
            <w:vAlign w:val="bottom"/>
            <w:tcBorders>
              <w:right w:val="single" w:sz="8" w:color="auto"/>
            </w:tcBorders>
            <w:gridSpan w:val="27"/>
          </w:tcPr>
          <w:p>
            <w:pPr>
              <w:spacing w:after="0" w:line="130" w:lineRule="exact"/>
              <w:rPr>
                <w:rFonts w:ascii="Times New Roman" w:cs="Times New Roman" w:eastAsia="Times New Roman" w:hAnsi="Times New Roman"/>
                <w:sz w:val="12"/>
                <w:szCs w:val="12"/>
                <w:color w:val="3051F2"/>
              </w:rPr>
            </w:pPr>
            <w:hyperlink r:id="rId83">
              <w:r>
                <w:rPr>
                  <w:rFonts w:ascii="Times New Roman" w:cs="Times New Roman" w:eastAsia="Times New Roman" w:hAnsi="Times New Roman"/>
                  <w:sz w:val="12"/>
                  <w:szCs w:val="12"/>
                  <w:color w:val="3051F2"/>
                </w:rPr>
                <w:t>Twelfth Amendment to Agreement of Limited Partnership of Sun Communities Operating Limited Partnership, dated</w:t>
              </w:r>
            </w:hyperlink>
          </w:p>
        </w:tc>
        <w:tc>
          <w:tcPr>
            <w:tcW w:w="4520" w:type="dxa"/>
            <w:vAlign w:val="bottom"/>
            <w:tcBorders>
              <w:right w:val="single" w:sz="8" w:color="auto"/>
            </w:tcBorders>
          </w:tcPr>
          <w:p>
            <w:pPr>
              <w:spacing w:after="0" w:line="130" w:lineRule="exact"/>
              <w:rPr>
                <w:sz w:val="20"/>
                <w:szCs w:val="20"/>
                <w:color w:val="auto"/>
              </w:rPr>
            </w:pPr>
            <w:r>
              <w:rPr>
                <w:rFonts w:ascii="Times New Roman" w:cs="Times New Roman" w:eastAsia="Times New Roman" w:hAnsi="Times New Roman"/>
                <w:sz w:val="12"/>
                <w:szCs w:val="12"/>
                <w:color w:val="auto"/>
              </w:rPr>
              <w:t>Incorporated by reference to Exhibit 10.1 to Sun Communities, Inc.'s Current Report on</w:t>
            </w:r>
          </w:p>
        </w:tc>
        <w:tc>
          <w:tcPr>
            <w:tcW w:w="0" w:type="dxa"/>
            <w:vAlign w:val="bottom"/>
          </w:tcPr>
          <w:p>
            <w:pPr>
              <w:spacing w:after="0"/>
              <w:rPr>
                <w:sz w:val="1"/>
                <w:szCs w:val="1"/>
                <w:color w:val="auto"/>
              </w:rPr>
            </w:pPr>
          </w:p>
        </w:tc>
      </w:tr>
      <w:tr>
        <w:trPr>
          <w:trHeight w:val="51"/>
        </w:trPr>
        <w:tc>
          <w:tcPr>
            <w:tcW w:w="760" w:type="dxa"/>
            <w:vAlign w:val="bottom"/>
            <w:tcBorders>
              <w:left w:val="single" w:sz="8" w:color="auto"/>
              <w:right w:val="single" w:sz="8" w:color="auto"/>
            </w:tcBorders>
            <w:vMerge w:val="continue"/>
          </w:tcPr>
          <w:p>
            <w:pPr>
              <w:spacing w:after="0"/>
              <w:rPr>
                <w:sz w:val="4"/>
                <w:szCs w:val="4"/>
                <w:color w:val="auto"/>
              </w:rPr>
            </w:pPr>
          </w:p>
        </w:tc>
        <w:tc>
          <w:tcPr>
            <w:tcW w:w="5540" w:type="dxa"/>
            <w:vAlign w:val="bottom"/>
            <w:tcBorders>
              <w:top w:val="single" w:sz="8" w:color="3051F2"/>
            </w:tcBorders>
            <w:gridSpan w:val="25"/>
            <w:vMerge w:val="restart"/>
          </w:tcPr>
          <w:p>
            <w:pPr>
              <w:spacing w:after="0" w:line="85" w:lineRule="exact"/>
              <w:rPr>
                <w:rFonts w:ascii="Times New Roman" w:cs="Times New Roman" w:eastAsia="Times New Roman" w:hAnsi="Times New Roman"/>
                <w:sz w:val="9"/>
                <w:szCs w:val="9"/>
                <w:color w:val="3051F2"/>
              </w:rPr>
            </w:pPr>
            <w:hyperlink r:id="rId83">
              <w:r>
                <w:rPr>
                  <w:rFonts w:ascii="Times New Roman" w:cs="Times New Roman" w:eastAsia="Times New Roman" w:hAnsi="Times New Roman"/>
                  <w:sz w:val="9"/>
                  <w:szCs w:val="9"/>
                  <w:color w:val="3051F2"/>
                </w:rPr>
                <w:t>December 31, 2023</w:t>
              </w:r>
            </w:hyperlink>
          </w:p>
        </w:tc>
        <w:tc>
          <w:tcPr>
            <w:tcW w:w="120" w:type="dxa"/>
            <w:vAlign w:val="bottom"/>
            <w:tcBorders>
              <w:top w:val="single" w:sz="8" w:color="3051F2"/>
            </w:tcBorders>
          </w:tcPr>
          <w:p>
            <w:pPr>
              <w:spacing w:after="0"/>
              <w:rPr>
                <w:sz w:val="4"/>
                <w:szCs w:val="4"/>
                <w:color w:val="auto"/>
              </w:rPr>
            </w:pPr>
          </w:p>
        </w:tc>
        <w:tc>
          <w:tcPr>
            <w:tcW w:w="340" w:type="dxa"/>
            <w:vAlign w:val="bottom"/>
            <w:tcBorders>
              <w:top w:val="single" w:sz="8" w:color="3051F2"/>
              <w:right w:val="single" w:sz="8" w:color="auto"/>
            </w:tcBorders>
          </w:tcPr>
          <w:p>
            <w:pPr>
              <w:spacing w:after="0"/>
              <w:rPr>
                <w:sz w:val="4"/>
                <w:szCs w:val="4"/>
                <w:color w:val="auto"/>
              </w:rPr>
            </w:pPr>
          </w:p>
        </w:tc>
        <w:tc>
          <w:tcPr>
            <w:tcW w:w="4520" w:type="dxa"/>
            <w:vAlign w:val="bottom"/>
            <w:tcBorders>
              <w:right w:val="single" w:sz="8" w:color="auto"/>
            </w:tcBorders>
            <w:vMerge w:val="restart"/>
          </w:tcPr>
          <w:p>
            <w:pPr>
              <w:spacing w:after="0" w:line="85" w:lineRule="exact"/>
              <w:rPr>
                <w:sz w:val="20"/>
                <w:szCs w:val="20"/>
                <w:color w:val="auto"/>
              </w:rPr>
            </w:pPr>
            <w:r>
              <w:rPr>
                <w:rFonts w:ascii="Times New Roman" w:cs="Times New Roman" w:eastAsia="Times New Roman" w:hAnsi="Times New Roman"/>
                <w:sz w:val="9"/>
                <w:szCs w:val="9"/>
                <w:color w:val="auto"/>
              </w:rPr>
              <w:t>Form 8-K filed on January 3, 2024</w:t>
            </w:r>
          </w:p>
        </w:tc>
        <w:tc>
          <w:tcPr>
            <w:tcW w:w="0" w:type="dxa"/>
            <w:vAlign w:val="bottom"/>
          </w:tcPr>
          <w:p>
            <w:pPr>
              <w:spacing w:after="0"/>
              <w:rPr>
                <w:sz w:val="1"/>
                <w:szCs w:val="1"/>
                <w:color w:val="auto"/>
              </w:rPr>
            </w:pPr>
          </w:p>
        </w:tc>
      </w:tr>
      <w:tr>
        <w:trPr>
          <w:trHeight w:val="33"/>
        </w:trPr>
        <w:tc>
          <w:tcPr>
            <w:tcW w:w="760" w:type="dxa"/>
            <w:vAlign w:val="bottom"/>
            <w:tcBorders>
              <w:left w:val="single" w:sz="8" w:color="auto"/>
              <w:right w:val="single" w:sz="8" w:color="auto"/>
            </w:tcBorders>
          </w:tcPr>
          <w:p>
            <w:pPr>
              <w:spacing w:after="0"/>
              <w:rPr>
                <w:sz w:val="2"/>
                <w:szCs w:val="2"/>
                <w:color w:val="auto"/>
              </w:rPr>
            </w:pPr>
          </w:p>
        </w:tc>
        <w:tc>
          <w:tcPr>
            <w:tcW w:w="5540" w:type="dxa"/>
            <w:vAlign w:val="bottom"/>
            <w:gridSpan w:val="25"/>
            <w:vMerge w:val="continue"/>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4520" w:type="dxa"/>
            <w:vAlign w:val="bottom"/>
            <w:tcBorders>
              <w:right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6"/>
        </w:trPr>
        <w:tc>
          <w:tcPr>
            <w:tcW w:w="760" w:type="dxa"/>
            <w:vAlign w:val="bottom"/>
            <w:tcBorders>
              <w:left w:val="single" w:sz="8" w:color="auto"/>
              <w:bottom w:val="single" w:sz="8" w:color="auto"/>
              <w:right w:val="single" w:sz="8" w:color="auto"/>
            </w:tcBorders>
          </w:tcPr>
          <w:p>
            <w:pPr>
              <w:spacing w:after="0"/>
              <w:rPr>
                <w:sz w:val="2"/>
                <w:szCs w:val="2"/>
                <w:color w:val="auto"/>
              </w:rPr>
            </w:pPr>
          </w:p>
        </w:tc>
        <w:tc>
          <w:tcPr>
            <w:tcW w:w="720" w:type="dxa"/>
            <w:vAlign w:val="bottom"/>
            <w:tcBorders>
              <w:top w:val="single" w:sz="8" w:color="3051F2"/>
              <w:bottom w:val="single" w:sz="8" w:color="auto"/>
            </w:tcBorders>
          </w:tcPr>
          <w:p>
            <w:pPr>
              <w:spacing w:after="0"/>
              <w:rPr>
                <w:sz w:val="2"/>
                <w:szCs w:val="2"/>
                <w:color w:val="auto"/>
              </w:rPr>
            </w:pPr>
          </w:p>
        </w:tc>
        <w:tc>
          <w:tcPr>
            <w:tcW w:w="40" w:type="dxa"/>
            <w:vAlign w:val="bottom"/>
            <w:tcBorders>
              <w:top w:val="single" w:sz="8" w:color="3051F2"/>
              <w:bottom w:val="single" w:sz="8" w:color="auto"/>
            </w:tcBorders>
          </w:tcPr>
          <w:p>
            <w:pPr>
              <w:spacing w:after="0"/>
              <w:rPr>
                <w:sz w:val="2"/>
                <w:szCs w:val="2"/>
                <w:color w:val="auto"/>
              </w:rPr>
            </w:pPr>
          </w:p>
        </w:tc>
        <w:tc>
          <w:tcPr>
            <w:tcW w:w="20" w:type="dxa"/>
            <w:vAlign w:val="bottom"/>
            <w:tcBorders>
              <w:top w:val="single" w:sz="8" w:color="3051F2"/>
              <w:bottom w:val="single" w:sz="8" w:color="auto"/>
            </w:tcBorders>
          </w:tcPr>
          <w:p>
            <w:pPr>
              <w:spacing w:after="0"/>
              <w:rPr>
                <w:sz w:val="2"/>
                <w:szCs w:val="2"/>
                <w:color w:val="auto"/>
              </w:rPr>
            </w:pPr>
          </w:p>
        </w:tc>
        <w:tc>
          <w:tcPr>
            <w:tcW w:w="180" w:type="dxa"/>
            <w:vAlign w:val="bottom"/>
            <w:tcBorders>
              <w:top w:val="single" w:sz="8" w:color="3051F2"/>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7"/>
        </w:trPr>
        <w:tc>
          <w:tcPr>
            <w:tcW w:w="76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10.12#</w:t>
            </w:r>
          </w:p>
        </w:tc>
        <w:tc>
          <w:tcPr>
            <w:tcW w:w="5540" w:type="dxa"/>
            <w:vAlign w:val="bottom"/>
            <w:gridSpan w:val="25"/>
            <w:vMerge w:val="restart"/>
            <w:shd w:val="clear" w:color="auto" w:fill="CCEEFF"/>
          </w:tcPr>
          <w:p>
            <w:pPr>
              <w:spacing w:after="0"/>
              <w:rPr>
                <w:rFonts w:ascii="Times New Roman" w:cs="Times New Roman" w:eastAsia="Times New Roman" w:hAnsi="Times New Roman"/>
                <w:sz w:val="12"/>
                <w:szCs w:val="12"/>
                <w:color w:val="3051F2"/>
              </w:rPr>
            </w:pPr>
            <w:hyperlink r:id="rId84">
              <w:r>
                <w:rPr>
                  <w:rFonts w:ascii="Times New Roman" w:cs="Times New Roman" w:eastAsia="Times New Roman" w:hAnsi="Times New Roman"/>
                  <w:sz w:val="12"/>
                  <w:szCs w:val="12"/>
                  <w:color w:val="3051F2"/>
                </w:rPr>
                <w:t>First Amended and Restated 2004 Non-Employee Director Option Plan</w:t>
              </w:r>
            </w:hyperlink>
          </w:p>
        </w:tc>
        <w:tc>
          <w:tcPr>
            <w:tcW w:w="120" w:type="dxa"/>
            <w:vAlign w:val="bottom"/>
            <w:shd w:val="clear" w:color="auto" w:fill="CCEEFF"/>
          </w:tcPr>
          <w:p>
            <w:pPr>
              <w:spacing w:after="0"/>
              <w:rPr>
                <w:sz w:val="9"/>
                <w:szCs w:val="9"/>
                <w:color w:val="auto"/>
              </w:rPr>
            </w:pPr>
          </w:p>
        </w:tc>
        <w:tc>
          <w:tcPr>
            <w:tcW w:w="340" w:type="dxa"/>
            <w:vAlign w:val="bottom"/>
            <w:tcBorders>
              <w:right w:val="single" w:sz="8" w:color="auto"/>
            </w:tcBorders>
            <w:shd w:val="clear" w:color="auto" w:fill="CCEEFF"/>
          </w:tcPr>
          <w:p>
            <w:pPr>
              <w:spacing w:after="0"/>
              <w:rPr>
                <w:sz w:val="9"/>
                <w:szCs w:val="9"/>
                <w:color w:val="auto"/>
              </w:rPr>
            </w:pPr>
          </w:p>
        </w:tc>
        <w:tc>
          <w:tcPr>
            <w:tcW w:w="4520" w:type="dxa"/>
            <w:vAlign w:val="bottom"/>
            <w:tcBorders>
              <w:right w:val="single" w:sz="8" w:color="auto"/>
            </w:tcBorders>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Incorporated by reference to Exhibit 10.1 of Sun Communities, Inc.'s Current Report on</w:t>
            </w:r>
          </w:p>
        </w:tc>
        <w:tc>
          <w:tcPr>
            <w:tcW w:w="0" w:type="dxa"/>
            <w:vAlign w:val="bottom"/>
          </w:tcPr>
          <w:p>
            <w:pPr>
              <w:spacing w:after="0"/>
              <w:rPr>
                <w:sz w:val="1"/>
                <w:szCs w:val="1"/>
                <w:color w:val="auto"/>
              </w:rPr>
            </w:pPr>
          </w:p>
        </w:tc>
      </w:tr>
      <w:tr>
        <w:trPr>
          <w:trHeight w:val="69"/>
        </w:trPr>
        <w:tc>
          <w:tcPr>
            <w:tcW w:w="760" w:type="dxa"/>
            <w:vAlign w:val="bottom"/>
            <w:tcBorders>
              <w:left w:val="single" w:sz="8" w:color="auto"/>
              <w:right w:val="single" w:sz="8" w:color="auto"/>
            </w:tcBorders>
            <w:vMerge w:val="continue"/>
            <w:shd w:val="clear" w:color="auto" w:fill="CCEEFF"/>
          </w:tcPr>
          <w:p>
            <w:pPr>
              <w:spacing w:after="0"/>
              <w:rPr>
                <w:sz w:val="6"/>
                <w:szCs w:val="6"/>
                <w:color w:val="auto"/>
              </w:rPr>
            </w:pPr>
          </w:p>
        </w:tc>
        <w:tc>
          <w:tcPr>
            <w:tcW w:w="5540" w:type="dxa"/>
            <w:vAlign w:val="bottom"/>
            <w:gridSpan w:val="25"/>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right w:val="single" w:sz="8" w:color="auto"/>
            </w:tcBorders>
            <w:shd w:val="clear" w:color="auto" w:fill="CCEEFF"/>
          </w:tcPr>
          <w:p>
            <w:pPr>
              <w:spacing w:after="0"/>
              <w:rPr>
                <w:sz w:val="6"/>
                <w:szCs w:val="6"/>
                <w:color w:val="auto"/>
              </w:rPr>
            </w:pPr>
          </w:p>
        </w:tc>
        <w:tc>
          <w:tcPr>
            <w:tcW w:w="452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Form 8-K filed July 25, 2012</w:t>
            </w:r>
          </w:p>
        </w:tc>
        <w:tc>
          <w:tcPr>
            <w:tcW w:w="0" w:type="dxa"/>
            <w:vAlign w:val="bottom"/>
          </w:tcPr>
          <w:p>
            <w:pPr>
              <w:spacing w:after="0"/>
              <w:rPr>
                <w:sz w:val="1"/>
                <w:szCs w:val="1"/>
                <w:color w:val="auto"/>
              </w:rPr>
            </w:pPr>
          </w:p>
        </w:tc>
      </w:tr>
      <w:tr>
        <w:trPr>
          <w:trHeight w:val="77"/>
        </w:trPr>
        <w:tc>
          <w:tcPr>
            <w:tcW w:w="760" w:type="dxa"/>
            <w:vAlign w:val="bottom"/>
            <w:tcBorders>
              <w:top w:val="single" w:sz="8" w:color="CCEEFF"/>
              <w:left w:val="single" w:sz="8" w:color="auto"/>
              <w:bottom w:val="single" w:sz="8" w:color="auto"/>
              <w:right w:val="single" w:sz="8" w:color="auto"/>
            </w:tcBorders>
            <w:shd w:val="clear" w:color="auto" w:fill="CCEEFF"/>
          </w:tcPr>
          <w:p>
            <w:pPr>
              <w:spacing w:after="0"/>
              <w:rPr>
                <w:sz w:val="6"/>
                <w:szCs w:val="6"/>
                <w:color w:val="auto"/>
              </w:rPr>
            </w:pPr>
          </w:p>
        </w:tc>
        <w:tc>
          <w:tcPr>
            <w:tcW w:w="720" w:type="dxa"/>
            <w:vAlign w:val="bottom"/>
            <w:tcBorders>
              <w:top w:val="single" w:sz="8" w:color="3051F2"/>
              <w:bottom w:val="single" w:sz="8" w:color="auto"/>
            </w:tcBorders>
            <w:shd w:val="clear" w:color="auto" w:fill="CCEEFF"/>
          </w:tcPr>
          <w:p>
            <w:pPr>
              <w:spacing w:after="0"/>
              <w:rPr>
                <w:sz w:val="6"/>
                <w:szCs w:val="6"/>
                <w:color w:val="auto"/>
              </w:rPr>
            </w:pPr>
          </w:p>
        </w:tc>
        <w:tc>
          <w:tcPr>
            <w:tcW w:w="40" w:type="dxa"/>
            <w:vAlign w:val="bottom"/>
            <w:tcBorders>
              <w:top w:val="single" w:sz="8" w:color="3051F2"/>
              <w:bottom w:val="single" w:sz="8" w:color="auto"/>
            </w:tcBorders>
            <w:shd w:val="clear" w:color="auto" w:fill="CCEEFF"/>
          </w:tcPr>
          <w:p>
            <w:pPr>
              <w:spacing w:after="0"/>
              <w:rPr>
                <w:sz w:val="6"/>
                <w:szCs w:val="6"/>
                <w:color w:val="auto"/>
              </w:rPr>
            </w:pPr>
          </w:p>
        </w:tc>
        <w:tc>
          <w:tcPr>
            <w:tcW w:w="20" w:type="dxa"/>
            <w:vAlign w:val="bottom"/>
            <w:tcBorders>
              <w:top w:val="single" w:sz="8" w:color="3051F2"/>
              <w:bottom w:val="single" w:sz="8" w:color="auto"/>
            </w:tcBorders>
            <w:shd w:val="clear" w:color="auto" w:fill="CCEEFF"/>
          </w:tcPr>
          <w:p>
            <w:pPr>
              <w:spacing w:after="0"/>
              <w:rPr>
                <w:sz w:val="6"/>
                <w:szCs w:val="6"/>
                <w:color w:val="auto"/>
              </w:rPr>
            </w:pPr>
          </w:p>
        </w:tc>
        <w:tc>
          <w:tcPr>
            <w:tcW w:w="180" w:type="dxa"/>
            <w:vAlign w:val="bottom"/>
            <w:tcBorders>
              <w:top w:val="single" w:sz="8" w:color="3051F2"/>
              <w:bottom w:val="single" w:sz="8" w:color="auto"/>
            </w:tcBorders>
            <w:shd w:val="clear" w:color="auto" w:fill="CCEEFF"/>
          </w:tcPr>
          <w:p>
            <w:pPr>
              <w:spacing w:after="0"/>
              <w:rPr>
                <w:sz w:val="6"/>
                <w:szCs w:val="6"/>
                <w:color w:val="auto"/>
              </w:rPr>
            </w:pPr>
          </w:p>
        </w:tc>
        <w:tc>
          <w:tcPr>
            <w:tcW w:w="180" w:type="dxa"/>
            <w:vAlign w:val="bottom"/>
            <w:tcBorders>
              <w:top w:val="single" w:sz="8" w:color="3051F2"/>
              <w:bottom w:val="single" w:sz="8" w:color="auto"/>
            </w:tcBorders>
            <w:shd w:val="clear" w:color="auto" w:fill="CCEEFF"/>
          </w:tcPr>
          <w:p>
            <w:pPr>
              <w:spacing w:after="0"/>
              <w:rPr>
                <w:sz w:val="6"/>
                <w:szCs w:val="6"/>
                <w:color w:val="auto"/>
              </w:rPr>
            </w:pPr>
          </w:p>
        </w:tc>
        <w:tc>
          <w:tcPr>
            <w:tcW w:w="580" w:type="dxa"/>
            <w:vAlign w:val="bottom"/>
            <w:tcBorders>
              <w:top w:val="single" w:sz="8" w:color="3051F2"/>
              <w:bottom w:val="single" w:sz="8" w:color="auto"/>
            </w:tcBorders>
            <w:shd w:val="clear" w:color="auto" w:fill="CCEEFF"/>
          </w:tcPr>
          <w:p>
            <w:pPr>
              <w:spacing w:after="0"/>
              <w:rPr>
                <w:sz w:val="6"/>
                <w:szCs w:val="6"/>
                <w:color w:val="auto"/>
              </w:rPr>
            </w:pPr>
          </w:p>
        </w:tc>
        <w:tc>
          <w:tcPr>
            <w:tcW w:w="40" w:type="dxa"/>
            <w:vAlign w:val="bottom"/>
            <w:tcBorders>
              <w:top w:val="single" w:sz="8" w:color="3051F2"/>
              <w:bottom w:val="single" w:sz="8" w:color="auto"/>
            </w:tcBorders>
            <w:shd w:val="clear" w:color="auto" w:fill="CCEEFF"/>
          </w:tcPr>
          <w:p>
            <w:pPr>
              <w:spacing w:after="0"/>
              <w:rPr>
                <w:sz w:val="6"/>
                <w:szCs w:val="6"/>
                <w:color w:val="auto"/>
              </w:rPr>
            </w:pPr>
          </w:p>
        </w:tc>
        <w:tc>
          <w:tcPr>
            <w:tcW w:w="40" w:type="dxa"/>
            <w:vAlign w:val="bottom"/>
            <w:tcBorders>
              <w:top w:val="single" w:sz="8" w:color="3051F2"/>
              <w:bottom w:val="single" w:sz="8" w:color="auto"/>
            </w:tcBorders>
            <w:shd w:val="clear" w:color="auto" w:fill="CCEEFF"/>
          </w:tcPr>
          <w:p>
            <w:pPr>
              <w:spacing w:after="0"/>
              <w:rPr>
                <w:sz w:val="6"/>
                <w:szCs w:val="6"/>
                <w:color w:val="auto"/>
              </w:rPr>
            </w:pPr>
          </w:p>
        </w:tc>
        <w:tc>
          <w:tcPr>
            <w:tcW w:w="20" w:type="dxa"/>
            <w:vAlign w:val="bottom"/>
            <w:tcBorders>
              <w:top w:val="single" w:sz="8" w:color="3051F2"/>
              <w:bottom w:val="single" w:sz="8" w:color="auto"/>
            </w:tcBorders>
            <w:shd w:val="clear" w:color="auto" w:fill="CCEEFF"/>
          </w:tcPr>
          <w:p>
            <w:pPr>
              <w:spacing w:after="0"/>
              <w:rPr>
                <w:sz w:val="6"/>
                <w:szCs w:val="6"/>
                <w:color w:val="auto"/>
              </w:rPr>
            </w:pPr>
          </w:p>
        </w:tc>
        <w:tc>
          <w:tcPr>
            <w:tcW w:w="480" w:type="dxa"/>
            <w:vAlign w:val="bottom"/>
            <w:tcBorders>
              <w:top w:val="single" w:sz="8" w:color="3051F2"/>
              <w:bottom w:val="single" w:sz="8" w:color="auto"/>
            </w:tcBorders>
            <w:shd w:val="clear" w:color="auto" w:fill="CCEEFF"/>
          </w:tcPr>
          <w:p>
            <w:pPr>
              <w:spacing w:after="0"/>
              <w:rPr>
                <w:sz w:val="6"/>
                <w:szCs w:val="6"/>
                <w:color w:val="auto"/>
              </w:rPr>
            </w:pPr>
          </w:p>
        </w:tc>
        <w:tc>
          <w:tcPr>
            <w:tcW w:w="40" w:type="dxa"/>
            <w:vAlign w:val="bottom"/>
            <w:tcBorders>
              <w:top w:val="single" w:sz="8" w:color="3051F2"/>
              <w:bottom w:val="single" w:sz="8" w:color="auto"/>
            </w:tcBorders>
            <w:shd w:val="clear" w:color="auto" w:fill="CCEEFF"/>
          </w:tcPr>
          <w:p>
            <w:pPr>
              <w:spacing w:after="0"/>
              <w:rPr>
                <w:sz w:val="6"/>
                <w:szCs w:val="6"/>
                <w:color w:val="auto"/>
              </w:rPr>
            </w:pPr>
          </w:p>
        </w:tc>
        <w:tc>
          <w:tcPr>
            <w:tcW w:w="80" w:type="dxa"/>
            <w:vAlign w:val="bottom"/>
            <w:tcBorders>
              <w:top w:val="single" w:sz="8" w:color="3051F2"/>
              <w:bottom w:val="single" w:sz="8" w:color="auto"/>
            </w:tcBorders>
            <w:shd w:val="clear" w:color="auto" w:fill="CCEEFF"/>
          </w:tcPr>
          <w:p>
            <w:pPr>
              <w:spacing w:after="0"/>
              <w:rPr>
                <w:sz w:val="6"/>
                <w:szCs w:val="6"/>
                <w:color w:val="auto"/>
              </w:rPr>
            </w:pPr>
          </w:p>
        </w:tc>
        <w:tc>
          <w:tcPr>
            <w:tcW w:w="100" w:type="dxa"/>
            <w:vAlign w:val="bottom"/>
            <w:tcBorders>
              <w:top w:val="single" w:sz="8" w:color="3051F2"/>
              <w:bottom w:val="single" w:sz="8" w:color="auto"/>
            </w:tcBorders>
            <w:shd w:val="clear" w:color="auto" w:fill="CCEEFF"/>
          </w:tcPr>
          <w:p>
            <w:pPr>
              <w:spacing w:after="0"/>
              <w:rPr>
                <w:sz w:val="6"/>
                <w:szCs w:val="6"/>
                <w:color w:val="auto"/>
              </w:rPr>
            </w:pPr>
          </w:p>
        </w:tc>
        <w:tc>
          <w:tcPr>
            <w:tcW w:w="60" w:type="dxa"/>
            <w:vAlign w:val="bottom"/>
            <w:tcBorders>
              <w:top w:val="single" w:sz="8" w:color="3051F2"/>
              <w:bottom w:val="single" w:sz="8" w:color="auto"/>
            </w:tcBorders>
            <w:shd w:val="clear" w:color="auto" w:fill="CCEEFF"/>
          </w:tcPr>
          <w:p>
            <w:pPr>
              <w:spacing w:after="0"/>
              <w:rPr>
                <w:sz w:val="6"/>
                <w:szCs w:val="6"/>
                <w:color w:val="auto"/>
              </w:rPr>
            </w:pPr>
          </w:p>
        </w:tc>
        <w:tc>
          <w:tcPr>
            <w:tcW w:w="100" w:type="dxa"/>
            <w:vAlign w:val="bottom"/>
            <w:tcBorders>
              <w:top w:val="single" w:sz="8" w:color="3051F2"/>
              <w:bottom w:val="single" w:sz="8" w:color="auto"/>
            </w:tcBorders>
            <w:shd w:val="clear" w:color="auto" w:fill="CCEEFF"/>
          </w:tcPr>
          <w:p>
            <w:pPr>
              <w:spacing w:after="0"/>
              <w:rPr>
                <w:sz w:val="6"/>
                <w:szCs w:val="6"/>
                <w:color w:val="auto"/>
              </w:rPr>
            </w:pPr>
          </w:p>
        </w:tc>
        <w:tc>
          <w:tcPr>
            <w:tcW w:w="200" w:type="dxa"/>
            <w:vAlign w:val="bottom"/>
            <w:tcBorders>
              <w:top w:val="single" w:sz="8" w:color="3051F2"/>
              <w:bottom w:val="single" w:sz="8" w:color="auto"/>
            </w:tcBorders>
            <w:shd w:val="clear" w:color="auto" w:fill="CCEEFF"/>
          </w:tcPr>
          <w:p>
            <w:pPr>
              <w:spacing w:after="0"/>
              <w:rPr>
                <w:sz w:val="6"/>
                <w:szCs w:val="6"/>
                <w:color w:val="auto"/>
              </w:rPr>
            </w:pPr>
          </w:p>
        </w:tc>
        <w:tc>
          <w:tcPr>
            <w:tcW w:w="520" w:type="dxa"/>
            <w:vAlign w:val="bottom"/>
            <w:tcBorders>
              <w:top w:val="single" w:sz="8" w:color="3051F2"/>
              <w:bottom w:val="single" w:sz="8" w:color="auto"/>
            </w:tcBorders>
            <w:shd w:val="clear" w:color="auto" w:fill="CCEEFF"/>
          </w:tcPr>
          <w:p>
            <w:pPr>
              <w:spacing w:after="0"/>
              <w:rPr>
                <w:sz w:val="6"/>
                <w:szCs w:val="6"/>
                <w:color w:val="auto"/>
              </w:rPr>
            </w:pPr>
          </w:p>
        </w:tc>
        <w:tc>
          <w:tcPr>
            <w:tcW w:w="20" w:type="dxa"/>
            <w:vAlign w:val="bottom"/>
            <w:tcBorders>
              <w:top w:val="single" w:sz="8" w:color="3051F2"/>
              <w:bottom w:val="single" w:sz="8" w:color="auto"/>
            </w:tcBorders>
            <w:shd w:val="clear" w:color="auto" w:fill="CCEEFF"/>
          </w:tcPr>
          <w:p>
            <w:pPr>
              <w:spacing w:after="0"/>
              <w:rPr>
                <w:sz w:val="6"/>
                <w:szCs w:val="6"/>
                <w:color w:val="auto"/>
              </w:rPr>
            </w:pPr>
          </w:p>
        </w:tc>
        <w:tc>
          <w:tcPr>
            <w:tcW w:w="100" w:type="dxa"/>
            <w:vAlign w:val="bottom"/>
            <w:tcBorders>
              <w:top w:val="single" w:sz="8" w:color="3051F2"/>
              <w:bottom w:val="single" w:sz="8" w:color="auto"/>
            </w:tcBorders>
            <w:shd w:val="clear" w:color="auto" w:fill="CCEEFF"/>
          </w:tcPr>
          <w:p>
            <w:pPr>
              <w:spacing w:after="0"/>
              <w:rPr>
                <w:sz w:val="6"/>
                <w:szCs w:val="6"/>
                <w:color w:val="auto"/>
              </w:rPr>
            </w:pPr>
          </w:p>
        </w:tc>
        <w:tc>
          <w:tcPr>
            <w:tcW w:w="20" w:type="dxa"/>
            <w:vAlign w:val="bottom"/>
            <w:tcBorders>
              <w:top w:val="single" w:sz="8" w:color="CCEEFF"/>
              <w:bottom w:val="single" w:sz="8" w:color="auto"/>
            </w:tcBorders>
            <w:shd w:val="clear" w:color="auto" w:fill="CCEEFF"/>
          </w:tcPr>
          <w:p>
            <w:pPr>
              <w:spacing w:after="0"/>
              <w:rPr>
                <w:sz w:val="6"/>
                <w:szCs w:val="6"/>
                <w:color w:val="auto"/>
              </w:rPr>
            </w:pPr>
          </w:p>
        </w:tc>
        <w:tc>
          <w:tcPr>
            <w:tcW w:w="160" w:type="dxa"/>
            <w:vAlign w:val="bottom"/>
            <w:tcBorders>
              <w:top w:val="single" w:sz="8" w:color="CCEEFF"/>
              <w:bottom w:val="single" w:sz="8" w:color="auto"/>
            </w:tcBorders>
            <w:shd w:val="clear" w:color="auto" w:fill="CCEEFF"/>
          </w:tcPr>
          <w:p>
            <w:pPr>
              <w:spacing w:after="0"/>
              <w:rPr>
                <w:sz w:val="6"/>
                <w:szCs w:val="6"/>
                <w:color w:val="auto"/>
              </w:rPr>
            </w:pPr>
          </w:p>
        </w:tc>
        <w:tc>
          <w:tcPr>
            <w:tcW w:w="160" w:type="dxa"/>
            <w:vAlign w:val="bottom"/>
            <w:tcBorders>
              <w:top w:val="single" w:sz="8" w:color="CCEEFF"/>
              <w:bottom w:val="single" w:sz="8" w:color="auto"/>
            </w:tcBorders>
            <w:shd w:val="clear" w:color="auto" w:fill="CCEEFF"/>
          </w:tcPr>
          <w:p>
            <w:pPr>
              <w:spacing w:after="0"/>
              <w:rPr>
                <w:sz w:val="6"/>
                <w:szCs w:val="6"/>
                <w:color w:val="auto"/>
              </w:rPr>
            </w:pPr>
          </w:p>
        </w:tc>
        <w:tc>
          <w:tcPr>
            <w:tcW w:w="700" w:type="dxa"/>
            <w:vAlign w:val="bottom"/>
            <w:tcBorders>
              <w:top w:val="single" w:sz="8" w:color="CCEEFF"/>
              <w:bottom w:val="single" w:sz="8" w:color="auto"/>
            </w:tcBorders>
            <w:shd w:val="clear" w:color="auto" w:fill="CCEEFF"/>
          </w:tcPr>
          <w:p>
            <w:pPr>
              <w:spacing w:after="0"/>
              <w:rPr>
                <w:sz w:val="6"/>
                <w:szCs w:val="6"/>
                <w:color w:val="auto"/>
              </w:rPr>
            </w:pPr>
          </w:p>
        </w:tc>
        <w:tc>
          <w:tcPr>
            <w:tcW w:w="400" w:type="dxa"/>
            <w:vAlign w:val="bottom"/>
            <w:tcBorders>
              <w:top w:val="single" w:sz="8" w:color="CCEEFF"/>
              <w:bottom w:val="single" w:sz="8" w:color="auto"/>
            </w:tcBorders>
            <w:shd w:val="clear" w:color="auto" w:fill="CCEEFF"/>
          </w:tcPr>
          <w:p>
            <w:pPr>
              <w:spacing w:after="0"/>
              <w:rPr>
                <w:sz w:val="6"/>
                <w:szCs w:val="6"/>
                <w:color w:val="auto"/>
              </w:rPr>
            </w:pPr>
          </w:p>
        </w:tc>
        <w:tc>
          <w:tcPr>
            <w:tcW w:w="580" w:type="dxa"/>
            <w:vAlign w:val="bottom"/>
            <w:tcBorders>
              <w:top w:val="single" w:sz="8" w:color="CCEEFF"/>
              <w:bottom w:val="single" w:sz="8" w:color="auto"/>
            </w:tcBorders>
            <w:shd w:val="clear" w:color="auto" w:fill="CCEEFF"/>
          </w:tcPr>
          <w:p>
            <w:pPr>
              <w:spacing w:after="0"/>
              <w:rPr>
                <w:sz w:val="6"/>
                <w:szCs w:val="6"/>
                <w:color w:val="auto"/>
              </w:rPr>
            </w:pPr>
          </w:p>
        </w:tc>
        <w:tc>
          <w:tcPr>
            <w:tcW w:w="120" w:type="dxa"/>
            <w:vAlign w:val="bottom"/>
            <w:tcBorders>
              <w:top w:val="single" w:sz="8" w:color="CCEEFF"/>
              <w:bottom w:val="single" w:sz="8" w:color="auto"/>
            </w:tcBorders>
            <w:shd w:val="clear" w:color="auto" w:fill="CCEEFF"/>
          </w:tcPr>
          <w:p>
            <w:pPr>
              <w:spacing w:after="0"/>
              <w:rPr>
                <w:sz w:val="6"/>
                <w:szCs w:val="6"/>
                <w:color w:val="auto"/>
              </w:rPr>
            </w:pPr>
          </w:p>
        </w:tc>
        <w:tc>
          <w:tcPr>
            <w:tcW w:w="340" w:type="dxa"/>
            <w:vAlign w:val="bottom"/>
            <w:tcBorders>
              <w:top w:val="single" w:sz="8" w:color="CCEEFF"/>
              <w:bottom w:val="single" w:sz="8" w:color="auto"/>
              <w:right w:val="single" w:sz="8" w:color="auto"/>
            </w:tcBorders>
            <w:shd w:val="clear" w:color="auto" w:fill="CCEEFF"/>
          </w:tcPr>
          <w:p>
            <w:pPr>
              <w:spacing w:after="0"/>
              <w:rPr>
                <w:sz w:val="6"/>
                <w:szCs w:val="6"/>
                <w:color w:val="auto"/>
              </w:rPr>
            </w:pPr>
          </w:p>
        </w:tc>
        <w:tc>
          <w:tcPr>
            <w:tcW w:w="4520" w:type="dxa"/>
            <w:vAlign w:val="bottom"/>
            <w:tcBorders>
              <w:top w:val="single" w:sz="8" w:color="CCEEFF"/>
              <w:bottom w:val="single" w:sz="8" w:color="auto"/>
              <w:right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760" w:type="dxa"/>
            <w:vAlign w:val="bottom"/>
            <w:tcBorders>
              <w:left w:val="single" w:sz="8" w:color="auto"/>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2"/>
                <w:szCs w:val="12"/>
                <w:color w:val="auto"/>
              </w:rPr>
              <w:t>10.13#</w:t>
            </w:r>
          </w:p>
        </w:tc>
        <w:tc>
          <w:tcPr>
            <w:tcW w:w="5540" w:type="dxa"/>
            <w:vAlign w:val="bottom"/>
            <w:gridSpan w:val="25"/>
          </w:tcPr>
          <w:p>
            <w:pPr>
              <w:spacing w:after="0" w:line="126" w:lineRule="exact"/>
              <w:rPr>
                <w:sz w:val="20"/>
                <w:szCs w:val="20"/>
                <w:color w:val="auto"/>
              </w:rPr>
            </w:pPr>
            <w:r>
              <w:rPr>
                <w:rFonts w:ascii="Times New Roman" w:cs="Times New Roman" w:eastAsia="Times New Roman" w:hAnsi="Times New Roman"/>
                <w:sz w:val="12"/>
                <w:szCs w:val="12"/>
                <w:color w:val="3051F2"/>
              </w:rPr>
              <w:t>First Amendment to First Amended and Restated 2004 Non-Employee Director Option Plan</w:t>
            </w:r>
          </w:p>
        </w:tc>
        <w:tc>
          <w:tcPr>
            <w:tcW w:w="12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4520" w:type="dxa"/>
            <w:vAlign w:val="bottom"/>
            <w:tcBorders>
              <w:right w:val="single" w:sz="8" w:color="auto"/>
            </w:tcBorders>
          </w:tcPr>
          <w:p>
            <w:pPr>
              <w:spacing w:after="0" w:line="126" w:lineRule="exact"/>
              <w:rPr>
                <w:sz w:val="20"/>
                <w:szCs w:val="20"/>
                <w:color w:val="auto"/>
              </w:rPr>
            </w:pPr>
            <w:r>
              <w:rPr>
                <w:rFonts w:ascii="Times New Roman" w:cs="Times New Roman" w:eastAsia="Times New Roman" w:hAnsi="Times New Roman"/>
                <w:sz w:val="12"/>
                <w:szCs w:val="12"/>
                <w:color w:val="auto"/>
              </w:rPr>
              <w:t>Filed herewith</w:t>
            </w:r>
          </w:p>
        </w:tc>
        <w:tc>
          <w:tcPr>
            <w:tcW w:w="0" w:type="dxa"/>
            <w:vAlign w:val="bottom"/>
          </w:tcPr>
          <w:p>
            <w:pPr>
              <w:spacing w:after="0"/>
              <w:rPr>
                <w:sz w:val="1"/>
                <w:szCs w:val="1"/>
                <w:color w:val="auto"/>
              </w:rPr>
            </w:pPr>
          </w:p>
        </w:tc>
      </w:tr>
      <w:tr>
        <w:trPr>
          <w:trHeight w:val="26"/>
        </w:trPr>
        <w:tc>
          <w:tcPr>
            <w:tcW w:w="760" w:type="dxa"/>
            <w:vAlign w:val="bottom"/>
            <w:tcBorders>
              <w:left w:val="single" w:sz="8" w:color="auto"/>
              <w:bottom w:val="single" w:sz="8" w:color="auto"/>
              <w:right w:val="single" w:sz="8" w:color="auto"/>
            </w:tcBorders>
          </w:tcPr>
          <w:p>
            <w:pPr>
              <w:spacing w:after="0"/>
              <w:rPr>
                <w:sz w:val="2"/>
                <w:szCs w:val="2"/>
                <w:color w:val="auto"/>
              </w:rPr>
            </w:pPr>
          </w:p>
        </w:tc>
        <w:tc>
          <w:tcPr>
            <w:tcW w:w="720" w:type="dxa"/>
            <w:vAlign w:val="bottom"/>
            <w:tcBorders>
              <w:top w:val="single" w:sz="8" w:color="3051F2"/>
              <w:bottom w:val="single" w:sz="8" w:color="auto"/>
            </w:tcBorders>
          </w:tcPr>
          <w:p>
            <w:pPr>
              <w:spacing w:after="0"/>
              <w:rPr>
                <w:sz w:val="2"/>
                <w:szCs w:val="2"/>
                <w:color w:val="auto"/>
              </w:rPr>
            </w:pPr>
          </w:p>
        </w:tc>
        <w:tc>
          <w:tcPr>
            <w:tcW w:w="40" w:type="dxa"/>
            <w:vAlign w:val="bottom"/>
            <w:tcBorders>
              <w:top w:val="single" w:sz="8" w:color="3051F2"/>
              <w:bottom w:val="single" w:sz="8" w:color="auto"/>
            </w:tcBorders>
          </w:tcPr>
          <w:p>
            <w:pPr>
              <w:spacing w:after="0"/>
              <w:rPr>
                <w:sz w:val="2"/>
                <w:szCs w:val="2"/>
                <w:color w:val="auto"/>
              </w:rPr>
            </w:pPr>
          </w:p>
        </w:tc>
        <w:tc>
          <w:tcPr>
            <w:tcW w:w="20" w:type="dxa"/>
            <w:vAlign w:val="bottom"/>
            <w:tcBorders>
              <w:top w:val="single" w:sz="8" w:color="3051F2"/>
              <w:bottom w:val="single" w:sz="8" w:color="auto"/>
            </w:tcBorders>
          </w:tcPr>
          <w:p>
            <w:pPr>
              <w:spacing w:after="0"/>
              <w:rPr>
                <w:sz w:val="2"/>
                <w:szCs w:val="2"/>
                <w:color w:val="auto"/>
              </w:rPr>
            </w:pPr>
          </w:p>
        </w:tc>
        <w:tc>
          <w:tcPr>
            <w:tcW w:w="180" w:type="dxa"/>
            <w:vAlign w:val="bottom"/>
            <w:tcBorders>
              <w:top w:val="single" w:sz="8" w:color="3051F2"/>
              <w:bottom w:val="single" w:sz="8" w:color="auto"/>
            </w:tcBorders>
          </w:tcPr>
          <w:p>
            <w:pPr>
              <w:spacing w:after="0"/>
              <w:rPr>
                <w:sz w:val="2"/>
                <w:szCs w:val="2"/>
                <w:color w:val="auto"/>
              </w:rPr>
            </w:pPr>
          </w:p>
        </w:tc>
        <w:tc>
          <w:tcPr>
            <w:tcW w:w="180" w:type="dxa"/>
            <w:vAlign w:val="bottom"/>
            <w:tcBorders>
              <w:top w:val="single" w:sz="8" w:color="3051F2"/>
              <w:bottom w:val="single" w:sz="8" w:color="auto"/>
            </w:tcBorders>
          </w:tcPr>
          <w:p>
            <w:pPr>
              <w:spacing w:after="0"/>
              <w:rPr>
                <w:sz w:val="2"/>
                <w:szCs w:val="2"/>
                <w:color w:val="auto"/>
              </w:rPr>
            </w:pPr>
          </w:p>
        </w:tc>
        <w:tc>
          <w:tcPr>
            <w:tcW w:w="580" w:type="dxa"/>
            <w:vAlign w:val="bottom"/>
            <w:tcBorders>
              <w:top w:val="single" w:sz="8" w:color="3051F2"/>
              <w:bottom w:val="single" w:sz="8" w:color="auto"/>
            </w:tcBorders>
          </w:tcPr>
          <w:p>
            <w:pPr>
              <w:spacing w:after="0"/>
              <w:rPr>
                <w:sz w:val="2"/>
                <w:szCs w:val="2"/>
                <w:color w:val="auto"/>
              </w:rPr>
            </w:pPr>
          </w:p>
        </w:tc>
        <w:tc>
          <w:tcPr>
            <w:tcW w:w="40" w:type="dxa"/>
            <w:vAlign w:val="bottom"/>
            <w:tcBorders>
              <w:top w:val="single" w:sz="8" w:color="3051F2"/>
              <w:bottom w:val="single" w:sz="8" w:color="auto"/>
            </w:tcBorders>
          </w:tcPr>
          <w:p>
            <w:pPr>
              <w:spacing w:after="0"/>
              <w:rPr>
                <w:sz w:val="2"/>
                <w:szCs w:val="2"/>
                <w:color w:val="auto"/>
              </w:rPr>
            </w:pPr>
          </w:p>
        </w:tc>
        <w:tc>
          <w:tcPr>
            <w:tcW w:w="40" w:type="dxa"/>
            <w:vAlign w:val="bottom"/>
            <w:tcBorders>
              <w:top w:val="single" w:sz="8" w:color="3051F2"/>
              <w:bottom w:val="single" w:sz="8" w:color="auto"/>
            </w:tcBorders>
          </w:tcPr>
          <w:p>
            <w:pPr>
              <w:spacing w:after="0"/>
              <w:rPr>
                <w:sz w:val="2"/>
                <w:szCs w:val="2"/>
                <w:color w:val="auto"/>
              </w:rPr>
            </w:pPr>
          </w:p>
        </w:tc>
        <w:tc>
          <w:tcPr>
            <w:tcW w:w="20" w:type="dxa"/>
            <w:vAlign w:val="bottom"/>
            <w:tcBorders>
              <w:top w:val="single" w:sz="8" w:color="3051F2"/>
              <w:bottom w:val="single" w:sz="8" w:color="auto"/>
            </w:tcBorders>
          </w:tcPr>
          <w:p>
            <w:pPr>
              <w:spacing w:after="0"/>
              <w:rPr>
                <w:sz w:val="2"/>
                <w:szCs w:val="2"/>
                <w:color w:val="auto"/>
              </w:rPr>
            </w:pPr>
          </w:p>
        </w:tc>
        <w:tc>
          <w:tcPr>
            <w:tcW w:w="480" w:type="dxa"/>
            <w:vAlign w:val="bottom"/>
            <w:tcBorders>
              <w:top w:val="single" w:sz="8" w:color="3051F2"/>
              <w:bottom w:val="single" w:sz="8" w:color="auto"/>
            </w:tcBorders>
          </w:tcPr>
          <w:p>
            <w:pPr>
              <w:spacing w:after="0"/>
              <w:rPr>
                <w:sz w:val="2"/>
                <w:szCs w:val="2"/>
                <w:color w:val="auto"/>
              </w:rPr>
            </w:pPr>
          </w:p>
        </w:tc>
        <w:tc>
          <w:tcPr>
            <w:tcW w:w="40" w:type="dxa"/>
            <w:vAlign w:val="bottom"/>
            <w:tcBorders>
              <w:top w:val="single" w:sz="8" w:color="3051F2"/>
              <w:bottom w:val="single" w:sz="8" w:color="auto"/>
            </w:tcBorders>
          </w:tcPr>
          <w:p>
            <w:pPr>
              <w:spacing w:after="0"/>
              <w:rPr>
                <w:sz w:val="2"/>
                <w:szCs w:val="2"/>
                <w:color w:val="auto"/>
              </w:rPr>
            </w:pPr>
          </w:p>
        </w:tc>
        <w:tc>
          <w:tcPr>
            <w:tcW w:w="80" w:type="dxa"/>
            <w:vAlign w:val="bottom"/>
            <w:tcBorders>
              <w:top w:val="single" w:sz="8" w:color="3051F2"/>
              <w:bottom w:val="single" w:sz="8" w:color="auto"/>
            </w:tcBorders>
          </w:tcPr>
          <w:p>
            <w:pPr>
              <w:spacing w:after="0"/>
              <w:rPr>
                <w:sz w:val="2"/>
                <w:szCs w:val="2"/>
                <w:color w:val="auto"/>
              </w:rPr>
            </w:pPr>
          </w:p>
        </w:tc>
        <w:tc>
          <w:tcPr>
            <w:tcW w:w="100" w:type="dxa"/>
            <w:vAlign w:val="bottom"/>
            <w:tcBorders>
              <w:top w:val="single" w:sz="8" w:color="3051F2"/>
              <w:bottom w:val="single" w:sz="8" w:color="auto"/>
            </w:tcBorders>
          </w:tcPr>
          <w:p>
            <w:pPr>
              <w:spacing w:after="0"/>
              <w:rPr>
                <w:sz w:val="2"/>
                <w:szCs w:val="2"/>
                <w:color w:val="auto"/>
              </w:rPr>
            </w:pPr>
          </w:p>
        </w:tc>
        <w:tc>
          <w:tcPr>
            <w:tcW w:w="60" w:type="dxa"/>
            <w:vAlign w:val="bottom"/>
            <w:tcBorders>
              <w:top w:val="single" w:sz="8" w:color="3051F2"/>
              <w:bottom w:val="single" w:sz="8" w:color="auto"/>
            </w:tcBorders>
          </w:tcPr>
          <w:p>
            <w:pPr>
              <w:spacing w:after="0"/>
              <w:rPr>
                <w:sz w:val="2"/>
                <w:szCs w:val="2"/>
                <w:color w:val="auto"/>
              </w:rPr>
            </w:pPr>
          </w:p>
        </w:tc>
        <w:tc>
          <w:tcPr>
            <w:tcW w:w="100" w:type="dxa"/>
            <w:vAlign w:val="bottom"/>
            <w:tcBorders>
              <w:top w:val="single" w:sz="8" w:color="3051F2"/>
              <w:bottom w:val="single" w:sz="8" w:color="auto"/>
            </w:tcBorders>
          </w:tcPr>
          <w:p>
            <w:pPr>
              <w:spacing w:after="0"/>
              <w:rPr>
                <w:sz w:val="2"/>
                <w:szCs w:val="2"/>
                <w:color w:val="auto"/>
              </w:rPr>
            </w:pPr>
          </w:p>
        </w:tc>
        <w:tc>
          <w:tcPr>
            <w:tcW w:w="200" w:type="dxa"/>
            <w:vAlign w:val="bottom"/>
            <w:tcBorders>
              <w:top w:val="single" w:sz="8" w:color="3051F2"/>
              <w:bottom w:val="single" w:sz="8" w:color="auto"/>
            </w:tcBorders>
          </w:tcPr>
          <w:p>
            <w:pPr>
              <w:spacing w:after="0"/>
              <w:rPr>
                <w:sz w:val="2"/>
                <w:szCs w:val="2"/>
                <w:color w:val="auto"/>
              </w:rPr>
            </w:pPr>
          </w:p>
        </w:tc>
        <w:tc>
          <w:tcPr>
            <w:tcW w:w="520" w:type="dxa"/>
            <w:vAlign w:val="bottom"/>
            <w:tcBorders>
              <w:top w:val="single" w:sz="8" w:color="3051F2"/>
              <w:bottom w:val="single" w:sz="8" w:color="auto"/>
            </w:tcBorders>
          </w:tcPr>
          <w:p>
            <w:pPr>
              <w:spacing w:after="0"/>
              <w:rPr>
                <w:sz w:val="2"/>
                <w:szCs w:val="2"/>
                <w:color w:val="auto"/>
              </w:rPr>
            </w:pPr>
          </w:p>
        </w:tc>
        <w:tc>
          <w:tcPr>
            <w:tcW w:w="20" w:type="dxa"/>
            <w:vAlign w:val="bottom"/>
            <w:tcBorders>
              <w:top w:val="single" w:sz="8" w:color="3051F2"/>
              <w:bottom w:val="single" w:sz="8" w:color="auto"/>
            </w:tcBorders>
          </w:tcPr>
          <w:p>
            <w:pPr>
              <w:spacing w:after="0"/>
              <w:rPr>
                <w:sz w:val="2"/>
                <w:szCs w:val="2"/>
                <w:color w:val="auto"/>
              </w:rPr>
            </w:pPr>
          </w:p>
        </w:tc>
        <w:tc>
          <w:tcPr>
            <w:tcW w:w="100" w:type="dxa"/>
            <w:vAlign w:val="bottom"/>
            <w:tcBorders>
              <w:top w:val="single" w:sz="8" w:color="3051F2"/>
              <w:bottom w:val="single" w:sz="8" w:color="auto"/>
            </w:tcBorders>
          </w:tcPr>
          <w:p>
            <w:pPr>
              <w:spacing w:after="0"/>
              <w:rPr>
                <w:sz w:val="2"/>
                <w:szCs w:val="2"/>
                <w:color w:val="auto"/>
              </w:rPr>
            </w:pPr>
          </w:p>
        </w:tc>
        <w:tc>
          <w:tcPr>
            <w:tcW w:w="20" w:type="dxa"/>
            <w:vAlign w:val="bottom"/>
            <w:tcBorders>
              <w:top w:val="single" w:sz="8" w:color="3051F2"/>
              <w:bottom w:val="single" w:sz="8" w:color="auto"/>
            </w:tcBorders>
          </w:tcPr>
          <w:p>
            <w:pPr>
              <w:spacing w:after="0"/>
              <w:rPr>
                <w:sz w:val="2"/>
                <w:szCs w:val="2"/>
                <w:color w:val="auto"/>
              </w:rPr>
            </w:pPr>
          </w:p>
        </w:tc>
        <w:tc>
          <w:tcPr>
            <w:tcW w:w="160" w:type="dxa"/>
            <w:vAlign w:val="bottom"/>
            <w:tcBorders>
              <w:top w:val="single" w:sz="8" w:color="3051F2"/>
              <w:bottom w:val="single" w:sz="8" w:color="auto"/>
            </w:tcBorders>
          </w:tcPr>
          <w:p>
            <w:pPr>
              <w:spacing w:after="0"/>
              <w:rPr>
                <w:sz w:val="2"/>
                <w:szCs w:val="2"/>
                <w:color w:val="auto"/>
              </w:rPr>
            </w:pPr>
          </w:p>
        </w:tc>
        <w:tc>
          <w:tcPr>
            <w:tcW w:w="160" w:type="dxa"/>
            <w:vAlign w:val="bottom"/>
            <w:tcBorders>
              <w:top w:val="single" w:sz="8" w:color="3051F2"/>
              <w:bottom w:val="single" w:sz="8" w:color="auto"/>
            </w:tcBorders>
          </w:tcPr>
          <w:p>
            <w:pPr>
              <w:spacing w:after="0"/>
              <w:rPr>
                <w:sz w:val="2"/>
                <w:szCs w:val="2"/>
                <w:color w:val="auto"/>
              </w:rPr>
            </w:pPr>
          </w:p>
        </w:tc>
        <w:tc>
          <w:tcPr>
            <w:tcW w:w="700" w:type="dxa"/>
            <w:vAlign w:val="bottom"/>
            <w:tcBorders>
              <w:top w:val="single" w:sz="8" w:color="3051F2"/>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76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10.14#</w:t>
            </w:r>
          </w:p>
        </w:tc>
        <w:tc>
          <w:tcPr>
            <w:tcW w:w="6000" w:type="dxa"/>
            <w:vAlign w:val="bottom"/>
            <w:tcBorders>
              <w:right w:val="single" w:sz="8" w:color="auto"/>
            </w:tcBorders>
            <w:gridSpan w:val="27"/>
            <w:shd w:val="clear" w:color="auto" w:fill="CCEEFF"/>
          </w:tcPr>
          <w:p>
            <w:pPr>
              <w:spacing w:after="0" w:line="119" w:lineRule="exact"/>
              <w:rPr>
                <w:rFonts w:ascii="Times New Roman" w:cs="Times New Roman" w:eastAsia="Times New Roman" w:hAnsi="Times New Roman"/>
                <w:sz w:val="12"/>
                <w:szCs w:val="12"/>
                <w:color w:val="3051F2"/>
              </w:rPr>
            </w:pPr>
            <w:hyperlink r:id="rId85">
              <w:r>
                <w:rPr>
                  <w:rFonts w:ascii="Times New Roman" w:cs="Times New Roman" w:eastAsia="Times New Roman" w:hAnsi="Times New Roman"/>
                  <w:sz w:val="12"/>
                  <w:szCs w:val="12"/>
                  <w:color w:val="3051F2"/>
                </w:rPr>
                <w:t>Second Amendment to the Sun Communities, Inc. First Amended and Restated 2004 Non-Employee Director Option</w:t>
              </w:r>
            </w:hyperlink>
          </w:p>
        </w:tc>
        <w:tc>
          <w:tcPr>
            <w:tcW w:w="4520" w:type="dxa"/>
            <w:vAlign w:val="bottom"/>
            <w:tcBorders>
              <w:right w:val="single" w:sz="8" w:color="auto"/>
            </w:tcBorders>
            <w:shd w:val="clear" w:color="auto" w:fill="CCEEFF"/>
          </w:tcPr>
          <w:p>
            <w:pPr>
              <w:spacing w:after="0" w:line="119" w:lineRule="exact"/>
              <w:rPr>
                <w:sz w:val="20"/>
                <w:szCs w:val="20"/>
                <w:color w:val="auto"/>
              </w:rPr>
            </w:pPr>
            <w:r>
              <w:rPr>
                <w:rFonts w:ascii="Times New Roman" w:cs="Times New Roman" w:eastAsia="Times New Roman" w:hAnsi="Times New Roman"/>
                <w:sz w:val="12"/>
                <w:szCs w:val="12"/>
                <w:color w:val="auto"/>
              </w:rPr>
              <w:t>Incorporated by reference to Exhibit 10.1 of Sun Communities Inc.'s Current Report on</w:t>
            </w:r>
          </w:p>
        </w:tc>
        <w:tc>
          <w:tcPr>
            <w:tcW w:w="0" w:type="dxa"/>
            <w:vAlign w:val="bottom"/>
          </w:tcPr>
          <w:p>
            <w:pPr>
              <w:spacing w:after="0"/>
              <w:rPr>
                <w:sz w:val="1"/>
                <w:szCs w:val="1"/>
                <w:color w:val="auto"/>
              </w:rPr>
            </w:pPr>
          </w:p>
        </w:tc>
      </w:tr>
      <w:tr>
        <w:trPr>
          <w:trHeight w:val="71"/>
        </w:trPr>
        <w:tc>
          <w:tcPr>
            <w:tcW w:w="760" w:type="dxa"/>
            <w:vAlign w:val="bottom"/>
            <w:tcBorders>
              <w:top w:val="single" w:sz="8" w:color="CCEEFF"/>
              <w:left w:val="single" w:sz="8" w:color="auto"/>
              <w:right w:val="single" w:sz="8" w:color="auto"/>
            </w:tcBorders>
            <w:vMerge w:val="continue"/>
            <w:shd w:val="clear" w:color="auto" w:fill="CCEEFF"/>
          </w:tcPr>
          <w:p>
            <w:pPr>
              <w:spacing w:after="0"/>
              <w:rPr>
                <w:sz w:val="6"/>
                <w:szCs w:val="6"/>
                <w:color w:val="auto"/>
              </w:rPr>
            </w:pPr>
          </w:p>
        </w:tc>
        <w:tc>
          <w:tcPr>
            <w:tcW w:w="5540" w:type="dxa"/>
            <w:vAlign w:val="bottom"/>
            <w:tcBorders>
              <w:top w:val="single" w:sz="8" w:color="3051F2"/>
            </w:tcBorders>
            <w:gridSpan w:val="25"/>
            <w:vMerge w:val="restart"/>
            <w:shd w:val="clear" w:color="auto" w:fill="CCEEFF"/>
          </w:tcPr>
          <w:p>
            <w:pPr>
              <w:spacing w:after="0" w:line="128" w:lineRule="exact"/>
              <w:rPr>
                <w:rFonts w:ascii="Times New Roman" w:cs="Times New Roman" w:eastAsia="Times New Roman" w:hAnsi="Times New Roman"/>
                <w:sz w:val="12"/>
                <w:szCs w:val="12"/>
                <w:color w:val="3051F2"/>
              </w:rPr>
            </w:pPr>
            <w:hyperlink r:id="rId85">
              <w:r>
                <w:rPr>
                  <w:rFonts w:ascii="Times New Roman" w:cs="Times New Roman" w:eastAsia="Times New Roman" w:hAnsi="Times New Roman"/>
                  <w:sz w:val="12"/>
                  <w:szCs w:val="12"/>
                  <w:color w:val="3051F2"/>
                </w:rPr>
                <w:t>Plan effective as of March 29, 2022</w:t>
              </w:r>
            </w:hyperlink>
          </w:p>
        </w:tc>
        <w:tc>
          <w:tcPr>
            <w:tcW w:w="120" w:type="dxa"/>
            <w:vAlign w:val="bottom"/>
            <w:tcBorders>
              <w:top w:val="single" w:sz="8" w:color="3051F2"/>
            </w:tcBorders>
            <w:shd w:val="clear" w:color="auto" w:fill="CCEEFF"/>
          </w:tcPr>
          <w:p>
            <w:pPr>
              <w:spacing w:after="0"/>
              <w:rPr>
                <w:sz w:val="6"/>
                <w:szCs w:val="6"/>
                <w:color w:val="auto"/>
              </w:rPr>
            </w:pPr>
          </w:p>
        </w:tc>
        <w:tc>
          <w:tcPr>
            <w:tcW w:w="340" w:type="dxa"/>
            <w:vAlign w:val="bottom"/>
            <w:tcBorders>
              <w:top w:val="single" w:sz="8" w:color="3051F2"/>
              <w:right w:val="single" w:sz="8" w:color="auto"/>
            </w:tcBorders>
            <w:shd w:val="clear" w:color="auto" w:fill="CCEEFF"/>
          </w:tcPr>
          <w:p>
            <w:pPr>
              <w:spacing w:after="0"/>
              <w:rPr>
                <w:sz w:val="6"/>
                <w:szCs w:val="6"/>
                <w:color w:val="auto"/>
              </w:rPr>
            </w:pPr>
          </w:p>
        </w:tc>
        <w:tc>
          <w:tcPr>
            <w:tcW w:w="4520" w:type="dxa"/>
            <w:vAlign w:val="bottom"/>
            <w:tcBorders>
              <w:top w:val="single" w:sz="8" w:color="CCEEFF"/>
              <w:right w:val="single" w:sz="8" w:color="auto"/>
            </w:tcBorders>
            <w:vMerge w:val="restart"/>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Form 10-Q filed on April 26, 2022</w:t>
            </w:r>
          </w:p>
        </w:tc>
        <w:tc>
          <w:tcPr>
            <w:tcW w:w="0" w:type="dxa"/>
            <w:vAlign w:val="bottom"/>
          </w:tcPr>
          <w:p>
            <w:pPr>
              <w:spacing w:after="0"/>
              <w:rPr>
                <w:sz w:val="1"/>
                <w:szCs w:val="1"/>
                <w:color w:val="auto"/>
              </w:rPr>
            </w:pPr>
          </w:p>
        </w:tc>
      </w:tr>
      <w:tr>
        <w:trPr>
          <w:trHeight w:val="103"/>
        </w:trPr>
        <w:tc>
          <w:tcPr>
            <w:tcW w:w="760" w:type="dxa"/>
            <w:vAlign w:val="bottom"/>
            <w:tcBorders>
              <w:left w:val="single" w:sz="8" w:color="auto"/>
              <w:bottom w:val="single" w:sz="8" w:color="auto"/>
              <w:right w:val="single" w:sz="8" w:color="auto"/>
            </w:tcBorders>
            <w:shd w:val="clear" w:color="auto" w:fill="CCEEFF"/>
          </w:tcPr>
          <w:p>
            <w:pPr>
              <w:spacing w:after="0"/>
              <w:rPr>
                <w:sz w:val="8"/>
                <w:szCs w:val="8"/>
                <w:color w:val="auto"/>
              </w:rPr>
            </w:pPr>
          </w:p>
        </w:tc>
        <w:tc>
          <w:tcPr>
            <w:tcW w:w="5540" w:type="dxa"/>
            <w:vAlign w:val="bottom"/>
            <w:tcBorders>
              <w:bottom w:val="single" w:sz="8" w:color="auto"/>
            </w:tcBorders>
            <w:gridSpan w:val="25"/>
            <w:vMerge w:val="continue"/>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340" w:type="dxa"/>
            <w:vAlign w:val="bottom"/>
            <w:tcBorders>
              <w:bottom w:val="single" w:sz="8" w:color="auto"/>
              <w:right w:val="single" w:sz="8" w:color="auto"/>
            </w:tcBorders>
            <w:shd w:val="clear" w:color="auto" w:fill="CCEEFF"/>
          </w:tcPr>
          <w:p>
            <w:pPr>
              <w:spacing w:after="0"/>
              <w:rPr>
                <w:sz w:val="8"/>
                <w:szCs w:val="8"/>
                <w:color w:val="auto"/>
              </w:rPr>
            </w:pPr>
          </w:p>
        </w:tc>
        <w:tc>
          <w:tcPr>
            <w:tcW w:w="4520" w:type="dxa"/>
            <w:vAlign w:val="bottom"/>
            <w:tcBorders>
              <w:bottom w:val="single" w:sz="8" w:color="auto"/>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760" w:type="dxa"/>
            <w:vAlign w:val="bottom"/>
            <w:tcBorders>
              <w:left w:val="single" w:sz="8" w:color="auto"/>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2"/>
                <w:szCs w:val="12"/>
                <w:color w:val="auto"/>
              </w:rPr>
              <w:t>10.15#</w:t>
            </w:r>
          </w:p>
        </w:tc>
        <w:tc>
          <w:tcPr>
            <w:tcW w:w="5540" w:type="dxa"/>
            <w:vAlign w:val="bottom"/>
            <w:gridSpan w:val="25"/>
          </w:tcPr>
          <w:p>
            <w:pPr>
              <w:spacing w:after="0" w:line="119" w:lineRule="exact"/>
              <w:rPr>
                <w:sz w:val="20"/>
                <w:szCs w:val="20"/>
                <w:color w:val="auto"/>
              </w:rPr>
            </w:pPr>
            <w:r>
              <w:rPr>
                <w:rFonts w:ascii="Times New Roman" w:cs="Times New Roman" w:eastAsia="Times New Roman" w:hAnsi="Times New Roman"/>
                <w:sz w:val="12"/>
                <w:szCs w:val="12"/>
                <w:color w:val="3051F2"/>
              </w:rPr>
              <w:t>Sun Communities, Inc. 2015 Equity Incentive Plan</w:t>
            </w:r>
          </w:p>
        </w:tc>
        <w:tc>
          <w:tcPr>
            <w:tcW w:w="12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4520" w:type="dxa"/>
            <w:vAlign w:val="bottom"/>
            <w:tcBorders>
              <w:right w:val="single" w:sz="8" w:color="auto"/>
            </w:tcBorders>
          </w:tcPr>
          <w:p>
            <w:pPr>
              <w:spacing w:after="0" w:line="119" w:lineRule="exact"/>
              <w:rPr>
                <w:sz w:val="20"/>
                <w:szCs w:val="20"/>
                <w:color w:val="auto"/>
              </w:rPr>
            </w:pPr>
            <w:r>
              <w:rPr>
                <w:rFonts w:ascii="Times New Roman" w:cs="Times New Roman" w:eastAsia="Times New Roman" w:hAnsi="Times New Roman"/>
                <w:sz w:val="12"/>
                <w:szCs w:val="12"/>
                <w:color w:val="auto"/>
              </w:rPr>
              <w:t>Filed herewith</w:t>
            </w:r>
          </w:p>
        </w:tc>
        <w:tc>
          <w:tcPr>
            <w:tcW w:w="0" w:type="dxa"/>
            <w:vAlign w:val="bottom"/>
          </w:tcPr>
          <w:p>
            <w:pPr>
              <w:spacing w:after="0"/>
              <w:rPr>
                <w:sz w:val="1"/>
                <w:szCs w:val="1"/>
                <w:color w:val="auto"/>
              </w:rPr>
            </w:pPr>
          </w:p>
        </w:tc>
      </w:tr>
      <w:tr>
        <w:trPr>
          <w:trHeight w:val="26"/>
        </w:trPr>
        <w:tc>
          <w:tcPr>
            <w:tcW w:w="760" w:type="dxa"/>
            <w:vAlign w:val="bottom"/>
            <w:tcBorders>
              <w:left w:val="single" w:sz="8" w:color="auto"/>
              <w:bottom w:val="single" w:sz="8" w:color="auto"/>
              <w:right w:val="single" w:sz="8" w:color="auto"/>
            </w:tcBorders>
          </w:tcPr>
          <w:p>
            <w:pPr>
              <w:spacing w:after="0"/>
              <w:rPr>
                <w:sz w:val="2"/>
                <w:szCs w:val="2"/>
                <w:color w:val="auto"/>
              </w:rPr>
            </w:pPr>
          </w:p>
        </w:tc>
        <w:tc>
          <w:tcPr>
            <w:tcW w:w="720" w:type="dxa"/>
            <w:vAlign w:val="bottom"/>
            <w:tcBorders>
              <w:top w:val="single" w:sz="8" w:color="3051F2"/>
              <w:bottom w:val="single" w:sz="8" w:color="auto"/>
            </w:tcBorders>
          </w:tcPr>
          <w:p>
            <w:pPr>
              <w:spacing w:after="0"/>
              <w:rPr>
                <w:sz w:val="2"/>
                <w:szCs w:val="2"/>
                <w:color w:val="auto"/>
              </w:rPr>
            </w:pPr>
          </w:p>
        </w:tc>
        <w:tc>
          <w:tcPr>
            <w:tcW w:w="40" w:type="dxa"/>
            <w:vAlign w:val="bottom"/>
            <w:tcBorders>
              <w:top w:val="single" w:sz="8" w:color="3051F2"/>
              <w:bottom w:val="single" w:sz="8" w:color="auto"/>
            </w:tcBorders>
          </w:tcPr>
          <w:p>
            <w:pPr>
              <w:spacing w:after="0"/>
              <w:rPr>
                <w:sz w:val="2"/>
                <w:szCs w:val="2"/>
                <w:color w:val="auto"/>
              </w:rPr>
            </w:pPr>
          </w:p>
        </w:tc>
        <w:tc>
          <w:tcPr>
            <w:tcW w:w="20" w:type="dxa"/>
            <w:vAlign w:val="bottom"/>
            <w:tcBorders>
              <w:top w:val="single" w:sz="8" w:color="3051F2"/>
              <w:bottom w:val="single" w:sz="8" w:color="auto"/>
            </w:tcBorders>
          </w:tcPr>
          <w:p>
            <w:pPr>
              <w:spacing w:after="0"/>
              <w:rPr>
                <w:sz w:val="2"/>
                <w:szCs w:val="2"/>
                <w:color w:val="auto"/>
              </w:rPr>
            </w:pPr>
          </w:p>
        </w:tc>
        <w:tc>
          <w:tcPr>
            <w:tcW w:w="180" w:type="dxa"/>
            <w:vAlign w:val="bottom"/>
            <w:tcBorders>
              <w:top w:val="single" w:sz="8" w:color="3051F2"/>
              <w:bottom w:val="single" w:sz="8" w:color="auto"/>
            </w:tcBorders>
          </w:tcPr>
          <w:p>
            <w:pPr>
              <w:spacing w:after="0"/>
              <w:rPr>
                <w:sz w:val="2"/>
                <w:szCs w:val="2"/>
                <w:color w:val="auto"/>
              </w:rPr>
            </w:pPr>
          </w:p>
        </w:tc>
        <w:tc>
          <w:tcPr>
            <w:tcW w:w="180" w:type="dxa"/>
            <w:vAlign w:val="bottom"/>
            <w:tcBorders>
              <w:top w:val="single" w:sz="8" w:color="3051F2"/>
              <w:bottom w:val="single" w:sz="8" w:color="auto"/>
            </w:tcBorders>
          </w:tcPr>
          <w:p>
            <w:pPr>
              <w:spacing w:after="0"/>
              <w:rPr>
                <w:sz w:val="2"/>
                <w:szCs w:val="2"/>
                <w:color w:val="auto"/>
              </w:rPr>
            </w:pPr>
          </w:p>
        </w:tc>
        <w:tc>
          <w:tcPr>
            <w:tcW w:w="580" w:type="dxa"/>
            <w:vAlign w:val="bottom"/>
            <w:tcBorders>
              <w:top w:val="single" w:sz="8" w:color="3051F2"/>
              <w:bottom w:val="single" w:sz="8" w:color="auto"/>
            </w:tcBorders>
          </w:tcPr>
          <w:p>
            <w:pPr>
              <w:spacing w:after="0"/>
              <w:rPr>
                <w:sz w:val="2"/>
                <w:szCs w:val="2"/>
                <w:color w:val="auto"/>
              </w:rPr>
            </w:pPr>
          </w:p>
        </w:tc>
        <w:tc>
          <w:tcPr>
            <w:tcW w:w="40" w:type="dxa"/>
            <w:vAlign w:val="bottom"/>
            <w:tcBorders>
              <w:top w:val="single" w:sz="8" w:color="3051F2"/>
              <w:bottom w:val="single" w:sz="8" w:color="auto"/>
            </w:tcBorders>
          </w:tcPr>
          <w:p>
            <w:pPr>
              <w:spacing w:after="0"/>
              <w:rPr>
                <w:sz w:val="2"/>
                <w:szCs w:val="2"/>
                <w:color w:val="auto"/>
              </w:rPr>
            </w:pPr>
          </w:p>
        </w:tc>
        <w:tc>
          <w:tcPr>
            <w:tcW w:w="40" w:type="dxa"/>
            <w:vAlign w:val="bottom"/>
            <w:tcBorders>
              <w:top w:val="single" w:sz="8" w:color="3051F2"/>
              <w:bottom w:val="single" w:sz="8" w:color="auto"/>
            </w:tcBorders>
          </w:tcPr>
          <w:p>
            <w:pPr>
              <w:spacing w:after="0"/>
              <w:rPr>
                <w:sz w:val="2"/>
                <w:szCs w:val="2"/>
                <w:color w:val="auto"/>
              </w:rPr>
            </w:pPr>
          </w:p>
        </w:tc>
        <w:tc>
          <w:tcPr>
            <w:tcW w:w="20" w:type="dxa"/>
            <w:vAlign w:val="bottom"/>
            <w:tcBorders>
              <w:top w:val="single" w:sz="8" w:color="3051F2"/>
              <w:bottom w:val="single" w:sz="8" w:color="auto"/>
            </w:tcBorders>
          </w:tcPr>
          <w:p>
            <w:pPr>
              <w:spacing w:after="0"/>
              <w:rPr>
                <w:sz w:val="2"/>
                <w:szCs w:val="2"/>
                <w:color w:val="auto"/>
              </w:rPr>
            </w:pPr>
          </w:p>
        </w:tc>
        <w:tc>
          <w:tcPr>
            <w:tcW w:w="480" w:type="dxa"/>
            <w:vAlign w:val="bottom"/>
            <w:tcBorders>
              <w:top w:val="single" w:sz="8" w:color="3051F2"/>
              <w:bottom w:val="single" w:sz="8" w:color="auto"/>
            </w:tcBorders>
          </w:tcPr>
          <w:p>
            <w:pPr>
              <w:spacing w:after="0"/>
              <w:rPr>
                <w:sz w:val="2"/>
                <w:szCs w:val="2"/>
                <w:color w:val="auto"/>
              </w:rPr>
            </w:pPr>
          </w:p>
        </w:tc>
        <w:tc>
          <w:tcPr>
            <w:tcW w:w="40" w:type="dxa"/>
            <w:vAlign w:val="bottom"/>
            <w:tcBorders>
              <w:top w:val="single" w:sz="8" w:color="3051F2"/>
              <w:bottom w:val="single" w:sz="8" w:color="auto"/>
            </w:tcBorders>
          </w:tcPr>
          <w:p>
            <w:pPr>
              <w:spacing w:after="0"/>
              <w:rPr>
                <w:sz w:val="2"/>
                <w:szCs w:val="2"/>
                <w:color w:val="auto"/>
              </w:rPr>
            </w:pPr>
          </w:p>
        </w:tc>
        <w:tc>
          <w:tcPr>
            <w:tcW w:w="80" w:type="dxa"/>
            <w:vAlign w:val="bottom"/>
            <w:tcBorders>
              <w:top w:val="single" w:sz="8" w:color="3051F2"/>
              <w:bottom w:val="single" w:sz="8" w:color="auto"/>
            </w:tcBorders>
          </w:tcPr>
          <w:p>
            <w:pPr>
              <w:spacing w:after="0"/>
              <w:rPr>
                <w:sz w:val="2"/>
                <w:szCs w:val="2"/>
                <w:color w:val="auto"/>
              </w:rPr>
            </w:pPr>
          </w:p>
        </w:tc>
        <w:tc>
          <w:tcPr>
            <w:tcW w:w="100" w:type="dxa"/>
            <w:vAlign w:val="bottom"/>
            <w:tcBorders>
              <w:top w:val="single" w:sz="8" w:color="3051F2"/>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760" w:type="dxa"/>
            <w:vAlign w:val="bottom"/>
            <w:tcBorders>
              <w:left w:val="single" w:sz="8" w:color="auto"/>
              <w:bottom w:val="single" w:sz="8" w:color="auto"/>
              <w:right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2"/>
                <w:szCs w:val="12"/>
                <w:color w:val="auto"/>
              </w:rPr>
              <w:t>10.16#</w:t>
            </w:r>
          </w:p>
        </w:tc>
        <w:tc>
          <w:tcPr>
            <w:tcW w:w="5540" w:type="dxa"/>
            <w:vAlign w:val="bottom"/>
            <w:tcBorders>
              <w:bottom w:val="single" w:sz="8" w:color="auto"/>
            </w:tcBorders>
            <w:gridSpan w:val="25"/>
            <w:shd w:val="clear" w:color="auto" w:fill="CCEEFF"/>
          </w:tcPr>
          <w:p>
            <w:pPr>
              <w:spacing w:after="0" w:line="119" w:lineRule="exact"/>
              <w:rPr>
                <w:sz w:val="20"/>
                <w:szCs w:val="20"/>
                <w:color w:val="auto"/>
              </w:rPr>
            </w:pPr>
            <w:r>
              <w:rPr>
                <w:rFonts w:ascii="Times New Roman" w:cs="Times New Roman" w:eastAsia="Times New Roman" w:hAnsi="Times New Roman"/>
                <w:sz w:val="12"/>
                <w:szCs w:val="12"/>
                <w:color w:val="3051F2"/>
              </w:rPr>
              <w:t>First Amendment to Sun Communities, Inc. 2015 Equity Incentive Plan</w:t>
            </w:r>
          </w:p>
        </w:tc>
        <w:tc>
          <w:tcPr>
            <w:tcW w:w="12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right w:val="single" w:sz="8" w:color="auto"/>
            </w:tcBorders>
            <w:shd w:val="clear" w:color="auto" w:fill="CCEEFF"/>
          </w:tcPr>
          <w:p>
            <w:pPr>
              <w:spacing w:after="0"/>
              <w:rPr>
                <w:sz w:val="14"/>
                <w:szCs w:val="14"/>
                <w:color w:val="auto"/>
              </w:rPr>
            </w:pPr>
          </w:p>
        </w:tc>
        <w:tc>
          <w:tcPr>
            <w:tcW w:w="4520" w:type="dxa"/>
            <w:vAlign w:val="bottom"/>
            <w:tcBorders>
              <w:bottom w:val="single" w:sz="8" w:color="auto"/>
              <w:right w:val="single" w:sz="8" w:color="auto"/>
            </w:tcBorders>
            <w:shd w:val="clear" w:color="auto" w:fill="CCEEFF"/>
          </w:tcPr>
          <w:p>
            <w:pPr>
              <w:spacing w:after="0" w:line="119" w:lineRule="exact"/>
              <w:rPr>
                <w:sz w:val="20"/>
                <w:szCs w:val="20"/>
                <w:color w:val="auto"/>
              </w:rPr>
            </w:pPr>
            <w:r>
              <w:rPr>
                <w:rFonts w:ascii="Times New Roman" w:cs="Times New Roman" w:eastAsia="Times New Roman" w:hAnsi="Times New Roman"/>
                <w:sz w:val="12"/>
                <w:szCs w:val="12"/>
                <w:color w:val="auto"/>
              </w:rPr>
              <w:t>Filed herewith</w:t>
            </w:r>
          </w:p>
        </w:tc>
        <w:tc>
          <w:tcPr>
            <w:tcW w:w="0" w:type="dxa"/>
            <w:vAlign w:val="bottom"/>
          </w:tcPr>
          <w:p>
            <w:pPr>
              <w:spacing w:after="0"/>
              <w:rPr>
                <w:sz w:val="1"/>
                <w:szCs w:val="1"/>
                <w:color w:val="auto"/>
              </w:rPr>
            </w:pPr>
          </w:p>
        </w:tc>
      </w:tr>
      <w:tr>
        <w:trPr>
          <w:trHeight w:val="130"/>
        </w:trPr>
        <w:tc>
          <w:tcPr>
            <w:tcW w:w="760" w:type="dxa"/>
            <w:vAlign w:val="bottom"/>
            <w:tcBorders>
              <w:left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2"/>
                <w:szCs w:val="12"/>
                <w:color w:val="auto"/>
              </w:rPr>
              <w:t>10.17#</w:t>
            </w:r>
          </w:p>
        </w:tc>
        <w:tc>
          <w:tcPr>
            <w:tcW w:w="5540" w:type="dxa"/>
            <w:vAlign w:val="bottom"/>
            <w:gridSpan w:val="25"/>
          </w:tcPr>
          <w:p>
            <w:pPr>
              <w:spacing w:after="0" w:line="130" w:lineRule="exact"/>
              <w:rPr>
                <w:sz w:val="20"/>
                <w:szCs w:val="20"/>
                <w:color w:val="auto"/>
              </w:rPr>
            </w:pPr>
            <w:r>
              <w:rPr>
                <w:rFonts w:ascii="Times New Roman" w:cs="Times New Roman" w:eastAsia="Times New Roman" w:hAnsi="Times New Roman"/>
                <w:sz w:val="12"/>
                <w:szCs w:val="12"/>
                <w:color w:val="3051F2"/>
              </w:rPr>
              <w:t>Second Amendment to the Sun Communities, Inc. 2015 Equity Incentive Plan</w:t>
            </w:r>
          </w:p>
        </w:tc>
        <w:tc>
          <w:tcPr>
            <w:tcW w:w="12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4520" w:type="dxa"/>
            <w:vAlign w:val="bottom"/>
            <w:tcBorders>
              <w:right w:val="single" w:sz="8" w:color="auto"/>
            </w:tcBorders>
          </w:tcPr>
          <w:p>
            <w:pPr>
              <w:spacing w:after="0" w:line="130" w:lineRule="exact"/>
              <w:rPr>
                <w:sz w:val="20"/>
                <w:szCs w:val="20"/>
                <w:color w:val="auto"/>
              </w:rPr>
            </w:pPr>
            <w:r>
              <w:rPr>
                <w:rFonts w:ascii="Times New Roman" w:cs="Times New Roman" w:eastAsia="Times New Roman" w:hAnsi="Times New Roman"/>
                <w:sz w:val="12"/>
                <w:szCs w:val="12"/>
                <w:color w:val="auto"/>
              </w:rPr>
              <w:t>Filed herewith</w:t>
            </w:r>
          </w:p>
        </w:tc>
        <w:tc>
          <w:tcPr>
            <w:tcW w:w="0" w:type="dxa"/>
            <w:vAlign w:val="bottom"/>
          </w:tcPr>
          <w:p>
            <w:pPr>
              <w:spacing w:after="0"/>
              <w:rPr>
                <w:sz w:val="1"/>
                <w:szCs w:val="1"/>
                <w:color w:val="auto"/>
              </w:rPr>
            </w:pPr>
          </w:p>
        </w:tc>
      </w:tr>
      <w:tr>
        <w:trPr>
          <w:trHeight w:val="26"/>
        </w:trPr>
        <w:tc>
          <w:tcPr>
            <w:tcW w:w="760" w:type="dxa"/>
            <w:vAlign w:val="bottom"/>
            <w:tcBorders>
              <w:left w:val="single" w:sz="8" w:color="auto"/>
              <w:bottom w:val="single" w:sz="8" w:color="auto"/>
              <w:right w:val="single" w:sz="8" w:color="auto"/>
            </w:tcBorders>
          </w:tcPr>
          <w:p>
            <w:pPr>
              <w:spacing w:after="0"/>
              <w:rPr>
                <w:sz w:val="2"/>
                <w:szCs w:val="2"/>
                <w:color w:val="auto"/>
              </w:rPr>
            </w:pPr>
          </w:p>
        </w:tc>
        <w:tc>
          <w:tcPr>
            <w:tcW w:w="720" w:type="dxa"/>
            <w:vAlign w:val="bottom"/>
            <w:tcBorders>
              <w:top w:val="single" w:sz="8" w:color="3051F2"/>
              <w:bottom w:val="single" w:sz="8" w:color="auto"/>
            </w:tcBorders>
          </w:tcPr>
          <w:p>
            <w:pPr>
              <w:spacing w:after="0"/>
              <w:rPr>
                <w:sz w:val="2"/>
                <w:szCs w:val="2"/>
                <w:color w:val="auto"/>
              </w:rPr>
            </w:pPr>
          </w:p>
        </w:tc>
        <w:tc>
          <w:tcPr>
            <w:tcW w:w="40" w:type="dxa"/>
            <w:vAlign w:val="bottom"/>
            <w:tcBorders>
              <w:top w:val="single" w:sz="8" w:color="3051F2"/>
              <w:bottom w:val="single" w:sz="8" w:color="auto"/>
            </w:tcBorders>
          </w:tcPr>
          <w:p>
            <w:pPr>
              <w:spacing w:after="0"/>
              <w:rPr>
                <w:sz w:val="2"/>
                <w:szCs w:val="2"/>
                <w:color w:val="auto"/>
              </w:rPr>
            </w:pPr>
          </w:p>
        </w:tc>
        <w:tc>
          <w:tcPr>
            <w:tcW w:w="20" w:type="dxa"/>
            <w:vAlign w:val="bottom"/>
            <w:tcBorders>
              <w:top w:val="single" w:sz="8" w:color="3051F2"/>
              <w:bottom w:val="single" w:sz="8" w:color="auto"/>
            </w:tcBorders>
          </w:tcPr>
          <w:p>
            <w:pPr>
              <w:spacing w:after="0"/>
              <w:rPr>
                <w:sz w:val="2"/>
                <w:szCs w:val="2"/>
                <w:color w:val="auto"/>
              </w:rPr>
            </w:pPr>
          </w:p>
        </w:tc>
        <w:tc>
          <w:tcPr>
            <w:tcW w:w="180" w:type="dxa"/>
            <w:vAlign w:val="bottom"/>
            <w:tcBorders>
              <w:top w:val="single" w:sz="8" w:color="3051F2"/>
              <w:bottom w:val="single" w:sz="8" w:color="auto"/>
            </w:tcBorders>
          </w:tcPr>
          <w:p>
            <w:pPr>
              <w:spacing w:after="0"/>
              <w:rPr>
                <w:sz w:val="2"/>
                <w:szCs w:val="2"/>
                <w:color w:val="auto"/>
              </w:rPr>
            </w:pPr>
          </w:p>
        </w:tc>
        <w:tc>
          <w:tcPr>
            <w:tcW w:w="180" w:type="dxa"/>
            <w:vAlign w:val="bottom"/>
            <w:tcBorders>
              <w:top w:val="single" w:sz="8" w:color="3051F2"/>
              <w:bottom w:val="single" w:sz="8" w:color="auto"/>
            </w:tcBorders>
          </w:tcPr>
          <w:p>
            <w:pPr>
              <w:spacing w:after="0"/>
              <w:rPr>
                <w:sz w:val="2"/>
                <w:szCs w:val="2"/>
                <w:color w:val="auto"/>
              </w:rPr>
            </w:pPr>
          </w:p>
        </w:tc>
        <w:tc>
          <w:tcPr>
            <w:tcW w:w="580" w:type="dxa"/>
            <w:vAlign w:val="bottom"/>
            <w:tcBorders>
              <w:top w:val="single" w:sz="8" w:color="3051F2"/>
              <w:bottom w:val="single" w:sz="8" w:color="auto"/>
            </w:tcBorders>
          </w:tcPr>
          <w:p>
            <w:pPr>
              <w:spacing w:after="0"/>
              <w:rPr>
                <w:sz w:val="2"/>
                <w:szCs w:val="2"/>
                <w:color w:val="auto"/>
              </w:rPr>
            </w:pPr>
          </w:p>
        </w:tc>
        <w:tc>
          <w:tcPr>
            <w:tcW w:w="40" w:type="dxa"/>
            <w:vAlign w:val="bottom"/>
            <w:tcBorders>
              <w:top w:val="single" w:sz="8" w:color="3051F2"/>
              <w:bottom w:val="single" w:sz="8" w:color="auto"/>
            </w:tcBorders>
          </w:tcPr>
          <w:p>
            <w:pPr>
              <w:spacing w:after="0"/>
              <w:rPr>
                <w:sz w:val="2"/>
                <w:szCs w:val="2"/>
                <w:color w:val="auto"/>
              </w:rPr>
            </w:pPr>
          </w:p>
        </w:tc>
        <w:tc>
          <w:tcPr>
            <w:tcW w:w="40" w:type="dxa"/>
            <w:vAlign w:val="bottom"/>
            <w:tcBorders>
              <w:top w:val="single" w:sz="8" w:color="3051F2"/>
              <w:bottom w:val="single" w:sz="8" w:color="auto"/>
            </w:tcBorders>
          </w:tcPr>
          <w:p>
            <w:pPr>
              <w:spacing w:after="0"/>
              <w:rPr>
                <w:sz w:val="2"/>
                <w:szCs w:val="2"/>
                <w:color w:val="auto"/>
              </w:rPr>
            </w:pPr>
          </w:p>
        </w:tc>
        <w:tc>
          <w:tcPr>
            <w:tcW w:w="20" w:type="dxa"/>
            <w:vAlign w:val="bottom"/>
            <w:tcBorders>
              <w:top w:val="single" w:sz="8" w:color="3051F2"/>
              <w:bottom w:val="single" w:sz="8" w:color="auto"/>
            </w:tcBorders>
          </w:tcPr>
          <w:p>
            <w:pPr>
              <w:spacing w:after="0"/>
              <w:rPr>
                <w:sz w:val="2"/>
                <w:szCs w:val="2"/>
                <w:color w:val="auto"/>
              </w:rPr>
            </w:pPr>
          </w:p>
        </w:tc>
        <w:tc>
          <w:tcPr>
            <w:tcW w:w="480" w:type="dxa"/>
            <w:vAlign w:val="bottom"/>
            <w:tcBorders>
              <w:top w:val="single" w:sz="8" w:color="3051F2"/>
              <w:bottom w:val="single" w:sz="8" w:color="auto"/>
            </w:tcBorders>
          </w:tcPr>
          <w:p>
            <w:pPr>
              <w:spacing w:after="0"/>
              <w:rPr>
                <w:sz w:val="2"/>
                <w:szCs w:val="2"/>
                <w:color w:val="auto"/>
              </w:rPr>
            </w:pPr>
          </w:p>
        </w:tc>
        <w:tc>
          <w:tcPr>
            <w:tcW w:w="40" w:type="dxa"/>
            <w:vAlign w:val="bottom"/>
            <w:tcBorders>
              <w:top w:val="single" w:sz="8" w:color="3051F2"/>
              <w:bottom w:val="single" w:sz="8" w:color="auto"/>
            </w:tcBorders>
          </w:tcPr>
          <w:p>
            <w:pPr>
              <w:spacing w:after="0"/>
              <w:rPr>
                <w:sz w:val="2"/>
                <w:szCs w:val="2"/>
                <w:color w:val="auto"/>
              </w:rPr>
            </w:pPr>
          </w:p>
        </w:tc>
        <w:tc>
          <w:tcPr>
            <w:tcW w:w="80" w:type="dxa"/>
            <w:vAlign w:val="bottom"/>
            <w:tcBorders>
              <w:top w:val="single" w:sz="8" w:color="3051F2"/>
              <w:bottom w:val="single" w:sz="8" w:color="auto"/>
            </w:tcBorders>
          </w:tcPr>
          <w:p>
            <w:pPr>
              <w:spacing w:after="0"/>
              <w:rPr>
                <w:sz w:val="2"/>
                <w:szCs w:val="2"/>
                <w:color w:val="auto"/>
              </w:rPr>
            </w:pPr>
          </w:p>
        </w:tc>
        <w:tc>
          <w:tcPr>
            <w:tcW w:w="100" w:type="dxa"/>
            <w:vAlign w:val="bottom"/>
            <w:tcBorders>
              <w:top w:val="single" w:sz="8" w:color="3051F2"/>
              <w:bottom w:val="single" w:sz="8" w:color="auto"/>
            </w:tcBorders>
          </w:tcPr>
          <w:p>
            <w:pPr>
              <w:spacing w:after="0"/>
              <w:rPr>
                <w:sz w:val="2"/>
                <w:szCs w:val="2"/>
                <w:color w:val="auto"/>
              </w:rPr>
            </w:pPr>
          </w:p>
        </w:tc>
        <w:tc>
          <w:tcPr>
            <w:tcW w:w="60" w:type="dxa"/>
            <w:vAlign w:val="bottom"/>
            <w:tcBorders>
              <w:top w:val="single" w:sz="8" w:color="3051F2"/>
              <w:bottom w:val="single" w:sz="8" w:color="auto"/>
            </w:tcBorders>
          </w:tcPr>
          <w:p>
            <w:pPr>
              <w:spacing w:after="0"/>
              <w:rPr>
                <w:sz w:val="2"/>
                <w:szCs w:val="2"/>
                <w:color w:val="auto"/>
              </w:rPr>
            </w:pPr>
          </w:p>
        </w:tc>
        <w:tc>
          <w:tcPr>
            <w:tcW w:w="100" w:type="dxa"/>
            <w:vAlign w:val="bottom"/>
            <w:tcBorders>
              <w:top w:val="single" w:sz="8" w:color="3051F2"/>
              <w:bottom w:val="single" w:sz="8" w:color="auto"/>
            </w:tcBorders>
          </w:tcPr>
          <w:p>
            <w:pPr>
              <w:spacing w:after="0"/>
              <w:rPr>
                <w:sz w:val="2"/>
                <w:szCs w:val="2"/>
                <w:color w:val="auto"/>
              </w:rPr>
            </w:pPr>
          </w:p>
        </w:tc>
        <w:tc>
          <w:tcPr>
            <w:tcW w:w="200" w:type="dxa"/>
            <w:vAlign w:val="bottom"/>
            <w:tcBorders>
              <w:top w:val="single" w:sz="8" w:color="3051F2"/>
              <w:bottom w:val="single" w:sz="8" w:color="auto"/>
            </w:tcBorders>
          </w:tcPr>
          <w:p>
            <w:pPr>
              <w:spacing w:after="0"/>
              <w:rPr>
                <w:sz w:val="2"/>
                <w:szCs w:val="2"/>
                <w:color w:val="auto"/>
              </w:rPr>
            </w:pPr>
          </w:p>
        </w:tc>
        <w:tc>
          <w:tcPr>
            <w:tcW w:w="520" w:type="dxa"/>
            <w:vAlign w:val="bottom"/>
            <w:tcBorders>
              <w:top w:val="single" w:sz="8" w:color="3051F2"/>
              <w:bottom w:val="single" w:sz="8" w:color="auto"/>
            </w:tcBorders>
          </w:tcPr>
          <w:p>
            <w:pPr>
              <w:spacing w:after="0"/>
              <w:rPr>
                <w:sz w:val="2"/>
                <w:szCs w:val="2"/>
                <w:color w:val="auto"/>
              </w:rPr>
            </w:pPr>
          </w:p>
        </w:tc>
        <w:tc>
          <w:tcPr>
            <w:tcW w:w="20" w:type="dxa"/>
            <w:vAlign w:val="bottom"/>
            <w:tcBorders>
              <w:top w:val="single" w:sz="8" w:color="3051F2"/>
              <w:bottom w:val="single" w:sz="8" w:color="auto"/>
            </w:tcBorders>
          </w:tcPr>
          <w:p>
            <w:pPr>
              <w:spacing w:after="0"/>
              <w:rPr>
                <w:sz w:val="2"/>
                <w:szCs w:val="2"/>
                <w:color w:val="auto"/>
              </w:rPr>
            </w:pPr>
          </w:p>
        </w:tc>
        <w:tc>
          <w:tcPr>
            <w:tcW w:w="100" w:type="dxa"/>
            <w:vAlign w:val="bottom"/>
            <w:tcBorders>
              <w:top w:val="single" w:sz="8" w:color="3051F2"/>
              <w:bottom w:val="single" w:sz="8" w:color="auto"/>
            </w:tcBorders>
          </w:tcPr>
          <w:p>
            <w:pPr>
              <w:spacing w:after="0"/>
              <w:rPr>
                <w:sz w:val="2"/>
                <w:szCs w:val="2"/>
                <w:color w:val="auto"/>
              </w:rPr>
            </w:pPr>
          </w:p>
        </w:tc>
        <w:tc>
          <w:tcPr>
            <w:tcW w:w="20" w:type="dxa"/>
            <w:vAlign w:val="bottom"/>
            <w:tcBorders>
              <w:top w:val="single" w:sz="8" w:color="3051F2"/>
              <w:bottom w:val="single" w:sz="8" w:color="auto"/>
            </w:tcBorders>
          </w:tcPr>
          <w:p>
            <w:pPr>
              <w:spacing w:after="0"/>
              <w:rPr>
                <w:sz w:val="2"/>
                <w:szCs w:val="2"/>
                <w:color w:val="auto"/>
              </w:rPr>
            </w:pPr>
          </w:p>
        </w:tc>
        <w:tc>
          <w:tcPr>
            <w:tcW w:w="160" w:type="dxa"/>
            <w:vAlign w:val="bottom"/>
            <w:tcBorders>
              <w:top w:val="single" w:sz="8" w:color="3051F2"/>
              <w:bottom w:val="single" w:sz="8" w:color="auto"/>
            </w:tcBorders>
          </w:tcPr>
          <w:p>
            <w:pPr>
              <w:spacing w:after="0"/>
              <w:rPr>
                <w:sz w:val="2"/>
                <w:szCs w:val="2"/>
                <w:color w:val="auto"/>
              </w:rPr>
            </w:pPr>
          </w:p>
        </w:tc>
        <w:tc>
          <w:tcPr>
            <w:tcW w:w="160" w:type="dxa"/>
            <w:vAlign w:val="bottom"/>
            <w:tcBorders>
              <w:top w:val="single" w:sz="8" w:color="3051F2"/>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7"/>
        </w:trPr>
        <w:tc>
          <w:tcPr>
            <w:tcW w:w="76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10.18#</w:t>
            </w:r>
          </w:p>
        </w:tc>
        <w:tc>
          <w:tcPr>
            <w:tcW w:w="5540" w:type="dxa"/>
            <w:vAlign w:val="bottom"/>
            <w:gridSpan w:val="25"/>
            <w:vMerge w:val="restart"/>
            <w:shd w:val="clear" w:color="auto" w:fill="CCEEFF"/>
          </w:tcPr>
          <w:p>
            <w:pPr>
              <w:spacing w:after="0"/>
              <w:rPr>
                <w:rFonts w:ascii="Times New Roman" w:cs="Times New Roman" w:eastAsia="Times New Roman" w:hAnsi="Times New Roman"/>
                <w:sz w:val="12"/>
                <w:szCs w:val="12"/>
                <w:color w:val="3051F2"/>
              </w:rPr>
            </w:pPr>
            <w:hyperlink r:id="rId86">
              <w:r>
                <w:rPr>
                  <w:rFonts w:ascii="Times New Roman" w:cs="Times New Roman" w:eastAsia="Times New Roman" w:hAnsi="Times New Roman"/>
                  <w:sz w:val="12"/>
                  <w:szCs w:val="12"/>
                  <w:color w:val="3051F2"/>
                </w:rPr>
                <w:t>UK Sub-Plan under the Sun Communities, Inc. 2015 Equity Incentive Plan</w:t>
              </w:r>
            </w:hyperlink>
          </w:p>
        </w:tc>
        <w:tc>
          <w:tcPr>
            <w:tcW w:w="120" w:type="dxa"/>
            <w:vAlign w:val="bottom"/>
            <w:shd w:val="clear" w:color="auto" w:fill="CCEEFF"/>
          </w:tcPr>
          <w:p>
            <w:pPr>
              <w:spacing w:after="0"/>
              <w:rPr>
                <w:sz w:val="9"/>
                <w:szCs w:val="9"/>
                <w:color w:val="auto"/>
              </w:rPr>
            </w:pPr>
          </w:p>
        </w:tc>
        <w:tc>
          <w:tcPr>
            <w:tcW w:w="340" w:type="dxa"/>
            <w:vAlign w:val="bottom"/>
            <w:tcBorders>
              <w:right w:val="single" w:sz="8" w:color="auto"/>
            </w:tcBorders>
            <w:shd w:val="clear" w:color="auto" w:fill="CCEEFF"/>
          </w:tcPr>
          <w:p>
            <w:pPr>
              <w:spacing w:after="0"/>
              <w:rPr>
                <w:sz w:val="9"/>
                <w:szCs w:val="9"/>
                <w:color w:val="auto"/>
              </w:rPr>
            </w:pPr>
          </w:p>
        </w:tc>
        <w:tc>
          <w:tcPr>
            <w:tcW w:w="4520" w:type="dxa"/>
            <w:vAlign w:val="bottom"/>
            <w:tcBorders>
              <w:right w:val="single" w:sz="8" w:color="auto"/>
            </w:tcBorders>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Incorporated by reference to Exhibit 10.4 of Sun Communities Inc.'s Current Report on</w:t>
            </w:r>
          </w:p>
        </w:tc>
        <w:tc>
          <w:tcPr>
            <w:tcW w:w="0" w:type="dxa"/>
            <w:vAlign w:val="bottom"/>
          </w:tcPr>
          <w:p>
            <w:pPr>
              <w:spacing w:after="0"/>
              <w:rPr>
                <w:sz w:val="1"/>
                <w:szCs w:val="1"/>
                <w:color w:val="auto"/>
              </w:rPr>
            </w:pPr>
          </w:p>
        </w:tc>
      </w:tr>
      <w:tr>
        <w:trPr>
          <w:trHeight w:val="69"/>
        </w:trPr>
        <w:tc>
          <w:tcPr>
            <w:tcW w:w="760" w:type="dxa"/>
            <w:vAlign w:val="bottom"/>
            <w:tcBorders>
              <w:left w:val="single" w:sz="8" w:color="auto"/>
              <w:right w:val="single" w:sz="8" w:color="auto"/>
            </w:tcBorders>
            <w:vMerge w:val="continue"/>
            <w:shd w:val="clear" w:color="auto" w:fill="CCEEFF"/>
          </w:tcPr>
          <w:p>
            <w:pPr>
              <w:spacing w:after="0"/>
              <w:rPr>
                <w:sz w:val="6"/>
                <w:szCs w:val="6"/>
                <w:color w:val="auto"/>
              </w:rPr>
            </w:pPr>
          </w:p>
        </w:tc>
        <w:tc>
          <w:tcPr>
            <w:tcW w:w="5540" w:type="dxa"/>
            <w:vAlign w:val="bottom"/>
            <w:gridSpan w:val="25"/>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right w:val="single" w:sz="8" w:color="auto"/>
            </w:tcBorders>
            <w:shd w:val="clear" w:color="auto" w:fill="CCEEFF"/>
          </w:tcPr>
          <w:p>
            <w:pPr>
              <w:spacing w:after="0"/>
              <w:rPr>
                <w:sz w:val="6"/>
                <w:szCs w:val="6"/>
                <w:color w:val="auto"/>
              </w:rPr>
            </w:pPr>
          </w:p>
        </w:tc>
        <w:tc>
          <w:tcPr>
            <w:tcW w:w="452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Form 8-K filed on April 13, 2022</w:t>
            </w:r>
          </w:p>
        </w:tc>
        <w:tc>
          <w:tcPr>
            <w:tcW w:w="0" w:type="dxa"/>
            <w:vAlign w:val="bottom"/>
          </w:tcPr>
          <w:p>
            <w:pPr>
              <w:spacing w:after="0"/>
              <w:rPr>
                <w:sz w:val="1"/>
                <w:szCs w:val="1"/>
                <w:color w:val="auto"/>
              </w:rPr>
            </w:pPr>
          </w:p>
        </w:tc>
      </w:tr>
      <w:tr>
        <w:trPr>
          <w:trHeight w:val="77"/>
        </w:trPr>
        <w:tc>
          <w:tcPr>
            <w:tcW w:w="760" w:type="dxa"/>
            <w:vAlign w:val="bottom"/>
            <w:tcBorders>
              <w:top w:val="single" w:sz="8" w:color="CCEEFF"/>
              <w:left w:val="single" w:sz="8" w:color="auto"/>
              <w:bottom w:val="single" w:sz="8" w:color="auto"/>
              <w:right w:val="single" w:sz="8" w:color="auto"/>
            </w:tcBorders>
            <w:shd w:val="clear" w:color="auto" w:fill="CCEEFF"/>
          </w:tcPr>
          <w:p>
            <w:pPr>
              <w:spacing w:after="0"/>
              <w:rPr>
                <w:sz w:val="6"/>
                <w:szCs w:val="6"/>
                <w:color w:val="auto"/>
              </w:rPr>
            </w:pPr>
          </w:p>
        </w:tc>
        <w:tc>
          <w:tcPr>
            <w:tcW w:w="720" w:type="dxa"/>
            <w:vAlign w:val="bottom"/>
            <w:tcBorders>
              <w:top w:val="single" w:sz="8" w:color="3051F2"/>
              <w:bottom w:val="single" w:sz="8" w:color="auto"/>
            </w:tcBorders>
            <w:shd w:val="clear" w:color="auto" w:fill="CCEEFF"/>
          </w:tcPr>
          <w:p>
            <w:pPr>
              <w:spacing w:after="0"/>
              <w:rPr>
                <w:sz w:val="6"/>
                <w:szCs w:val="6"/>
                <w:color w:val="auto"/>
              </w:rPr>
            </w:pPr>
          </w:p>
        </w:tc>
        <w:tc>
          <w:tcPr>
            <w:tcW w:w="40" w:type="dxa"/>
            <w:vAlign w:val="bottom"/>
            <w:tcBorders>
              <w:top w:val="single" w:sz="8" w:color="3051F2"/>
              <w:bottom w:val="single" w:sz="8" w:color="auto"/>
            </w:tcBorders>
            <w:shd w:val="clear" w:color="auto" w:fill="CCEEFF"/>
          </w:tcPr>
          <w:p>
            <w:pPr>
              <w:spacing w:after="0"/>
              <w:rPr>
                <w:sz w:val="6"/>
                <w:szCs w:val="6"/>
                <w:color w:val="auto"/>
              </w:rPr>
            </w:pPr>
          </w:p>
        </w:tc>
        <w:tc>
          <w:tcPr>
            <w:tcW w:w="20" w:type="dxa"/>
            <w:vAlign w:val="bottom"/>
            <w:tcBorders>
              <w:top w:val="single" w:sz="8" w:color="3051F2"/>
              <w:bottom w:val="single" w:sz="8" w:color="auto"/>
            </w:tcBorders>
            <w:shd w:val="clear" w:color="auto" w:fill="CCEEFF"/>
          </w:tcPr>
          <w:p>
            <w:pPr>
              <w:spacing w:after="0"/>
              <w:rPr>
                <w:sz w:val="6"/>
                <w:szCs w:val="6"/>
                <w:color w:val="auto"/>
              </w:rPr>
            </w:pPr>
          </w:p>
        </w:tc>
        <w:tc>
          <w:tcPr>
            <w:tcW w:w="180" w:type="dxa"/>
            <w:vAlign w:val="bottom"/>
            <w:tcBorders>
              <w:top w:val="single" w:sz="8" w:color="3051F2"/>
              <w:bottom w:val="single" w:sz="8" w:color="auto"/>
            </w:tcBorders>
            <w:shd w:val="clear" w:color="auto" w:fill="CCEEFF"/>
          </w:tcPr>
          <w:p>
            <w:pPr>
              <w:spacing w:after="0"/>
              <w:rPr>
                <w:sz w:val="6"/>
                <w:szCs w:val="6"/>
                <w:color w:val="auto"/>
              </w:rPr>
            </w:pPr>
          </w:p>
        </w:tc>
        <w:tc>
          <w:tcPr>
            <w:tcW w:w="180" w:type="dxa"/>
            <w:vAlign w:val="bottom"/>
            <w:tcBorders>
              <w:top w:val="single" w:sz="8" w:color="3051F2"/>
              <w:bottom w:val="single" w:sz="8" w:color="auto"/>
            </w:tcBorders>
            <w:shd w:val="clear" w:color="auto" w:fill="CCEEFF"/>
          </w:tcPr>
          <w:p>
            <w:pPr>
              <w:spacing w:after="0"/>
              <w:rPr>
                <w:sz w:val="6"/>
                <w:szCs w:val="6"/>
                <w:color w:val="auto"/>
              </w:rPr>
            </w:pPr>
          </w:p>
        </w:tc>
        <w:tc>
          <w:tcPr>
            <w:tcW w:w="580" w:type="dxa"/>
            <w:vAlign w:val="bottom"/>
            <w:tcBorders>
              <w:top w:val="single" w:sz="8" w:color="3051F2"/>
              <w:bottom w:val="single" w:sz="8" w:color="auto"/>
            </w:tcBorders>
            <w:shd w:val="clear" w:color="auto" w:fill="CCEEFF"/>
          </w:tcPr>
          <w:p>
            <w:pPr>
              <w:spacing w:after="0"/>
              <w:rPr>
                <w:sz w:val="6"/>
                <w:szCs w:val="6"/>
                <w:color w:val="auto"/>
              </w:rPr>
            </w:pPr>
          </w:p>
        </w:tc>
        <w:tc>
          <w:tcPr>
            <w:tcW w:w="40" w:type="dxa"/>
            <w:vAlign w:val="bottom"/>
            <w:tcBorders>
              <w:top w:val="single" w:sz="8" w:color="3051F2"/>
              <w:bottom w:val="single" w:sz="8" w:color="auto"/>
            </w:tcBorders>
            <w:shd w:val="clear" w:color="auto" w:fill="CCEEFF"/>
          </w:tcPr>
          <w:p>
            <w:pPr>
              <w:spacing w:after="0"/>
              <w:rPr>
                <w:sz w:val="6"/>
                <w:szCs w:val="6"/>
                <w:color w:val="auto"/>
              </w:rPr>
            </w:pPr>
          </w:p>
        </w:tc>
        <w:tc>
          <w:tcPr>
            <w:tcW w:w="40" w:type="dxa"/>
            <w:vAlign w:val="bottom"/>
            <w:tcBorders>
              <w:top w:val="single" w:sz="8" w:color="3051F2"/>
              <w:bottom w:val="single" w:sz="8" w:color="auto"/>
            </w:tcBorders>
            <w:shd w:val="clear" w:color="auto" w:fill="CCEEFF"/>
          </w:tcPr>
          <w:p>
            <w:pPr>
              <w:spacing w:after="0"/>
              <w:rPr>
                <w:sz w:val="6"/>
                <w:szCs w:val="6"/>
                <w:color w:val="auto"/>
              </w:rPr>
            </w:pPr>
          </w:p>
        </w:tc>
        <w:tc>
          <w:tcPr>
            <w:tcW w:w="20" w:type="dxa"/>
            <w:vAlign w:val="bottom"/>
            <w:tcBorders>
              <w:top w:val="single" w:sz="8" w:color="3051F2"/>
              <w:bottom w:val="single" w:sz="8" w:color="auto"/>
            </w:tcBorders>
            <w:shd w:val="clear" w:color="auto" w:fill="CCEEFF"/>
          </w:tcPr>
          <w:p>
            <w:pPr>
              <w:spacing w:after="0"/>
              <w:rPr>
                <w:sz w:val="6"/>
                <w:szCs w:val="6"/>
                <w:color w:val="auto"/>
              </w:rPr>
            </w:pPr>
          </w:p>
        </w:tc>
        <w:tc>
          <w:tcPr>
            <w:tcW w:w="480" w:type="dxa"/>
            <w:vAlign w:val="bottom"/>
            <w:tcBorders>
              <w:top w:val="single" w:sz="8" w:color="3051F2"/>
              <w:bottom w:val="single" w:sz="8" w:color="auto"/>
            </w:tcBorders>
            <w:shd w:val="clear" w:color="auto" w:fill="CCEEFF"/>
          </w:tcPr>
          <w:p>
            <w:pPr>
              <w:spacing w:after="0"/>
              <w:rPr>
                <w:sz w:val="6"/>
                <w:szCs w:val="6"/>
                <w:color w:val="auto"/>
              </w:rPr>
            </w:pPr>
          </w:p>
        </w:tc>
        <w:tc>
          <w:tcPr>
            <w:tcW w:w="40" w:type="dxa"/>
            <w:vAlign w:val="bottom"/>
            <w:tcBorders>
              <w:top w:val="single" w:sz="8" w:color="3051F2"/>
              <w:bottom w:val="single" w:sz="8" w:color="auto"/>
            </w:tcBorders>
            <w:shd w:val="clear" w:color="auto" w:fill="CCEEFF"/>
          </w:tcPr>
          <w:p>
            <w:pPr>
              <w:spacing w:after="0"/>
              <w:rPr>
                <w:sz w:val="6"/>
                <w:szCs w:val="6"/>
                <w:color w:val="auto"/>
              </w:rPr>
            </w:pPr>
          </w:p>
        </w:tc>
        <w:tc>
          <w:tcPr>
            <w:tcW w:w="80" w:type="dxa"/>
            <w:vAlign w:val="bottom"/>
            <w:tcBorders>
              <w:top w:val="single" w:sz="8" w:color="3051F2"/>
              <w:bottom w:val="single" w:sz="8" w:color="auto"/>
            </w:tcBorders>
            <w:shd w:val="clear" w:color="auto" w:fill="CCEEFF"/>
          </w:tcPr>
          <w:p>
            <w:pPr>
              <w:spacing w:after="0"/>
              <w:rPr>
                <w:sz w:val="6"/>
                <w:szCs w:val="6"/>
                <w:color w:val="auto"/>
              </w:rPr>
            </w:pPr>
          </w:p>
        </w:tc>
        <w:tc>
          <w:tcPr>
            <w:tcW w:w="100" w:type="dxa"/>
            <w:vAlign w:val="bottom"/>
            <w:tcBorders>
              <w:top w:val="single" w:sz="8" w:color="3051F2"/>
              <w:bottom w:val="single" w:sz="8" w:color="auto"/>
            </w:tcBorders>
            <w:shd w:val="clear" w:color="auto" w:fill="CCEEFF"/>
          </w:tcPr>
          <w:p>
            <w:pPr>
              <w:spacing w:after="0"/>
              <w:rPr>
                <w:sz w:val="6"/>
                <w:szCs w:val="6"/>
                <w:color w:val="auto"/>
              </w:rPr>
            </w:pPr>
          </w:p>
        </w:tc>
        <w:tc>
          <w:tcPr>
            <w:tcW w:w="60" w:type="dxa"/>
            <w:vAlign w:val="bottom"/>
            <w:tcBorders>
              <w:top w:val="single" w:sz="8" w:color="3051F2"/>
              <w:bottom w:val="single" w:sz="8" w:color="auto"/>
            </w:tcBorders>
            <w:shd w:val="clear" w:color="auto" w:fill="CCEEFF"/>
          </w:tcPr>
          <w:p>
            <w:pPr>
              <w:spacing w:after="0"/>
              <w:rPr>
                <w:sz w:val="6"/>
                <w:szCs w:val="6"/>
                <w:color w:val="auto"/>
              </w:rPr>
            </w:pPr>
          </w:p>
        </w:tc>
        <w:tc>
          <w:tcPr>
            <w:tcW w:w="100" w:type="dxa"/>
            <w:vAlign w:val="bottom"/>
            <w:tcBorders>
              <w:top w:val="single" w:sz="8" w:color="3051F2"/>
              <w:bottom w:val="single" w:sz="8" w:color="auto"/>
            </w:tcBorders>
            <w:shd w:val="clear" w:color="auto" w:fill="CCEEFF"/>
          </w:tcPr>
          <w:p>
            <w:pPr>
              <w:spacing w:after="0"/>
              <w:rPr>
                <w:sz w:val="6"/>
                <w:szCs w:val="6"/>
                <w:color w:val="auto"/>
              </w:rPr>
            </w:pPr>
          </w:p>
        </w:tc>
        <w:tc>
          <w:tcPr>
            <w:tcW w:w="200" w:type="dxa"/>
            <w:vAlign w:val="bottom"/>
            <w:tcBorders>
              <w:top w:val="single" w:sz="8" w:color="3051F2"/>
              <w:bottom w:val="single" w:sz="8" w:color="auto"/>
            </w:tcBorders>
            <w:shd w:val="clear" w:color="auto" w:fill="CCEEFF"/>
          </w:tcPr>
          <w:p>
            <w:pPr>
              <w:spacing w:after="0"/>
              <w:rPr>
                <w:sz w:val="6"/>
                <w:szCs w:val="6"/>
                <w:color w:val="auto"/>
              </w:rPr>
            </w:pPr>
          </w:p>
        </w:tc>
        <w:tc>
          <w:tcPr>
            <w:tcW w:w="520" w:type="dxa"/>
            <w:vAlign w:val="bottom"/>
            <w:tcBorders>
              <w:top w:val="single" w:sz="8" w:color="3051F2"/>
              <w:bottom w:val="single" w:sz="8" w:color="auto"/>
            </w:tcBorders>
            <w:shd w:val="clear" w:color="auto" w:fill="CCEEFF"/>
          </w:tcPr>
          <w:p>
            <w:pPr>
              <w:spacing w:after="0"/>
              <w:rPr>
                <w:sz w:val="6"/>
                <w:szCs w:val="6"/>
                <w:color w:val="auto"/>
              </w:rPr>
            </w:pPr>
          </w:p>
        </w:tc>
        <w:tc>
          <w:tcPr>
            <w:tcW w:w="20" w:type="dxa"/>
            <w:vAlign w:val="bottom"/>
            <w:tcBorders>
              <w:top w:val="single" w:sz="8" w:color="3051F2"/>
              <w:bottom w:val="single" w:sz="8" w:color="auto"/>
            </w:tcBorders>
            <w:shd w:val="clear" w:color="auto" w:fill="CCEEFF"/>
          </w:tcPr>
          <w:p>
            <w:pPr>
              <w:spacing w:after="0"/>
              <w:rPr>
                <w:sz w:val="6"/>
                <w:szCs w:val="6"/>
                <w:color w:val="auto"/>
              </w:rPr>
            </w:pPr>
          </w:p>
        </w:tc>
        <w:tc>
          <w:tcPr>
            <w:tcW w:w="100" w:type="dxa"/>
            <w:vAlign w:val="bottom"/>
            <w:tcBorders>
              <w:top w:val="single" w:sz="8" w:color="3051F2"/>
              <w:bottom w:val="single" w:sz="8" w:color="auto"/>
            </w:tcBorders>
            <w:shd w:val="clear" w:color="auto" w:fill="CCEEFF"/>
          </w:tcPr>
          <w:p>
            <w:pPr>
              <w:spacing w:after="0"/>
              <w:rPr>
                <w:sz w:val="6"/>
                <w:szCs w:val="6"/>
                <w:color w:val="auto"/>
              </w:rPr>
            </w:pPr>
          </w:p>
        </w:tc>
        <w:tc>
          <w:tcPr>
            <w:tcW w:w="20" w:type="dxa"/>
            <w:vAlign w:val="bottom"/>
            <w:tcBorders>
              <w:top w:val="single" w:sz="8" w:color="3051F2"/>
              <w:bottom w:val="single" w:sz="8" w:color="auto"/>
            </w:tcBorders>
            <w:shd w:val="clear" w:color="auto" w:fill="CCEEFF"/>
          </w:tcPr>
          <w:p>
            <w:pPr>
              <w:spacing w:after="0"/>
              <w:rPr>
                <w:sz w:val="6"/>
                <w:szCs w:val="6"/>
                <w:color w:val="auto"/>
              </w:rPr>
            </w:pPr>
          </w:p>
        </w:tc>
        <w:tc>
          <w:tcPr>
            <w:tcW w:w="160" w:type="dxa"/>
            <w:vAlign w:val="bottom"/>
            <w:tcBorders>
              <w:top w:val="single" w:sz="8" w:color="3051F2"/>
              <w:bottom w:val="single" w:sz="8" w:color="auto"/>
            </w:tcBorders>
            <w:shd w:val="clear" w:color="auto" w:fill="CCEEFF"/>
          </w:tcPr>
          <w:p>
            <w:pPr>
              <w:spacing w:after="0"/>
              <w:rPr>
                <w:sz w:val="6"/>
                <w:szCs w:val="6"/>
                <w:color w:val="auto"/>
              </w:rPr>
            </w:pPr>
          </w:p>
        </w:tc>
        <w:tc>
          <w:tcPr>
            <w:tcW w:w="160" w:type="dxa"/>
            <w:vAlign w:val="bottom"/>
            <w:tcBorders>
              <w:top w:val="single" w:sz="8" w:color="CCEEFF"/>
              <w:bottom w:val="single" w:sz="8" w:color="auto"/>
            </w:tcBorders>
            <w:shd w:val="clear" w:color="auto" w:fill="CCEEFF"/>
          </w:tcPr>
          <w:p>
            <w:pPr>
              <w:spacing w:after="0"/>
              <w:rPr>
                <w:sz w:val="6"/>
                <w:szCs w:val="6"/>
                <w:color w:val="auto"/>
              </w:rPr>
            </w:pPr>
          </w:p>
        </w:tc>
        <w:tc>
          <w:tcPr>
            <w:tcW w:w="700" w:type="dxa"/>
            <w:vAlign w:val="bottom"/>
            <w:tcBorders>
              <w:top w:val="single" w:sz="8" w:color="CCEEFF"/>
              <w:bottom w:val="single" w:sz="8" w:color="auto"/>
            </w:tcBorders>
            <w:shd w:val="clear" w:color="auto" w:fill="CCEEFF"/>
          </w:tcPr>
          <w:p>
            <w:pPr>
              <w:spacing w:after="0"/>
              <w:rPr>
                <w:sz w:val="6"/>
                <w:szCs w:val="6"/>
                <w:color w:val="auto"/>
              </w:rPr>
            </w:pPr>
          </w:p>
        </w:tc>
        <w:tc>
          <w:tcPr>
            <w:tcW w:w="400" w:type="dxa"/>
            <w:vAlign w:val="bottom"/>
            <w:tcBorders>
              <w:top w:val="single" w:sz="8" w:color="CCEEFF"/>
              <w:bottom w:val="single" w:sz="8" w:color="auto"/>
            </w:tcBorders>
            <w:shd w:val="clear" w:color="auto" w:fill="CCEEFF"/>
          </w:tcPr>
          <w:p>
            <w:pPr>
              <w:spacing w:after="0"/>
              <w:rPr>
                <w:sz w:val="6"/>
                <w:szCs w:val="6"/>
                <w:color w:val="auto"/>
              </w:rPr>
            </w:pPr>
          </w:p>
        </w:tc>
        <w:tc>
          <w:tcPr>
            <w:tcW w:w="580" w:type="dxa"/>
            <w:vAlign w:val="bottom"/>
            <w:tcBorders>
              <w:top w:val="single" w:sz="8" w:color="CCEEFF"/>
              <w:bottom w:val="single" w:sz="8" w:color="auto"/>
            </w:tcBorders>
            <w:shd w:val="clear" w:color="auto" w:fill="CCEEFF"/>
          </w:tcPr>
          <w:p>
            <w:pPr>
              <w:spacing w:after="0"/>
              <w:rPr>
                <w:sz w:val="6"/>
                <w:szCs w:val="6"/>
                <w:color w:val="auto"/>
              </w:rPr>
            </w:pPr>
          </w:p>
        </w:tc>
        <w:tc>
          <w:tcPr>
            <w:tcW w:w="120" w:type="dxa"/>
            <w:vAlign w:val="bottom"/>
            <w:tcBorders>
              <w:top w:val="single" w:sz="8" w:color="CCEEFF"/>
              <w:bottom w:val="single" w:sz="8" w:color="auto"/>
            </w:tcBorders>
            <w:shd w:val="clear" w:color="auto" w:fill="CCEEFF"/>
          </w:tcPr>
          <w:p>
            <w:pPr>
              <w:spacing w:after="0"/>
              <w:rPr>
                <w:sz w:val="6"/>
                <w:szCs w:val="6"/>
                <w:color w:val="auto"/>
              </w:rPr>
            </w:pPr>
          </w:p>
        </w:tc>
        <w:tc>
          <w:tcPr>
            <w:tcW w:w="340" w:type="dxa"/>
            <w:vAlign w:val="bottom"/>
            <w:tcBorders>
              <w:top w:val="single" w:sz="8" w:color="CCEEFF"/>
              <w:bottom w:val="single" w:sz="8" w:color="auto"/>
              <w:right w:val="single" w:sz="8" w:color="auto"/>
            </w:tcBorders>
            <w:shd w:val="clear" w:color="auto" w:fill="CCEEFF"/>
          </w:tcPr>
          <w:p>
            <w:pPr>
              <w:spacing w:after="0"/>
              <w:rPr>
                <w:sz w:val="6"/>
                <w:szCs w:val="6"/>
                <w:color w:val="auto"/>
              </w:rPr>
            </w:pPr>
          </w:p>
        </w:tc>
        <w:tc>
          <w:tcPr>
            <w:tcW w:w="4520" w:type="dxa"/>
            <w:vAlign w:val="bottom"/>
            <w:tcBorders>
              <w:top w:val="single" w:sz="8" w:color="CCEEFF"/>
              <w:bottom w:val="single" w:sz="8" w:color="auto"/>
              <w:right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7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rPr>
              <w:t>10.19#</w:t>
            </w:r>
          </w:p>
        </w:tc>
        <w:tc>
          <w:tcPr>
            <w:tcW w:w="5540" w:type="dxa"/>
            <w:vAlign w:val="bottom"/>
            <w:gridSpan w:val="25"/>
            <w:vMerge w:val="restart"/>
          </w:tcPr>
          <w:p>
            <w:pPr>
              <w:spacing w:after="0"/>
              <w:rPr>
                <w:rFonts w:ascii="Times New Roman" w:cs="Times New Roman" w:eastAsia="Times New Roman" w:hAnsi="Times New Roman"/>
                <w:sz w:val="12"/>
                <w:szCs w:val="12"/>
                <w:color w:val="3051F2"/>
              </w:rPr>
            </w:pPr>
            <w:hyperlink r:id="rId87">
              <w:r>
                <w:rPr>
                  <w:rFonts w:ascii="Times New Roman" w:cs="Times New Roman" w:eastAsia="Times New Roman" w:hAnsi="Times New Roman"/>
                  <w:sz w:val="12"/>
                  <w:szCs w:val="12"/>
                  <w:color w:val="3051F2"/>
                </w:rPr>
                <w:t>Sun Communities, Inc. Amended &amp; Restated Non-Employee Directors Deferred Compensation Plan</w:t>
              </w:r>
            </w:hyperlink>
          </w:p>
        </w:tc>
        <w:tc>
          <w:tcPr>
            <w:tcW w:w="120" w:type="dxa"/>
            <w:vAlign w:val="bottom"/>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4520" w:type="dxa"/>
            <w:vAlign w:val="bottom"/>
            <w:tcBorders>
              <w:right w:val="single" w:sz="8" w:color="auto"/>
            </w:tcBorders>
          </w:tcPr>
          <w:p>
            <w:pPr>
              <w:spacing w:after="0" w:line="114" w:lineRule="exact"/>
              <w:rPr>
                <w:sz w:val="20"/>
                <w:szCs w:val="20"/>
                <w:color w:val="auto"/>
              </w:rPr>
            </w:pPr>
            <w:r>
              <w:rPr>
                <w:rFonts w:ascii="Times New Roman" w:cs="Times New Roman" w:eastAsia="Times New Roman" w:hAnsi="Times New Roman"/>
                <w:sz w:val="12"/>
                <w:szCs w:val="12"/>
                <w:color w:val="auto"/>
              </w:rPr>
              <w:t>Incorporated by reference to Exhibit 2.1 of Sun Communities, Inc.'s Annual Report on</w:t>
            </w:r>
          </w:p>
        </w:tc>
        <w:tc>
          <w:tcPr>
            <w:tcW w:w="0" w:type="dxa"/>
            <w:vAlign w:val="bottom"/>
          </w:tcPr>
          <w:p>
            <w:pPr>
              <w:spacing w:after="0"/>
              <w:rPr>
                <w:sz w:val="1"/>
                <w:szCs w:val="1"/>
                <w:color w:val="auto"/>
              </w:rPr>
            </w:pPr>
          </w:p>
        </w:tc>
      </w:tr>
      <w:tr>
        <w:trPr>
          <w:trHeight w:val="69"/>
        </w:trPr>
        <w:tc>
          <w:tcPr>
            <w:tcW w:w="760" w:type="dxa"/>
            <w:vAlign w:val="bottom"/>
            <w:tcBorders>
              <w:left w:val="single" w:sz="8" w:color="auto"/>
              <w:right w:val="single" w:sz="8" w:color="auto"/>
            </w:tcBorders>
            <w:vMerge w:val="continue"/>
          </w:tcPr>
          <w:p>
            <w:pPr>
              <w:spacing w:after="0"/>
              <w:rPr>
                <w:sz w:val="6"/>
                <w:szCs w:val="6"/>
                <w:color w:val="auto"/>
              </w:rPr>
            </w:pPr>
          </w:p>
        </w:tc>
        <w:tc>
          <w:tcPr>
            <w:tcW w:w="5540" w:type="dxa"/>
            <w:vAlign w:val="bottom"/>
            <w:gridSpan w:val="25"/>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Borders>
              <w:right w:val="single" w:sz="8" w:color="auto"/>
            </w:tcBorders>
          </w:tcPr>
          <w:p>
            <w:pPr>
              <w:spacing w:after="0"/>
              <w:rPr>
                <w:sz w:val="6"/>
                <w:szCs w:val="6"/>
                <w:color w:val="auto"/>
              </w:rPr>
            </w:pPr>
          </w:p>
        </w:tc>
        <w:tc>
          <w:tcPr>
            <w:tcW w:w="45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2"/>
                <w:szCs w:val="12"/>
                <w:color w:val="auto"/>
              </w:rPr>
              <w:t>Form 10-K filed on February 28, 2015</w:t>
            </w:r>
          </w:p>
        </w:tc>
        <w:tc>
          <w:tcPr>
            <w:tcW w:w="0" w:type="dxa"/>
            <w:vAlign w:val="bottom"/>
          </w:tcPr>
          <w:p>
            <w:pPr>
              <w:spacing w:after="0"/>
              <w:rPr>
                <w:sz w:val="1"/>
                <w:szCs w:val="1"/>
                <w:color w:val="auto"/>
              </w:rPr>
            </w:pPr>
          </w:p>
        </w:tc>
      </w:tr>
      <w:tr>
        <w:trPr>
          <w:trHeight w:val="77"/>
        </w:trPr>
        <w:tc>
          <w:tcPr>
            <w:tcW w:w="760" w:type="dxa"/>
            <w:vAlign w:val="bottom"/>
            <w:tcBorders>
              <w:left w:val="single" w:sz="8" w:color="auto"/>
              <w:bottom w:val="single" w:sz="8" w:color="auto"/>
              <w:right w:val="single" w:sz="8" w:color="auto"/>
            </w:tcBorders>
          </w:tcPr>
          <w:p>
            <w:pPr>
              <w:spacing w:after="0"/>
              <w:rPr>
                <w:sz w:val="6"/>
                <w:szCs w:val="6"/>
                <w:color w:val="auto"/>
              </w:rPr>
            </w:pPr>
          </w:p>
        </w:tc>
        <w:tc>
          <w:tcPr>
            <w:tcW w:w="720" w:type="dxa"/>
            <w:vAlign w:val="bottom"/>
            <w:tcBorders>
              <w:top w:val="single" w:sz="8" w:color="3051F2"/>
              <w:bottom w:val="single" w:sz="8" w:color="auto"/>
            </w:tcBorders>
          </w:tcPr>
          <w:p>
            <w:pPr>
              <w:spacing w:after="0"/>
              <w:rPr>
                <w:sz w:val="6"/>
                <w:szCs w:val="6"/>
                <w:color w:val="auto"/>
              </w:rPr>
            </w:pPr>
          </w:p>
        </w:tc>
        <w:tc>
          <w:tcPr>
            <w:tcW w:w="40" w:type="dxa"/>
            <w:vAlign w:val="bottom"/>
            <w:tcBorders>
              <w:top w:val="single" w:sz="8" w:color="3051F2"/>
              <w:bottom w:val="single" w:sz="8" w:color="auto"/>
            </w:tcBorders>
          </w:tcPr>
          <w:p>
            <w:pPr>
              <w:spacing w:after="0"/>
              <w:rPr>
                <w:sz w:val="6"/>
                <w:szCs w:val="6"/>
                <w:color w:val="auto"/>
              </w:rPr>
            </w:pPr>
          </w:p>
        </w:tc>
        <w:tc>
          <w:tcPr>
            <w:tcW w:w="20" w:type="dxa"/>
            <w:vAlign w:val="bottom"/>
            <w:tcBorders>
              <w:top w:val="single" w:sz="8" w:color="3051F2"/>
              <w:bottom w:val="single" w:sz="8" w:color="auto"/>
            </w:tcBorders>
          </w:tcPr>
          <w:p>
            <w:pPr>
              <w:spacing w:after="0"/>
              <w:rPr>
                <w:sz w:val="6"/>
                <w:szCs w:val="6"/>
                <w:color w:val="auto"/>
              </w:rPr>
            </w:pPr>
          </w:p>
        </w:tc>
        <w:tc>
          <w:tcPr>
            <w:tcW w:w="180" w:type="dxa"/>
            <w:vAlign w:val="bottom"/>
            <w:tcBorders>
              <w:top w:val="single" w:sz="8" w:color="3051F2"/>
              <w:bottom w:val="single" w:sz="8" w:color="auto"/>
            </w:tcBorders>
          </w:tcPr>
          <w:p>
            <w:pPr>
              <w:spacing w:after="0"/>
              <w:rPr>
                <w:sz w:val="6"/>
                <w:szCs w:val="6"/>
                <w:color w:val="auto"/>
              </w:rPr>
            </w:pPr>
          </w:p>
        </w:tc>
        <w:tc>
          <w:tcPr>
            <w:tcW w:w="180" w:type="dxa"/>
            <w:vAlign w:val="bottom"/>
            <w:tcBorders>
              <w:top w:val="single" w:sz="8" w:color="3051F2"/>
              <w:bottom w:val="single" w:sz="8" w:color="auto"/>
            </w:tcBorders>
          </w:tcPr>
          <w:p>
            <w:pPr>
              <w:spacing w:after="0"/>
              <w:rPr>
                <w:sz w:val="6"/>
                <w:szCs w:val="6"/>
                <w:color w:val="auto"/>
              </w:rPr>
            </w:pPr>
          </w:p>
        </w:tc>
        <w:tc>
          <w:tcPr>
            <w:tcW w:w="580" w:type="dxa"/>
            <w:vAlign w:val="bottom"/>
            <w:tcBorders>
              <w:top w:val="single" w:sz="8" w:color="3051F2"/>
              <w:bottom w:val="single" w:sz="8" w:color="auto"/>
            </w:tcBorders>
          </w:tcPr>
          <w:p>
            <w:pPr>
              <w:spacing w:after="0"/>
              <w:rPr>
                <w:sz w:val="6"/>
                <w:szCs w:val="6"/>
                <w:color w:val="auto"/>
              </w:rPr>
            </w:pPr>
          </w:p>
        </w:tc>
        <w:tc>
          <w:tcPr>
            <w:tcW w:w="40" w:type="dxa"/>
            <w:vAlign w:val="bottom"/>
            <w:tcBorders>
              <w:top w:val="single" w:sz="8" w:color="3051F2"/>
              <w:bottom w:val="single" w:sz="8" w:color="auto"/>
            </w:tcBorders>
          </w:tcPr>
          <w:p>
            <w:pPr>
              <w:spacing w:after="0"/>
              <w:rPr>
                <w:sz w:val="6"/>
                <w:szCs w:val="6"/>
                <w:color w:val="auto"/>
              </w:rPr>
            </w:pPr>
          </w:p>
        </w:tc>
        <w:tc>
          <w:tcPr>
            <w:tcW w:w="40" w:type="dxa"/>
            <w:vAlign w:val="bottom"/>
            <w:tcBorders>
              <w:top w:val="single" w:sz="8" w:color="3051F2"/>
              <w:bottom w:val="single" w:sz="8" w:color="auto"/>
            </w:tcBorders>
          </w:tcPr>
          <w:p>
            <w:pPr>
              <w:spacing w:after="0"/>
              <w:rPr>
                <w:sz w:val="6"/>
                <w:szCs w:val="6"/>
                <w:color w:val="auto"/>
              </w:rPr>
            </w:pPr>
          </w:p>
        </w:tc>
        <w:tc>
          <w:tcPr>
            <w:tcW w:w="20" w:type="dxa"/>
            <w:vAlign w:val="bottom"/>
            <w:tcBorders>
              <w:top w:val="single" w:sz="8" w:color="3051F2"/>
              <w:bottom w:val="single" w:sz="8" w:color="auto"/>
            </w:tcBorders>
          </w:tcPr>
          <w:p>
            <w:pPr>
              <w:spacing w:after="0"/>
              <w:rPr>
                <w:sz w:val="6"/>
                <w:szCs w:val="6"/>
                <w:color w:val="auto"/>
              </w:rPr>
            </w:pPr>
          </w:p>
        </w:tc>
        <w:tc>
          <w:tcPr>
            <w:tcW w:w="480" w:type="dxa"/>
            <w:vAlign w:val="bottom"/>
            <w:tcBorders>
              <w:top w:val="single" w:sz="8" w:color="3051F2"/>
              <w:bottom w:val="single" w:sz="8" w:color="auto"/>
            </w:tcBorders>
          </w:tcPr>
          <w:p>
            <w:pPr>
              <w:spacing w:after="0"/>
              <w:rPr>
                <w:sz w:val="6"/>
                <w:szCs w:val="6"/>
                <w:color w:val="auto"/>
              </w:rPr>
            </w:pPr>
          </w:p>
        </w:tc>
        <w:tc>
          <w:tcPr>
            <w:tcW w:w="40" w:type="dxa"/>
            <w:vAlign w:val="bottom"/>
            <w:tcBorders>
              <w:top w:val="single" w:sz="8" w:color="3051F2"/>
              <w:bottom w:val="single" w:sz="8" w:color="auto"/>
            </w:tcBorders>
          </w:tcPr>
          <w:p>
            <w:pPr>
              <w:spacing w:after="0"/>
              <w:rPr>
                <w:sz w:val="6"/>
                <w:szCs w:val="6"/>
                <w:color w:val="auto"/>
              </w:rPr>
            </w:pPr>
          </w:p>
        </w:tc>
        <w:tc>
          <w:tcPr>
            <w:tcW w:w="80" w:type="dxa"/>
            <w:vAlign w:val="bottom"/>
            <w:tcBorders>
              <w:top w:val="single" w:sz="8" w:color="3051F2"/>
              <w:bottom w:val="single" w:sz="8" w:color="auto"/>
            </w:tcBorders>
          </w:tcPr>
          <w:p>
            <w:pPr>
              <w:spacing w:after="0"/>
              <w:rPr>
                <w:sz w:val="6"/>
                <w:szCs w:val="6"/>
                <w:color w:val="auto"/>
              </w:rPr>
            </w:pPr>
          </w:p>
        </w:tc>
        <w:tc>
          <w:tcPr>
            <w:tcW w:w="100" w:type="dxa"/>
            <w:vAlign w:val="bottom"/>
            <w:tcBorders>
              <w:top w:val="single" w:sz="8" w:color="3051F2"/>
              <w:bottom w:val="single" w:sz="8" w:color="auto"/>
            </w:tcBorders>
          </w:tcPr>
          <w:p>
            <w:pPr>
              <w:spacing w:after="0"/>
              <w:rPr>
                <w:sz w:val="6"/>
                <w:szCs w:val="6"/>
                <w:color w:val="auto"/>
              </w:rPr>
            </w:pPr>
          </w:p>
        </w:tc>
        <w:tc>
          <w:tcPr>
            <w:tcW w:w="60" w:type="dxa"/>
            <w:vAlign w:val="bottom"/>
            <w:tcBorders>
              <w:top w:val="single" w:sz="8" w:color="3051F2"/>
              <w:bottom w:val="single" w:sz="8" w:color="auto"/>
            </w:tcBorders>
          </w:tcPr>
          <w:p>
            <w:pPr>
              <w:spacing w:after="0"/>
              <w:rPr>
                <w:sz w:val="6"/>
                <w:szCs w:val="6"/>
                <w:color w:val="auto"/>
              </w:rPr>
            </w:pPr>
          </w:p>
        </w:tc>
        <w:tc>
          <w:tcPr>
            <w:tcW w:w="100" w:type="dxa"/>
            <w:vAlign w:val="bottom"/>
            <w:tcBorders>
              <w:top w:val="single" w:sz="8" w:color="3051F2"/>
              <w:bottom w:val="single" w:sz="8" w:color="auto"/>
            </w:tcBorders>
          </w:tcPr>
          <w:p>
            <w:pPr>
              <w:spacing w:after="0"/>
              <w:rPr>
                <w:sz w:val="6"/>
                <w:szCs w:val="6"/>
                <w:color w:val="auto"/>
              </w:rPr>
            </w:pPr>
          </w:p>
        </w:tc>
        <w:tc>
          <w:tcPr>
            <w:tcW w:w="200" w:type="dxa"/>
            <w:vAlign w:val="bottom"/>
            <w:tcBorders>
              <w:top w:val="single" w:sz="8" w:color="3051F2"/>
              <w:bottom w:val="single" w:sz="8" w:color="auto"/>
            </w:tcBorders>
          </w:tcPr>
          <w:p>
            <w:pPr>
              <w:spacing w:after="0"/>
              <w:rPr>
                <w:sz w:val="6"/>
                <w:szCs w:val="6"/>
                <w:color w:val="auto"/>
              </w:rPr>
            </w:pPr>
          </w:p>
        </w:tc>
        <w:tc>
          <w:tcPr>
            <w:tcW w:w="520" w:type="dxa"/>
            <w:vAlign w:val="bottom"/>
            <w:tcBorders>
              <w:top w:val="single" w:sz="8" w:color="3051F2"/>
              <w:bottom w:val="single" w:sz="8" w:color="auto"/>
            </w:tcBorders>
          </w:tcPr>
          <w:p>
            <w:pPr>
              <w:spacing w:after="0"/>
              <w:rPr>
                <w:sz w:val="6"/>
                <w:szCs w:val="6"/>
                <w:color w:val="auto"/>
              </w:rPr>
            </w:pPr>
          </w:p>
        </w:tc>
        <w:tc>
          <w:tcPr>
            <w:tcW w:w="20" w:type="dxa"/>
            <w:vAlign w:val="bottom"/>
            <w:tcBorders>
              <w:top w:val="single" w:sz="8" w:color="3051F2"/>
              <w:bottom w:val="single" w:sz="8" w:color="auto"/>
            </w:tcBorders>
          </w:tcPr>
          <w:p>
            <w:pPr>
              <w:spacing w:after="0"/>
              <w:rPr>
                <w:sz w:val="6"/>
                <w:szCs w:val="6"/>
                <w:color w:val="auto"/>
              </w:rPr>
            </w:pPr>
          </w:p>
        </w:tc>
        <w:tc>
          <w:tcPr>
            <w:tcW w:w="100" w:type="dxa"/>
            <w:vAlign w:val="bottom"/>
            <w:tcBorders>
              <w:top w:val="single" w:sz="8" w:color="3051F2"/>
              <w:bottom w:val="single" w:sz="8" w:color="auto"/>
            </w:tcBorders>
          </w:tcPr>
          <w:p>
            <w:pPr>
              <w:spacing w:after="0"/>
              <w:rPr>
                <w:sz w:val="6"/>
                <w:szCs w:val="6"/>
                <w:color w:val="auto"/>
              </w:rPr>
            </w:pPr>
          </w:p>
        </w:tc>
        <w:tc>
          <w:tcPr>
            <w:tcW w:w="20" w:type="dxa"/>
            <w:vAlign w:val="bottom"/>
            <w:tcBorders>
              <w:top w:val="single" w:sz="8" w:color="3051F2"/>
              <w:bottom w:val="single" w:sz="8" w:color="auto"/>
            </w:tcBorders>
          </w:tcPr>
          <w:p>
            <w:pPr>
              <w:spacing w:after="0"/>
              <w:rPr>
                <w:sz w:val="6"/>
                <w:szCs w:val="6"/>
                <w:color w:val="auto"/>
              </w:rPr>
            </w:pPr>
          </w:p>
        </w:tc>
        <w:tc>
          <w:tcPr>
            <w:tcW w:w="160" w:type="dxa"/>
            <w:vAlign w:val="bottom"/>
            <w:tcBorders>
              <w:top w:val="single" w:sz="8" w:color="3051F2"/>
              <w:bottom w:val="single" w:sz="8" w:color="auto"/>
            </w:tcBorders>
          </w:tcPr>
          <w:p>
            <w:pPr>
              <w:spacing w:after="0"/>
              <w:rPr>
                <w:sz w:val="6"/>
                <w:szCs w:val="6"/>
                <w:color w:val="auto"/>
              </w:rPr>
            </w:pPr>
          </w:p>
        </w:tc>
        <w:tc>
          <w:tcPr>
            <w:tcW w:w="160" w:type="dxa"/>
            <w:vAlign w:val="bottom"/>
            <w:tcBorders>
              <w:top w:val="single" w:sz="8" w:color="3051F2"/>
              <w:bottom w:val="single" w:sz="8" w:color="auto"/>
            </w:tcBorders>
          </w:tcPr>
          <w:p>
            <w:pPr>
              <w:spacing w:after="0"/>
              <w:rPr>
                <w:sz w:val="6"/>
                <w:szCs w:val="6"/>
                <w:color w:val="auto"/>
              </w:rPr>
            </w:pPr>
          </w:p>
        </w:tc>
        <w:tc>
          <w:tcPr>
            <w:tcW w:w="700" w:type="dxa"/>
            <w:vAlign w:val="bottom"/>
            <w:tcBorders>
              <w:top w:val="single" w:sz="8" w:color="3051F2"/>
              <w:bottom w:val="single" w:sz="8" w:color="auto"/>
            </w:tcBorders>
          </w:tcPr>
          <w:p>
            <w:pPr>
              <w:spacing w:after="0"/>
              <w:rPr>
                <w:sz w:val="6"/>
                <w:szCs w:val="6"/>
                <w:color w:val="auto"/>
              </w:rPr>
            </w:pPr>
          </w:p>
        </w:tc>
        <w:tc>
          <w:tcPr>
            <w:tcW w:w="400" w:type="dxa"/>
            <w:vAlign w:val="bottom"/>
            <w:tcBorders>
              <w:top w:val="single" w:sz="8" w:color="3051F2"/>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40" w:type="dxa"/>
            <w:vAlign w:val="bottom"/>
            <w:tcBorders>
              <w:bottom w:val="single" w:sz="8" w:color="auto"/>
              <w:right w:val="single" w:sz="8" w:color="auto"/>
            </w:tcBorders>
          </w:tcPr>
          <w:p>
            <w:pPr>
              <w:spacing w:after="0"/>
              <w:rPr>
                <w:sz w:val="6"/>
                <w:szCs w:val="6"/>
                <w:color w:val="auto"/>
              </w:rPr>
            </w:pPr>
          </w:p>
        </w:tc>
        <w:tc>
          <w:tcPr>
            <w:tcW w:w="45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52" w:name="page53"/>
    <w:bookmarkEnd w:id="52"/>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760" w:type="dxa"/>
            <w:vAlign w:val="bottom"/>
            <w:tcBorders>
              <w:top w:val="single" w:sz="8" w:color="auto"/>
              <w:left w:val="single" w:sz="8" w:color="auto"/>
              <w:bottom w:val="single" w:sz="8" w:color="auto"/>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10.20#</w:t>
            </w:r>
          </w:p>
        </w:tc>
        <w:tc>
          <w:tcPr>
            <w:tcW w:w="5880" w:type="dxa"/>
            <w:vAlign w:val="bottom"/>
            <w:tcBorders>
              <w:top w:val="single" w:sz="8" w:color="auto"/>
              <w:bottom w:val="single" w:sz="8" w:color="3051F2"/>
            </w:tcBorders>
            <w:gridSpan w:val="25"/>
            <w:shd w:val="clear" w:color="auto" w:fill="CCEEFF"/>
          </w:tcPr>
          <w:p>
            <w:pPr>
              <w:spacing w:after="0"/>
              <w:rPr>
                <w:rFonts w:ascii="Times New Roman" w:cs="Times New Roman" w:eastAsia="Times New Roman" w:hAnsi="Times New Roman"/>
                <w:sz w:val="12"/>
                <w:szCs w:val="12"/>
                <w:color w:val="3051F2"/>
              </w:rPr>
            </w:pPr>
            <w:hyperlink r:id="rId89">
              <w:r>
                <w:rPr>
                  <w:rFonts w:ascii="Times New Roman" w:cs="Times New Roman" w:eastAsia="Times New Roman" w:hAnsi="Times New Roman"/>
                  <w:sz w:val="12"/>
                  <w:szCs w:val="12"/>
                  <w:color w:val="3051F2"/>
                </w:rPr>
                <w:t>Employment Agreement among Sun Communities, Inc., Sun Communities Operating Limited Partnership and Gary A.</w:t>
              </w:r>
            </w:hyperlink>
          </w:p>
        </w:tc>
        <w:tc>
          <w:tcPr>
            <w:tcW w:w="220" w:type="dxa"/>
            <w:vAlign w:val="bottom"/>
            <w:tcBorders>
              <w:top w:val="single" w:sz="8" w:color="auto"/>
              <w:bottom w:val="single" w:sz="8" w:color="CCEEFF"/>
              <w:right w:val="single" w:sz="8" w:color="auto"/>
            </w:tcBorders>
            <w:gridSpan w:val="6"/>
            <w:shd w:val="clear" w:color="auto" w:fill="CCEEFF"/>
          </w:tcPr>
          <w:p>
            <w:pPr>
              <w:spacing w:after="0"/>
              <w:rPr>
                <w:sz w:val="12"/>
                <w:szCs w:val="12"/>
                <w:color w:val="auto"/>
              </w:rPr>
            </w:pPr>
          </w:p>
        </w:tc>
        <w:tc>
          <w:tcPr>
            <w:tcW w:w="4420" w:type="dxa"/>
            <w:vAlign w:val="bottom"/>
            <w:tcBorders>
              <w:top w:val="single" w:sz="8" w:color="auto"/>
              <w:bottom w:val="single" w:sz="8" w:color="CCEEFF"/>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Incorporated by reference to Exhibit 10.1 of Sun Communities, Inc.'s Current Report on</w:t>
            </w:r>
          </w:p>
        </w:tc>
        <w:tc>
          <w:tcPr>
            <w:tcW w:w="0" w:type="dxa"/>
            <w:vAlign w:val="bottom"/>
          </w:tcPr>
          <w:p>
            <w:pPr>
              <w:spacing w:after="0"/>
              <w:rPr>
                <w:sz w:val="1"/>
                <w:szCs w:val="1"/>
                <w:color w:val="auto"/>
              </w:rPr>
            </w:pPr>
          </w:p>
        </w:tc>
      </w:tr>
      <w:tr>
        <w:trPr>
          <w:trHeight w:val="62"/>
        </w:trPr>
        <w:tc>
          <w:tcPr>
            <w:tcW w:w="760" w:type="dxa"/>
            <w:vAlign w:val="bottom"/>
            <w:tcBorders>
              <w:left w:val="single" w:sz="8" w:color="auto"/>
              <w:right w:val="single" w:sz="8" w:color="auto"/>
            </w:tcBorders>
            <w:vMerge w:val="continue"/>
            <w:shd w:val="clear" w:color="auto" w:fill="CCEEFF"/>
          </w:tcPr>
          <w:p>
            <w:pPr>
              <w:spacing w:after="0"/>
              <w:rPr>
                <w:sz w:val="5"/>
                <w:szCs w:val="5"/>
                <w:color w:val="auto"/>
              </w:rPr>
            </w:pPr>
          </w:p>
        </w:tc>
        <w:tc>
          <w:tcPr>
            <w:tcW w:w="6100" w:type="dxa"/>
            <w:vAlign w:val="bottom"/>
            <w:tcBorders>
              <w:right w:val="single" w:sz="8" w:color="auto"/>
            </w:tcBorders>
            <w:gridSpan w:val="31"/>
            <w:vMerge w:val="restart"/>
            <w:shd w:val="clear" w:color="auto" w:fill="CCEEFF"/>
          </w:tcPr>
          <w:p>
            <w:pPr>
              <w:spacing w:after="0" w:line="107" w:lineRule="exact"/>
              <w:rPr>
                <w:rFonts w:ascii="Times New Roman" w:cs="Times New Roman" w:eastAsia="Times New Roman" w:hAnsi="Times New Roman"/>
                <w:sz w:val="12"/>
                <w:szCs w:val="12"/>
                <w:color w:val="3051F2"/>
              </w:rPr>
            </w:pPr>
            <w:hyperlink r:id="rId89">
              <w:r>
                <w:rPr>
                  <w:rFonts w:ascii="Times New Roman" w:cs="Times New Roman" w:eastAsia="Times New Roman" w:hAnsi="Times New Roman"/>
                  <w:sz w:val="12"/>
                  <w:szCs w:val="12"/>
                  <w:color w:val="3051F2"/>
                </w:rPr>
                <w:t>Shiffman dated March 29, 2021</w:t>
              </w:r>
            </w:hyperlink>
          </w:p>
        </w:tc>
        <w:tc>
          <w:tcPr>
            <w:tcW w:w="4420" w:type="dxa"/>
            <w:vAlign w:val="bottom"/>
            <w:tcBorders>
              <w:right w:val="single" w:sz="8" w:color="auto"/>
            </w:tcBorders>
            <w:vMerge w:val="restart"/>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Form 8-K filed on March 31, 2021</w:t>
            </w:r>
          </w:p>
        </w:tc>
        <w:tc>
          <w:tcPr>
            <w:tcW w:w="0" w:type="dxa"/>
            <w:vAlign w:val="bottom"/>
          </w:tcPr>
          <w:p>
            <w:pPr>
              <w:spacing w:after="0"/>
              <w:rPr>
                <w:sz w:val="1"/>
                <w:szCs w:val="1"/>
                <w:color w:val="auto"/>
              </w:rPr>
            </w:pPr>
          </w:p>
        </w:tc>
      </w:tr>
      <w:tr>
        <w:trPr>
          <w:trHeight w:val="85"/>
        </w:trPr>
        <w:tc>
          <w:tcPr>
            <w:tcW w:w="760" w:type="dxa"/>
            <w:vAlign w:val="bottom"/>
            <w:tcBorders>
              <w:left w:val="single" w:sz="8" w:color="auto"/>
              <w:bottom w:val="single" w:sz="8" w:color="auto"/>
              <w:right w:val="single" w:sz="8" w:color="auto"/>
            </w:tcBorders>
            <w:shd w:val="clear" w:color="auto" w:fill="CCEEFF"/>
          </w:tcPr>
          <w:p>
            <w:pPr>
              <w:spacing w:after="0"/>
              <w:rPr>
                <w:sz w:val="7"/>
                <w:szCs w:val="7"/>
                <w:color w:val="auto"/>
              </w:rPr>
            </w:pPr>
          </w:p>
        </w:tc>
        <w:tc>
          <w:tcPr>
            <w:tcW w:w="6100" w:type="dxa"/>
            <w:vAlign w:val="bottom"/>
            <w:tcBorders>
              <w:bottom w:val="single" w:sz="8" w:color="auto"/>
              <w:right w:val="single" w:sz="8" w:color="auto"/>
            </w:tcBorders>
            <w:gridSpan w:val="31"/>
            <w:vMerge w:val="continue"/>
            <w:shd w:val="clear" w:color="auto" w:fill="CCEEFF"/>
          </w:tcPr>
          <w:p>
            <w:pPr>
              <w:spacing w:after="0"/>
              <w:rPr>
                <w:sz w:val="7"/>
                <w:szCs w:val="7"/>
                <w:color w:val="auto"/>
              </w:rPr>
            </w:pPr>
          </w:p>
        </w:tc>
        <w:tc>
          <w:tcPr>
            <w:tcW w:w="4420" w:type="dxa"/>
            <w:vAlign w:val="bottom"/>
            <w:tcBorders>
              <w:bottom w:val="single" w:sz="8" w:color="auto"/>
              <w:right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7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rPr>
              <w:t>10.21#</w:t>
            </w:r>
          </w:p>
        </w:tc>
        <w:tc>
          <w:tcPr>
            <w:tcW w:w="6040" w:type="dxa"/>
            <w:vAlign w:val="bottom"/>
            <w:tcBorders>
              <w:bottom w:val="single" w:sz="8" w:color="3051F2"/>
            </w:tcBorders>
            <w:gridSpan w:val="30"/>
          </w:tcPr>
          <w:p>
            <w:pPr>
              <w:spacing w:after="0" w:line="114" w:lineRule="exact"/>
              <w:rPr>
                <w:rFonts w:ascii="Times New Roman" w:cs="Times New Roman" w:eastAsia="Times New Roman" w:hAnsi="Times New Roman"/>
                <w:sz w:val="12"/>
                <w:szCs w:val="12"/>
                <w:color w:val="3051F2"/>
              </w:rPr>
            </w:pPr>
            <w:hyperlink r:id="rId90">
              <w:r>
                <w:rPr>
                  <w:rFonts w:ascii="Times New Roman" w:cs="Times New Roman" w:eastAsia="Times New Roman" w:hAnsi="Times New Roman"/>
                  <w:sz w:val="12"/>
                  <w:szCs w:val="12"/>
                  <w:color w:val="3051F2"/>
                </w:rPr>
                <w:t>First Amendment to Employment Agreement among Sun Communities, Inc., Sun Communities Operating Limited</w:t>
              </w:r>
            </w:hyperlink>
          </w:p>
        </w:tc>
        <w:tc>
          <w:tcPr>
            <w:tcW w:w="60" w:type="dxa"/>
            <w:vAlign w:val="bottom"/>
            <w:tcBorders>
              <w:right w:val="single" w:sz="8" w:color="auto"/>
            </w:tcBorders>
          </w:tcPr>
          <w:p>
            <w:pPr>
              <w:spacing w:after="0"/>
              <w:rPr>
                <w:sz w:val="10"/>
                <w:szCs w:val="10"/>
                <w:color w:val="auto"/>
              </w:rPr>
            </w:pPr>
          </w:p>
        </w:tc>
        <w:tc>
          <w:tcPr>
            <w:tcW w:w="4420" w:type="dxa"/>
            <w:vAlign w:val="bottom"/>
            <w:tcBorders>
              <w:right w:val="single" w:sz="8" w:color="auto"/>
            </w:tcBorders>
          </w:tcPr>
          <w:p>
            <w:pPr>
              <w:spacing w:after="0" w:line="114" w:lineRule="exact"/>
              <w:rPr>
                <w:sz w:val="20"/>
                <w:szCs w:val="20"/>
                <w:color w:val="auto"/>
              </w:rPr>
            </w:pPr>
            <w:r>
              <w:rPr>
                <w:rFonts w:ascii="Times New Roman" w:cs="Times New Roman" w:eastAsia="Times New Roman" w:hAnsi="Times New Roman"/>
                <w:sz w:val="12"/>
                <w:szCs w:val="12"/>
                <w:color w:val="auto"/>
              </w:rPr>
              <w:t>Incorporated by reference to Exhibit 10.1 of Sun Communities Inc.'s Current Report on</w:t>
            </w:r>
          </w:p>
        </w:tc>
        <w:tc>
          <w:tcPr>
            <w:tcW w:w="0" w:type="dxa"/>
            <w:vAlign w:val="bottom"/>
          </w:tcPr>
          <w:p>
            <w:pPr>
              <w:spacing w:after="0"/>
              <w:rPr>
                <w:sz w:val="1"/>
                <w:szCs w:val="1"/>
                <w:color w:val="auto"/>
              </w:rPr>
            </w:pPr>
          </w:p>
        </w:tc>
      </w:tr>
      <w:tr>
        <w:trPr>
          <w:trHeight w:val="71"/>
        </w:trPr>
        <w:tc>
          <w:tcPr>
            <w:tcW w:w="760" w:type="dxa"/>
            <w:vAlign w:val="bottom"/>
            <w:tcBorders>
              <w:left w:val="single" w:sz="8" w:color="auto"/>
              <w:right w:val="single" w:sz="8" w:color="auto"/>
            </w:tcBorders>
            <w:vMerge w:val="continue"/>
          </w:tcPr>
          <w:p>
            <w:pPr>
              <w:spacing w:after="0"/>
              <w:rPr>
                <w:sz w:val="6"/>
                <w:szCs w:val="6"/>
                <w:color w:val="auto"/>
              </w:rPr>
            </w:pPr>
          </w:p>
        </w:tc>
        <w:tc>
          <w:tcPr>
            <w:tcW w:w="6100" w:type="dxa"/>
            <w:vAlign w:val="bottom"/>
            <w:tcBorders>
              <w:right w:val="single" w:sz="8" w:color="auto"/>
            </w:tcBorders>
            <w:gridSpan w:val="31"/>
            <w:vMerge w:val="restart"/>
          </w:tcPr>
          <w:p>
            <w:pPr>
              <w:spacing w:after="0" w:line="128" w:lineRule="exact"/>
              <w:rPr>
                <w:rFonts w:ascii="Times New Roman" w:cs="Times New Roman" w:eastAsia="Times New Roman" w:hAnsi="Times New Roman"/>
                <w:sz w:val="12"/>
                <w:szCs w:val="12"/>
                <w:color w:val="3051F2"/>
              </w:rPr>
            </w:pPr>
            <w:hyperlink r:id="rId90">
              <w:r>
                <w:rPr>
                  <w:rFonts w:ascii="Times New Roman" w:cs="Times New Roman" w:eastAsia="Times New Roman" w:hAnsi="Times New Roman"/>
                  <w:sz w:val="12"/>
                  <w:szCs w:val="12"/>
                  <w:color w:val="3051F2"/>
                </w:rPr>
                <w:t>Partnership and Gary A. Shiffman dated March 30, 2022</w:t>
              </w:r>
            </w:hyperlink>
          </w:p>
        </w:tc>
        <w:tc>
          <w:tcPr>
            <w:tcW w:w="4420" w:type="dxa"/>
            <w:vAlign w:val="bottom"/>
            <w:tcBorders>
              <w:right w:val="single" w:sz="8" w:color="auto"/>
            </w:tcBorders>
            <w:vMerge w:val="restart"/>
          </w:tcPr>
          <w:p>
            <w:pPr>
              <w:spacing w:after="0" w:line="128" w:lineRule="exact"/>
              <w:rPr>
                <w:sz w:val="20"/>
                <w:szCs w:val="20"/>
                <w:color w:val="auto"/>
              </w:rPr>
            </w:pPr>
            <w:r>
              <w:rPr>
                <w:rFonts w:ascii="Times New Roman" w:cs="Times New Roman" w:eastAsia="Times New Roman" w:hAnsi="Times New Roman"/>
                <w:sz w:val="12"/>
                <w:szCs w:val="12"/>
                <w:color w:val="auto"/>
              </w:rPr>
              <w:t>Form 8-K filed on April 1, 2022</w:t>
            </w:r>
          </w:p>
        </w:tc>
        <w:tc>
          <w:tcPr>
            <w:tcW w:w="0" w:type="dxa"/>
            <w:vAlign w:val="bottom"/>
          </w:tcPr>
          <w:p>
            <w:pPr>
              <w:spacing w:after="0"/>
              <w:rPr>
                <w:sz w:val="1"/>
                <w:szCs w:val="1"/>
                <w:color w:val="auto"/>
              </w:rPr>
            </w:pPr>
          </w:p>
        </w:tc>
      </w:tr>
      <w:tr>
        <w:trPr>
          <w:trHeight w:val="57"/>
        </w:trPr>
        <w:tc>
          <w:tcPr>
            <w:tcW w:w="760" w:type="dxa"/>
            <w:vAlign w:val="bottom"/>
            <w:tcBorders>
              <w:left w:val="single" w:sz="8" w:color="auto"/>
              <w:right w:val="single" w:sz="8" w:color="auto"/>
            </w:tcBorders>
          </w:tcPr>
          <w:p>
            <w:pPr>
              <w:spacing w:after="0"/>
              <w:rPr>
                <w:sz w:val="4"/>
                <w:szCs w:val="4"/>
                <w:color w:val="auto"/>
              </w:rPr>
            </w:pPr>
          </w:p>
        </w:tc>
        <w:tc>
          <w:tcPr>
            <w:tcW w:w="6100" w:type="dxa"/>
            <w:vAlign w:val="bottom"/>
            <w:tcBorders>
              <w:right w:val="single" w:sz="8" w:color="auto"/>
            </w:tcBorders>
            <w:gridSpan w:val="31"/>
            <w:vMerge w:val="continue"/>
          </w:tcPr>
          <w:p>
            <w:pPr>
              <w:spacing w:after="0"/>
              <w:rPr>
                <w:sz w:val="4"/>
                <w:szCs w:val="4"/>
                <w:color w:val="auto"/>
              </w:rPr>
            </w:pPr>
          </w:p>
        </w:tc>
        <w:tc>
          <w:tcPr>
            <w:tcW w:w="442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760" w:type="dxa"/>
            <w:vAlign w:val="bottom"/>
            <w:tcBorders>
              <w:left w:val="single" w:sz="8" w:color="auto"/>
              <w:bottom w:val="single" w:sz="8" w:color="auto"/>
              <w:right w:val="single" w:sz="8" w:color="auto"/>
            </w:tcBorders>
          </w:tcPr>
          <w:p>
            <w:pPr>
              <w:spacing w:after="0"/>
              <w:rPr>
                <w:sz w:val="2"/>
                <w:szCs w:val="2"/>
                <w:color w:val="auto"/>
              </w:rPr>
            </w:pPr>
          </w:p>
        </w:tc>
        <w:tc>
          <w:tcPr>
            <w:tcW w:w="380" w:type="dxa"/>
            <w:vAlign w:val="bottom"/>
            <w:tcBorders>
              <w:top w:val="single" w:sz="8" w:color="3051F2"/>
              <w:bottom w:val="single" w:sz="8" w:color="auto"/>
            </w:tcBorders>
          </w:tcPr>
          <w:p>
            <w:pPr>
              <w:spacing w:after="0"/>
              <w:rPr>
                <w:sz w:val="2"/>
                <w:szCs w:val="2"/>
                <w:color w:val="auto"/>
              </w:rPr>
            </w:pPr>
          </w:p>
        </w:tc>
        <w:tc>
          <w:tcPr>
            <w:tcW w:w="720" w:type="dxa"/>
            <w:vAlign w:val="bottom"/>
            <w:tcBorders>
              <w:top w:val="single" w:sz="8" w:color="3051F2"/>
              <w:bottom w:val="single" w:sz="8" w:color="auto"/>
            </w:tcBorders>
          </w:tcPr>
          <w:p>
            <w:pPr>
              <w:spacing w:after="0"/>
              <w:rPr>
                <w:sz w:val="2"/>
                <w:szCs w:val="2"/>
                <w:color w:val="auto"/>
              </w:rPr>
            </w:pPr>
          </w:p>
        </w:tc>
        <w:tc>
          <w:tcPr>
            <w:tcW w:w="340" w:type="dxa"/>
            <w:vAlign w:val="bottom"/>
            <w:tcBorders>
              <w:top w:val="single" w:sz="8" w:color="3051F2"/>
              <w:bottom w:val="single" w:sz="8" w:color="auto"/>
            </w:tcBorders>
          </w:tcPr>
          <w:p>
            <w:pPr>
              <w:spacing w:after="0"/>
              <w:rPr>
                <w:sz w:val="2"/>
                <w:szCs w:val="2"/>
                <w:color w:val="auto"/>
              </w:rPr>
            </w:pPr>
          </w:p>
        </w:tc>
        <w:tc>
          <w:tcPr>
            <w:tcW w:w="20" w:type="dxa"/>
            <w:vAlign w:val="bottom"/>
            <w:tcBorders>
              <w:top w:val="single" w:sz="8" w:color="3051F2"/>
              <w:bottom w:val="single" w:sz="8" w:color="auto"/>
            </w:tcBorders>
          </w:tcPr>
          <w:p>
            <w:pPr>
              <w:spacing w:after="0"/>
              <w:rPr>
                <w:sz w:val="2"/>
                <w:szCs w:val="2"/>
                <w:color w:val="auto"/>
              </w:rPr>
            </w:pPr>
          </w:p>
        </w:tc>
        <w:tc>
          <w:tcPr>
            <w:tcW w:w="20" w:type="dxa"/>
            <w:vAlign w:val="bottom"/>
            <w:tcBorders>
              <w:top w:val="single" w:sz="8" w:color="3051F2"/>
              <w:bottom w:val="single" w:sz="8" w:color="auto"/>
            </w:tcBorders>
          </w:tcPr>
          <w:p>
            <w:pPr>
              <w:spacing w:after="0"/>
              <w:rPr>
                <w:sz w:val="2"/>
                <w:szCs w:val="2"/>
                <w:color w:val="auto"/>
              </w:rPr>
            </w:pPr>
          </w:p>
        </w:tc>
        <w:tc>
          <w:tcPr>
            <w:tcW w:w="100" w:type="dxa"/>
            <w:vAlign w:val="bottom"/>
            <w:tcBorders>
              <w:top w:val="single" w:sz="8" w:color="3051F2"/>
              <w:bottom w:val="single" w:sz="8" w:color="auto"/>
            </w:tcBorders>
          </w:tcPr>
          <w:p>
            <w:pPr>
              <w:spacing w:after="0"/>
              <w:rPr>
                <w:sz w:val="2"/>
                <w:szCs w:val="2"/>
                <w:color w:val="auto"/>
              </w:rPr>
            </w:pPr>
          </w:p>
        </w:tc>
        <w:tc>
          <w:tcPr>
            <w:tcW w:w="120" w:type="dxa"/>
            <w:vAlign w:val="bottom"/>
            <w:tcBorders>
              <w:top w:val="single" w:sz="8" w:color="3051F2"/>
              <w:bottom w:val="single" w:sz="8" w:color="auto"/>
            </w:tcBorders>
          </w:tcPr>
          <w:p>
            <w:pPr>
              <w:spacing w:after="0"/>
              <w:rPr>
                <w:sz w:val="2"/>
                <w:szCs w:val="2"/>
                <w:color w:val="auto"/>
              </w:rPr>
            </w:pPr>
          </w:p>
        </w:tc>
        <w:tc>
          <w:tcPr>
            <w:tcW w:w="60" w:type="dxa"/>
            <w:vAlign w:val="bottom"/>
            <w:tcBorders>
              <w:top w:val="single" w:sz="8" w:color="3051F2"/>
              <w:bottom w:val="single" w:sz="8" w:color="auto"/>
            </w:tcBorders>
          </w:tcPr>
          <w:p>
            <w:pPr>
              <w:spacing w:after="0"/>
              <w:rPr>
                <w:sz w:val="2"/>
                <w:szCs w:val="2"/>
                <w:color w:val="auto"/>
              </w:rPr>
            </w:pPr>
          </w:p>
        </w:tc>
        <w:tc>
          <w:tcPr>
            <w:tcW w:w="40" w:type="dxa"/>
            <w:vAlign w:val="bottom"/>
            <w:tcBorders>
              <w:top w:val="single" w:sz="8" w:color="3051F2"/>
              <w:bottom w:val="single" w:sz="8" w:color="auto"/>
            </w:tcBorders>
          </w:tcPr>
          <w:p>
            <w:pPr>
              <w:spacing w:after="0"/>
              <w:rPr>
                <w:sz w:val="2"/>
                <w:szCs w:val="2"/>
                <w:color w:val="auto"/>
              </w:rPr>
            </w:pPr>
          </w:p>
        </w:tc>
        <w:tc>
          <w:tcPr>
            <w:tcW w:w="60" w:type="dxa"/>
            <w:vAlign w:val="bottom"/>
            <w:tcBorders>
              <w:top w:val="single" w:sz="8" w:color="3051F2"/>
              <w:bottom w:val="single" w:sz="8" w:color="auto"/>
            </w:tcBorders>
          </w:tcPr>
          <w:p>
            <w:pPr>
              <w:spacing w:after="0"/>
              <w:rPr>
                <w:sz w:val="2"/>
                <w:szCs w:val="2"/>
                <w:color w:val="auto"/>
              </w:rPr>
            </w:pPr>
          </w:p>
        </w:tc>
        <w:tc>
          <w:tcPr>
            <w:tcW w:w="200" w:type="dxa"/>
            <w:vAlign w:val="bottom"/>
            <w:tcBorders>
              <w:top w:val="single" w:sz="8" w:color="3051F2"/>
              <w:bottom w:val="single" w:sz="8" w:color="auto"/>
            </w:tcBorders>
          </w:tcPr>
          <w:p>
            <w:pPr>
              <w:spacing w:after="0"/>
              <w:rPr>
                <w:sz w:val="2"/>
                <w:szCs w:val="2"/>
                <w:color w:val="auto"/>
              </w:rPr>
            </w:pPr>
          </w:p>
        </w:tc>
        <w:tc>
          <w:tcPr>
            <w:tcW w:w="120" w:type="dxa"/>
            <w:vAlign w:val="bottom"/>
            <w:tcBorders>
              <w:top w:val="single" w:sz="8" w:color="3051F2"/>
              <w:bottom w:val="single" w:sz="8" w:color="auto"/>
            </w:tcBorders>
          </w:tcPr>
          <w:p>
            <w:pPr>
              <w:spacing w:after="0"/>
              <w:rPr>
                <w:sz w:val="2"/>
                <w:szCs w:val="2"/>
                <w:color w:val="auto"/>
              </w:rPr>
            </w:pPr>
          </w:p>
        </w:tc>
        <w:tc>
          <w:tcPr>
            <w:tcW w:w="80" w:type="dxa"/>
            <w:vAlign w:val="bottom"/>
            <w:tcBorders>
              <w:top w:val="single" w:sz="8" w:color="3051F2"/>
              <w:bottom w:val="single" w:sz="8" w:color="auto"/>
            </w:tcBorders>
          </w:tcPr>
          <w:p>
            <w:pPr>
              <w:spacing w:after="0"/>
              <w:rPr>
                <w:sz w:val="2"/>
                <w:szCs w:val="2"/>
                <w:color w:val="auto"/>
              </w:rPr>
            </w:pPr>
          </w:p>
        </w:tc>
        <w:tc>
          <w:tcPr>
            <w:tcW w:w="280" w:type="dxa"/>
            <w:vAlign w:val="bottom"/>
            <w:tcBorders>
              <w:top w:val="single" w:sz="8" w:color="3051F2"/>
              <w:bottom w:val="single" w:sz="8" w:color="auto"/>
            </w:tcBorders>
          </w:tcPr>
          <w:p>
            <w:pPr>
              <w:spacing w:after="0"/>
              <w:rPr>
                <w:sz w:val="2"/>
                <w:szCs w:val="2"/>
                <w:color w:val="auto"/>
              </w:rPr>
            </w:pPr>
          </w:p>
        </w:tc>
        <w:tc>
          <w:tcPr>
            <w:tcW w:w="40" w:type="dxa"/>
            <w:vAlign w:val="bottom"/>
            <w:tcBorders>
              <w:top w:val="single" w:sz="8" w:color="3051F2"/>
              <w:bottom w:val="single" w:sz="8" w:color="auto"/>
            </w:tcBorders>
          </w:tcPr>
          <w:p>
            <w:pPr>
              <w:spacing w:after="0"/>
              <w:rPr>
                <w:sz w:val="2"/>
                <w:szCs w:val="2"/>
                <w:color w:val="auto"/>
              </w:rPr>
            </w:pPr>
          </w:p>
        </w:tc>
        <w:tc>
          <w:tcPr>
            <w:tcW w:w="40" w:type="dxa"/>
            <w:vAlign w:val="bottom"/>
            <w:tcBorders>
              <w:top w:val="single" w:sz="8" w:color="3051F2"/>
              <w:bottom w:val="single" w:sz="8" w:color="auto"/>
            </w:tcBorders>
          </w:tcPr>
          <w:p>
            <w:pPr>
              <w:spacing w:after="0"/>
              <w:rPr>
                <w:sz w:val="2"/>
                <w:szCs w:val="2"/>
                <w:color w:val="auto"/>
              </w:rPr>
            </w:pPr>
          </w:p>
        </w:tc>
        <w:tc>
          <w:tcPr>
            <w:tcW w:w="180" w:type="dxa"/>
            <w:vAlign w:val="bottom"/>
            <w:tcBorders>
              <w:top w:val="single" w:sz="8" w:color="3051F2"/>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760" w:type="dxa"/>
            <w:vAlign w:val="bottom"/>
            <w:tcBorders>
              <w:left w:val="single" w:sz="8" w:color="auto"/>
              <w:bottom w:val="single" w:sz="8" w:color="CCEEFF"/>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10.22#</w:t>
            </w:r>
          </w:p>
        </w:tc>
        <w:tc>
          <w:tcPr>
            <w:tcW w:w="6040" w:type="dxa"/>
            <w:vAlign w:val="bottom"/>
            <w:tcBorders>
              <w:bottom w:val="single" w:sz="8" w:color="3051F2"/>
            </w:tcBorders>
            <w:gridSpan w:val="30"/>
            <w:shd w:val="clear" w:color="auto" w:fill="CCEEFF"/>
          </w:tcPr>
          <w:p>
            <w:pPr>
              <w:spacing w:after="0" w:line="119" w:lineRule="exact"/>
              <w:rPr>
                <w:rFonts w:ascii="Times New Roman" w:cs="Times New Roman" w:eastAsia="Times New Roman" w:hAnsi="Times New Roman"/>
                <w:sz w:val="12"/>
                <w:szCs w:val="12"/>
                <w:color w:val="3051F2"/>
              </w:rPr>
            </w:pPr>
            <w:hyperlink r:id="rId86">
              <w:r>
                <w:rPr>
                  <w:rFonts w:ascii="Times New Roman" w:cs="Times New Roman" w:eastAsia="Times New Roman" w:hAnsi="Times New Roman"/>
                  <w:sz w:val="12"/>
                  <w:szCs w:val="12"/>
                  <w:color w:val="3051F2"/>
                </w:rPr>
                <w:t>Employment Agreement dated April 8, 2022 among Sun Communities, Inc., Sun Communities Operating Limited</w:t>
              </w:r>
            </w:hyperlink>
          </w:p>
        </w:tc>
        <w:tc>
          <w:tcPr>
            <w:tcW w:w="60" w:type="dxa"/>
            <w:vAlign w:val="bottom"/>
            <w:tcBorders>
              <w:bottom w:val="single" w:sz="8" w:color="CCEEFF"/>
              <w:right w:val="single" w:sz="8" w:color="auto"/>
            </w:tcBorders>
            <w:shd w:val="clear" w:color="auto" w:fill="CCEEFF"/>
          </w:tcPr>
          <w:p>
            <w:pPr>
              <w:spacing w:after="0"/>
              <w:rPr>
                <w:sz w:val="10"/>
                <w:szCs w:val="10"/>
                <w:color w:val="auto"/>
              </w:rPr>
            </w:pPr>
          </w:p>
        </w:tc>
        <w:tc>
          <w:tcPr>
            <w:tcW w:w="4420" w:type="dxa"/>
            <w:vAlign w:val="bottom"/>
            <w:tcBorders>
              <w:bottom w:val="single" w:sz="8" w:color="CCEEFF"/>
              <w:right w:val="single" w:sz="8" w:color="auto"/>
            </w:tcBorders>
            <w:shd w:val="clear" w:color="auto" w:fill="CCEEFF"/>
          </w:tcPr>
          <w:p>
            <w:pPr>
              <w:spacing w:after="0" w:line="119" w:lineRule="exact"/>
              <w:rPr>
                <w:sz w:val="20"/>
                <w:szCs w:val="20"/>
                <w:color w:val="auto"/>
              </w:rPr>
            </w:pPr>
            <w:r>
              <w:rPr>
                <w:rFonts w:ascii="Times New Roman" w:cs="Times New Roman" w:eastAsia="Times New Roman" w:hAnsi="Times New Roman"/>
                <w:sz w:val="12"/>
                <w:szCs w:val="12"/>
                <w:color w:val="auto"/>
              </w:rPr>
              <w:t>Incorporated by reference to Exhibit 10.3 of Sun Communities Inc.'s Current Report on</w:t>
            </w:r>
          </w:p>
        </w:tc>
        <w:tc>
          <w:tcPr>
            <w:tcW w:w="0" w:type="dxa"/>
            <w:vAlign w:val="bottom"/>
          </w:tcPr>
          <w:p>
            <w:pPr>
              <w:spacing w:after="0"/>
              <w:rPr>
                <w:sz w:val="1"/>
                <w:szCs w:val="1"/>
                <w:color w:val="auto"/>
              </w:rPr>
            </w:pPr>
          </w:p>
        </w:tc>
      </w:tr>
      <w:tr>
        <w:trPr>
          <w:trHeight w:val="71"/>
        </w:trPr>
        <w:tc>
          <w:tcPr>
            <w:tcW w:w="760" w:type="dxa"/>
            <w:vAlign w:val="bottom"/>
            <w:tcBorders>
              <w:left w:val="single" w:sz="8" w:color="auto"/>
              <w:right w:val="single" w:sz="8" w:color="auto"/>
            </w:tcBorders>
            <w:vMerge w:val="continue"/>
            <w:shd w:val="clear" w:color="auto" w:fill="CCEEFF"/>
          </w:tcPr>
          <w:p>
            <w:pPr>
              <w:spacing w:after="0"/>
              <w:rPr>
                <w:sz w:val="6"/>
                <w:szCs w:val="6"/>
                <w:color w:val="auto"/>
              </w:rPr>
            </w:pPr>
          </w:p>
        </w:tc>
        <w:tc>
          <w:tcPr>
            <w:tcW w:w="6100" w:type="dxa"/>
            <w:vAlign w:val="bottom"/>
            <w:tcBorders>
              <w:right w:val="single" w:sz="8" w:color="auto"/>
            </w:tcBorders>
            <w:gridSpan w:val="31"/>
            <w:vMerge w:val="restart"/>
            <w:shd w:val="clear" w:color="auto" w:fill="CCEEFF"/>
          </w:tcPr>
          <w:p>
            <w:pPr>
              <w:spacing w:after="0" w:line="128" w:lineRule="exact"/>
              <w:rPr>
                <w:rFonts w:ascii="Times New Roman" w:cs="Times New Roman" w:eastAsia="Times New Roman" w:hAnsi="Times New Roman"/>
                <w:sz w:val="12"/>
                <w:szCs w:val="12"/>
                <w:color w:val="3051F2"/>
              </w:rPr>
            </w:pPr>
            <w:hyperlink r:id="rId86">
              <w:r>
                <w:rPr>
                  <w:rFonts w:ascii="Times New Roman" w:cs="Times New Roman" w:eastAsia="Times New Roman" w:hAnsi="Times New Roman"/>
                  <w:sz w:val="12"/>
                  <w:szCs w:val="12"/>
                  <w:color w:val="3051F2"/>
                </w:rPr>
                <w:t>Partnership and Fernando Castro-Caratini</w:t>
              </w:r>
            </w:hyperlink>
          </w:p>
        </w:tc>
        <w:tc>
          <w:tcPr>
            <w:tcW w:w="4420" w:type="dxa"/>
            <w:vAlign w:val="bottom"/>
            <w:tcBorders>
              <w:right w:val="single" w:sz="8" w:color="auto"/>
            </w:tcBorders>
            <w:vMerge w:val="restart"/>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Form 8-K filed on April 13, 2022</w:t>
            </w:r>
          </w:p>
        </w:tc>
        <w:tc>
          <w:tcPr>
            <w:tcW w:w="0" w:type="dxa"/>
            <w:vAlign w:val="bottom"/>
          </w:tcPr>
          <w:p>
            <w:pPr>
              <w:spacing w:after="0"/>
              <w:rPr>
                <w:sz w:val="1"/>
                <w:szCs w:val="1"/>
                <w:color w:val="auto"/>
              </w:rPr>
            </w:pPr>
          </w:p>
        </w:tc>
      </w:tr>
      <w:tr>
        <w:trPr>
          <w:trHeight w:val="103"/>
        </w:trPr>
        <w:tc>
          <w:tcPr>
            <w:tcW w:w="760" w:type="dxa"/>
            <w:vAlign w:val="bottom"/>
            <w:tcBorders>
              <w:left w:val="single" w:sz="8" w:color="auto"/>
              <w:bottom w:val="single" w:sz="8" w:color="auto"/>
              <w:right w:val="single" w:sz="8" w:color="auto"/>
            </w:tcBorders>
            <w:shd w:val="clear" w:color="auto" w:fill="CCEEFF"/>
          </w:tcPr>
          <w:p>
            <w:pPr>
              <w:spacing w:after="0"/>
              <w:rPr>
                <w:sz w:val="8"/>
                <w:szCs w:val="8"/>
                <w:color w:val="auto"/>
              </w:rPr>
            </w:pPr>
          </w:p>
        </w:tc>
        <w:tc>
          <w:tcPr>
            <w:tcW w:w="6100" w:type="dxa"/>
            <w:vAlign w:val="bottom"/>
            <w:tcBorders>
              <w:bottom w:val="single" w:sz="8" w:color="auto"/>
              <w:right w:val="single" w:sz="8" w:color="auto"/>
            </w:tcBorders>
            <w:gridSpan w:val="31"/>
            <w:vMerge w:val="continue"/>
            <w:shd w:val="clear" w:color="auto" w:fill="CCEEFF"/>
          </w:tcPr>
          <w:p>
            <w:pPr>
              <w:spacing w:after="0"/>
              <w:rPr>
                <w:sz w:val="8"/>
                <w:szCs w:val="8"/>
                <w:color w:val="auto"/>
              </w:rPr>
            </w:pPr>
          </w:p>
        </w:tc>
        <w:tc>
          <w:tcPr>
            <w:tcW w:w="4420" w:type="dxa"/>
            <w:vAlign w:val="bottom"/>
            <w:tcBorders>
              <w:bottom w:val="single" w:sz="8" w:color="auto"/>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7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rPr>
              <w:t>10.23#</w:t>
            </w:r>
          </w:p>
        </w:tc>
        <w:tc>
          <w:tcPr>
            <w:tcW w:w="6040" w:type="dxa"/>
            <w:vAlign w:val="bottom"/>
            <w:tcBorders>
              <w:bottom w:val="single" w:sz="8" w:color="3051F2"/>
            </w:tcBorders>
            <w:gridSpan w:val="30"/>
          </w:tcPr>
          <w:p>
            <w:pPr>
              <w:spacing w:after="0" w:line="119" w:lineRule="exact"/>
              <w:rPr>
                <w:rFonts w:ascii="Times New Roman" w:cs="Times New Roman" w:eastAsia="Times New Roman" w:hAnsi="Times New Roman"/>
                <w:sz w:val="12"/>
                <w:szCs w:val="12"/>
                <w:color w:val="3051F2"/>
              </w:rPr>
            </w:pPr>
            <w:hyperlink r:id="rId91">
              <w:r>
                <w:rPr>
                  <w:rFonts w:ascii="Times New Roman" w:cs="Times New Roman" w:eastAsia="Times New Roman" w:hAnsi="Times New Roman"/>
                  <w:sz w:val="12"/>
                  <w:szCs w:val="12"/>
                  <w:color w:val="3051F2"/>
                </w:rPr>
                <w:t>First Amendment to Employment Agreement among Sun Communities, Inc., Sun Communities Operating Limited</w:t>
              </w:r>
            </w:hyperlink>
          </w:p>
        </w:tc>
        <w:tc>
          <w:tcPr>
            <w:tcW w:w="60" w:type="dxa"/>
            <w:vAlign w:val="bottom"/>
            <w:tcBorders>
              <w:right w:val="single" w:sz="8" w:color="auto"/>
            </w:tcBorders>
          </w:tcPr>
          <w:p>
            <w:pPr>
              <w:spacing w:after="0"/>
              <w:rPr>
                <w:sz w:val="10"/>
                <w:szCs w:val="10"/>
                <w:color w:val="auto"/>
              </w:rPr>
            </w:pPr>
          </w:p>
        </w:tc>
        <w:tc>
          <w:tcPr>
            <w:tcW w:w="4420" w:type="dxa"/>
            <w:vAlign w:val="bottom"/>
            <w:tcBorders>
              <w:right w:val="single" w:sz="8" w:color="auto"/>
            </w:tcBorders>
          </w:tcPr>
          <w:p>
            <w:pPr>
              <w:spacing w:after="0" w:line="119" w:lineRule="exact"/>
              <w:rPr>
                <w:sz w:val="20"/>
                <w:szCs w:val="20"/>
                <w:color w:val="auto"/>
              </w:rPr>
            </w:pPr>
            <w:r>
              <w:rPr>
                <w:rFonts w:ascii="Times New Roman" w:cs="Times New Roman" w:eastAsia="Times New Roman" w:hAnsi="Times New Roman"/>
                <w:sz w:val="12"/>
                <w:szCs w:val="12"/>
                <w:color w:val="auto"/>
              </w:rPr>
              <w:t>Incorporated by reference to Exhibit 10.1 of Sun Communities, Inc.'s Current Report on</w:t>
            </w:r>
          </w:p>
        </w:tc>
        <w:tc>
          <w:tcPr>
            <w:tcW w:w="0" w:type="dxa"/>
            <w:vAlign w:val="bottom"/>
          </w:tcPr>
          <w:p>
            <w:pPr>
              <w:spacing w:after="0"/>
              <w:rPr>
                <w:sz w:val="1"/>
                <w:szCs w:val="1"/>
                <w:color w:val="auto"/>
              </w:rPr>
            </w:pPr>
          </w:p>
        </w:tc>
      </w:tr>
      <w:tr>
        <w:trPr>
          <w:trHeight w:val="71"/>
        </w:trPr>
        <w:tc>
          <w:tcPr>
            <w:tcW w:w="760" w:type="dxa"/>
            <w:vAlign w:val="bottom"/>
            <w:tcBorders>
              <w:left w:val="single" w:sz="8" w:color="auto"/>
              <w:right w:val="single" w:sz="8" w:color="auto"/>
            </w:tcBorders>
            <w:vMerge w:val="continue"/>
          </w:tcPr>
          <w:p>
            <w:pPr>
              <w:spacing w:after="0"/>
              <w:rPr>
                <w:sz w:val="6"/>
                <w:szCs w:val="6"/>
                <w:color w:val="auto"/>
              </w:rPr>
            </w:pPr>
          </w:p>
        </w:tc>
        <w:tc>
          <w:tcPr>
            <w:tcW w:w="6100" w:type="dxa"/>
            <w:vAlign w:val="bottom"/>
            <w:tcBorders>
              <w:right w:val="single" w:sz="8" w:color="auto"/>
            </w:tcBorders>
            <w:gridSpan w:val="31"/>
            <w:vMerge w:val="restart"/>
          </w:tcPr>
          <w:p>
            <w:pPr>
              <w:spacing w:after="0" w:line="128" w:lineRule="exact"/>
              <w:rPr>
                <w:rFonts w:ascii="Times New Roman" w:cs="Times New Roman" w:eastAsia="Times New Roman" w:hAnsi="Times New Roman"/>
                <w:sz w:val="12"/>
                <w:szCs w:val="12"/>
                <w:color w:val="3051F2"/>
              </w:rPr>
            </w:pPr>
            <w:hyperlink r:id="rId91">
              <w:r>
                <w:rPr>
                  <w:rFonts w:ascii="Times New Roman" w:cs="Times New Roman" w:eastAsia="Times New Roman" w:hAnsi="Times New Roman"/>
                  <w:sz w:val="12"/>
                  <w:szCs w:val="12"/>
                  <w:color w:val="3051F2"/>
                </w:rPr>
                <w:t>Partnership and Fernando Castro-Caratini dated March 20, 2024</w:t>
              </w:r>
            </w:hyperlink>
          </w:p>
        </w:tc>
        <w:tc>
          <w:tcPr>
            <w:tcW w:w="4420" w:type="dxa"/>
            <w:vAlign w:val="bottom"/>
            <w:tcBorders>
              <w:right w:val="single" w:sz="8" w:color="auto"/>
            </w:tcBorders>
            <w:vMerge w:val="restart"/>
          </w:tcPr>
          <w:p>
            <w:pPr>
              <w:spacing w:after="0" w:line="128" w:lineRule="exact"/>
              <w:rPr>
                <w:sz w:val="20"/>
                <w:szCs w:val="20"/>
                <w:color w:val="auto"/>
              </w:rPr>
            </w:pPr>
            <w:r>
              <w:rPr>
                <w:rFonts w:ascii="Times New Roman" w:cs="Times New Roman" w:eastAsia="Times New Roman" w:hAnsi="Times New Roman"/>
                <w:sz w:val="12"/>
                <w:szCs w:val="12"/>
                <w:color w:val="auto"/>
              </w:rPr>
              <w:t>Form 8-K filed on March 21, 2024</w:t>
            </w:r>
          </w:p>
        </w:tc>
        <w:tc>
          <w:tcPr>
            <w:tcW w:w="0" w:type="dxa"/>
            <w:vAlign w:val="bottom"/>
          </w:tcPr>
          <w:p>
            <w:pPr>
              <w:spacing w:after="0"/>
              <w:rPr>
                <w:sz w:val="1"/>
                <w:szCs w:val="1"/>
                <w:color w:val="auto"/>
              </w:rPr>
            </w:pPr>
          </w:p>
        </w:tc>
      </w:tr>
      <w:tr>
        <w:trPr>
          <w:trHeight w:val="57"/>
        </w:trPr>
        <w:tc>
          <w:tcPr>
            <w:tcW w:w="760" w:type="dxa"/>
            <w:vAlign w:val="bottom"/>
            <w:tcBorders>
              <w:left w:val="single" w:sz="8" w:color="auto"/>
              <w:right w:val="single" w:sz="8" w:color="auto"/>
            </w:tcBorders>
          </w:tcPr>
          <w:p>
            <w:pPr>
              <w:spacing w:after="0"/>
              <w:rPr>
                <w:sz w:val="4"/>
                <w:szCs w:val="4"/>
                <w:color w:val="auto"/>
              </w:rPr>
            </w:pPr>
          </w:p>
        </w:tc>
        <w:tc>
          <w:tcPr>
            <w:tcW w:w="6100" w:type="dxa"/>
            <w:vAlign w:val="bottom"/>
            <w:tcBorders>
              <w:right w:val="single" w:sz="8" w:color="auto"/>
            </w:tcBorders>
            <w:gridSpan w:val="31"/>
            <w:vMerge w:val="continue"/>
          </w:tcPr>
          <w:p>
            <w:pPr>
              <w:spacing w:after="0"/>
              <w:rPr>
                <w:sz w:val="4"/>
                <w:szCs w:val="4"/>
                <w:color w:val="auto"/>
              </w:rPr>
            </w:pPr>
          </w:p>
        </w:tc>
        <w:tc>
          <w:tcPr>
            <w:tcW w:w="442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760" w:type="dxa"/>
            <w:vAlign w:val="bottom"/>
            <w:tcBorders>
              <w:left w:val="single" w:sz="8" w:color="auto"/>
              <w:bottom w:val="single" w:sz="8" w:color="auto"/>
              <w:right w:val="single" w:sz="8" w:color="auto"/>
            </w:tcBorders>
          </w:tcPr>
          <w:p>
            <w:pPr>
              <w:spacing w:after="0"/>
              <w:rPr>
                <w:sz w:val="2"/>
                <w:szCs w:val="2"/>
                <w:color w:val="auto"/>
              </w:rPr>
            </w:pPr>
          </w:p>
        </w:tc>
        <w:tc>
          <w:tcPr>
            <w:tcW w:w="380" w:type="dxa"/>
            <w:vAlign w:val="bottom"/>
            <w:tcBorders>
              <w:top w:val="single" w:sz="8" w:color="3051F2"/>
              <w:bottom w:val="single" w:sz="8" w:color="auto"/>
            </w:tcBorders>
          </w:tcPr>
          <w:p>
            <w:pPr>
              <w:spacing w:after="0"/>
              <w:rPr>
                <w:sz w:val="2"/>
                <w:szCs w:val="2"/>
                <w:color w:val="auto"/>
              </w:rPr>
            </w:pPr>
          </w:p>
        </w:tc>
        <w:tc>
          <w:tcPr>
            <w:tcW w:w="720" w:type="dxa"/>
            <w:vAlign w:val="bottom"/>
            <w:tcBorders>
              <w:top w:val="single" w:sz="8" w:color="3051F2"/>
              <w:bottom w:val="single" w:sz="8" w:color="auto"/>
            </w:tcBorders>
          </w:tcPr>
          <w:p>
            <w:pPr>
              <w:spacing w:after="0"/>
              <w:rPr>
                <w:sz w:val="2"/>
                <w:szCs w:val="2"/>
                <w:color w:val="auto"/>
              </w:rPr>
            </w:pPr>
          </w:p>
        </w:tc>
        <w:tc>
          <w:tcPr>
            <w:tcW w:w="340" w:type="dxa"/>
            <w:vAlign w:val="bottom"/>
            <w:tcBorders>
              <w:top w:val="single" w:sz="8" w:color="3051F2"/>
              <w:bottom w:val="single" w:sz="8" w:color="auto"/>
            </w:tcBorders>
          </w:tcPr>
          <w:p>
            <w:pPr>
              <w:spacing w:after="0"/>
              <w:rPr>
                <w:sz w:val="2"/>
                <w:szCs w:val="2"/>
                <w:color w:val="auto"/>
              </w:rPr>
            </w:pPr>
          </w:p>
        </w:tc>
        <w:tc>
          <w:tcPr>
            <w:tcW w:w="20" w:type="dxa"/>
            <w:vAlign w:val="bottom"/>
            <w:tcBorders>
              <w:top w:val="single" w:sz="8" w:color="3051F2"/>
              <w:bottom w:val="single" w:sz="8" w:color="auto"/>
            </w:tcBorders>
          </w:tcPr>
          <w:p>
            <w:pPr>
              <w:spacing w:after="0"/>
              <w:rPr>
                <w:sz w:val="2"/>
                <w:szCs w:val="2"/>
                <w:color w:val="auto"/>
              </w:rPr>
            </w:pPr>
          </w:p>
        </w:tc>
        <w:tc>
          <w:tcPr>
            <w:tcW w:w="20" w:type="dxa"/>
            <w:vAlign w:val="bottom"/>
            <w:tcBorders>
              <w:top w:val="single" w:sz="8" w:color="3051F2"/>
              <w:bottom w:val="single" w:sz="8" w:color="auto"/>
            </w:tcBorders>
          </w:tcPr>
          <w:p>
            <w:pPr>
              <w:spacing w:after="0"/>
              <w:rPr>
                <w:sz w:val="2"/>
                <w:szCs w:val="2"/>
                <w:color w:val="auto"/>
              </w:rPr>
            </w:pPr>
          </w:p>
        </w:tc>
        <w:tc>
          <w:tcPr>
            <w:tcW w:w="100" w:type="dxa"/>
            <w:vAlign w:val="bottom"/>
            <w:tcBorders>
              <w:top w:val="single" w:sz="8" w:color="3051F2"/>
              <w:bottom w:val="single" w:sz="8" w:color="auto"/>
            </w:tcBorders>
          </w:tcPr>
          <w:p>
            <w:pPr>
              <w:spacing w:after="0"/>
              <w:rPr>
                <w:sz w:val="2"/>
                <w:szCs w:val="2"/>
                <w:color w:val="auto"/>
              </w:rPr>
            </w:pPr>
          </w:p>
        </w:tc>
        <w:tc>
          <w:tcPr>
            <w:tcW w:w="120" w:type="dxa"/>
            <w:vAlign w:val="bottom"/>
            <w:tcBorders>
              <w:top w:val="single" w:sz="8" w:color="3051F2"/>
              <w:bottom w:val="single" w:sz="8" w:color="auto"/>
            </w:tcBorders>
          </w:tcPr>
          <w:p>
            <w:pPr>
              <w:spacing w:after="0"/>
              <w:rPr>
                <w:sz w:val="2"/>
                <w:szCs w:val="2"/>
                <w:color w:val="auto"/>
              </w:rPr>
            </w:pPr>
          </w:p>
        </w:tc>
        <w:tc>
          <w:tcPr>
            <w:tcW w:w="60" w:type="dxa"/>
            <w:vAlign w:val="bottom"/>
            <w:tcBorders>
              <w:top w:val="single" w:sz="8" w:color="3051F2"/>
              <w:bottom w:val="single" w:sz="8" w:color="auto"/>
            </w:tcBorders>
          </w:tcPr>
          <w:p>
            <w:pPr>
              <w:spacing w:after="0"/>
              <w:rPr>
                <w:sz w:val="2"/>
                <w:szCs w:val="2"/>
                <w:color w:val="auto"/>
              </w:rPr>
            </w:pPr>
          </w:p>
        </w:tc>
        <w:tc>
          <w:tcPr>
            <w:tcW w:w="40" w:type="dxa"/>
            <w:vAlign w:val="bottom"/>
            <w:tcBorders>
              <w:top w:val="single" w:sz="8" w:color="3051F2"/>
              <w:bottom w:val="single" w:sz="8" w:color="auto"/>
            </w:tcBorders>
          </w:tcPr>
          <w:p>
            <w:pPr>
              <w:spacing w:after="0"/>
              <w:rPr>
                <w:sz w:val="2"/>
                <w:szCs w:val="2"/>
                <w:color w:val="auto"/>
              </w:rPr>
            </w:pPr>
          </w:p>
        </w:tc>
        <w:tc>
          <w:tcPr>
            <w:tcW w:w="60" w:type="dxa"/>
            <w:vAlign w:val="bottom"/>
            <w:tcBorders>
              <w:top w:val="single" w:sz="8" w:color="3051F2"/>
              <w:bottom w:val="single" w:sz="8" w:color="auto"/>
            </w:tcBorders>
          </w:tcPr>
          <w:p>
            <w:pPr>
              <w:spacing w:after="0"/>
              <w:rPr>
                <w:sz w:val="2"/>
                <w:szCs w:val="2"/>
                <w:color w:val="auto"/>
              </w:rPr>
            </w:pPr>
          </w:p>
        </w:tc>
        <w:tc>
          <w:tcPr>
            <w:tcW w:w="200" w:type="dxa"/>
            <w:vAlign w:val="bottom"/>
            <w:tcBorders>
              <w:top w:val="single" w:sz="8" w:color="3051F2"/>
              <w:bottom w:val="single" w:sz="8" w:color="auto"/>
            </w:tcBorders>
          </w:tcPr>
          <w:p>
            <w:pPr>
              <w:spacing w:after="0"/>
              <w:rPr>
                <w:sz w:val="2"/>
                <w:szCs w:val="2"/>
                <w:color w:val="auto"/>
              </w:rPr>
            </w:pPr>
          </w:p>
        </w:tc>
        <w:tc>
          <w:tcPr>
            <w:tcW w:w="120" w:type="dxa"/>
            <w:vAlign w:val="bottom"/>
            <w:tcBorders>
              <w:top w:val="single" w:sz="8" w:color="3051F2"/>
              <w:bottom w:val="single" w:sz="8" w:color="auto"/>
            </w:tcBorders>
          </w:tcPr>
          <w:p>
            <w:pPr>
              <w:spacing w:after="0"/>
              <w:rPr>
                <w:sz w:val="2"/>
                <w:szCs w:val="2"/>
                <w:color w:val="auto"/>
              </w:rPr>
            </w:pPr>
          </w:p>
        </w:tc>
        <w:tc>
          <w:tcPr>
            <w:tcW w:w="80" w:type="dxa"/>
            <w:vAlign w:val="bottom"/>
            <w:tcBorders>
              <w:top w:val="single" w:sz="8" w:color="3051F2"/>
              <w:bottom w:val="single" w:sz="8" w:color="auto"/>
            </w:tcBorders>
          </w:tcPr>
          <w:p>
            <w:pPr>
              <w:spacing w:after="0"/>
              <w:rPr>
                <w:sz w:val="2"/>
                <w:szCs w:val="2"/>
                <w:color w:val="auto"/>
              </w:rPr>
            </w:pPr>
          </w:p>
        </w:tc>
        <w:tc>
          <w:tcPr>
            <w:tcW w:w="280" w:type="dxa"/>
            <w:vAlign w:val="bottom"/>
            <w:tcBorders>
              <w:top w:val="single" w:sz="8" w:color="3051F2"/>
              <w:bottom w:val="single" w:sz="8" w:color="auto"/>
            </w:tcBorders>
          </w:tcPr>
          <w:p>
            <w:pPr>
              <w:spacing w:after="0"/>
              <w:rPr>
                <w:sz w:val="2"/>
                <w:szCs w:val="2"/>
                <w:color w:val="auto"/>
              </w:rPr>
            </w:pPr>
          </w:p>
        </w:tc>
        <w:tc>
          <w:tcPr>
            <w:tcW w:w="40" w:type="dxa"/>
            <w:vAlign w:val="bottom"/>
            <w:tcBorders>
              <w:top w:val="single" w:sz="8" w:color="3051F2"/>
              <w:bottom w:val="single" w:sz="8" w:color="auto"/>
            </w:tcBorders>
          </w:tcPr>
          <w:p>
            <w:pPr>
              <w:spacing w:after="0"/>
              <w:rPr>
                <w:sz w:val="2"/>
                <w:szCs w:val="2"/>
                <w:color w:val="auto"/>
              </w:rPr>
            </w:pPr>
          </w:p>
        </w:tc>
        <w:tc>
          <w:tcPr>
            <w:tcW w:w="40" w:type="dxa"/>
            <w:vAlign w:val="bottom"/>
            <w:tcBorders>
              <w:top w:val="single" w:sz="8" w:color="3051F2"/>
              <w:bottom w:val="single" w:sz="8" w:color="auto"/>
            </w:tcBorders>
          </w:tcPr>
          <w:p>
            <w:pPr>
              <w:spacing w:after="0"/>
              <w:rPr>
                <w:sz w:val="2"/>
                <w:szCs w:val="2"/>
                <w:color w:val="auto"/>
              </w:rPr>
            </w:pPr>
          </w:p>
        </w:tc>
        <w:tc>
          <w:tcPr>
            <w:tcW w:w="180" w:type="dxa"/>
            <w:vAlign w:val="bottom"/>
            <w:tcBorders>
              <w:top w:val="single" w:sz="8" w:color="3051F2"/>
              <w:bottom w:val="single" w:sz="8" w:color="auto"/>
            </w:tcBorders>
          </w:tcPr>
          <w:p>
            <w:pPr>
              <w:spacing w:after="0"/>
              <w:rPr>
                <w:sz w:val="2"/>
                <w:szCs w:val="2"/>
                <w:color w:val="auto"/>
              </w:rPr>
            </w:pPr>
          </w:p>
        </w:tc>
        <w:tc>
          <w:tcPr>
            <w:tcW w:w="160" w:type="dxa"/>
            <w:vAlign w:val="bottom"/>
            <w:tcBorders>
              <w:top w:val="single" w:sz="8" w:color="3051F2"/>
              <w:bottom w:val="single" w:sz="8" w:color="auto"/>
            </w:tcBorders>
          </w:tcPr>
          <w:p>
            <w:pPr>
              <w:spacing w:after="0"/>
              <w:rPr>
                <w:sz w:val="2"/>
                <w:szCs w:val="2"/>
                <w:color w:val="auto"/>
              </w:rPr>
            </w:pPr>
          </w:p>
        </w:tc>
        <w:tc>
          <w:tcPr>
            <w:tcW w:w="220" w:type="dxa"/>
            <w:vAlign w:val="bottom"/>
            <w:tcBorders>
              <w:top w:val="single" w:sz="8" w:color="3051F2"/>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760" w:type="dxa"/>
            <w:vAlign w:val="bottom"/>
            <w:tcBorders>
              <w:left w:val="single" w:sz="8" w:color="auto"/>
              <w:bottom w:val="single" w:sz="8" w:color="CCEEFF"/>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10.24#</w:t>
            </w:r>
          </w:p>
        </w:tc>
        <w:tc>
          <w:tcPr>
            <w:tcW w:w="5980" w:type="dxa"/>
            <w:vAlign w:val="bottom"/>
            <w:tcBorders>
              <w:bottom w:val="single" w:sz="8" w:color="3051F2"/>
            </w:tcBorders>
            <w:gridSpan w:val="27"/>
            <w:shd w:val="clear" w:color="auto" w:fill="CCEEFF"/>
          </w:tcPr>
          <w:p>
            <w:pPr>
              <w:spacing w:after="0" w:line="119" w:lineRule="exact"/>
              <w:rPr>
                <w:rFonts w:ascii="Times New Roman" w:cs="Times New Roman" w:eastAsia="Times New Roman" w:hAnsi="Times New Roman"/>
                <w:sz w:val="12"/>
                <w:szCs w:val="12"/>
                <w:color w:val="3051F2"/>
              </w:rPr>
            </w:pPr>
            <w:hyperlink r:id="rId92">
              <w:r>
                <w:rPr>
                  <w:rFonts w:ascii="Times New Roman" w:cs="Times New Roman" w:eastAsia="Times New Roman" w:hAnsi="Times New Roman"/>
                  <w:sz w:val="12"/>
                  <w:szCs w:val="12"/>
                  <w:color w:val="3051F2"/>
                </w:rPr>
                <w:t>Employment Agreement dated July 16, 2021 among Sun Communities, Inc., Sun Communities Operating Limited</w:t>
              </w:r>
            </w:hyperlink>
          </w:p>
        </w:tc>
        <w:tc>
          <w:tcPr>
            <w:tcW w:w="120" w:type="dxa"/>
            <w:vAlign w:val="bottom"/>
            <w:tcBorders>
              <w:bottom w:val="single" w:sz="8" w:color="CCEEFF"/>
              <w:right w:val="single" w:sz="8" w:color="auto"/>
            </w:tcBorders>
            <w:gridSpan w:val="4"/>
            <w:shd w:val="clear" w:color="auto" w:fill="CCEEFF"/>
          </w:tcPr>
          <w:p>
            <w:pPr>
              <w:spacing w:after="0"/>
              <w:rPr>
                <w:sz w:val="10"/>
                <w:szCs w:val="10"/>
                <w:color w:val="auto"/>
              </w:rPr>
            </w:pPr>
          </w:p>
        </w:tc>
        <w:tc>
          <w:tcPr>
            <w:tcW w:w="4420" w:type="dxa"/>
            <w:vAlign w:val="bottom"/>
            <w:tcBorders>
              <w:bottom w:val="single" w:sz="8" w:color="CCEEFF"/>
              <w:right w:val="single" w:sz="8" w:color="auto"/>
            </w:tcBorders>
            <w:shd w:val="clear" w:color="auto" w:fill="CCEEFF"/>
          </w:tcPr>
          <w:p>
            <w:pPr>
              <w:spacing w:after="0" w:line="119" w:lineRule="exact"/>
              <w:rPr>
                <w:sz w:val="20"/>
                <w:szCs w:val="20"/>
                <w:color w:val="auto"/>
              </w:rPr>
            </w:pPr>
            <w:r>
              <w:rPr>
                <w:rFonts w:ascii="Times New Roman" w:cs="Times New Roman" w:eastAsia="Times New Roman" w:hAnsi="Times New Roman"/>
                <w:sz w:val="12"/>
                <w:szCs w:val="12"/>
                <w:color w:val="auto"/>
              </w:rPr>
              <w:t>Incorporated by reference to Exhibit 10.1 of Sun Communities Inc.'s Current Report on</w:t>
            </w:r>
          </w:p>
        </w:tc>
        <w:tc>
          <w:tcPr>
            <w:tcW w:w="0" w:type="dxa"/>
            <w:vAlign w:val="bottom"/>
          </w:tcPr>
          <w:p>
            <w:pPr>
              <w:spacing w:after="0"/>
              <w:rPr>
                <w:sz w:val="1"/>
                <w:szCs w:val="1"/>
                <w:color w:val="auto"/>
              </w:rPr>
            </w:pPr>
          </w:p>
        </w:tc>
      </w:tr>
      <w:tr>
        <w:trPr>
          <w:trHeight w:val="71"/>
        </w:trPr>
        <w:tc>
          <w:tcPr>
            <w:tcW w:w="760" w:type="dxa"/>
            <w:vAlign w:val="bottom"/>
            <w:tcBorders>
              <w:left w:val="single" w:sz="8" w:color="auto"/>
              <w:right w:val="single" w:sz="8" w:color="auto"/>
            </w:tcBorders>
            <w:vMerge w:val="continue"/>
            <w:shd w:val="clear" w:color="auto" w:fill="CCEEFF"/>
          </w:tcPr>
          <w:p>
            <w:pPr>
              <w:spacing w:after="0"/>
              <w:rPr>
                <w:sz w:val="6"/>
                <w:szCs w:val="6"/>
                <w:color w:val="auto"/>
              </w:rPr>
            </w:pPr>
          </w:p>
        </w:tc>
        <w:tc>
          <w:tcPr>
            <w:tcW w:w="6100" w:type="dxa"/>
            <w:vAlign w:val="bottom"/>
            <w:tcBorders>
              <w:right w:val="single" w:sz="8" w:color="auto"/>
            </w:tcBorders>
            <w:gridSpan w:val="31"/>
            <w:vMerge w:val="restart"/>
            <w:shd w:val="clear" w:color="auto" w:fill="CCEEFF"/>
          </w:tcPr>
          <w:p>
            <w:pPr>
              <w:spacing w:after="0" w:line="128" w:lineRule="exact"/>
              <w:rPr>
                <w:rFonts w:ascii="Times New Roman" w:cs="Times New Roman" w:eastAsia="Times New Roman" w:hAnsi="Times New Roman"/>
                <w:sz w:val="12"/>
                <w:szCs w:val="12"/>
                <w:color w:val="3051F2"/>
              </w:rPr>
            </w:pPr>
            <w:hyperlink r:id="rId92">
              <w:r>
                <w:rPr>
                  <w:rFonts w:ascii="Times New Roman" w:cs="Times New Roman" w:eastAsia="Times New Roman" w:hAnsi="Times New Roman"/>
                  <w:sz w:val="12"/>
                  <w:szCs w:val="12"/>
                  <w:color w:val="3051F2"/>
                </w:rPr>
                <w:t>Partnership and Bruce Thelen</w:t>
              </w:r>
            </w:hyperlink>
          </w:p>
        </w:tc>
        <w:tc>
          <w:tcPr>
            <w:tcW w:w="4420" w:type="dxa"/>
            <w:vAlign w:val="bottom"/>
            <w:tcBorders>
              <w:right w:val="single" w:sz="8" w:color="auto"/>
            </w:tcBorders>
            <w:vMerge w:val="restart"/>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Form 8-K filed on July 20, 2021</w:t>
            </w:r>
          </w:p>
        </w:tc>
        <w:tc>
          <w:tcPr>
            <w:tcW w:w="0" w:type="dxa"/>
            <w:vAlign w:val="bottom"/>
          </w:tcPr>
          <w:p>
            <w:pPr>
              <w:spacing w:after="0"/>
              <w:rPr>
                <w:sz w:val="1"/>
                <w:szCs w:val="1"/>
                <w:color w:val="auto"/>
              </w:rPr>
            </w:pPr>
          </w:p>
        </w:tc>
      </w:tr>
      <w:tr>
        <w:trPr>
          <w:trHeight w:val="103"/>
        </w:trPr>
        <w:tc>
          <w:tcPr>
            <w:tcW w:w="760" w:type="dxa"/>
            <w:vAlign w:val="bottom"/>
            <w:tcBorders>
              <w:left w:val="single" w:sz="8" w:color="auto"/>
              <w:bottom w:val="single" w:sz="8" w:color="auto"/>
              <w:right w:val="single" w:sz="8" w:color="auto"/>
            </w:tcBorders>
            <w:shd w:val="clear" w:color="auto" w:fill="CCEEFF"/>
          </w:tcPr>
          <w:p>
            <w:pPr>
              <w:spacing w:after="0"/>
              <w:rPr>
                <w:sz w:val="8"/>
                <w:szCs w:val="8"/>
                <w:color w:val="auto"/>
              </w:rPr>
            </w:pPr>
          </w:p>
        </w:tc>
        <w:tc>
          <w:tcPr>
            <w:tcW w:w="6100" w:type="dxa"/>
            <w:vAlign w:val="bottom"/>
            <w:tcBorders>
              <w:bottom w:val="single" w:sz="8" w:color="auto"/>
              <w:right w:val="single" w:sz="8" w:color="auto"/>
            </w:tcBorders>
            <w:gridSpan w:val="31"/>
            <w:vMerge w:val="continue"/>
            <w:shd w:val="clear" w:color="auto" w:fill="CCEEFF"/>
          </w:tcPr>
          <w:p>
            <w:pPr>
              <w:spacing w:after="0"/>
              <w:rPr>
                <w:sz w:val="8"/>
                <w:szCs w:val="8"/>
                <w:color w:val="auto"/>
              </w:rPr>
            </w:pPr>
          </w:p>
        </w:tc>
        <w:tc>
          <w:tcPr>
            <w:tcW w:w="4420" w:type="dxa"/>
            <w:vAlign w:val="bottom"/>
            <w:tcBorders>
              <w:bottom w:val="single" w:sz="8" w:color="auto"/>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7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rPr>
              <w:t>10.25#</w:t>
            </w:r>
          </w:p>
        </w:tc>
        <w:tc>
          <w:tcPr>
            <w:tcW w:w="6040" w:type="dxa"/>
            <w:vAlign w:val="bottom"/>
            <w:tcBorders>
              <w:bottom w:val="single" w:sz="8" w:color="3051F2"/>
            </w:tcBorders>
            <w:gridSpan w:val="30"/>
          </w:tcPr>
          <w:p>
            <w:pPr>
              <w:spacing w:after="0" w:line="119" w:lineRule="exact"/>
              <w:rPr>
                <w:rFonts w:ascii="Times New Roman" w:cs="Times New Roman" w:eastAsia="Times New Roman" w:hAnsi="Times New Roman"/>
                <w:sz w:val="12"/>
                <w:szCs w:val="12"/>
                <w:color w:val="3051F2"/>
              </w:rPr>
            </w:pPr>
            <w:hyperlink r:id="rId90">
              <w:r>
                <w:rPr>
                  <w:rFonts w:ascii="Times New Roman" w:cs="Times New Roman" w:eastAsia="Times New Roman" w:hAnsi="Times New Roman"/>
                  <w:sz w:val="12"/>
                  <w:szCs w:val="12"/>
                  <w:color w:val="3051F2"/>
                </w:rPr>
                <w:t>First Amendment to Employment Agreement among Sun Communities, Inc., Sun Communities Operating Limited</w:t>
              </w:r>
            </w:hyperlink>
          </w:p>
        </w:tc>
        <w:tc>
          <w:tcPr>
            <w:tcW w:w="60" w:type="dxa"/>
            <w:vAlign w:val="bottom"/>
            <w:tcBorders>
              <w:right w:val="single" w:sz="8" w:color="auto"/>
            </w:tcBorders>
          </w:tcPr>
          <w:p>
            <w:pPr>
              <w:spacing w:after="0"/>
              <w:rPr>
                <w:sz w:val="10"/>
                <w:szCs w:val="10"/>
                <w:color w:val="auto"/>
              </w:rPr>
            </w:pPr>
          </w:p>
        </w:tc>
        <w:tc>
          <w:tcPr>
            <w:tcW w:w="4420" w:type="dxa"/>
            <w:vAlign w:val="bottom"/>
            <w:tcBorders>
              <w:right w:val="single" w:sz="8" w:color="auto"/>
            </w:tcBorders>
          </w:tcPr>
          <w:p>
            <w:pPr>
              <w:spacing w:after="0" w:line="119" w:lineRule="exact"/>
              <w:rPr>
                <w:sz w:val="20"/>
                <w:szCs w:val="20"/>
                <w:color w:val="auto"/>
              </w:rPr>
            </w:pPr>
            <w:r>
              <w:rPr>
                <w:rFonts w:ascii="Times New Roman" w:cs="Times New Roman" w:eastAsia="Times New Roman" w:hAnsi="Times New Roman"/>
                <w:sz w:val="12"/>
                <w:szCs w:val="12"/>
                <w:color w:val="auto"/>
              </w:rPr>
              <w:t>Incorporated by reference to Exhibit 10.4 of Sun Communities Inc.'s Current Report on</w:t>
            </w:r>
          </w:p>
        </w:tc>
        <w:tc>
          <w:tcPr>
            <w:tcW w:w="0" w:type="dxa"/>
            <w:vAlign w:val="bottom"/>
          </w:tcPr>
          <w:p>
            <w:pPr>
              <w:spacing w:after="0"/>
              <w:rPr>
                <w:sz w:val="1"/>
                <w:szCs w:val="1"/>
                <w:color w:val="auto"/>
              </w:rPr>
            </w:pPr>
          </w:p>
        </w:tc>
      </w:tr>
      <w:tr>
        <w:trPr>
          <w:trHeight w:val="71"/>
        </w:trPr>
        <w:tc>
          <w:tcPr>
            <w:tcW w:w="760" w:type="dxa"/>
            <w:vAlign w:val="bottom"/>
            <w:tcBorders>
              <w:left w:val="single" w:sz="8" w:color="auto"/>
              <w:right w:val="single" w:sz="8" w:color="auto"/>
            </w:tcBorders>
            <w:vMerge w:val="continue"/>
          </w:tcPr>
          <w:p>
            <w:pPr>
              <w:spacing w:after="0"/>
              <w:rPr>
                <w:sz w:val="6"/>
                <w:szCs w:val="6"/>
                <w:color w:val="auto"/>
              </w:rPr>
            </w:pPr>
          </w:p>
        </w:tc>
        <w:tc>
          <w:tcPr>
            <w:tcW w:w="6100" w:type="dxa"/>
            <w:vAlign w:val="bottom"/>
            <w:tcBorders>
              <w:right w:val="single" w:sz="8" w:color="auto"/>
            </w:tcBorders>
            <w:gridSpan w:val="31"/>
            <w:vMerge w:val="restart"/>
          </w:tcPr>
          <w:p>
            <w:pPr>
              <w:spacing w:after="0" w:line="128" w:lineRule="exact"/>
              <w:rPr>
                <w:rFonts w:ascii="Times New Roman" w:cs="Times New Roman" w:eastAsia="Times New Roman" w:hAnsi="Times New Roman"/>
                <w:sz w:val="12"/>
                <w:szCs w:val="12"/>
                <w:color w:val="3051F2"/>
              </w:rPr>
            </w:pPr>
            <w:hyperlink r:id="rId90">
              <w:r>
                <w:rPr>
                  <w:rFonts w:ascii="Times New Roman" w:cs="Times New Roman" w:eastAsia="Times New Roman" w:hAnsi="Times New Roman"/>
                  <w:sz w:val="12"/>
                  <w:szCs w:val="12"/>
                  <w:color w:val="3051F2"/>
                </w:rPr>
                <w:t>Partnership and Bruce Thelen dated March 30, 2022</w:t>
              </w:r>
            </w:hyperlink>
          </w:p>
        </w:tc>
        <w:tc>
          <w:tcPr>
            <w:tcW w:w="4420" w:type="dxa"/>
            <w:vAlign w:val="bottom"/>
            <w:tcBorders>
              <w:right w:val="single" w:sz="8" w:color="auto"/>
            </w:tcBorders>
            <w:vMerge w:val="restart"/>
          </w:tcPr>
          <w:p>
            <w:pPr>
              <w:spacing w:after="0" w:line="128" w:lineRule="exact"/>
              <w:rPr>
                <w:sz w:val="20"/>
                <w:szCs w:val="20"/>
                <w:color w:val="auto"/>
              </w:rPr>
            </w:pPr>
            <w:r>
              <w:rPr>
                <w:rFonts w:ascii="Times New Roman" w:cs="Times New Roman" w:eastAsia="Times New Roman" w:hAnsi="Times New Roman"/>
                <w:sz w:val="12"/>
                <w:szCs w:val="12"/>
                <w:color w:val="auto"/>
              </w:rPr>
              <w:t>Form 8-K filed on April 1, 2022</w:t>
            </w:r>
          </w:p>
        </w:tc>
        <w:tc>
          <w:tcPr>
            <w:tcW w:w="0" w:type="dxa"/>
            <w:vAlign w:val="bottom"/>
          </w:tcPr>
          <w:p>
            <w:pPr>
              <w:spacing w:after="0"/>
              <w:rPr>
                <w:sz w:val="1"/>
                <w:szCs w:val="1"/>
                <w:color w:val="auto"/>
              </w:rPr>
            </w:pPr>
          </w:p>
        </w:tc>
      </w:tr>
      <w:tr>
        <w:trPr>
          <w:trHeight w:val="57"/>
        </w:trPr>
        <w:tc>
          <w:tcPr>
            <w:tcW w:w="760" w:type="dxa"/>
            <w:vAlign w:val="bottom"/>
            <w:tcBorders>
              <w:left w:val="single" w:sz="8" w:color="auto"/>
              <w:right w:val="single" w:sz="8" w:color="auto"/>
            </w:tcBorders>
          </w:tcPr>
          <w:p>
            <w:pPr>
              <w:spacing w:after="0"/>
              <w:rPr>
                <w:sz w:val="4"/>
                <w:szCs w:val="4"/>
                <w:color w:val="auto"/>
              </w:rPr>
            </w:pPr>
          </w:p>
        </w:tc>
        <w:tc>
          <w:tcPr>
            <w:tcW w:w="6100" w:type="dxa"/>
            <w:vAlign w:val="bottom"/>
            <w:tcBorders>
              <w:right w:val="single" w:sz="8" w:color="auto"/>
            </w:tcBorders>
            <w:gridSpan w:val="31"/>
            <w:vMerge w:val="continue"/>
          </w:tcPr>
          <w:p>
            <w:pPr>
              <w:spacing w:after="0"/>
              <w:rPr>
                <w:sz w:val="4"/>
                <w:szCs w:val="4"/>
                <w:color w:val="auto"/>
              </w:rPr>
            </w:pPr>
          </w:p>
        </w:tc>
        <w:tc>
          <w:tcPr>
            <w:tcW w:w="442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760" w:type="dxa"/>
            <w:vAlign w:val="bottom"/>
            <w:tcBorders>
              <w:left w:val="single" w:sz="8" w:color="auto"/>
              <w:bottom w:val="single" w:sz="8" w:color="auto"/>
              <w:right w:val="single" w:sz="8" w:color="auto"/>
            </w:tcBorders>
          </w:tcPr>
          <w:p>
            <w:pPr>
              <w:spacing w:after="0"/>
              <w:rPr>
                <w:sz w:val="2"/>
                <w:szCs w:val="2"/>
                <w:color w:val="auto"/>
              </w:rPr>
            </w:pPr>
          </w:p>
        </w:tc>
        <w:tc>
          <w:tcPr>
            <w:tcW w:w="380" w:type="dxa"/>
            <w:vAlign w:val="bottom"/>
            <w:tcBorders>
              <w:top w:val="single" w:sz="8" w:color="3051F2"/>
              <w:bottom w:val="single" w:sz="8" w:color="auto"/>
            </w:tcBorders>
          </w:tcPr>
          <w:p>
            <w:pPr>
              <w:spacing w:after="0"/>
              <w:rPr>
                <w:sz w:val="2"/>
                <w:szCs w:val="2"/>
                <w:color w:val="auto"/>
              </w:rPr>
            </w:pPr>
          </w:p>
        </w:tc>
        <w:tc>
          <w:tcPr>
            <w:tcW w:w="720" w:type="dxa"/>
            <w:vAlign w:val="bottom"/>
            <w:tcBorders>
              <w:top w:val="single" w:sz="8" w:color="3051F2"/>
              <w:bottom w:val="single" w:sz="8" w:color="auto"/>
            </w:tcBorders>
          </w:tcPr>
          <w:p>
            <w:pPr>
              <w:spacing w:after="0"/>
              <w:rPr>
                <w:sz w:val="2"/>
                <w:szCs w:val="2"/>
                <w:color w:val="auto"/>
              </w:rPr>
            </w:pPr>
          </w:p>
        </w:tc>
        <w:tc>
          <w:tcPr>
            <w:tcW w:w="340" w:type="dxa"/>
            <w:vAlign w:val="bottom"/>
            <w:tcBorders>
              <w:top w:val="single" w:sz="8" w:color="3051F2"/>
              <w:bottom w:val="single" w:sz="8" w:color="auto"/>
            </w:tcBorders>
          </w:tcPr>
          <w:p>
            <w:pPr>
              <w:spacing w:after="0"/>
              <w:rPr>
                <w:sz w:val="2"/>
                <w:szCs w:val="2"/>
                <w:color w:val="auto"/>
              </w:rPr>
            </w:pPr>
          </w:p>
        </w:tc>
        <w:tc>
          <w:tcPr>
            <w:tcW w:w="20" w:type="dxa"/>
            <w:vAlign w:val="bottom"/>
            <w:tcBorders>
              <w:top w:val="single" w:sz="8" w:color="3051F2"/>
              <w:bottom w:val="single" w:sz="8" w:color="auto"/>
            </w:tcBorders>
          </w:tcPr>
          <w:p>
            <w:pPr>
              <w:spacing w:after="0"/>
              <w:rPr>
                <w:sz w:val="2"/>
                <w:szCs w:val="2"/>
                <w:color w:val="auto"/>
              </w:rPr>
            </w:pPr>
          </w:p>
        </w:tc>
        <w:tc>
          <w:tcPr>
            <w:tcW w:w="20" w:type="dxa"/>
            <w:vAlign w:val="bottom"/>
            <w:tcBorders>
              <w:top w:val="single" w:sz="8" w:color="3051F2"/>
              <w:bottom w:val="single" w:sz="8" w:color="auto"/>
            </w:tcBorders>
          </w:tcPr>
          <w:p>
            <w:pPr>
              <w:spacing w:after="0"/>
              <w:rPr>
                <w:sz w:val="2"/>
                <w:szCs w:val="2"/>
                <w:color w:val="auto"/>
              </w:rPr>
            </w:pPr>
          </w:p>
        </w:tc>
        <w:tc>
          <w:tcPr>
            <w:tcW w:w="100" w:type="dxa"/>
            <w:vAlign w:val="bottom"/>
            <w:tcBorders>
              <w:top w:val="single" w:sz="8" w:color="3051F2"/>
              <w:bottom w:val="single" w:sz="8" w:color="auto"/>
            </w:tcBorders>
          </w:tcPr>
          <w:p>
            <w:pPr>
              <w:spacing w:after="0"/>
              <w:rPr>
                <w:sz w:val="2"/>
                <w:szCs w:val="2"/>
                <w:color w:val="auto"/>
              </w:rPr>
            </w:pPr>
          </w:p>
        </w:tc>
        <w:tc>
          <w:tcPr>
            <w:tcW w:w="120" w:type="dxa"/>
            <w:vAlign w:val="bottom"/>
            <w:tcBorders>
              <w:top w:val="single" w:sz="8" w:color="3051F2"/>
              <w:bottom w:val="single" w:sz="8" w:color="auto"/>
            </w:tcBorders>
          </w:tcPr>
          <w:p>
            <w:pPr>
              <w:spacing w:after="0"/>
              <w:rPr>
                <w:sz w:val="2"/>
                <w:szCs w:val="2"/>
                <w:color w:val="auto"/>
              </w:rPr>
            </w:pPr>
          </w:p>
        </w:tc>
        <w:tc>
          <w:tcPr>
            <w:tcW w:w="60" w:type="dxa"/>
            <w:vAlign w:val="bottom"/>
            <w:tcBorders>
              <w:top w:val="single" w:sz="8" w:color="3051F2"/>
              <w:bottom w:val="single" w:sz="8" w:color="auto"/>
            </w:tcBorders>
          </w:tcPr>
          <w:p>
            <w:pPr>
              <w:spacing w:after="0"/>
              <w:rPr>
                <w:sz w:val="2"/>
                <w:szCs w:val="2"/>
                <w:color w:val="auto"/>
              </w:rPr>
            </w:pPr>
          </w:p>
        </w:tc>
        <w:tc>
          <w:tcPr>
            <w:tcW w:w="40" w:type="dxa"/>
            <w:vAlign w:val="bottom"/>
            <w:tcBorders>
              <w:top w:val="single" w:sz="8" w:color="3051F2"/>
              <w:bottom w:val="single" w:sz="8" w:color="auto"/>
            </w:tcBorders>
          </w:tcPr>
          <w:p>
            <w:pPr>
              <w:spacing w:after="0"/>
              <w:rPr>
                <w:sz w:val="2"/>
                <w:szCs w:val="2"/>
                <w:color w:val="auto"/>
              </w:rPr>
            </w:pPr>
          </w:p>
        </w:tc>
        <w:tc>
          <w:tcPr>
            <w:tcW w:w="60" w:type="dxa"/>
            <w:vAlign w:val="bottom"/>
            <w:tcBorders>
              <w:top w:val="single" w:sz="8" w:color="3051F2"/>
              <w:bottom w:val="single" w:sz="8" w:color="auto"/>
            </w:tcBorders>
          </w:tcPr>
          <w:p>
            <w:pPr>
              <w:spacing w:after="0"/>
              <w:rPr>
                <w:sz w:val="2"/>
                <w:szCs w:val="2"/>
                <w:color w:val="auto"/>
              </w:rPr>
            </w:pPr>
          </w:p>
        </w:tc>
        <w:tc>
          <w:tcPr>
            <w:tcW w:w="200" w:type="dxa"/>
            <w:vAlign w:val="bottom"/>
            <w:tcBorders>
              <w:top w:val="single" w:sz="8" w:color="3051F2"/>
              <w:bottom w:val="single" w:sz="8" w:color="auto"/>
            </w:tcBorders>
          </w:tcPr>
          <w:p>
            <w:pPr>
              <w:spacing w:after="0"/>
              <w:rPr>
                <w:sz w:val="2"/>
                <w:szCs w:val="2"/>
                <w:color w:val="auto"/>
              </w:rPr>
            </w:pPr>
          </w:p>
        </w:tc>
        <w:tc>
          <w:tcPr>
            <w:tcW w:w="120" w:type="dxa"/>
            <w:vAlign w:val="bottom"/>
            <w:tcBorders>
              <w:top w:val="single" w:sz="8" w:color="3051F2"/>
              <w:bottom w:val="single" w:sz="8" w:color="auto"/>
            </w:tcBorders>
          </w:tcPr>
          <w:p>
            <w:pPr>
              <w:spacing w:after="0"/>
              <w:rPr>
                <w:sz w:val="2"/>
                <w:szCs w:val="2"/>
                <w:color w:val="auto"/>
              </w:rPr>
            </w:pPr>
          </w:p>
        </w:tc>
        <w:tc>
          <w:tcPr>
            <w:tcW w:w="80" w:type="dxa"/>
            <w:vAlign w:val="bottom"/>
            <w:tcBorders>
              <w:top w:val="single" w:sz="8" w:color="3051F2"/>
              <w:bottom w:val="single" w:sz="8" w:color="auto"/>
            </w:tcBorders>
          </w:tcPr>
          <w:p>
            <w:pPr>
              <w:spacing w:after="0"/>
              <w:rPr>
                <w:sz w:val="2"/>
                <w:szCs w:val="2"/>
                <w:color w:val="auto"/>
              </w:rPr>
            </w:pPr>
          </w:p>
        </w:tc>
        <w:tc>
          <w:tcPr>
            <w:tcW w:w="280" w:type="dxa"/>
            <w:vAlign w:val="bottom"/>
            <w:tcBorders>
              <w:top w:val="single" w:sz="8" w:color="3051F2"/>
              <w:bottom w:val="single" w:sz="8" w:color="auto"/>
            </w:tcBorders>
          </w:tcPr>
          <w:p>
            <w:pPr>
              <w:spacing w:after="0"/>
              <w:rPr>
                <w:sz w:val="2"/>
                <w:szCs w:val="2"/>
                <w:color w:val="auto"/>
              </w:rPr>
            </w:pPr>
          </w:p>
        </w:tc>
        <w:tc>
          <w:tcPr>
            <w:tcW w:w="40" w:type="dxa"/>
            <w:vAlign w:val="bottom"/>
            <w:tcBorders>
              <w:top w:val="single" w:sz="8" w:color="3051F2"/>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760" w:type="dxa"/>
            <w:vAlign w:val="bottom"/>
            <w:tcBorders>
              <w:left w:val="single" w:sz="8" w:color="auto"/>
              <w:bottom w:val="single" w:sz="8" w:color="CCEEFF"/>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10.26#</w:t>
            </w:r>
          </w:p>
        </w:tc>
        <w:tc>
          <w:tcPr>
            <w:tcW w:w="6040" w:type="dxa"/>
            <w:vAlign w:val="bottom"/>
            <w:tcBorders>
              <w:bottom w:val="single" w:sz="8" w:color="3051F2"/>
            </w:tcBorders>
            <w:gridSpan w:val="30"/>
            <w:shd w:val="clear" w:color="auto" w:fill="CCEEFF"/>
          </w:tcPr>
          <w:p>
            <w:pPr>
              <w:spacing w:after="0" w:line="119" w:lineRule="exact"/>
              <w:rPr>
                <w:rFonts w:ascii="Times New Roman" w:cs="Times New Roman" w:eastAsia="Times New Roman" w:hAnsi="Times New Roman"/>
                <w:sz w:val="12"/>
                <w:szCs w:val="12"/>
                <w:color w:val="3051F2"/>
              </w:rPr>
            </w:pPr>
            <w:hyperlink r:id="rId93">
              <w:r>
                <w:rPr>
                  <w:rFonts w:ascii="Times New Roman" w:cs="Times New Roman" w:eastAsia="Times New Roman" w:hAnsi="Times New Roman"/>
                  <w:sz w:val="12"/>
                  <w:szCs w:val="12"/>
                  <w:color w:val="3051F2"/>
                </w:rPr>
                <w:t>Third Amendment to Employment Agreement among Sun Communities, Inc., Sun Communities Operating Limited</w:t>
              </w:r>
            </w:hyperlink>
          </w:p>
        </w:tc>
        <w:tc>
          <w:tcPr>
            <w:tcW w:w="60" w:type="dxa"/>
            <w:vAlign w:val="bottom"/>
            <w:tcBorders>
              <w:bottom w:val="single" w:sz="8" w:color="CCEEFF"/>
              <w:right w:val="single" w:sz="8" w:color="auto"/>
            </w:tcBorders>
            <w:shd w:val="clear" w:color="auto" w:fill="CCEEFF"/>
          </w:tcPr>
          <w:p>
            <w:pPr>
              <w:spacing w:after="0"/>
              <w:rPr>
                <w:sz w:val="10"/>
                <w:szCs w:val="10"/>
                <w:color w:val="auto"/>
              </w:rPr>
            </w:pPr>
          </w:p>
        </w:tc>
        <w:tc>
          <w:tcPr>
            <w:tcW w:w="4420" w:type="dxa"/>
            <w:vAlign w:val="bottom"/>
            <w:tcBorders>
              <w:bottom w:val="single" w:sz="8" w:color="CCEEFF"/>
              <w:right w:val="single" w:sz="8" w:color="auto"/>
            </w:tcBorders>
            <w:shd w:val="clear" w:color="auto" w:fill="CCEEFF"/>
          </w:tcPr>
          <w:p>
            <w:pPr>
              <w:spacing w:after="0" w:line="119" w:lineRule="exact"/>
              <w:rPr>
                <w:sz w:val="20"/>
                <w:szCs w:val="20"/>
                <w:color w:val="auto"/>
              </w:rPr>
            </w:pPr>
            <w:r>
              <w:rPr>
                <w:rFonts w:ascii="Times New Roman" w:cs="Times New Roman" w:eastAsia="Times New Roman" w:hAnsi="Times New Roman"/>
                <w:sz w:val="12"/>
                <w:szCs w:val="12"/>
                <w:color w:val="auto"/>
              </w:rPr>
              <w:t>Incorporated by reference to Exhibit 10.2 of Sun Communities, Inc.'s Current Report on</w:t>
            </w:r>
          </w:p>
        </w:tc>
        <w:tc>
          <w:tcPr>
            <w:tcW w:w="0" w:type="dxa"/>
            <w:vAlign w:val="bottom"/>
          </w:tcPr>
          <w:p>
            <w:pPr>
              <w:spacing w:after="0"/>
              <w:rPr>
                <w:sz w:val="1"/>
                <w:szCs w:val="1"/>
                <w:color w:val="auto"/>
              </w:rPr>
            </w:pPr>
          </w:p>
        </w:tc>
      </w:tr>
      <w:tr>
        <w:trPr>
          <w:trHeight w:val="71"/>
        </w:trPr>
        <w:tc>
          <w:tcPr>
            <w:tcW w:w="760" w:type="dxa"/>
            <w:vAlign w:val="bottom"/>
            <w:tcBorders>
              <w:left w:val="single" w:sz="8" w:color="auto"/>
              <w:right w:val="single" w:sz="8" w:color="auto"/>
            </w:tcBorders>
            <w:vMerge w:val="continue"/>
            <w:shd w:val="clear" w:color="auto" w:fill="CCEEFF"/>
          </w:tcPr>
          <w:p>
            <w:pPr>
              <w:spacing w:after="0"/>
              <w:rPr>
                <w:sz w:val="6"/>
                <w:szCs w:val="6"/>
                <w:color w:val="auto"/>
              </w:rPr>
            </w:pPr>
          </w:p>
        </w:tc>
        <w:tc>
          <w:tcPr>
            <w:tcW w:w="6100" w:type="dxa"/>
            <w:vAlign w:val="bottom"/>
            <w:tcBorders>
              <w:right w:val="single" w:sz="8" w:color="auto"/>
            </w:tcBorders>
            <w:gridSpan w:val="31"/>
            <w:vMerge w:val="restart"/>
            <w:shd w:val="clear" w:color="auto" w:fill="CCEEFF"/>
          </w:tcPr>
          <w:p>
            <w:pPr>
              <w:spacing w:after="0" w:line="128" w:lineRule="exact"/>
              <w:rPr>
                <w:rFonts w:ascii="Times New Roman" w:cs="Times New Roman" w:eastAsia="Times New Roman" w:hAnsi="Times New Roman"/>
                <w:sz w:val="12"/>
                <w:szCs w:val="12"/>
                <w:color w:val="3051F2"/>
              </w:rPr>
            </w:pPr>
            <w:hyperlink r:id="rId93">
              <w:r>
                <w:rPr>
                  <w:rFonts w:ascii="Times New Roman" w:cs="Times New Roman" w:eastAsia="Times New Roman" w:hAnsi="Times New Roman"/>
                  <w:sz w:val="12"/>
                  <w:szCs w:val="12"/>
                  <w:color w:val="3051F2"/>
                </w:rPr>
                <w:t>Partnership and Bruce Thelen dated March 20, 2024</w:t>
              </w:r>
            </w:hyperlink>
          </w:p>
        </w:tc>
        <w:tc>
          <w:tcPr>
            <w:tcW w:w="4420" w:type="dxa"/>
            <w:vAlign w:val="bottom"/>
            <w:tcBorders>
              <w:right w:val="single" w:sz="8" w:color="auto"/>
            </w:tcBorders>
            <w:vMerge w:val="restart"/>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Form 8-K filed on March 21, 2024</w:t>
            </w:r>
          </w:p>
        </w:tc>
        <w:tc>
          <w:tcPr>
            <w:tcW w:w="0" w:type="dxa"/>
            <w:vAlign w:val="bottom"/>
          </w:tcPr>
          <w:p>
            <w:pPr>
              <w:spacing w:after="0"/>
              <w:rPr>
                <w:sz w:val="1"/>
                <w:szCs w:val="1"/>
                <w:color w:val="auto"/>
              </w:rPr>
            </w:pPr>
          </w:p>
        </w:tc>
      </w:tr>
      <w:tr>
        <w:trPr>
          <w:trHeight w:val="103"/>
        </w:trPr>
        <w:tc>
          <w:tcPr>
            <w:tcW w:w="760" w:type="dxa"/>
            <w:vAlign w:val="bottom"/>
            <w:tcBorders>
              <w:left w:val="single" w:sz="8" w:color="auto"/>
              <w:bottom w:val="single" w:sz="8" w:color="auto"/>
              <w:right w:val="single" w:sz="8" w:color="auto"/>
            </w:tcBorders>
            <w:shd w:val="clear" w:color="auto" w:fill="CCEEFF"/>
          </w:tcPr>
          <w:p>
            <w:pPr>
              <w:spacing w:after="0"/>
              <w:rPr>
                <w:sz w:val="8"/>
                <w:szCs w:val="8"/>
                <w:color w:val="auto"/>
              </w:rPr>
            </w:pPr>
          </w:p>
        </w:tc>
        <w:tc>
          <w:tcPr>
            <w:tcW w:w="6100" w:type="dxa"/>
            <w:vAlign w:val="bottom"/>
            <w:tcBorders>
              <w:bottom w:val="single" w:sz="8" w:color="auto"/>
              <w:right w:val="single" w:sz="8" w:color="auto"/>
            </w:tcBorders>
            <w:gridSpan w:val="31"/>
            <w:vMerge w:val="continue"/>
            <w:shd w:val="clear" w:color="auto" w:fill="CCEEFF"/>
          </w:tcPr>
          <w:p>
            <w:pPr>
              <w:spacing w:after="0"/>
              <w:rPr>
                <w:sz w:val="8"/>
                <w:szCs w:val="8"/>
                <w:color w:val="auto"/>
              </w:rPr>
            </w:pPr>
          </w:p>
        </w:tc>
        <w:tc>
          <w:tcPr>
            <w:tcW w:w="4420" w:type="dxa"/>
            <w:vAlign w:val="bottom"/>
            <w:tcBorders>
              <w:bottom w:val="single" w:sz="8" w:color="auto"/>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7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rPr>
              <w:t>10.27#</w:t>
            </w:r>
          </w:p>
        </w:tc>
        <w:tc>
          <w:tcPr>
            <w:tcW w:w="6040" w:type="dxa"/>
            <w:vAlign w:val="bottom"/>
            <w:tcBorders>
              <w:bottom w:val="single" w:sz="8" w:color="3051F2"/>
            </w:tcBorders>
            <w:gridSpan w:val="30"/>
          </w:tcPr>
          <w:p>
            <w:pPr>
              <w:spacing w:after="0" w:line="119" w:lineRule="exact"/>
              <w:rPr>
                <w:rFonts w:ascii="Times New Roman" w:cs="Times New Roman" w:eastAsia="Times New Roman" w:hAnsi="Times New Roman"/>
                <w:sz w:val="12"/>
                <w:szCs w:val="12"/>
                <w:color w:val="3051F2"/>
              </w:rPr>
            </w:pPr>
            <w:hyperlink r:id="rId94">
              <w:r>
                <w:rPr>
                  <w:rFonts w:ascii="Times New Roman" w:cs="Times New Roman" w:eastAsia="Times New Roman" w:hAnsi="Times New Roman"/>
                  <w:sz w:val="12"/>
                  <w:szCs w:val="12"/>
                  <w:color w:val="3051F2"/>
                </w:rPr>
                <w:t>Employment Agreement dated October 18, 2021 among Sun Communities, Inc., Sun Communities Operating Limited</w:t>
              </w:r>
            </w:hyperlink>
          </w:p>
        </w:tc>
        <w:tc>
          <w:tcPr>
            <w:tcW w:w="60" w:type="dxa"/>
            <w:vAlign w:val="bottom"/>
            <w:tcBorders>
              <w:right w:val="single" w:sz="8" w:color="auto"/>
            </w:tcBorders>
          </w:tcPr>
          <w:p>
            <w:pPr>
              <w:spacing w:after="0"/>
              <w:rPr>
                <w:sz w:val="10"/>
                <w:szCs w:val="10"/>
                <w:color w:val="auto"/>
              </w:rPr>
            </w:pPr>
          </w:p>
        </w:tc>
        <w:tc>
          <w:tcPr>
            <w:tcW w:w="4420" w:type="dxa"/>
            <w:vAlign w:val="bottom"/>
            <w:tcBorders>
              <w:right w:val="single" w:sz="8" w:color="auto"/>
            </w:tcBorders>
          </w:tcPr>
          <w:p>
            <w:pPr>
              <w:spacing w:after="0" w:line="119" w:lineRule="exact"/>
              <w:rPr>
                <w:sz w:val="20"/>
                <w:szCs w:val="20"/>
                <w:color w:val="auto"/>
              </w:rPr>
            </w:pPr>
            <w:r>
              <w:rPr>
                <w:rFonts w:ascii="Times New Roman" w:cs="Times New Roman" w:eastAsia="Times New Roman" w:hAnsi="Times New Roman"/>
                <w:sz w:val="12"/>
                <w:szCs w:val="12"/>
                <w:color w:val="auto"/>
              </w:rPr>
              <w:t>Incorporated by reference to Exhibit 10.1 of Sun Communities Inc.'s Current Report on</w:t>
            </w:r>
          </w:p>
        </w:tc>
        <w:tc>
          <w:tcPr>
            <w:tcW w:w="0" w:type="dxa"/>
            <w:vAlign w:val="bottom"/>
          </w:tcPr>
          <w:p>
            <w:pPr>
              <w:spacing w:after="0"/>
              <w:rPr>
                <w:sz w:val="1"/>
                <w:szCs w:val="1"/>
                <w:color w:val="auto"/>
              </w:rPr>
            </w:pPr>
          </w:p>
        </w:tc>
      </w:tr>
      <w:tr>
        <w:trPr>
          <w:trHeight w:val="71"/>
        </w:trPr>
        <w:tc>
          <w:tcPr>
            <w:tcW w:w="760" w:type="dxa"/>
            <w:vAlign w:val="bottom"/>
            <w:tcBorders>
              <w:left w:val="single" w:sz="8" w:color="auto"/>
              <w:right w:val="single" w:sz="8" w:color="auto"/>
            </w:tcBorders>
            <w:vMerge w:val="continue"/>
          </w:tcPr>
          <w:p>
            <w:pPr>
              <w:spacing w:after="0"/>
              <w:rPr>
                <w:sz w:val="6"/>
                <w:szCs w:val="6"/>
                <w:color w:val="auto"/>
              </w:rPr>
            </w:pPr>
          </w:p>
        </w:tc>
        <w:tc>
          <w:tcPr>
            <w:tcW w:w="6100" w:type="dxa"/>
            <w:vAlign w:val="bottom"/>
            <w:tcBorders>
              <w:right w:val="single" w:sz="8" w:color="auto"/>
            </w:tcBorders>
            <w:gridSpan w:val="31"/>
            <w:vMerge w:val="restart"/>
          </w:tcPr>
          <w:p>
            <w:pPr>
              <w:spacing w:after="0" w:line="128" w:lineRule="exact"/>
              <w:rPr>
                <w:rFonts w:ascii="Times New Roman" w:cs="Times New Roman" w:eastAsia="Times New Roman" w:hAnsi="Times New Roman"/>
                <w:sz w:val="12"/>
                <w:szCs w:val="12"/>
                <w:color w:val="3051F2"/>
              </w:rPr>
            </w:pPr>
            <w:hyperlink r:id="rId94">
              <w:r>
                <w:rPr>
                  <w:rFonts w:ascii="Times New Roman" w:cs="Times New Roman" w:eastAsia="Times New Roman" w:hAnsi="Times New Roman"/>
                  <w:sz w:val="12"/>
                  <w:szCs w:val="12"/>
                  <w:color w:val="3051F2"/>
                </w:rPr>
                <w:t>Partnership and Aaron Weiss</w:t>
              </w:r>
            </w:hyperlink>
          </w:p>
        </w:tc>
        <w:tc>
          <w:tcPr>
            <w:tcW w:w="4420" w:type="dxa"/>
            <w:vAlign w:val="bottom"/>
            <w:tcBorders>
              <w:right w:val="single" w:sz="8" w:color="auto"/>
            </w:tcBorders>
            <w:vMerge w:val="restart"/>
          </w:tcPr>
          <w:p>
            <w:pPr>
              <w:spacing w:after="0" w:line="128" w:lineRule="exact"/>
              <w:rPr>
                <w:sz w:val="20"/>
                <w:szCs w:val="20"/>
                <w:color w:val="auto"/>
              </w:rPr>
            </w:pPr>
            <w:r>
              <w:rPr>
                <w:rFonts w:ascii="Times New Roman" w:cs="Times New Roman" w:eastAsia="Times New Roman" w:hAnsi="Times New Roman"/>
                <w:sz w:val="12"/>
                <w:szCs w:val="12"/>
                <w:color w:val="auto"/>
              </w:rPr>
              <w:t>Form 8-K filed on October 18, 2021</w:t>
            </w:r>
          </w:p>
        </w:tc>
        <w:tc>
          <w:tcPr>
            <w:tcW w:w="0" w:type="dxa"/>
            <w:vAlign w:val="bottom"/>
          </w:tcPr>
          <w:p>
            <w:pPr>
              <w:spacing w:after="0"/>
              <w:rPr>
                <w:sz w:val="1"/>
                <w:szCs w:val="1"/>
                <w:color w:val="auto"/>
              </w:rPr>
            </w:pPr>
          </w:p>
        </w:tc>
      </w:tr>
      <w:tr>
        <w:trPr>
          <w:trHeight w:val="57"/>
        </w:trPr>
        <w:tc>
          <w:tcPr>
            <w:tcW w:w="760" w:type="dxa"/>
            <w:vAlign w:val="bottom"/>
            <w:tcBorders>
              <w:left w:val="single" w:sz="8" w:color="auto"/>
              <w:right w:val="single" w:sz="8" w:color="auto"/>
            </w:tcBorders>
          </w:tcPr>
          <w:p>
            <w:pPr>
              <w:spacing w:after="0"/>
              <w:rPr>
                <w:sz w:val="4"/>
                <w:szCs w:val="4"/>
                <w:color w:val="auto"/>
              </w:rPr>
            </w:pPr>
          </w:p>
        </w:tc>
        <w:tc>
          <w:tcPr>
            <w:tcW w:w="6100" w:type="dxa"/>
            <w:vAlign w:val="bottom"/>
            <w:tcBorders>
              <w:right w:val="single" w:sz="8" w:color="auto"/>
            </w:tcBorders>
            <w:gridSpan w:val="31"/>
            <w:vMerge w:val="continue"/>
          </w:tcPr>
          <w:p>
            <w:pPr>
              <w:spacing w:after="0"/>
              <w:rPr>
                <w:sz w:val="4"/>
                <w:szCs w:val="4"/>
                <w:color w:val="auto"/>
              </w:rPr>
            </w:pPr>
          </w:p>
        </w:tc>
        <w:tc>
          <w:tcPr>
            <w:tcW w:w="442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760" w:type="dxa"/>
            <w:vAlign w:val="bottom"/>
            <w:tcBorders>
              <w:left w:val="single" w:sz="8" w:color="auto"/>
              <w:bottom w:val="single" w:sz="8" w:color="auto"/>
              <w:right w:val="single" w:sz="8" w:color="auto"/>
            </w:tcBorders>
          </w:tcPr>
          <w:p>
            <w:pPr>
              <w:spacing w:after="0"/>
              <w:rPr>
                <w:sz w:val="2"/>
                <w:szCs w:val="2"/>
                <w:color w:val="auto"/>
              </w:rPr>
            </w:pPr>
          </w:p>
        </w:tc>
        <w:tc>
          <w:tcPr>
            <w:tcW w:w="380" w:type="dxa"/>
            <w:vAlign w:val="bottom"/>
            <w:tcBorders>
              <w:top w:val="single" w:sz="8" w:color="3051F2"/>
              <w:bottom w:val="single" w:sz="8" w:color="auto"/>
            </w:tcBorders>
          </w:tcPr>
          <w:p>
            <w:pPr>
              <w:spacing w:after="0"/>
              <w:rPr>
                <w:sz w:val="2"/>
                <w:szCs w:val="2"/>
                <w:color w:val="auto"/>
              </w:rPr>
            </w:pPr>
          </w:p>
        </w:tc>
        <w:tc>
          <w:tcPr>
            <w:tcW w:w="720" w:type="dxa"/>
            <w:vAlign w:val="bottom"/>
            <w:tcBorders>
              <w:top w:val="single" w:sz="8" w:color="3051F2"/>
              <w:bottom w:val="single" w:sz="8" w:color="auto"/>
            </w:tcBorders>
          </w:tcPr>
          <w:p>
            <w:pPr>
              <w:spacing w:after="0"/>
              <w:rPr>
                <w:sz w:val="2"/>
                <w:szCs w:val="2"/>
                <w:color w:val="auto"/>
              </w:rPr>
            </w:pPr>
          </w:p>
        </w:tc>
        <w:tc>
          <w:tcPr>
            <w:tcW w:w="340" w:type="dxa"/>
            <w:vAlign w:val="bottom"/>
            <w:tcBorders>
              <w:top w:val="single" w:sz="8" w:color="3051F2"/>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760" w:type="dxa"/>
            <w:vAlign w:val="bottom"/>
            <w:tcBorders>
              <w:left w:val="single" w:sz="8" w:color="auto"/>
              <w:bottom w:val="single" w:sz="8" w:color="CCEEFF"/>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10.28#</w:t>
            </w:r>
          </w:p>
        </w:tc>
        <w:tc>
          <w:tcPr>
            <w:tcW w:w="6040" w:type="dxa"/>
            <w:vAlign w:val="bottom"/>
            <w:tcBorders>
              <w:bottom w:val="single" w:sz="8" w:color="3051F2"/>
            </w:tcBorders>
            <w:gridSpan w:val="30"/>
            <w:shd w:val="clear" w:color="auto" w:fill="CCEEFF"/>
          </w:tcPr>
          <w:p>
            <w:pPr>
              <w:spacing w:after="0" w:line="119" w:lineRule="exact"/>
              <w:rPr>
                <w:rFonts w:ascii="Times New Roman" w:cs="Times New Roman" w:eastAsia="Times New Roman" w:hAnsi="Times New Roman"/>
                <w:sz w:val="12"/>
                <w:szCs w:val="12"/>
                <w:color w:val="3051F2"/>
              </w:rPr>
            </w:pPr>
            <w:hyperlink r:id="rId90">
              <w:r>
                <w:rPr>
                  <w:rFonts w:ascii="Times New Roman" w:cs="Times New Roman" w:eastAsia="Times New Roman" w:hAnsi="Times New Roman"/>
                  <w:sz w:val="12"/>
                  <w:szCs w:val="12"/>
                  <w:color w:val="3051F2"/>
                </w:rPr>
                <w:t>First Amendment to Employment Agreement among Sun Communities, Inc., Sun Communities Operating Limited</w:t>
              </w:r>
            </w:hyperlink>
          </w:p>
        </w:tc>
        <w:tc>
          <w:tcPr>
            <w:tcW w:w="60" w:type="dxa"/>
            <w:vAlign w:val="bottom"/>
            <w:tcBorders>
              <w:bottom w:val="single" w:sz="8" w:color="CCEEFF"/>
              <w:right w:val="single" w:sz="8" w:color="auto"/>
            </w:tcBorders>
            <w:shd w:val="clear" w:color="auto" w:fill="CCEEFF"/>
          </w:tcPr>
          <w:p>
            <w:pPr>
              <w:spacing w:after="0"/>
              <w:rPr>
                <w:sz w:val="10"/>
                <w:szCs w:val="10"/>
                <w:color w:val="auto"/>
              </w:rPr>
            </w:pPr>
          </w:p>
        </w:tc>
        <w:tc>
          <w:tcPr>
            <w:tcW w:w="4420" w:type="dxa"/>
            <w:vAlign w:val="bottom"/>
            <w:tcBorders>
              <w:bottom w:val="single" w:sz="8" w:color="CCEEFF"/>
              <w:right w:val="single" w:sz="8" w:color="auto"/>
            </w:tcBorders>
            <w:shd w:val="clear" w:color="auto" w:fill="CCEEFF"/>
          </w:tcPr>
          <w:p>
            <w:pPr>
              <w:spacing w:after="0" w:line="119" w:lineRule="exact"/>
              <w:rPr>
                <w:sz w:val="20"/>
                <w:szCs w:val="20"/>
                <w:color w:val="auto"/>
              </w:rPr>
            </w:pPr>
            <w:r>
              <w:rPr>
                <w:rFonts w:ascii="Times New Roman" w:cs="Times New Roman" w:eastAsia="Times New Roman" w:hAnsi="Times New Roman"/>
                <w:sz w:val="12"/>
                <w:szCs w:val="12"/>
                <w:color w:val="auto"/>
              </w:rPr>
              <w:t>Incorporated by reference to Exhibit 10.5 of Sun Communities Inc.'s Current Report on</w:t>
            </w:r>
          </w:p>
        </w:tc>
        <w:tc>
          <w:tcPr>
            <w:tcW w:w="0" w:type="dxa"/>
            <w:vAlign w:val="bottom"/>
          </w:tcPr>
          <w:p>
            <w:pPr>
              <w:spacing w:after="0"/>
              <w:rPr>
                <w:sz w:val="1"/>
                <w:szCs w:val="1"/>
                <w:color w:val="auto"/>
              </w:rPr>
            </w:pPr>
          </w:p>
        </w:tc>
      </w:tr>
      <w:tr>
        <w:trPr>
          <w:trHeight w:val="71"/>
        </w:trPr>
        <w:tc>
          <w:tcPr>
            <w:tcW w:w="760" w:type="dxa"/>
            <w:vAlign w:val="bottom"/>
            <w:tcBorders>
              <w:left w:val="single" w:sz="8" w:color="auto"/>
              <w:right w:val="single" w:sz="8" w:color="auto"/>
            </w:tcBorders>
            <w:vMerge w:val="continue"/>
            <w:shd w:val="clear" w:color="auto" w:fill="CCEEFF"/>
          </w:tcPr>
          <w:p>
            <w:pPr>
              <w:spacing w:after="0"/>
              <w:rPr>
                <w:sz w:val="6"/>
                <w:szCs w:val="6"/>
                <w:color w:val="auto"/>
              </w:rPr>
            </w:pPr>
          </w:p>
        </w:tc>
        <w:tc>
          <w:tcPr>
            <w:tcW w:w="6100" w:type="dxa"/>
            <w:vAlign w:val="bottom"/>
            <w:tcBorders>
              <w:right w:val="single" w:sz="8" w:color="auto"/>
            </w:tcBorders>
            <w:gridSpan w:val="31"/>
            <w:vMerge w:val="restart"/>
            <w:shd w:val="clear" w:color="auto" w:fill="CCEEFF"/>
          </w:tcPr>
          <w:p>
            <w:pPr>
              <w:spacing w:after="0" w:line="128" w:lineRule="exact"/>
              <w:rPr>
                <w:rFonts w:ascii="Times New Roman" w:cs="Times New Roman" w:eastAsia="Times New Roman" w:hAnsi="Times New Roman"/>
                <w:sz w:val="12"/>
                <w:szCs w:val="12"/>
                <w:color w:val="3051F2"/>
              </w:rPr>
            </w:pPr>
            <w:hyperlink r:id="rId90">
              <w:r>
                <w:rPr>
                  <w:rFonts w:ascii="Times New Roman" w:cs="Times New Roman" w:eastAsia="Times New Roman" w:hAnsi="Times New Roman"/>
                  <w:sz w:val="12"/>
                  <w:szCs w:val="12"/>
                  <w:color w:val="3051F2"/>
                </w:rPr>
                <w:t>Partnership and Aaron Weiss dated March 30, 2022</w:t>
              </w:r>
            </w:hyperlink>
          </w:p>
        </w:tc>
        <w:tc>
          <w:tcPr>
            <w:tcW w:w="4420" w:type="dxa"/>
            <w:vAlign w:val="bottom"/>
            <w:tcBorders>
              <w:right w:val="single" w:sz="8" w:color="auto"/>
            </w:tcBorders>
            <w:vMerge w:val="restart"/>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Form 8-K filed on April 1, 2022</w:t>
            </w:r>
          </w:p>
        </w:tc>
        <w:tc>
          <w:tcPr>
            <w:tcW w:w="0" w:type="dxa"/>
            <w:vAlign w:val="bottom"/>
          </w:tcPr>
          <w:p>
            <w:pPr>
              <w:spacing w:after="0"/>
              <w:rPr>
                <w:sz w:val="1"/>
                <w:szCs w:val="1"/>
                <w:color w:val="auto"/>
              </w:rPr>
            </w:pPr>
          </w:p>
        </w:tc>
      </w:tr>
      <w:tr>
        <w:trPr>
          <w:trHeight w:val="103"/>
        </w:trPr>
        <w:tc>
          <w:tcPr>
            <w:tcW w:w="760" w:type="dxa"/>
            <w:vAlign w:val="bottom"/>
            <w:tcBorders>
              <w:left w:val="single" w:sz="8" w:color="auto"/>
              <w:bottom w:val="single" w:sz="8" w:color="auto"/>
              <w:right w:val="single" w:sz="8" w:color="auto"/>
            </w:tcBorders>
            <w:shd w:val="clear" w:color="auto" w:fill="CCEEFF"/>
          </w:tcPr>
          <w:p>
            <w:pPr>
              <w:spacing w:after="0"/>
              <w:rPr>
                <w:sz w:val="8"/>
                <w:szCs w:val="8"/>
                <w:color w:val="auto"/>
              </w:rPr>
            </w:pPr>
          </w:p>
        </w:tc>
        <w:tc>
          <w:tcPr>
            <w:tcW w:w="6100" w:type="dxa"/>
            <w:vAlign w:val="bottom"/>
            <w:tcBorders>
              <w:bottom w:val="single" w:sz="8" w:color="auto"/>
              <w:right w:val="single" w:sz="8" w:color="auto"/>
            </w:tcBorders>
            <w:gridSpan w:val="31"/>
            <w:vMerge w:val="continue"/>
            <w:shd w:val="clear" w:color="auto" w:fill="CCEEFF"/>
          </w:tcPr>
          <w:p>
            <w:pPr>
              <w:spacing w:after="0"/>
              <w:rPr>
                <w:sz w:val="8"/>
                <w:szCs w:val="8"/>
                <w:color w:val="auto"/>
              </w:rPr>
            </w:pPr>
          </w:p>
        </w:tc>
        <w:tc>
          <w:tcPr>
            <w:tcW w:w="4420" w:type="dxa"/>
            <w:vAlign w:val="bottom"/>
            <w:tcBorders>
              <w:bottom w:val="single" w:sz="8" w:color="auto"/>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7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rPr>
              <w:t>10.29#</w:t>
            </w:r>
          </w:p>
        </w:tc>
        <w:tc>
          <w:tcPr>
            <w:tcW w:w="6020" w:type="dxa"/>
            <w:vAlign w:val="bottom"/>
            <w:tcBorders>
              <w:bottom w:val="single" w:sz="8" w:color="3051F2"/>
            </w:tcBorders>
            <w:gridSpan w:val="29"/>
          </w:tcPr>
          <w:p>
            <w:pPr>
              <w:spacing w:after="0" w:line="119" w:lineRule="exact"/>
              <w:rPr>
                <w:rFonts w:ascii="Times New Roman" w:cs="Times New Roman" w:eastAsia="Times New Roman" w:hAnsi="Times New Roman"/>
                <w:sz w:val="12"/>
                <w:szCs w:val="12"/>
                <w:color w:val="3051F2"/>
              </w:rPr>
            </w:pPr>
            <w:hyperlink r:id="rId95">
              <w:r>
                <w:rPr>
                  <w:rFonts w:ascii="Times New Roman" w:cs="Times New Roman" w:eastAsia="Times New Roman" w:hAnsi="Times New Roman"/>
                  <w:sz w:val="12"/>
                  <w:szCs w:val="12"/>
                  <w:color w:val="3051F2"/>
                </w:rPr>
                <w:t>Employment Agreement among Sun Communities, Inc., Sun Communities Operating Limited Partnership and Marc</w:t>
              </w:r>
            </w:hyperlink>
          </w:p>
        </w:tc>
        <w:tc>
          <w:tcPr>
            <w:tcW w:w="80" w:type="dxa"/>
            <w:vAlign w:val="bottom"/>
            <w:tcBorders>
              <w:right w:val="single" w:sz="8" w:color="auto"/>
            </w:tcBorders>
            <w:gridSpan w:val="2"/>
          </w:tcPr>
          <w:p>
            <w:pPr>
              <w:spacing w:after="0"/>
              <w:rPr>
                <w:sz w:val="10"/>
                <w:szCs w:val="10"/>
                <w:color w:val="auto"/>
              </w:rPr>
            </w:pPr>
          </w:p>
        </w:tc>
        <w:tc>
          <w:tcPr>
            <w:tcW w:w="4420" w:type="dxa"/>
            <w:vAlign w:val="bottom"/>
            <w:tcBorders>
              <w:right w:val="single" w:sz="8" w:color="auto"/>
            </w:tcBorders>
          </w:tcPr>
          <w:p>
            <w:pPr>
              <w:spacing w:after="0" w:line="119" w:lineRule="exact"/>
              <w:rPr>
                <w:sz w:val="20"/>
                <w:szCs w:val="20"/>
                <w:color w:val="auto"/>
              </w:rPr>
            </w:pPr>
            <w:r>
              <w:rPr>
                <w:rFonts w:ascii="Times New Roman" w:cs="Times New Roman" w:eastAsia="Times New Roman" w:hAnsi="Times New Roman"/>
                <w:sz w:val="12"/>
                <w:szCs w:val="12"/>
                <w:color w:val="auto"/>
              </w:rPr>
              <w:t>Incorporated by reference to Exhibit 10.25 of Sun Communities Inc.'s Current Report on</w:t>
            </w:r>
          </w:p>
        </w:tc>
        <w:tc>
          <w:tcPr>
            <w:tcW w:w="0" w:type="dxa"/>
            <w:vAlign w:val="bottom"/>
          </w:tcPr>
          <w:p>
            <w:pPr>
              <w:spacing w:after="0"/>
              <w:rPr>
                <w:sz w:val="1"/>
                <w:szCs w:val="1"/>
                <w:color w:val="auto"/>
              </w:rPr>
            </w:pPr>
          </w:p>
        </w:tc>
      </w:tr>
      <w:tr>
        <w:trPr>
          <w:trHeight w:val="62"/>
        </w:trPr>
        <w:tc>
          <w:tcPr>
            <w:tcW w:w="760" w:type="dxa"/>
            <w:vAlign w:val="bottom"/>
            <w:tcBorders>
              <w:left w:val="single" w:sz="8" w:color="auto"/>
              <w:right w:val="single" w:sz="8" w:color="auto"/>
            </w:tcBorders>
            <w:vMerge w:val="continue"/>
          </w:tcPr>
          <w:p>
            <w:pPr>
              <w:spacing w:after="0"/>
              <w:rPr>
                <w:sz w:val="5"/>
                <w:szCs w:val="5"/>
                <w:color w:val="auto"/>
              </w:rPr>
            </w:pPr>
          </w:p>
        </w:tc>
        <w:tc>
          <w:tcPr>
            <w:tcW w:w="6100" w:type="dxa"/>
            <w:vAlign w:val="bottom"/>
            <w:tcBorders>
              <w:right w:val="single" w:sz="8" w:color="auto"/>
            </w:tcBorders>
            <w:gridSpan w:val="31"/>
            <w:vMerge w:val="restart"/>
          </w:tcPr>
          <w:p>
            <w:pPr>
              <w:spacing w:after="0" w:line="107" w:lineRule="exact"/>
              <w:rPr>
                <w:rFonts w:ascii="Times New Roman" w:cs="Times New Roman" w:eastAsia="Times New Roman" w:hAnsi="Times New Roman"/>
                <w:sz w:val="12"/>
                <w:szCs w:val="12"/>
                <w:color w:val="3051F2"/>
              </w:rPr>
            </w:pPr>
            <w:hyperlink r:id="rId95">
              <w:r>
                <w:rPr>
                  <w:rFonts w:ascii="Times New Roman" w:cs="Times New Roman" w:eastAsia="Times New Roman" w:hAnsi="Times New Roman"/>
                  <w:sz w:val="12"/>
                  <w:szCs w:val="12"/>
                  <w:color w:val="3051F2"/>
                </w:rPr>
                <w:t>Farrugia dated June 13, 2022</w:t>
              </w:r>
            </w:hyperlink>
          </w:p>
        </w:tc>
        <w:tc>
          <w:tcPr>
            <w:tcW w:w="4420" w:type="dxa"/>
            <w:vAlign w:val="bottom"/>
            <w:tcBorders>
              <w:right w:val="single" w:sz="8" w:color="auto"/>
            </w:tcBorders>
            <w:vMerge w:val="restart"/>
          </w:tcPr>
          <w:p>
            <w:pPr>
              <w:spacing w:after="0" w:line="107" w:lineRule="exact"/>
              <w:rPr>
                <w:sz w:val="20"/>
                <w:szCs w:val="20"/>
                <w:color w:val="auto"/>
              </w:rPr>
            </w:pPr>
            <w:r>
              <w:rPr>
                <w:rFonts w:ascii="Times New Roman" w:cs="Times New Roman" w:eastAsia="Times New Roman" w:hAnsi="Times New Roman"/>
                <w:sz w:val="12"/>
                <w:szCs w:val="12"/>
                <w:color w:val="auto"/>
              </w:rPr>
              <w:t>Form 10-K filed on February 28, 2024</w:t>
            </w:r>
          </w:p>
        </w:tc>
        <w:tc>
          <w:tcPr>
            <w:tcW w:w="0" w:type="dxa"/>
            <w:vAlign w:val="bottom"/>
          </w:tcPr>
          <w:p>
            <w:pPr>
              <w:spacing w:after="0"/>
              <w:rPr>
                <w:sz w:val="1"/>
                <w:szCs w:val="1"/>
                <w:color w:val="auto"/>
              </w:rPr>
            </w:pPr>
          </w:p>
        </w:tc>
      </w:tr>
      <w:tr>
        <w:trPr>
          <w:trHeight w:val="45"/>
        </w:trPr>
        <w:tc>
          <w:tcPr>
            <w:tcW w:w="760" w:type="dxa"/>
            <w:vAlign w:val="bottom"/>
            <w:tcBorders>
              <w:left w:val="single" w:sz="8" w:color="auto"/>
              <w:right w:val="single" w:sz="8" w:color="auto"/>
            </w:tcBorders>
          </w:tcPr>
          <w:p>
            <w:pPr>
              <w:spacing w:after="0"/>
              <w:rPr>
                <w:sz w:val="3"/>
                <w:szCs w:val="3"/>
                <w:color w:val="auto"/>
              </w:rPr>
            </w:pPr>
          </w:p>
        </w:tc>
        <w:tc>
          <w:tcPr>
            <w:tcW w:w="6100" w:type="dxa"/>
            <w:vAlign w:val="bottom"/>
            <w:tcBorders>
              <w:right w:val="single" w:sz="8" w:color="auto"/>
            </w:tcBorders>
            <w:gridSpan w:val="31"/>
            <w:vMerge w:val="continue"/>
          </w:tcPr>
          <w:p>
            <w:pPr>
              <w:spacing w:after="0"/>
              <w:rPr>
                <w:sz w:val="3"/>
                <w:szCs w:val="3"/>
                <w:color w:val="auto"/>
              </w:rPr>
            </w:pPr>
          </w:p>
        </w:tc>
        <w:tc>
          <w:tcPr>
            <w:tcW w:w="442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0" w:type="dxa"/>
            <w:vAlign w:val="bottom"/>
            <w:tcBorders>
              <w:top w:val="single" w:sz="8" w:color="3051F2"/>
              <w:bottom w:val="single" w:sz="8" w:color="auto"/>
            </w:tcBorders>
          </w:tcPr>
          <w:p>
            <w:pPr>
              <w:spacing w:after="0" w:line="20" w:lineRule="exact"/>
              <w:rPr>
                <w:sz w:val="1"/>
                <w:szCs w:val="1"/>
                <w:color w:val="auto"/>
              </w:rPr>
            </w:pPr>
          </w:p>
        </w:tc>
        <w:tc>
          <w:tcPr>
            <w:tcW w:w="720" w:type="dxa"/>
            <w:vAlign w:val="bottom"/>
            <w:tcBorders>
              <w:top w:val="single" w:sz="8" w:color="3051F2"/>
              <w:bottom w:val="single" w:sz="8" w:color="auto"/>
            </w:tcBorders>
          </w:tcPr>
          <w:p>
            <w:pPr>
              <w:spacing w:after="0" w:line="20" w:lineRule="exact"/>
              <w:rPr>
                <w:sz w:val="1"/>
                <w:szCs w:val="1"/>
                <w:color w:val="auto"/>
              </w:rPr>
            </w:pPr>
          </w:p>
        </w:tc>
        <w:tc>
          <w:tcPr>
            <w:tcW w:w="340" w:type="dxa"/>
            <w:vAlign w:val="bottom"/>
            <w:tcBorders>
              <w:top w:val="single" w:sz="8" w:color="3051F2"/>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44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760" w:type="dxa"/>
            <w:vAlign w:val="bottom"/>
            <w:tcBorders>
              <w:left w:val="single" w:sz="8" w:color="auto"/>
              <w:bottom w:val="single" w:sz="8" w:color="CCEEFF"/>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10.30#</w:t>
            </w:r>
          </w:p>
        </w:tc>
        <w:tc>
          <w:tcPr>
            <w:tcW w:w="6040" w:type="dxa"/>
            <w:vAlign w:val="bottom"/>
            <w:tcBorders>
              <w:bottom w:val="single" w:sz="8" w:color="3051F2"/>
            </w:tcBorders>
            <w:gridSpan w:val="30"/>
            <w:shd w:val="clear" w:color="auto" w:fill="CCEEFF"/>
          </w:tcPr>
          <w:p>
            <w:pPr>
              <w:spacing w:after="0" w:line="114" w:lineRule="exact"/>
              <w:rPr>
                <w:rFonts w:ascii="Times New Roman" w:cs="Times New Roman" w:eastAsia="Times New Roman" w:hAnsi="Times New Roman"/>
                <w:sz w:val="12"/>
                <w:szCs w:val="12"/>
                <w:color w:val="3051F2"/>
              </w:rPr>
            </w:pPr>
            <w:hyperlink r:id="rId96">
              <w:r>
                <w:rPr>
                  <w:rFonts w:ascii="Times New Roman" w:cs="Times New Roman" w:eastAsia="Times New Roman" w:hAnsi="Times New Roman"/>
                  <w:sz w:val="12"/>
                  <w:szCs w:val="12"/>
                  <w:color w:val="3051F2"/>
                </w:rPr>
                <w:t>First Amendment to Employment Agreement among Sun Communities, Inc., Sun Communities Operating Limited</w:t>
              </w:r>
            </w:hyperlink>
          </w:p>
        </w:tc>
        <w:tc>
          <w:tcPr>
            <w:tcW w:w="60" w:type="dxa"/>
            <w:vAlign w:val="bottom"/>
            <w:tcBorders>
              <w:bottom w:val="single" w:sz="8" w:color="CCEEFF"/>
              <w:right w:val="single" w:sz="8" w:color="auto"/>
            </w:tcBorders>
            <w:shd w:val="clear" w:color="auto" w:fill="CCEEFF"/>
          </w:tcPr>
          <w:p>
            <w:pPr>
              <w:spacing w:after="0"/>
              <w:rPr>
                <w:sz w:val="10"/>
                <w:szCs w:val="10"/>
                <w:color w:val="auto"/>
              </w:rPr>
            </w:pPr>
          </w:p>
        </w:tc>
        <w:tc>
          <w:tcPr>
            <w:tcW w:w="4420" w:type="dxa"/>
            <w:vAlign w:val="bottom"/>
            <w:tcBorders>
              <w:bottom w:val="single" w:sz="8" w:color="CCEEFF"/>
              <w:right w:val="single" w:sz="8" w:color="auto"/>
            </w:tcBorders>
            <w:shd w:val="clear" w:color="auto" w:fill="CCEEFF"/>
          </w:tcPr>
          <w:p>
            <w:pPr>
              <w:spacing w:after="0" w:line="114" w:lineRule="exact"/>
              <w:rPr>
                <w:sz w:val="20"/>
                <w:szCs w:val="20"/>
                <w:color w:val="auto"/>
              </w:rPr>
            </w:pPr>
            <w:r>
              <w:rPr>
                <w:rFonts w:ascii="Times New Roman" w:cs="Times New Roman" w:eastAsia="Times New Roman" w:hAnsi="Times New Roman"/>
                <w:sz w:val="12"/>
                <w:szCs w:val="12"/>
                <w:color w:val="auto"/>
              </w:rPr>
              <w:t>Incorporated by reference to Exhibit 10.3 of Sun Communities Inc.'s Current Report on</w:t>
            </w:r>
          </w:p>
        </w:tc>
        <w:tc>
          <w:tcPr>
            <w:tcW w:w="0" w:type="dxa"/>
            <w:vAlign w:val="bottom"/>
          </w:tcPr>
          <w:p>
            <w:pPr>
              <w:spacing w:after="0"/>
              <w:rPr>
                <w:sz w:val="1"/>
                <w:szCs w:val="1"/>
                <w:color w:val="auto"/>
              </w:rPr>
            </w:pPr>
          </w:p>
        </w:tc>
      </w:tr>
      <w:tr>
        <w:trPr>
          <w:trHeight w:val="71"/>
        </w:trPr>
        <w:tc>
          <w:tcPr>
            <w:tcW w:w="760" w:type="dxa"/>
            <w:vAlign w:val="bottom"/>
            <w:tcBorders>
              <w:left w:val="single" w:sz="8" w:color="auto"/>
              <w:right w:val="single" w:sz="8" w:color="auto"/>
            </w:tcBorders>
            <w:vMerge w:val="continue"/>
            <w:shd w:val="clear" w:color="auto" w:fill="CCEEFF"/>
          </w:tcPr>
          <w:p>
            <w:pPr>
              <w:spacing w:after="0"/>
              <w:rPr>
                <w:sz w:val="6"/>
                <w:szCs w:val="6"/>
                <w:color w:val="auto"/>
              </w:rPr>
            </w:pPr>
          </w:p>
        </w:tc>
        <w:tc>
          <w:tcPr>
            <w:tcW w:w="6100" w:type="dxa"/>
            <w:vAlign w:val="bottom"/>
            <w:tcBorders>
              <w:right w:val="single" w:sz="8" w:color="auto"/>
            </w:tcBorders>
            <w:gridSpan w:val="31"/>
            <w:vMerge w:val="restart"/>
            <w:shd w:val="clear" w:color="auto" w:fill="CCEEFF"/>
          </w:tcPr>
          <w:p>
            <w:pPr>
              <w:spacing w:after="0" w:line="128" w:lineRule="exact"/>
              <w:rPr>
                <w:rFonts w:ascii="Times New Roman" w:cs="Times New Roman" w:eastAsia="Times New Roman" w:hAnsi="Times New Roman"/>
                <w:sz w:val="12"/>
                <w:szCs w:val="12"/>
                <w:color w:val="3051F2"/>
              </w:rPr>
            </w:pPr>
            <w:hyperlink r:id="rId96">
              <w:r>
                <w:rPr>
                  <w:rFonts w:ascii="Times New Roman" w:cs="Times New Roman" w:eastAsia="Times New Roman" w:hAnsi="Times New Roman"/>
                  <w:sz w:val="12"/>
                  <w:szCs w:val="12"/>
                  <w:color w:val="3051F2"/>
                </w:rPr>
                <w:t>Partnership and Marc Farrugia dated March 20, 2024</w:t>
              </w:r>
            </w:hyperlink>
          </w:p>
        </w:tc>
        <w:tc>
          <w:tcPr>
            <w:tcW w:w="4420" w:type="dxa"/>
            <w:vAlign w:val="bottom"/>
            <w:tcBorders>
              <w:right w:val="single" w:sz="8" w:color="auto"/>
            </w:tcBorders>
            <w:vMerge w:val="restart"/>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Form 8-K filed on March 21, 2024</w:t>
            </w:r>
          </w:p>
        </w:tc>
        <w:tc>
          <w:tcPr>
            <w:tcW w:w="0" w:type="dxa"/>
            <w:vAlign w:val="bottom"/>
          </w:tcPr>
          <w:p>
            <w:pPr>
              <w:spacing w:after="0"/>
              <w:rPr>
                <w:sz w:val="1"/>
                <w:szCs w:val="1"/>
                <w:color w:val="auto"/>
              </w:rPr>
            </w:pPr>
          </w:p>
        </w:tc>
      </w:tr>
      <w:tr>
        <w:trPr>
          <w:trHeight w:val="103"/>
        </w:trPr>
        <w:tc>
          <w:tcPr>
            <w:tcW w:w="760" w:type="dxa"/>
            <w:vAlign w:val="bottom"/>
            <w:tcBorders>
              <w:left w:val="single" w:sz="8" w:color="auto"/>
              <w:bottom w:val="single" w:sz="8" w:color="auto"/>
              <w:right w:val="single" w:sz="8" w:color="auto"/>
            </w:tcBorders>
            <w:shd w:val="clear" w:color="auto" w:fill="CCEEFF"/>
          </w:tcPr>
          <w:p>
            <w:pPr>
              <w:spacing w:after="0"/>
              <w:rPr>
                <w:sz w:val="8"/>
                <w:szCs w:val="8"/>
                <w:color w:val="auto"/>
              </w:rPr>
            </w:pPr>
          </w:p>
        </w:tc>
        <w:tc>
          <w:tcPr>
            <w:tcW w:w="6100" w:type="dxa"/>
            <w:vAlign w:val="bottom"/>
            <w:tcBorders>
              <w:bottom w:val="single" w:sz="8" w:color="auto"/>
              <w:right w:val="single" w:sz="8" w:color="auto"/>
            </w:tcBorders>
            <w:gridSpan w:val="31"/>
            <w:vMerge w:val="continue"/>
            <w:shd w:val="clear" w:color="auto" w:fill="CCEEFF"/>
          </w:tcPr>
          <w:p>
            <w:pPr>
              <w:spacing w:after="0"/>
              <w:rPr>
                <w:sz w:val="8"/>
                <w:szCs w:val="8"/>
                <w:color w:val="auto"/>
              </w:rPr>
            </w:pPr>
          </w:p>
        </w:tc>
        <w:tc>
          <w:tcPr>
            <w:tcW w:w="4420" w:type="dxa"/>
            <w:vAlign w:val="bottom"/>
            <w:tcBorders>
              <w:bottom w:val="single" w:sz="8" w:color="auto"/>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7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rPr>
              <w:t>10.31#</w:t>
            </w:r>
          </w:p>
        </w:tc>
        <w:tc>
          <w:tcPr>
            <w:tcW w:w="6040" w:type="dxa"/>
            <w:vAlign w:val="bottom"/>
            <w:tcBorders>
              <w:bottom w:val="single" w:sz="8" w:color="3051F2"/>
            </w:tcBorders>
            <w:gridSpan w:val="30"/>
          </w:tcPr>
          <w:p>
            <w:pPr>
              <w:spacing w:after="0" w:line="119" w:lineRule="exact"/>
              <w:rPr>
                <w:rFonts w:ascii="Times New Roman" w:cs="Times New Roman" w:eastAsia="Times New Roman" w:hAnsi="Times New Roman"/>
                <w:sz w:val="12"/>
                <w:szCs w:val="12"/>
                <w:color w:val="3051F2"/>
              </w:rPr>
            </w:pPr>
            <w:hyperlink r:id="rId97">
              <w:r>
                <w:rPr>
                  <w:rFonts w:ascii="Times New Roman" w:cs="Times New Roman" w:eastAsia="Times New Roman" w:hAnsi="Times New Roman"/>
                  <w:sz w:val="12"/>
                  <w:szCs w:val="12"/>
                  <w:color w:val="3051F2"/>
                </w:rPr>
                <w:t>Employment Agreement among Sun Communities, Inc., Sun Communities Operating Limited Partnership and John B.</w:t>
              </w:r>
            </w:hyperlink>
          </w:p>
        </w:tc>
        <w:tc>
          <w:tcPr>
            <w:tcW w:w="60" w:type="dxa"/>
            <w:vAlign w:val="bottom"/>
            <w:tcBorders>
              <w:right w:val="single" w:sz="8" w:color="auto"/>
            </w:tcBorders>
          </w:tcPr>
          <w:p>
            <w:pPr>
              <w:spacing w:after="0"/>
              <w:rPr>
                <w:sz w:val="10"/>
                <w:szCs w:val="10"/>
                <w:color w:val="auto"/>
              </w:rPr>
            </w:pPr>
          </w:p>
        </w:tc>
        <w:tc>
          <w:tcPr>
            <w:tcW w:w="4420" w:type="dxa"/>
            <w:vAlign w:val="bottom"/>
            <w:tcBorders>
              <w:right w:val="single" w:sz="8" w:color="auto"/>
            </w:tcBorders>
          </w:tcPr>
          <w:p>
            <w:pPr>
              <w:spacing w:after="0" w:line="119" w:lineRule="exact"/>
              <w:rPr>
                <w:sz w:val="20"/>
                <w:szCs w:val="20"/>
                <w:color w:val="auto"/>
              </w:rPr>
            </w:pPr>
            <w:r>
              <w:rPr>
                <w:rFonts w:ascii="Times New Roman" w:cs="Times New Roman" w:eastAsia="Times New Roman" w:hAnsi="Times New Roman"/>
                <w:sz w:val="12"/>
                <w:szCs w:val="12"/>
                <w:color w:val="auto"/>
              </w:rPr>
              <w:t>Incorporated by reference to Exhibit 10.3 of Sun Communities Inc.'s Current Report on</w:t>
            </w:r>
          </w:p>
        </w:tc>
        <w:tc>
          <w:tcPr>
            <w:tcW w:w="0" w:type="dxa"/>
            <w:vAlign w:val="bottom"/>
          </w:tcPr>
          <w:p>
            <w:pPr>
              <w:spacing w:after="0"/>
              <w:rPr>
                <w:sz w:val="1"/>
                <w:szCs w:val="1"/>
                <w:color w:val="auto"/>
              </w:rPr>
            </w:pPr>
          </w:p>
        </w:tc>
      </w:tr>
      <w:tr>
        <w:trPr>
          <w:trHeight w:val="62"/>
        </w:trPr>
        <w:tc>
          <w:tcPr>
            <w:tcW w:w="760" w:type="dxa"/>
            <w:vAlign w:val="bottom"/>
            <w:tcBorders>
              <w:left w:val="single" w:sz="8" w:color="auto"/>
              <w:right w:val="single" w:sz="8" w:color="auto"/>
            </w:tcBorders>
            <w:vMerge w:val="continue"/>
          </w:tcPr>
          <w:p>
            <w:pPr>
              <w:spacing w:after="0"/>
              <w:rPr>
                <w:sz w:val="5"/>
                <w:szCs w:val="5"/>
                <w:color w:val="auto"/>
              </w:rPr>
            </w:pPr>
          </w:p>
        </w:tc>
        <w:tc>
          <w:tcPr>
            <w:tcW w:w="6100" w:type="dxa"/>
            <w:vAlign w:val="bottom"/>
            <w:tcBorders>
              <w:right w:val="single" w:sz="8" w:color="auto"/>
            </w:tcBorders>
            <w:gridSpan w:val="31"/>
            <w:vMerge w:val="restart"/>
          </w:tcPr>
          <w:p>
            <w:pPr>
              <w:spacing w:after="0" w:line="107" w:lineRule="exact"/>
              <w:rPr>
                <w:rFonts w:ascii="Times New Roman" w:cs="Times New Roman" w:eastAsia="Times New Roman" w:hAnsi="Times New Roman"/>
                <w:sz w:val="12"/>
                <w:szCs w:val="12"/>
                <w:color w:val="3051F2"/>
              </w:rPr>
            </w:pPr>
            <w:hyperlink r:id="rId97">
              <w:r>
                <w:rPr>
                  <w:rFonts w:ascii="Times New Roman" w:cs="Times New Roman" w:eastAsia="Times New Roman" w:hAnsi="Times New Roman"/>
                  <w:sz w:val="12"/>
                  <w:szCs w:val="12"/>
                  <w:color w:val="3051F2"/>
                </w:rPr>
                <w:t>McLaren dated November 6, 2024</w:t>
              </w:r>
            </w:hyperlink>
          </w:p>
        </w:tc>
        <w:tc>
          <w:tcPr>
            <w:tcW w:w="4420" w:type="dxa"/>
            <w:vAlign w:val="bottom"/>
            <w:tcBorders>
              <w:right w:val="single" w:sz="8" w:color="auto"/>
            </w:tcBorders>
            <w:vMerge w:val="restart"/>
          </w:tcPr>
          <w:p>
            <w:pPr>
              <w:spacing w:after="0" w:line="107" w:lineRule="exact"/>
              <w:rPr>
                <w:sz w:val="20"/>
                <w:szCs w:val="20"/>
                <w:color w:val="auto"/>
              </w:rPr>
            </w:pPr>
            <w:r>
              <w:rPr>
                <w:rFonts w:ascii="Times New Roman" w:cs="Times New Roman" w:eastAsia="Times New Roman" w:hAnsi="Times New Roman"/>
                <w:sz w:val="12"/>
                <w:szCs w:val="12"/>
                <w:color w:val="auto"/>
              </w:rPr>
              <w:t>Form 8-K filed on November 7, 2024</w:t>
            </w:r>
          </w:p>
        </w:tc>
        <w:tc>
          <w:tcPr>
            <w:tcW w:w="0" w:type="dxa"/>
            <w:vAlign w:val="bottom"/>
          </w:tcPr>
          <w:p>
            <w:pPr>
              <w:spacing w:after="0"/>
              <w:rPr>
                <w:sz w:val="1"/>
                <w:szCs w:val="1"/>
                <w:color w:val="auto"/>
              </w:rPr>
            </w:pPr>
          </w:p>
        </w:tc>
      </w:tr>
      <w:tr>
        <w:trPr>
          <w:trHeight w:val="45"/>
        </w:trPr>
        <w:tc>
          <w:tcPr>
            <w:tcW w:w="760" w:type="dxa"/>
            <w:vAlign w:val="bottom"/>
            <w:tcBorders>
              <w:left w:val="single" w:sz="8" w:color="auto"/>
              <w:right w:val="single" w:sz="8" w:color="auto"/>
            </w:tcBorders>
          </w:tcPr>
          <w:p>
            <w:pPr>
              <w:spacing w:after="0"/>
              <w:rPr>
                <w:sz w:val="3"/>
                <w:szCs w:val="3"/>
                <w:color w:val="auto"/>
              </w:rPr>
            </w:pPr>
          </w:p>
        </w:tc>
        <w:tc>
          <w:tcPr>
            <w:tcW w:w="6100" w:type="dxa"/>
            <w:vAlign w:val="bottom"/>
            <w:tcBorders>
              <w:right w:val="single" w:sz="8" w:color="auto"/>
            </w:tcBorders>
            <w:gridSpan w:val="31"/>
            <w:vMerge w:val="continue"/>
          </w:tcPr>
          <w:p>
            <w:pPr>
              <w:spacing w:after="0"/>
              <w:rPr>
                <w:sz w:val="3"/>
                <w:szCs w:val="3"/>
                <w:color w:val="auto"/>
              </w:rPr>
            </w:pPr>
          </w:p>
        </w:tc>
        <w:tc>
          <w:tcPr>
            <w:tcW w:w="442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0" w:type="dxa"/>
            <w:vAlign w:val="bottom"/>
            <w:tcBorders>
              <w:top w:val="single" w:sz="8" w:color="3051F2"/>
              <w:bottom w:val="single" w:sz="8" w:color="auto"/>
            </w:tcBorders>
          </w:tcPr>
          <w:p>
            <w:pPr>
              <w:spacing w:after="0" w:line="20" w:lineRule="exact"/>
              <w:rPr>
                <w:sz w:val="1"/>
                <w:szCs w:val="1"/>
                <w:color w:val="auto"/>
              </w:rPr>
            </w:pPr>
          </w:p>
        </w:tc>
        <w:tc>
          <w:tcPr>
            <w:tcW w:w="720" w:type="dxa"/>
            <w:vAlign w:val="bottom"/>
            <w:tcBorders>
              <w:top w:val="single" w:sz="8" w:color="3051F2"/>
              <w:bottom w:val="single" w:sz="8" w:color="auto"/>
            </w:tcBorders>
          </w:tcPr>
          <w:p>
            <w:pPr>
              <w:spacing w:after="0" w:line="20" w:lineRule="exact"/>
              <w:rPr>
                <w:sz w:val="1"/>
                <w:szCs w:val="1"/>
                <w:color w:val="auto"/>
              </w:rPr>
            </w:pPr>
          </w:p>
        </w:tc>
        <w:tc>
          <w:tcPr>
            <w:tcW w:w="340" w:type="dxa"/>
            <w:vAlign w:val="bottom"/>
            <w:tcBorders>
              <w:top w:val="single" w:sz="8" w:color="3051F2"/>
              <w:bottom w:val="single" w:sz="8" w:color="auto"/>
            </w:tcBorders>
          </w:tcPr>
          <w:p>
            <w:pPr>
              <w:spacing w:after="0" w:line="20" w:lineRule="exact"/>
              <w:rPr>
                <w:sz w:val="1"/>
                <w:szCs w:val="1"/>
                <w:color w:val="auto"/>
              </w:rPr>
            </w:pPr>
          </w:p>
        </w:tc>
        <w:tc>
          <w:tcPr>
            <w:tcW w:w="20" w:type="dxa"/>
            <w:vAlign w:val="bottom"/>
            <w:tcBorders>
              <w:top w:val="single" w:sz="8" w:color="3051F2"/>
              <w:bottom w:val="single" w:sz="8" w:color="auto"/>
            </w:tcBorders>
          </w:tcPr>
          <w:p>
            <w:pPr>
              <w:spacing w:after="0" w:line="20" w:lineRule="exact"/>
              <w:rPr>
                <w:sz w:val="1"/>
                <w:szCs w:val="1"/>
                <w:color w:val="auto"/>
              </w:rPr>
            </w:pPr>
          </w:p>
        </w:tc>
        <w:tc>
          <w:tcPr>
            <w:tcW w:w="20" w:type="dxa"/>
            <w:vAlign w:val="bottom"/>
            <w:tcBorders>
              <w:top w:val="single" w:sz="8" w:color="3051F2"/>
              <w:bottom w:val="single" w:sz="8" w:color="auto"/>
            </w:tcBorders>
          </w:tcPr>
          <w:p>
            <w:pPr>
              <w:spacing w:after="0" w:line="20" w:lineRule="exact"/>
              <w:rPr>
                <w:sz w:val="1"/>
                <w:szCs w:val="1"/>
                <w:color w:val="auto"/>
              </w:rPr>
            </w:pPr>
          </w:p>
        </w:tc>
        <w:tc>
          <w:tcPr>
            <w:tcW w:w="100" w:type="dxa"/>
            <w:vAlign w:val="bottom"/>
            <w:tcBorders>
              <w:top w:val="single" w:sz="8" w:color="3051F2"/>
              <w:bottom w:val="single" w:sz="8" w:color="auto"/>
            </w:tcBorders>
          </w:tcPr>
          <w:p>
            <w:pPr>
              <w:spacing w:after="0" w:line="20" w:lineRule="exact"/>
              <w:rPr>
                <w:sz w:val="1"/>
                <w:szCs w:val="1"/>
                <w:color w:val="auto"/>
              </w:rPr>
            </w:pPr>
          </w:p>
        </w:tc>
        <w:tc>
          <w:tcPr>
            <w:tcW w:w="120" w:type="dxa"/>
            <w:vAlign w:val="bottom"/>
            <w:tcBorders>
              <w:top w:val="single" w:sz="8" w:color="3051F2"/>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44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760" w:type="dxa"/>
            <w:vAlign w:val="bottom"/>
            <w:tcBorders>
              <w:left w:val="single" w:sz="8" w:color="auto"/>
              <w:bottom w:val="single" w:sz="8" w:color="CCEEFF"/>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10.32#</w:t>
            </w:r>
          </w:p>
        </w:tc>
        <w:tc>
          <w:tcPr>
            <w:tcW w:w="6040" w:type="dxa"/>
            <w:vAlign w:val="bottom"/>
            <w:tcBorders>
              <w:bottom w:val="single" w:sz="8" w:color="3051F2"/>
            </w:tcBorders>
            <w:gridSpan w:val="30"/>
            <w:shd w:val="clear" w:color="auto" w:fill="CCEEFF"/>
          </w:tcPr>
          <w:p>
            <w:pPr>
              <w:spacing w:after="0" w:line="114" w:lineRule="exact"/>
              <w:rPr>
                <w:rFonts w:ascii="Times New Roman" w:cs="Times New Roman" w:eastAsia="Times New Roman" w:hAnsi="Times New Roman"/>
                <w:sz w:val="12"/>
                <w:szCs w:val="12"/>
                <w:color w:val="3051F2"/>
              </w:rPr>
            </w:pPr>
            <w:hyperlink r:id="rId98">
              <w:r>
                <w:rPr>
                  <w:rFonts w:ascii="Times New Roman" w:cs="Times New Roman" w:eastAsia="Times New Roman" w:hAnsi="Times New Roman"/>
                  <w:sz w:val="12"/>
                  <w:szCs w:val="12"/>
                  <w:color w:val="3051F2"/>
                </w:rPr>
                <w:t>Employment Agreement among Sun Communities, Inc., Sun Communities Operating Limited Partnership and Charles</w:t>
              </w:r>
            </w:hyperlink>
          </w:p>
        </w:tc>
        <w:tc>
          <w:tcPr>
            <w:tcW w:w="60" w:type="dxa"/>
            <w:vAlign w:val="bottom"/>
            <w:tcBorders>
              <w:bottom w:val="single" w:sz="8" w:color="CCEEFF"/>
              <w:right w:val="single" w:sz="8" w:color="auto"/>
            </w:tcBorders>
            <w:shd w:val="clear" w:color="auto" w:fill="CCEEFF"/>
          </w:tcPr>
          <w:p>
            <w:pPr>
              <w:spacing w:after="0"/>
              <w:rPr>
                <w:sz w:val="9"/>
                <w:szCs w:val="9"/>
                <w:color w:val="auto"/>
              </w:rPr>
            </w:pPr>
          </w:p>
        </w:tc>
        <w:tc>
          <w:tcPr>
            <w:tcW w:w="4420" w:type="dxa"/>
            <w:vAlign w:val="bottom"/>
            <w:tcBorders>
              <w:bottom w:val="single" w:sz="8" w:color="CCEEFF"/>
              <w:right w:val="single" w:sz="8" w:color="auto"/>
            </w:tcBorders>
            <w:shd w:val="clear" w:color="auto" w:fill="CCEEFF"/>
          </w:tcPr>
          <w:p>
            <w:pPr>
              <w:spacing w:after="0" w:line="114" w:lineRule="exact"/>
              <w:rPr>
                <w:sz w:val="20"/>
                <w:szCs w:val="20"/>
                <w:color w:val="auto"/>
              </w:rPr>
            </w:pPr>
            <w:r>
              <w:rPr>
                <w:rFonts w:ascii="Times New Roman" w:cs="Times New Roman" w:eastAsia="Times New Roman" w:hAnsi="Times New Roman"/>
                <w:sz w:val="12"/>
                <w:szCs w:val="12"/>
                <w:color w:val="auto"/>
              </w:rPr>
              <w:t>Incorporated by reference to Exhibit 10.1 to Sun Communities, Inc.'s Current Report on</w:t>
            </w:r>
          </w:p>
        </w:tc>
        <w:tc>
          <w:tcPr>
            <w:tcW w:w="0" w:type="dxa"/>
            <w:vAlign w:val="bottom"/>
          </w:tcPr>
          <w:p>
            <w:pPr>
              <w:spacing w:after="0"/>
              <w:rPr>
                <w:sz w:val="1"/>
                <w:szCs w:val="1"/>
                <w:color w:val="auto"/>
              </w:rPr>
            </w:pPr>
          </w:p>
        </w:tc>
      </w:tr>
      <w:tr>
        <w:trPr>
          <w:trHeight w:val="62"/>
        </w:trPr>
        <w:tc>
          <w:tcPr>
            <w:tcW w:w="760" w:type="dxa"/>
            <w:vAlign w:val="bottom"/>
            <w:tcBorders>
              <w:left w:val="single" w:sz="8" w:color="auto"/>
              <w:right w:val="single" w:sz="8" w:color="auto"/>
            </w:tcBorders>
            <w:vMerge w:val="continue"/>
            <w:shd w:val="clear" w:color="auto" w:fill="CCEEFF"/>
          </w:tcPr>
          <w:p>
            <w:pPr>
              <w:spacing w:after="0"/>
              <w:rPr>
                <w:sz w:val="5"/>
                <w:szCs w:val="5"/>
                <w:color w:val="auto"/>
              </w:rPr>
            </w:pPr>
          </w:p>
        </w:tc>
        <w:tc>
          <w:tcPr>
            <w:tcW w:w="6100" w:type="dxa"/>
            <w:vAlign w:val="bottom"/>
            <w:tcBorders>
              <w:right w:val="single" w:sz="8" w:color="auto"/>
            </w:tcBorders>
            <w:gridSpan w:val="31"/>
            <w:vMerge w:val="restart"/>
            <w:shd w:val="clear" w:color="auto" w:fill="CCEEFF"/>
          </w:tcPr>
          <w:p>
            <w:pPr>
              <w:spacing w:after="0" w:line="107" w:lineRule="exact"/>
              <w:rPr>
                <w:rFonts w:ascii="Times New Roman" w:cs="Times New Roman" w:eastAsia="Times New Roman" w:hAnsi="Times New Roman"/>
                <w:sz w:val="12"/>
                <w:szCs w:val="12"/>
                <w:color w:val="3051F2"/>
              </w:rPr>
            </w:pPr>
            <w:hyperlink r:id="rId98">
              <w:r>
                <w:rPr>
                  <w:rFonts w:ascii="Times New Roman" w:cs="Times New Roman" w:eastAsia="Times New Roman" w:hAnsi="Times New Roman"/>
                  <w:sz w:val="12"/>
                  <w:szCs w:val="12"/>
                  <w:color w:val="3051F2"/>
                </w:rPr>
                <w:t>D. Young dated July 20, 2025</w:t>
              </w:r>
            </w:hyperlink>
          </w:p>
        </w:tc>
        <w:tc>
          <w:tcPr>
            <w:tcW w:w="4420" w:type="dxa"/>
            <w:vAlign w:val="bottom"/>
            <w:tcBorders>
              <w:right w:val="single" w:sz="8" w:color="auto"/>
            </w:tcBorders>
            <w:vMerge w:val="restart"/>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Form 8-K filed on July 23, 2025</w:t>
            </w:r>
          </w:p>
        </w:tc>
        <w:tc>
          <w:tcPr>
            <w:tcW w:w="0" w:type="dxa"/>
            <w:vAlign w:val="bottom"/>
          </w:tcPr>
          <w:p>
            <w:pPr>
              <w:spacing w:after="0"/>
              <w:rPr>
                <w:sz w:val="1"/>
                <w:szCs w:val="1"/>
                <w:color w:val="auto"/>
              </w:rPr>
            </w:pPr>
          </w:p>
        </w:tc>
      </w:tr>
      <w:tr>
        <w:trPr>
          <w:trHeight w:val="85"/>
        </w:trPr>
        <w:tc>
          <w:tcPr>
            <w:tcW w:w="760" w:type="dxa"/>
            <w:vAlign w:val="bottom"/>
            <w:tcBorders>
              <w:left w:val="single" w:sz="8" w:color="auto"/>
              <w:bottom w:val="single" w:sz="8" w:color="auto"/>
              <w:right w:val="single" w:sz="8" w:color="auto"/>
            </w:tcBorders>
            <w:shd w:val="clear" w:color="auto" w:fill="CCEEFF"/>
          </w:tcPr>
          <w:p>
            <w:pPr>
              <w:spacing w:after="0"/>
              <w:rPr>
                <w:sz w:val="7"/>
                <w:szCs w:val="7"/>
                <w:color w:val="auto"/>
              </w:rPr>
            </w:pPr>
          </w:p>
        </w:tc>
        <w:tc>
          <w:tcPr>
            <w:tcW w:w="6100" w:type="dxa"/>
            <w:vAlign w:val="bottom"/>
            <w:tcBorders>
              <w:bottom w:val="single" w:sz="8" w:color="auto"/>
              <w:right w:val="single" w:sz="8" w:color="auto"/>
            </w:tcBorders>
            <w:gridSpan w:val="31"/>
            <w:vMerge w:val="continue"/>
            <w:shd w:val="clear" w:color="auto" w:fill="CCEEFF"/>
          </w:tcPr>
          <w:p>
            <w:pPr>
              <w:spacing w:after="0"/>
              <w:rPr>
                <w:sz w:val="7"/>
                <w:szCs w:val="7"/>
                <w:color w:val="auto"/>
              </w:rPr>
            </w:pPr>
          </w:p>
        </w:tc>
        <w:tc>
          <w:tcPr>
            <w:tcW w:w="4420" w:type="dxa"/>
            <w:vAlign w:val="bottom"/>
            <w:tcBorders>
              <w:bottom w:val="single" w:sz="8" w:color="auto"/>
              <w:right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7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6"/>
              </w:rPr>
              <w:t>10.34</w:t>
            </w:r>
          </w:p>
        </w:tc>
        <w:tc>
          <w:tcPr>
            <w:tcW w:w="6000" w:type="dxa"/>
            <w:vAlign w:val="bottom"/>
            <w:tcBorders>
              <w:bottom w:val="single" w:sz="8" w:color="3051F2"/>
            </w:tcBorders>
            <w:gridSpan w:val="28"/>
          </w:tcPr>
          <w:p>
            <w:pPr>
              <w:spacing w:after="0" w:line="114" w:lineRule="exact"/>
              <w:rPr>
                <w:rFonts w:ascii="Times New Roman" w:cs="Times New Roman" w:eastAsia="Times New Roman" w:hAnsi="Times New Roman"/>
                <w:sz w:val="12"/>
                <w:szCs w:val="12"/>
                <w:color w:val="3051F2"/>
              </w:rPr>
            </w:pPr>
            <w:hyperlink r:id="rId99">
              <w:r>
                <w:rPr>
                  <w:rFonts w:ascii="Times New Roman" w:cs="Times New Roman" w:eastAsia="Times New Roman" w:hAnsi="Times New Roman"/>
                  <w:sz w:val="12"/>
                  <w:szCs w:val="12"/>
                  <w:color w:val="3051F2"/>
                </w:rPr>
                <w:t>Amended and Restated Transition Services Agreement among Sun Communities, Inc., Sun Communities Operating</w:t>
              </w:r>
            </w:hyperlink>
          </w:p>
        </w:tc>
        <w:tc>
          <w:tcPr>
            <w:tcW w:w="100" w:type="dxa"/>
            <w:vAlign w:val="bottom"/>
            <w:tcBorders>
              <w:right w:val="single" w:sz="8" w:color="auto"/>
            </w:tcBorders>
            <w:gridSpan w:val="3"/>
          </w:tcPr>
          <w:p>
            <w:pPr>
              <w:spacing w:after="0"/>
              <w:rPr>
                <w:sz w:val="9"/>
                <w:szCs w:val="9"/>
                <w:color w:val="auto"/>
              </w:rPr>
            </w:pPr>
          </w:p>
        </w:tc>
        <w:tc>
          <w:tcPr>
            <w:tcW w:w="4420" w:type="dxa"/>
            <w:vAlign w:val="bottom"/>
            <w:tcBorders>
              <w:right w:val="single" w:sz="8" w:color="auto"/>
            </w:tcBorders>
          </w:tcPr>
          <w:p>
            <w:pPr>
              <w:spacing w:after="0" w:line="114" w:lineRule="exact"/>
              <w:rPr>
                <w:sz w:val="20"/>
                <w:szCs w:val="20"/>
                <w:color w:val="auto"/>
              </w:rPr>
            </w:pPr>
            <w:r>
              <w:rPr>
                <w:rFonts w:ascii="Times New Roman" w:cs="Times New Roman" w:eastAsia="Times New Roman" w:hAnsi="Times New Roman"/>
                <w:sz w:val="12"/>
                <w:szCs w:val="12"/>
                <w:color w:val="auto"/>
              </w:rPr>
              <w:t>Incorporated by reference to Exhibit 10.1 to Sun Communities, Inc.'s Current Report on</w:t>
            </w:r>
          </w:p>
        </w:tc>
        <w:tc>
          <w:tcPr>
            <w:tcW w:w="0" w:type="dxa"/>
            <w:vAlign w:val="bottom"/>
          </w:tcPr>
          <w:p>
            <w:pPr>
              <w:spacing w:after="0"/>
              <w:rPr>
                <w:sz w:val="1"/>
                <w:szCs w:val="1"/>
                <w:color w:val="auto"/>
              </w:rPr>
            </w:pPr>
          </w:p>
        </w:tc>
      </w:tr>
      <w:tr>
        <w:trPr>
          <w:trHeight w:val="62"/>
        </w:trPr>
        <w:tc>
          <w:tcPr>
            <w:tcW w:w="760" w:type="dxa"/>
            <w:vAlign w:val="bottom"/>
            <w:tcBorders>
              <w:left w:val="single" w:sz="8" w:color="auto"/>
              <w:right w:val="single" w:sz="8" w:color="auto"/>
            </w:tcBorders>
            <w:vMerge w:val="continue"/>
          </w:tcPr>
          <w:p>
            <w:pPr>
              <w:spacing w:after="0"/>
              <w:rPr>
                <w:sz w:val="5"/>
                <w:szCs w:val="5"/>
                <w:color w:val="auto"/>
              </w:rPr>
            </w:pPr>
          </w:p>
        </w:tc>
        <w:tc>
          <w:tcPr>
            <w:tcW w:w="6100" w:type="dxa"/>
            <w:vAlign w:val="bottom"/>
            <w:tcBorders>
              <w:right w:val="single" w:sz="8" w:color="auto"/>
            </w:tcBorders>
            <w:gridSpan w:val="31"/>
            <w:vMerge w:val="restart"/>
          </w:tcPr>
          <w:p>
            <w:pPr>
              <w:spacing w:after="0" w:line="107" w:lineRule="exact"/>
              <w:rPr>
                <w:rFonts w:ascii="Times New Roman" w:cs="Times New Roman" w:eastAsia="Times New Roman" w:hAnsi="Times New Roman"/>
                <w:sz w:val="12"/>
                <w:szCs w:val="12"/>
                <w:color w:val="3051F2"/>
              </w:rPr>
            </w:pPr>
            <w:hyperlink r:id="rId99">
              <w:r>
                <w:rPr>
                  <w:rFonts w:ascii="Times New Roman" w:cs="Times New Roman" w:eastAsia="Times New Roman" w:hAnsi="Times New Roman"/>
                  <w:sz w:val="12"/>
                  <w:szCs w:val="12"/>
                  <w:color w:val="3051F2"/>
                </w:rPr>
                <w:t>Limited Partnership and Fernando Castro-Caratini dated February 10, 2026</w:t>
              </w:r>
            </w:hyperlink>
          </w:p>
        </w:tc>
        <w:tc>
          <w:tcPr>
            <w:tcW w:w="4420" w:type="dxa"/>
            <w:vAlign w:val="bottom"/>
            <w:tcBorders>
              <w:right w:val="single" w:sz="8" w:color="auto"/>
            </w:tcBorders>
            <w:vMerge w:val="restart"/>
          </w:tcPr>
          <w:p>
            <w:pPr>
              <w:spacing w:after="0" w:line="107" w:lineRule="exact"/>
              <w:rPr>
                <w:sz w:val="20"/>
                <w:szCs w:val="20"/>
                <w:color w:val="auto"/>
              </w:rPr>
            </w:pPr>
            <w:r>
              <w:rPr>
                <w:rFonts w:ascii="Times New Roman" w:cs="Times New Roman" w:eastAsia="Times New Roman" w:hAnsi="Times New Roman"/>
                <w:sz w:val="12"/>
                <w:szCs w:val="12"/>
                <w:color w:val="auto"/>
              </w:rPr>
              <w:t>Form 8-K filed on February 10, 2026</w:t>
            </w:r>
          </w:p>
        </w:tc>
        <w:tc>
          <w:tcPr>
            <w:tcW w:w="0" w:type="dxa"/>
            <w:vAlign w:val="bottom"/>
          </w:tcPr>
          <w:p>
            <w:pPr>
              <w:spacing w:after="0"/>
              <w:rPr>
                <w:sz w:val="1"/>
                <w:szCs w:val="1"/>
                <w:color w:val="auto"/>
              </w:rPr>
            </w:pPr>
          </w:p>
        </w:tc>
      </w:tr>
      <w:tr>
        <w:trPr>
          <w:trHeight w:val="45"/>
        </w:trPr>
        <w:tc>
          <w:tcPr>
            <w:tcW w:w="760" w:type="dxa"/>
            <w:vAlign w:val="bottom"/>
            <w:tcBorders>
              <w:left w:val="single" w:sz="8" w:color="auto"/>
              <w:right w:val="single" w:sz="8" w:color="auto"/>
            </w:tcBorders>
          </w:tcPr>
          <w:p>
            <w:pPr>
              <w:spacing w:after="0"/>
              <w:rPr>
                <w:sz w:val="3"/>
                <w:szCs w:val="3"/>
                <w:color w:val="auto"/>
              </w:rPr>
            </w:pPr>
          </w:p>
        </w:tc>
        <w:tc>
          <w:tcPr>
            <w:tcW w:w="6100" w:type="dxa"/>
            <w:vAlign w:val="bottom"/>
            <w:tcBorders>
              <w:right w:val="single" w:sz="8" w:color="auto"/>
            </w:tcBorders>
            <w:gridSpan w:val="31"/>
            <w:vMerge w:val="continue"/>
          </w:tcPr>
          <w:p>
            <w:pPr>
              <w:spacing w:after="0"/>
              <w:rPr>
                <w:sz w:val="3"/>
                <w:szCs w:val="3"/>
                <w:color w:val="auto"/>
              </w:rPr>
            </w:pPr>
          </w:p>
        </w:tc>
        <w:tc>
          <w:tcPr>
            <w:tcW w:w="442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0" w:type="dxa"/>
            <w:vAlign w:val="bottom"/>
            <w:tcBorders>
              <w:top w:val="single" w:sz="8" w:color="3051F2"/>
              <w:bottom w:val="single" w:sz="8" w:color="auto"/>
            </w:tcBorders>
          </w:tcPr>
          <w:p>
            <w:pPr>
              <w:spacing w:after="0" w:line="20" w:lineRule="exact"/>
              <w:rPr>
                <w:sz w:val="1"/>
                <w:szCs w:val="1"/>
                <w:color w:val="auto"/>
              </w:rPr>
            </w:pPr>
          </w:p>
        </w:tc>
        <w:tc>
          <w:tcPr>
            <w:tcW w:w="720" w:type="dxa"/>
            <w:vAlign w:val="bottom"/>
            <w:tcBorders>
              <w:top w:val="single" w:sz="8" w:color="3051F2"/>
              <w:bottom w:val="single" w:sz="8" w:color="auto"/>
            </w:tcBorders>
          </w:tcPr>
          <w:p>
            <w:pPr>
              <w:spacing w:after="0" w:line="20" w:lineRule="exact"/>
              <w:rPr>
                <w:sz w:val="1"/>
                <w:szCs w:val="1"/>
                <w:color w:val="auto"/>
              </w:rPr>
            </w:pPr>
          </w:p>
        </w:tc>
        <w:tc>
          <w:tcPr>
            <w:tcW w:w="340" w:type="dxa"/>
            <w:vAlign w:val="bottom"/>
            <w:tcBorders>
              <w:top w:val="single" w:sz="8" w:color="3051F2"/>
              <w:bottom w:val="single" w:sz="8" w:color="auto"/>
            </w:tcBorders>
          </w:tcPr>
          <w:p>
            <w:pPr>
              <w:spacing w:after="0" w:line="20" w:lineRule="exact"/>
              <w:rPr>
                <w:sz w:val="1"/>
                <w:szCs w:val="1"/>
                <w:color w:val="auto"/>
              </w:rPr>
            </w:pPr>
          </w:p>
        </w:tc>
        <w:tc>
          <w:tcPr>
            <w:tcW w:w="20" w:type="dxa"/>
            <w:vAlign w:val="bottom"/>
            <w:tcBorders>
              <w:top w:val="single" w:sz="8" w:color="3051F2"/>
              <w:bottom w:val="single" w:sz="8" w:color="auto"/>
            </w:tcBorders>
          </w:tcPr>
          <w:p>
            <w:pPr>
              <w:spacing w:after="0" w:line="20" w:lineRule="exact"/>
              <w:rPr>
                <w:sz w:val="1"/>
                <w:szCs w:val="1"/>
                <w:color w:val="auto"/>
              </w:rPr>
            </w:pPr>
          </w:p>
        </w:tc>
        <w:tc>
          <w:tcPr>
            <w:tcW w:w="20" w:type="dxa"/>
            <w:vAlign w:val="bottom"/>
            <w:tcBorders>
              <w:top w:val="single" w:sz="8" w:color="3051F2"/>
              <w:bottom w:val="single" w:sz="8" w:color="auto"/>
            </w:tcBorders>
          </w:tcPr>
          <w:p>
            <w:pPr>
              <w:spacing w:after="0" w:line="20" w:lineRule="exact"/>
              <w:rPr>
                <w:sz w:val="1"/>
                <w:szCs w:val="1"/>
                <w:color w:val="auto"/>
              </w:rPr>
            </w:pPr>
          </w:p>
        </w:tc>
        <w:tc>
          <w:tcPr>
            <w:tcW w:w="100" w:type="dxa"/>
            <w:vAlign w:val="bottom"/>
            <w:tcBorders>
              <w:top w:val="single" w:sz="8" w:color="3051F2"/>
              <w:bottom w:val="single" w:sz="8" w:color="auto"/>
            </w:tcBorders>
          </w:tcPr>
          <w:p>
            <w:pPr>
              <w:spacing w:after="0" w:line="20" w:lineRule="exact"/>
              <w:rPr>
                <w:sz w:val="1"/>
                <w:szCs w:val="1"/>
                <w:color w:val="auto"/>
              </w:rPr>
            </w:pPr>
          </w:p>
        </w:tc>
        <w:tc>
          <w:tcPr>
            <w:tcW w:w="120" w:type="dxa"/>
            <w:vAlign w:val="bottom"/>
            <w:tcBorders>
              <w:top w:val="single" w:sz="8" w:color="3051F2"/>
              <w:bottom w:val="single" w:sz="8" w:color="auto"/>
            </w:tcBorders>
          </w:tcPr>
          <w:p>
            <w:pPr>
              <w:spacing w:after="0" w:line="20" w:lineRule="exact"/>
              <w:rPr>
                <w:sz w:val="1"/>
                <w:szCs w:val="1"/>
                <w:color w:val="auto"/>
              </w:rPr>
            </w:pPr>
          </w:p>
        </w:tc>
        <w:tc>
          <w:tcPr>
            <w:tcW w:w="60" w:type="dxa"/>
            <w:vAlign w:val="bottom"/>
            <w:tcBorders>
              <w:top w:val="single" w:sz="8" w:color="3051F2"/>
              <w:bottom w:val="single" w:sz="8" w:color="auto"/>
            </w:tcBorders>
          </w:tcPr>
          <w:p>
            <w:pPr>
              <w:spacing w:after="0" w:line="20" w:lineRule="exact"/>
              <w:rPr>
                <w:sz w:val="1"/>
                <w:szCs w:val="1"/>
                <w:color w:val="auto"/>
              </w:rPr>
            </w:pPr>
          </w:p>
        </w:tc>
        <w:tc>
          <w:tcPr>
            <w:tcW w:w="40" w:type="dxa"/>
            <w:vAlign w:val="bottom"/>
            <w:tcBorders>
              <w:top w:val="single" w:sz="8" w:color="3051F2"/>
              <w:bottom w:val="single" w:sz="8" w:color="auto"/>
            </w:tcBorders>
          </w:tcPr>
          <w:p>
            <w:pPr>
              <w:spacing w:after="0" w:line="20" w:lineRule="exact"/>
              <w:rPr>
                <w:sz w:val="1"/>
                <w:szCs w:val="1"/>
                <w:color w:val="auto"/>
              </w:rPr>
            </w:pPr>
          </w:p>
        </w:tc>
        <w:tc>
          <w:tcPr>
            <w:tcW w:w="60" w:type="dxa"/>
            <w:vAlign w:val="bottom"/>
            <w:tcBorders>
              <w:top w:val="single" w:sz="8" w:color="3051F2"/>
              <w:bottom w:val="single" w:sz="8" w:color="auto"/>
            </w:tcBorders>
          </w:tcPr>
          <w:p>
            <w:pPr>
              <w:spacing w:after="0" w:line="20" w:lineRule="exact"/>
              <w:rPr>
                <w:sz w:val="1"/>
                <w:szCs w:val="1"/>
                <w:color w:val="auto"/>
              </w:rPr>
            </w:pPr>
          </w:p>
        </w:tc>
        <w:tc>
          <w:tcPr>
            <w:tcW w:w="200" w:type="dxa"/>
            <w:vAlign w:val="bottom"/>
            <w:tcBorders>
              <w:top w:val="single" w:sz="8" w:color="3051F2"/>
              <w:bottom w:val="single" w:sz="8" w:color="auto"/>
            </w:tcBorders>
          </w:tcPr>
          <w:p>
            <w:pPr>
              <w:spacing w:after="0" w:line="20" w:lineRule="exact"/>
              <w:rPr>
                <w:sz w:val="1"/>
                <w:szCs w:val="1"/>
                <w:color w:val="auto"/>
              </w:rPr>
            </w:pPr>
          </w:p>
        </w:tc>
        <w:tc>
          <w:tcPr>
            <w:tcW w:w="120" w:type="dxa"/>
            <w:vAlign w:val="bottom"/>
            <w:tcBorders>
              <w:top w:val="single" w:sz="8" w:color="3051F2"/>
              <w:bottom w:val="single" w:sz="8" w:color="auto"/>
            </w:tcBorders>
          </w:tcPr>
          <w:p>
            <w:pPr>
              <w:spacing w:after="0" w:line="20" w:lineRule="exact"/>
              <w:rPr>
                <w:sz w:val="1"/>
                <w:szCs w:val="1"/>
                <w:color w:val="auto"/>
              </w:rPr>
            </w:pPr>
          </w:p>
        </w:tc>
        <w:tc>
          <w:tcPr>
            <w:tcW w:w="80" w:type="dxa"/>
            <w:vAlign w:val="bottom"/>
            <w:tcBorders>
              <w:top w:val="single" w:sz="8" w:color="3051F2"/>
              <w:bottom w:val="single" w:sz="8" w:color="auto"/>
            </w:tcBorders>
          </w:tcPr>
          <w:p>
            <w:pPr>
              <w:spacing w:after="0" w:line="20" w:lineRule="exact"/>
              <w:rPr>
                <w:sz w:val="1"/>
                <w:szCs w:val="1"/>
                <w:color w:val="auto"/>
              </w:rPr>
            </w:pPr>
          </w:p>
        </w:tc>
        <w:tc>
          <w:tcPr>
            <w:tcW w:w="280" w:type="dxa"/>
            <w:vAlign w:val="bottom"/>
            <w:tcBorders>
              <w:top w:val="single" w:sz="8" w:color="3051F2"/>
              <w:bottom w:val="single" w:sz="8" w:color="auto"/>
            </w:tcBorders>
          </w:tcPr>
          <w:p>
            <w:pPr>
              <w:spacing w:after="0" w:line="20" w:lineRule="exact"/>
              <w:rPr>
                <w:sz w:val="1"/>
                <w:szCs w:val="1"/>
                <w:color w:val="auto"/>
              </w:rPr>
            </w:pPr>
          </w:p>
        </w:tc>
        <w:tc>
          <w:tcPr>
            <w:tcW w:w="40" w:type="dxa"/>
            <w:vAlign w:val="bottom"/>
            <w:tcBorders>
              <w:top w:val="single" w:sz="8" w:color="3051F2"/>
              <w:bottom w:val="single" w:sz="8" w:color="auto"/>
            </w:tcBorders>
          </w:tcPr>
          <w:p>
            <w:pPr>
              <w:spacing w:after="0" w:line="20" w:lineRule="exact"/>
              <w:rPr>
                <w:sz w:val="1"/>
                <w:szCs w:val="1"/>
                <w:color w:val="auto"/>
              </w:rPr>
            </w:pPr>
          </w:p>
        </w:tc>
        <w:tc>
          <w:tcPr>
            <w:tcW w:w="40" w:type="dxa"/>
            <w:vAlign w:val="bottom"/>
            <w:tcBorders>
              <w:top w:val="single" w:sz="8" w:color="3051F2"/>
              <w:bottom w:val="single" w:sz="8" w:color="auto"/>
            </w:tcBorders>
          </w:tcPr>
          <w:p>
            <w:pPr>
              <w:spacing w:after="0" w:line="20" w:lineRule="exact"/>
              <w:rPr>
                <w:sz w:val="1"/>
                <w:szCs w:val="1"/>
                <w:color w:val="auto"/>
              </w:rPr>
            </w:pPr>
          </w:p>
        </w:tc>
        <w:tc>
          <w:tcPr>
            <w:tcW w:w="180" w:type="dxa"/>
            <w:vAlign w:val="bottom"/>
            <w:tcBorders>
              <w:top w:val="single" w:sz="8" w:color="3051F2"/>
              <w:bottom w:val="single" w:sz="8" w:color="auto"/>
            </w:tcBorders>
          </w:tcPr>
          <w:p>
            <w:pPr>
              <w:spacing w:after="0" w:line="20" w:lineRule="exact"/>
              <w:rPr>
                <w:sz w:val="1"/>
                <w:szCs w:val="1"/>
                <w:color w:val="auto"/>
              </w:rPr>
            </w:pPr>
          </w:p>
        </w:tc>
        <w:tc>
          <w:tcPr>
            <w:tcW w:w="160" w:type="dxa"/>
            <w:vAlign w:val="bottom"/>
            <w:tcBorders>
              <w:top w:val="single" w:sz="8" w:color="3051F2"/>
              <w:bottom w:val="single" w:sz="8" w:color="auto"/>
            </w:tcBorders>
          </w:tcPr>
          <w:p>
            <w:pPr>
              <w:spacing w:after="0" w:line="20" w:lineRule="exact"/>
              <w:rPr>
                <w:sz w:val="1"/>
                <w:szCs w:val="1"/>
                <w:color w:val="auto"/>
              </w:rPr>
            </w:pPr>
          </w:p>
        </w:tc>
        <w:tc>
          <w:tcPr>
            <w:tcW w:w="220" w:type="dxa"/>
            <w:vAlign w:val="bottom"/>
            <w:tcBorders>
              <w:top w:val="single" w:sz="8" w:color="3051F2"/>
              <w:bottom w:val="single" w:sz="8" w:color="auto"/>
            </w:tcBorders>
          </w:tcPr>
          <w:p>
            <w:pPr>
              <w:spacing w:after="0" w:line="20" w:lineRule="exact"/>
              <w:rPr>
                <w:sz w:val="1"/>
                <w:szCs w:val="1"/>
                <w:color w:val="auto"/>
              </w:rPr>
            </w:pPr>
          </w:p>
        </w:tc>
        <w:tc>
          <w:tcPr>
            <w:tcW w:w="540" w:type="dxa"/>
            <w:vAlign w:val="bottom"/>
            <w:tcBorders>
              <w:top w:val="single" w:sz="8" w:color="3051F2"/>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44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760" w:type="dxa"/>
            <w:vAlign w:val="bottom"/>
            <w:tcBorders>
              <w:left w:val="single" w:sz="8" w:color="auto"/>
              <w:bottom w:val="single" w:sz="8" w:color="CCEEFF"/>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10.35</w:t>
            </w:r>
          </w:p>
        </w:tc>
        <w:tc>
          <w:tcPr>
            <w:tcW w:w="6020" w:type="dxa"/>
            <w:vAlign w:val="bottom"/>
            <w:tcBorders>
              <w:bottom w:val="single" w:sz="8" w:color="3051F2"/>
            </w:tcBorders>
            <w:gridSpan w:val="29"/>
            <w:shd w:val="clear" w:color="auto" w:fill="CCEEFF"/>
          </w:tcPr>
          <w:p>
            <w:pPr>
              <w:spacing w:after="0" w:line="114" w:lineRule="exact"/>
              <w:rPr>
                <w:rFonts w:ascii="Times New Roman" w:cs="Times New Roman" w:eastAsia="Times New Roman" w:hAnsi="Times New Roman"/>
                <w:sz w:val="12"/>
                <w:szCs w:val="12"/>
                <w:color w:val="3051F2"/>
              </w:rPr>
            </w:pPr>
            <w:hyperlink r:id="rId100">
              <w:r>
                <w:rPr>
                  <w:rFonts w:ascii="Times New Roman" w:cs="Times New Roman" w:eastAsia="Times New Roman" w:hAnsi="Times New Roman"/>
                  <w:sz w:val="12"/>
                  <w:szCs w:val="12"/>
                  <w:color w:val="3051F2"/>
                </w:rPr>
                <w:t>Transition Services Agreement among Sun Communities, Inc., Sun Communities Operating Limited Partnership and</w:t>
              </w:r>
            </w:hyperlink>
          </w:p>
        </w:tc>
        <w:tc>
          <w:tcPr>
            <w:tcW w:w="80" w:type="dxa"/>
            <w:vAlign w:val="bottom"/>
            <w:tcBorders>
              <w:bottom w:val="single" w:sz="8" w:color="CCEEFF"/>
              <w:right w:val="single" w:sz="8" w:color="auto"/>
            </w:tcBorders>
            <w:gridSpan w:val="2"/>
            <w:shd w:val="clear" w:color="auto" w:fill="CCEEFF"/>
          </w:tcPr>
          <w:p>
            <w:pPr>
              <w:spacing w:after="0"/>
              <w:rPr>
                <w:sz w:val="9"/>
                <w:szCs w:val="9"/>
                <w:color w:val="auto"/>
              </w:rPr>
            </w:pPr>
          </w:p>
        </w:tc>
        <w:tc>
          <w:tcPr>
            <w:tcW w:w="4420" w:type="dxa"/>
            <w:vAlign w:val="bottom"/>
            <w:tcBorders>
              <w:bottom w:val="single" w:sz="8" w:color="CCEEFF"/>
              <w:right w:val="single" w:sz="8" w:color="auto"/>
            </w:tcBorders>
            <w:shd w:val="clear" w:color="auto" w:fill="CCEEFF"/>
          </w:tcPr>
          <w:p>
            <w:pPr>
              <w:spacing w:after="0" w:line="114" w:lineRule="exact"/>
              <w:rPr>
                <w:sz w:val="20"/>
                <w:szCs w:val="20"/>
                <w:color w:val="auto"/>
              </w:rPr>
            </w:pPr>
            <w:r>
              <w:rPr>
                <w:rFonts w:ascii="Times New Roman" w:cs="Times New Roman" w:eastAsia="Times New Roman" w:hAnsi="Times New Roman"/>
                <w:sz w:val="12"/>
                <w:szCs w:val="12"/>
                <w:color w:val="auto"/>
              </w:rPr>
              <w:t>Incorporated by reference to Exhibit 10.3 to Sun Communities, Inc.'s Current Report on</w:t>
            </w:r>
          </w:p>
        </w:tc>
        <w:tc>
          <w:tcPr>
            <w:tcW w:w="0" w:type="dxa"/>
            <w:vAlign w:val="bottom"/>
          </w:tcPr>
          <w:p>
            <w:pPr>
              <w:spacing w:after="0"/>
              <w:rPr>
                <w:sz w:val="1"/>
                <w:szCs w:val="1"/>
                <w:color w:val="auto"/>
              </w:rPr>
            </w:pPr>
          </w:p>
        </w:tc>
      </w:tr>
      <w:tr>
        <w:trPr>
          <w:trHeight w:val="62"/>
        </w:trPr>
        <w:tc>
          <w:tcPr>
            <w:tcW w:w="760" w:type="dxa"/>
            <w:vAlign w:val="bottom"/>
            <w:tcBorders>
              <w:left w:val="single" w:sz="8" w:color="auto"/>
              <w:right w:val="single" w:sz="8" w:color="auto"/>
            </w:tcBorders>
            <w:vMerge w:val="continue"/>
            <w:shd w:val="clear" w:color="auto" w:fill="CCEEFF"/>
          </w:tcPr>
          <w:p>
            <w:pPr>
              <w:spacing w:after="0"/>
              <w:rPr>
                <w:sz w:val="5"/>
                <w:szCs w:val="5"/>
                <w:color w:val="auto"/>
              </w:rPr>
            </w:pPr>
          </w:p>
        </w:tc>
        <w:tc>
          <w:tcPr>
            <w:tcW w:w="6100" w:type="dxa"/>
            <w:vAlign w:val="bottom"/>
            <w:tcBorders>
              <w:right w:val="single" w:sz="8" w:color="auto"/>
            </w:tcBorders>
            <w:gridSpan w:val="31"/>
            <w:vMerge w:val="restart"/>
            <w:shd w:val="clear" w:color="auto" w:fill="CCEEFF"/>
          </w:tcPr>
          <w:p>
            <w:pPr>
              <w:spacing w:after="0" w:line="107" w:lineRule="exact"/>
              <w:rPr>
                <w:rFonts w:ascii="Times New Roman" w:cs="Times New Roman" w:eastAsia="Times New Roman" w:hAnsi="Times New Roman"/>
                <w:sz w:val="12"/>
                <w:szCs w:val="12"/>
                <w:color w:val="3051F2"/>
              </w:rPr>
            </w:pPr>
            <w:hyperlink r:id="rId100">
              <w:r>
                <w:rPr>
                  <w:rFonts w:ascii="Times New Roman" w:cs="Times New Roman" w:eastAsia="Times New Roman" w:hAnsi="Times New Roman"/>
                  <w:sz w:val="12"/>
                  <w:szCs w:val="12"/>
                  <w:color w:val="3051F2"/>
                </w:rPr>
                <w:t>Gary A. Shiffman dated December 11, 2025</w:t>
              </w:r>
            </w:hyperlink>
          </w:p>
        </w:tc>
        <w:tc>
          <w:tcPr>
            <w:tcW w:w="4420" w:type="dxa"/>
            <w:vAlign w:val="bottom"/>
            <w:tcBorders>
              <w:right w:val="single" w:sz="8" w:color="auto"/>
            </w:tcBorders>
            <w:vMerge w:val="restart"/>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Form 8-K filed on December 16, 2025</w:t>
            </w:r>
          </w:p>
        </w:tc>
        <w:tc>
          <w:tcPr>
            <w:tcW w:w="0" w:type="dxa"/>
            <w:vAlign w:val="bottom"/>
          </w:tcPr>
          <w:p>
            <w:pPr>
              <w:spacing w:after="0"/>
              <w:rPr>
                <w:sz w:val="1"/>
                <w:szCs w:val="1"/>
                <w:color w:val="auto"/>
              </w:rPr>
            </w:pPr>
          </w:p>
        </w:tc>
      </w:tr>
      <w:tr>
        <w:trPr>
          <w:trHeight w:val="85"/>
        </w:trPr>
        <w:tc>
          <w:tcPr>
            <w:tcW w:w="760" w:type="dxa"/>
            <w:vAlign w:val="bottom"/>
            <w:tcBorders>
              <w:left w:val="single" w:sz="8" w:color="auto"/>
              <w:bottom w:val="single" w:sz="8" w:color="auto"/>
              <w:right w:val="single" w:sz="8" w:color="auto"/>
            </w:tcBorders>
            <w:shd w:val="clear" w:color="auto" w:fill="CCEEFF"/>
          </w:tcPr>
          <w:p>
            <w:pPr>
              <w:spacing w:after="0"/>
              <w:rPr>
                <w:sz w:val="7"/>
                <w:szCs w:val="7"/>
                <w:color w:val="auto"/>
              </w:rPr>
            </w:pPr>
          </w:p>
        </w:tc>
        <w:tc>
          <w:tcPr>
            <w:tcW w:w="6100" w:type="dxa"/>
            <w:vAlign w:val="bottom"/>
            <w:tcBorders>
              <w:bottom w:val="single" w:sz="8" w:color="auto"/>
              <w:right w:val="single" w:sz="8" w:color="auto"/>
            </w:tcBorders>
            <w:gridSpan w:val="31"/>
            <w:vMerge w:val="continue"/>
            <w:shd w:val="clear" w:color="auto" w:fill="CCEEFF"/>
          </w:tcPr>
          <w:p>
            <w:pPr>
              <w:spacing w:after="0"/>
              <w:rPr>
                <w:sz w:val="7"/>
                <w:szCs w:val="7"/>
                <w:color w:val="auto"/>
              </w:rPr>
            </w:pPr>
          </w:p>
        </w:tc>
        <w:tc>
          <w:tcPr>
            <w:tcW w:w="4420" w:type="dxa"/>
            <w:vAlign w:val="bottom"/>
            <w:tcBorders>
              <w:bottom w:val="single" w:sz="8" w:color="auto"/>
              <w:right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7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rPr>
              <w:t>10.36#</w:t>
            </w:r>
          </w:p>
        </w:tc>
        <w:tc>
          <w:tcPr>
            <w:tcW w:w="6100" w:type="dxa"/>
            <w:vAlign w:val="bottom"/>
            <w:tcBorders>
              <w:right w:val="single" w:sz="8" w:color="auto"/>
            </w:tcBorders>
            <w:gridSpan w:val="31"/>
            <w:vMerge w:val="restart"/>
          </w:tcPr>
          <w:p>
            <w:pPr>
              <w:spacing w:after="0"/>
              <w:rPr>
                <w:rFonts w:ascii="Times New Roman" w:cs="Times New Roman" w:eastAsia="Times New Roman" w:hAnsi="Times New Roman"/>
                <w:sz w:val="12"/>
                <w:szCs w:val="12"/>
                <w:color w:val="3051F2"/>
              </w:rPr>
            </w:pPr>
            <w:hyperlink r:id="rId101">
              <w:r>
                <w:rPr>
                  <w:rFonts w:ascii="Times New Roman" w:cs="Times New Roman" w:eastAsia="Times New Roman" w:hAnsi="Times New Roman"/>
                  <w:sz w:val="12"/>
                  <w:szCs w:val="12"/>
                  <w:color w:val="3051F2"/>
                </w:rPr>
                <w:t>Form of Restricted Stock Award Agreement For Executives</w:t>
              </w:r>
            </w:hyperlink>
          </w:p>
        </w:tc>
        <w:tc>
          <w:tcPr>
            <w:tcW w:w="4420" w:type="dxa"/>
            <w:vAlign w:val="bottom"/>
            <w:tcBorders>
              <w:right w:val="single" w:sz="8" w:color="auto"/>
            </w:tcBorders>
          </w:tcPr>
          <w:p>
            <w:pPr>
              <w:spacing w:after="0" w:line="106" w:lineRule="exact"/>
              <w:rPr>
                <w:sz w:val="20"/>
                <w:szCs w:val="20"/>
                <w:color w:val="auto"/>
              </w:rPr>
            </w:pPr>
            <w:r>
              <w:rPr>
                <w:rFonts w:ascii="Times New Roman" w:cs="Times New Roman" w:eastAsia="Times New Roman" w:hAnsi="Times New Roman"/>
                <w:sz w:val="12"/>
                <w:szCs w:val="12"/>
                <w:color w:val="auto"/>
              </w:rPr>
              <w:t>Incorporated by reference to Exhibit 10.25 of Sun Communities Inc.'s Current Report on</w:t>
            </w:r>
          </w:p>
        </w:tc>
        <w:tc>
          <w:tcPr>
            <w:tcW w:w="0" w:type="dxa"/>
            <w:vAlign w:val="bottom"/>
          </w:tcPr>
          <w:p>
            <w:pPr>
              <w:spacing w:after="0"/>
              <w:rPr>
                <w:sz w:val="1"/>
                <w:szCs w:val="1"/>
                <w:color w:val="auto"/>
              </w:rPr>
            </w:pPr>
          </w:p>
        </w:tc>
      </w:tr>
      <w:tr>
        <w:trPr>
          <w:trHeight w:val="66"/>
        </w:trPr>
        <w:tc>
          <w:tcPr>
            <w:tcW w:w="760" w:type="dxa"/>
            <w:vAlign w:val="bottom"/>
            <w:tcBorders>
              <w:left w:val="single" w:sz="8" w:color="auto"/>
              <w:right w:val="single" w:sz="8" w:color="auto"/>
            </w:tcBorders>
            <w:vMerge w:val="continue"/>
          </w:tcPr>
          <w:p>
            <w:pPr>
              <w:spacing w:after="0"/>
              <w:rPr>
                <w:sz w:val="5"/>
                <w:szCs w:val="5"/>
                <w:color w:val="auto"/>
              </w:rPr>
            </w:pPr>
          </w:p>
        </w:tc>
        <w:tc>
          <w:tcPr>
            <w:tcW w:w="6100" w:type="dxa"/>
            <w:vAlign w:val="bottom"/>
            <w:tcBorders>
              <w:right w:val="single" w:sz="8" w:color="auto"/>
            </w:tcBorders>
            <w:gridSpan w:val="31"/>
            <w:vMerge w:val="continue"/>
          </w:tcPr>
          <w:p>
            <w:pPr>
              <w:spacing w:after="0"/>
              <w:rPr>
                <w:sz w:val="5"/>
                <w:szCs w:val="5"/>
                <w:color w:val="auto"/>
              </w:rPr>
            </w:pPr>
          </w:p>
        </w:tc>
        <w:tc>
          <w:tcPr>
            <w:tcW w:w="4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2"/>
                <w:szCs w:val="12"/>
                <w:color w:val="auto"/>
              </w:rPr>
              <w:t>Form 10-K filed on February 28, 2024</w:t>
            </w:r>
          </w:p>
        </w:tc>
        <w:tc>
          <w:tcPr>
            <w:tcW w:w="0" w:type="dxa"/>
            <w:vAlign w:val="bottom"/>
          </w:tcPr>
          <w:p>
            <w:pPr>
              <w:spacing w:after="0"/>
              <w:rPr>
                <w:sz w:val="1"/>
                <w:szCs w:val="1"/>
                <w:color w:val="auto"/>
              </w:rPr>
            </w:pPr>
          </w:p>
        </w:tc>
      </w:tr>
      <w:tr>
        <w:trPr>
          <w:trHeight w:val="79"/>
        </w:trPr>
        <w:tc>
          <w:tcPr>
            <w:tcW w:w="760" w:type="dxa"/>
            <w:vAlign w:val="bottom"/>
            <w:tcBorders>
              <w:left w:val="single" w:sz="8" w:color="auto"/>
              <w:bottom w:val="single" w:sz="8" w:color="auto"/>
              <w:right w:val="single" w:sz="8" w:color="auto"/>
            </w:tcBorders>
          </w:tcPr>
          <w:p>
            <w:pPr>
              <w:spacing w:after="0"/>
              <w:rPr>
                <w:sz w:val="6"/>
                <w:szCs w:val="6"/>
                <w:color w:val="auto"/>
              </w:rPr>
            </w:pPr>
          </w:p>
        </w:tc>
        <w:tc>
          <w:tcPr>
            <w:tcW w:w="380" w:type="dxa"/>
            <w:vAlign w:val="bottom"/>
            <w:tcBorders>
              <w:top w:val="single" w:sz="8" w:color="3051F2"/>
              <w:bottom w:val="single" w:sz="8" w:color="auto"/>
            </w:tcBorders>
          </w:tcPr>
          <w:p>
            <w:pPr>
              <w:spacing w:after="0"/>
              <w:rPr>
                <w:sz w:val="6"/>
                <w:szCs w:val="6"/>
                <w:color w:val="auto"/>
              </w:rPr>
            </w:pPr>
          </w:p>
        </w:tc>
        <w:tc>
          <w:tcPr>
            <w:tcW w:w="720" w:type="dxa"/>
            <w:vAlign w:val="bottom"/>
            <w:tcBorders>
              <w:top w:val="single" w:sz="8" w:color="3051F2"/>
              <w:bottom w:val="single" w:sz="8" w:color="auto"/>
            </w:tcBorders>
          </w:tcPr>
          <w:p>
            <w:pPr>
              <w:spacing w:after="0"/>
              <w:rPr>
                <w:sz w:val="6"/>
                <w:szCs w:val="6"/>
                <w:color w:val="auto"/>
              </w:rPr>
            </w:pPr>
          </w:p>
        </w:tc>
        <w:tc>
          <w:tcPr>
            <w:tcW w:w="340" w:type="dxa"/>
            <w:vAlign w:val="bottom"/>
            <w:tcBorders>
              <w:top w:val="single" w:sz="8" w:color="3051F2"/>
              <w:bottom w:val="single" w:sz="8" w:color="auto"/>
            </w:tcBorders>
          </w:tcPr>
          <w:p>
            <w:pPr>
              <w:spacing w:after="0"/>
              <w:rPr>
                <w:sz w:val="6"/>
                <w:szCs w:val="6"/>
                <w:color w:val="auto"/>
              </w:rPr>
            </w:pPr>
          </w:p>
        </w:tc>
        <w:tc>
          <w:tcPr>
            <w:tcW w:w="20" w:type="dxa"/>
            <w:vAlign w:val="bottom"/>
            <w:tcBorders>
              <w:top w:val="single" w:sz="8" w:color="3051F2"/>
              <w:bottom w:val="single" w:sz="8" w:color="auto"/>
            </w:tcBorders>
          </w:tcPr>
          <w:p>
            <w:pPr>
              <w:spacing w:after="0"/>
              <w:rPr>
                <w:sz w:val="6"/>
                <w:szCs w:val="6"/>
                <w:color w:val="auto"/>
              </w:rPr>
            </w:pPr>
          </w:p>
        </w:tc>
        <w:tc>
          <w:tcPr>
            <w:tcW w:w="20" w:type="dxa"/>
            <w:vAlign w:val="bottom"/>
            <w:tcBorders>
              <w:top w:val="single" w:sz="8" w:color="3051F2"/>
              <w:bottom w:val="single" w:sz="8" w:color="auto"/>
            </w:tcBorders>
          </w:tcPr>
          <w:p>
            <w:pPr>
              <w:spacing w:after="0"/>
              <w:rPr>
                <w:sz w:val="6"/>
                <w:szCs w:val="6"/>
                <w:color w:val="auto"/>
              </w:rPr>
            </w:pPr>
          </w:p>
        </w:tc>
        <w:tc>
          <w:tcPr>
            <w:tcW w:w="100" w:type="dxa"/>
            <w:vAlign w:val="bottom"/>
            <w:tcBorders>
              <w:top w:val="single" w:sz="8" w:color="3051F2"/>
              <w:bottom w:val="single" w:sz="8" w:color="auto"/>
            </w:tcBorders>
          </w:tcPr>
          <w:p>
            <w:pPr>
              <w:spacing w:after="0"/>
              <w:rPr>
                <w:sz w:val="6"/>
                <w:szCs w:val="6"/>
                <w:color w:val="auto"/>
              </w:rPr>
            </w:pPr>
          </w:p>
        </w:tc>
        <w:tc>
          <w:tcPr>
            <w:tcW w:w="120" w:type="dxa"/>
            <w:vAlign w:val="bottom"/>
            <w:tcBorders>
              <w:top w:val="single" w:sz="8" w:color="3051F2"/>
              <w:bottom w:val="single" w:sz="8" w:color="auto"/>
            </w:tcBorders>
          </w:tcPr>
          <w:p>
            <w:pPr>
              <w:spacing w:after="0"/>
              <w:rPr>
                <w:sz w:val="6"/>
                <w:szCs w:val="6"/>
                <w:color w:val="auto"/>
              </w:rPr>
            </w:pPr>
          </w:p>
        </w:tc>
        <w:tc>
          <w:tcPr>
            <w:tcW w:w="60" w:type="dxa"/>
            <w:vAlign w:val="bottom"/>
            <w:tcBorders>
              <w:top w:val="single" w:sz="8" w:color="3051F2"/>
              <w:bottom w:val="single" w:sz="8" w:color="auto"/>
            </w:tcBorders>
          </w:tcPr>
          <w:p>
            <w:pPr>
              <w:spacing w:after="0"/>
              <w:rPr>
                <w:sz w:val="6"/>
                <w:szCs w:val="6"/>
                <w:color w:val="auto"/>
              </w:rPr>
            </w:pPr>
          </w:p>
        </w:tc>
        <w:tc>
          <w:tcPr>
            <w:tcW w:w="40" w:type="dxa"/>
            <w:vAlign w:val="bottom"/>
            <w:tcBorders>
              <w:top w:val="single" w:sz="8" w:color="3051F2"/>
              <w:bottom w:val="single" w:sz="8" w:color="auto"/>
            </w:tcBorders>
          </w:tcPr>
          <w:p>
            <w:pPr>
              <w:spacing w:after="0"/>
              <w:rPr>
                <w:sz w:val="6"/>
                <w:szCs w:val="6"/>
                <w:color w:val="auto"/>
              </w:rPr>
            </w:pPr>
          </w:p>
        </w:tc>
        <w:tc>
          <w:tcPr>
            <w:tcW w:w="60" w:type="dxa"/>
            <w:vAlign w:val="bottom"/>
            <w:tcBorders>
              <w:top w:val="single" w:sz="8" w:color="3051F2"/>
              <w:bottom w:val="single" w:sz="8" w:color="auto"/>
            </w:tcBorders>
          </w:tcPr>
          <w:p>
            <w:pPr>
              <w:spacing w:after="0"/>
              <w:rPr>
                <w:sz w:val="6"/>
                <w:szCs w:val="6"/>
                <w:color w:val="auto"/>
              </w:rPr>
            </w:pPr>
          </w:p>
        </w:tc>
        <w:tc>
          <w:tcPr>
            <w:tcW w:w="200" w:type="dxa"/>
            <w:vAlign w:val="bottom"/>
            <w:tcBorders>
              <w:top w:val="single" w:sz="8" w:color="3051F2"/>
              <w:bottom w:val="single" w:sz="8" w:color="auto"/>
            </w:tcBorders>
          </w:tcPr>
          <w:p>
            <w:pPr>
              <w:spacing w:after="0"/>
              <w:rPr>
                <w:sz w:val="6"/>
                <w:szCs w:val="6"/>
                <w:color w:val="auto"/>
              </w:rPr>
            </w:pPr>
          </w:p>
        </w:tc>
        <w:tc>
          <w:tcPr>
            <w:tcW w:w="120" w:type="dxa"/>
            <w:vAlign w:val="bottom"/>
            <w:tcBorders>
              <w:top w:val="single" w:sz="8" w:color="3051F2"/>
              <w:bottom w:val="single" w:sz="8" w:color="auto"/>
            </w:tcBorders>
          </w:tcPr>
          <w:p>
            <w:pPr>
              <w:spacing w:after="0"/>
              <w:rPr>
                <w:sz w:val="6"/>
                <w:szCs w:val="6"/>
                <w:color w:val="auto"/>
              </w:rPr>
            </w:pPr>
          </w:p>
        </w:tc>
        <w:tc>
          <w:tcPr>
            <w:tcW w:w="80" w:type="dxa"/>
            <w:vAlign w:val="bottom"/>
            <w:tcBorders>
              <w:top w:val="single" w:sz="8" w:color="3051F2"/>
              <w:bottom w:val="single" w:sz="8" w:color="auto"/>
            </w:tcBorders>
          </w:tcPr>
          <w:p>
            <w:pPr>
              <w:spacing w:after="0"/>
              <w:rPr>
                <w:sz w:val="6"/>
                <w:szCs w:val="6"/>
                <w:color w:val="auto"/>
              </w:rPr>
            </w:pPr>
          </w:p>
        </w:tc>
        <w:tc>
          <w:tcPr>
            <w:tcW w:w="280" w:type="dxa"/>
            <w:vAlign w:val="bottom"/>
            <w:tcBorders>
              <w:top w:val="single" w:sz="8" w:color="3051F2"/>
              <w:bottom w:val="single" w:sz="8" w:color="auto"/>
            </w:tcBorders>
          </w:tcPr>
          <w:p>
            <w:pPr>
              <w:spacing w:after="0"/>
              <w:rPr>
                <w:sz w:val="6"/>
                <w:szCs w:val="6"/>
                <w:color w:val="auto"/>
              </w:rPr>
            </w:pPr>
          </w:p>
        </w:tc>
        <w:tc>
          <w:tcPr>
            <w:tcW w:w="40" w:type="dxa"/>
            <w:vAlign w:val="bottom"/>
            <w:tcBorders>
              <w:top w:val="single" w:sz="8" w:color="3051F2"/>
              <w:bottom w:val="single" w:sz="8" w:color="auto"/>
            </w:tcBorders>
          </w:tcPr>
          <w:p>
            <w:pPr>
              <w:spacing w:after="0"/>
              <w:rPr>
                <w:sz w:val="6"/>
                <w:szCs w:val="6"/>
                <w:color w:val="auto"/>
              </w:rPr>
            </w:pPr>
          </w:p>
        </w:tc>
        <w:tc>
          <w:tcPr>
            <w:tcW w:w="40" w:type="dxa"/>
            <w:vAlign w:val="bottom"/>
            <w:tcBorders>
              <w:top w:val="single" w:sz="8" w:color="3051F2"/>
              <w:bottom w:val="single" w:sz="8" w:color="auto"/>
            </w:tcBorders>
          </w:tcPr>
          <w:p>
            <w:pPr>
              <w:spacing w:after="0"/>
              <w:rPr>
                <w:sz w:val="6"/>
                <w:szCs w:val="6"/>
                <w:color w:val="auto"/>
              </w:rPr>
            </w:pPr>
          </w:p>
        </w:tc>
        <w:tc>
          <w:tcPr>
            <w:tcW w:w="180" w:type="dxa"/>
            <w:vAlign w:val="bottom"/>
            <w:tcBorders>
              <w:top w:val="single" w:sz="8" w:color="3051F2"/>
              <w:bottom w:val="single" w:sz="8" w:color="auto"/>
            </w:tcBorders>
          </w:tcPr>
          <w:p>
            <w:pPr>
              <w:spacing w:after="0"/>
              <w:rPr>
                <w:sz w:val="6"/>
                <w:szCs w:val="6"/>
                <w:color w:val="auto"/>
              </w:rPr>
            </w:pPr>
          </w:p>
        </w:tc>
        <w:tc>
          <w:tcPr>
            <w:tcW w:w="160" w:type="dxa"/>
            <w:vAlign w:val="bottom"/>
            <w:tcBorders>
              <w:top w:val="single" w:sz="8" w:color="3051F2"/>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right w:val="single" w:sz="8" w:color="auto"/>
            </w:tcBorders>
          </w:tcPr>
          <w:p>
            <w:pPr>
              <w:spacing w:after="0"/>
              <w:rPr>
                <w:sz w:val="6"/>
                <w:szCs w:val="6"/>
                <w:color w:val="auto"/>
              </w:rPr>
            </w:pPr>
          </w:p>
        </w:tc>
        <w:tc>
          <w:tcPr>
            <w:tcW w:w="44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76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10.37#</w:t>
            </w:r>
          </w:p>
        </w:tc>
        <w:tc>
          <w:tcPr>
            <w:tcW w:w="6100" w:type="dxa"/>
            <w:vAlign w:val="bottom"/>
            <w:tcBorders>
              <w:right w:val="single" w:sz="8" w:color="auto"/>
            </w:tcBorders>
            <w:gridSpan w:val="31"/>
            <w:vMerge w:val="restart"/>
            <w:shd w:val="clear" w:color="auto" w:fill="CCEEFF"/>
          </w:tcPr>
          <w:p>
            <w:pPr>
              <w:spacing w:after="0"/>
              <w:rPr>
                <w:rFonts w:ascii="Times New Roman" w:cs="Times New Roman" w:eastAsia="Times New Roman" w:hAnsi="Times New Roman"/>
                <w:sz w:val="12"/>
                <w:szCs w:val="12"/>
                <w:color w:val="3051F2"/>
              </w:rPr>
            </w:pPr>
            <w:hyperlink r:id="rId102">
              <w:r>
                <w:rPr>
                  <w:rFonts w:ascii="Times New Roman" w:cs="Times New Roman" w:eastAsia="Times New Roman" w:hAnsi="Times New Roman"/>
                  <w:sz w:val="12"/>
                  <w:szCs w:val="12"/>
                  <w:color w:val="3051F2"/>
                </w:rPr>
                <w:t>Form of Indemnification Agreement</w:t>
              </w:r>
            </w:hyperlink>
          </w:p>
        </w:tc>
        <w:tc>
          <w:tcPr>
            <w:tcW w:w="4420" w:type="dxa"/>
            <w:vAlign w:val="bottom"/>
            <w:tcBorders>
              <w:right w:val="single" w:sz="8" w:color="auto"/>
            </w:tcBorders>
            <w:shd w:val="clear" w:color="auto" w:fill="CCEEFF"/>
          </w:tcPr>
          <w:p>
            <w:pPr>
              <w:spacing w:after="0" w:line="116" w:lineRule="exact"/>
              <w:rPr>
                <w:sz w:val="20"/>
                <w:szCs w:val="20"/>
                <w:color w:val="auto"/>
              </w:rPr>
            </w:pPr>
            <w:r>
              <w:rPr>
                <w:rFonts w:ascii="Times New Roman" w:cs="Times New Roman" w:eastAsia="Times New Roman" w:hAnsi="Times New Roman"/>
                <w:sz w:val="12"/>
                <w:szCs w:val="12"/>
                <w:color w:val="auto"/>
              </w:rPr>
              <w:t>Incorporated by reference to Exhibit 10.1 of Sun Communities Inc.'s Current Report on</w:t>
            </w:r>
          </w:p>
        </w:tc>
        <w:tc>
          <w:tcPr>
            <w:tcW w:w="0" w:type="dxa"/>
            <w:vAlign w:val="bottom"/>
          </w:tcPr>
          <w:p>
            <w:pPr>
              <w:spacing w:after="0"/>
              <w:rPr>
                <w:sz w:val="1"/>
                <w:szCs w:val="1"/>
                <w:color w:val="auto"/>
              </w:rPr>
            </w:pPr>
          </w:p>
        </w:tc>
      </w:tr>
      <w:tr>
        <w:trPr>
          <w:trHeight w:val="66"/>
        </w:trPr>
        <w:tc>
          <w:tcPr>
            <w:tcW w:w="760" w:type="dxa"/>
            <w:vAlign w:val="bottom"/>
            <w:tcBorders>
              <w:left w:val="single" w:sz="8" w:color="auto"/>
              <w:right w:val="single" w:sz="8" w:color="auto"/>
            </w:tcBorders>
            <w:vMerge w:val="continue"/>
            <w:shd w:val="clear" w:color="auto" w:fill="CCEEFF"/>
          </w:tcPr>
          <w:p>
            <w:pPr>
              <w:spacing w:after="0"/>
              <w:rPr>
                <w:sz w:val="5"/>
                <w:szCs w:val="5"/>
                <w:color w:val="auto"/>
              </w:rPr>
            </w:pPr>
          </w:p>
        </w:tc>
        <w:tc>
          <w:tcPr>
            <w:tcW w:w="6100" w:type="dxa"/>
            <w:vAlign w:val="bottom"/>
            <w:tcBorders>
              <w:right w:val="single" w:sz="8" w:color="auto"/>
            </w:tcBorders>
            <w:gridSpan w:val="31"/>
            <w:vMerge w:val="continue"/>
            <w:shd w:val="clear" w:color="auto" w:fill="CCEEFF"/>
          </w:tcPr>
          <w:p>
            <w:pPr>
              <w:spacing w:after="0"/>
              <w:rPr>
                <w:sz w:val="5"/>
                <w:szCs w:val="5"/>
                <w:color w:val="auto"/>
              </w:rPr>
            </w:pPr>
          </w:p>
        </w:tc>
        <w:tc>
          <w:tcPr>
            <w:tcW w:w="442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Form 8-K filed on February 19, 2025</w:t>
            </w:r>
          </w:p>
        </w:tc>
        <w:tc>
          <w:tcPr>
            <w:tcW w:w="0" w:type="dxa"/>
            <w:vAlign w:val="bottom"/>
          </w:tcPr>
          <w:p>
            <w:pPr>
              <w:spacing w:after="0"/>
              <w:rPr>
                <w:sz w:val="1"/>
                <w:szCs w:val="1"/>
                <w:color w:val="auto"/>
              </w:rPr>
            </w:pPr>
          </w:p>
        </w:tc>
      </w:tr>
      <w:tr>
        <w:trPr>
          <w:trHeight w:val="79"/>
        </w:trPr>
        <w:tc>
          <w:tcPr>
            <w:tcW w:w="760" w:type="dxa"/>
            <w:vAlign w:val="bottom"/>
            <w:tcBorders>
              <w:top w:val="single" w:sz="8" w:color="CCEEFF"/>
              <w:left w:val="single" w:sz="8" w:color="auto"/>
              <w:bottom w:val="single" w:sz="8" w:color="auto"/>
              <w:right w:val="single" w:sz="8" w:color="auto"/>
            </w:tcBorders>
            <w:shd w:val="clear" w:color="auto" w:fill="CCEEFF"/>
          </w:tcPr>
          <w:p>
            <w:pPr>
              <w:spacing w:after="0"/>
              <w:rPr>
                <w:sz w:val="6"/>
                <w:szCs w:val="6"/>
                <w:color w:val="auto"/>
              </w:rPr>
            </w:pPr>
          </w:p>
        </w:tc>
        <w:tc>
          <w:tcPr>
            <w:tcW w:w="380" w:type="dxa"/>
            <w:vAlign w:val="bottom"/>
            <w:tcBorders>
              <w:top w:val="single" w:sz="8" w:color="3051F2"/>
              <w:bottom w:val="single" w:sz="8" w:color="auto"/>
            </w:tcBorders>
            <w:shd w:val="clear" w:color="auto" w:fill="CCEEFF"/>
          </w:tcPr>
          <w:p>
            <w:pPr>
              <w:spacing w:after="0"/>
              <w:rPr>
                <w:sz w:val="6"/>
                <w:szCs w:val="6"/>
                <w:color w:val="auto"/>
              </w:rPr>
            </w:pPr>
          </w:p>
        </w:tc>
        <w:tc>
          <w:tcPr>
            <w:tcW w:w="720" w:type="dxa"/>
            <w:vAlign w:val="bottom"/>
            <w:tcBorders>
              <w:top w:val="single" w:sz="8" w:color="3051F2"/>
              <w:bottom w:val="single" w:sz="8" w:color="auto"/>
            </w:tcBorders>
            <w:shd w:val="clear" w:color="auto" w:fill="CCEEFF"/>
          </w:tcPr>
          <w:p>
            <w:pPr>
              <w:spacing w:after="0"/>
              <w:rPr>
                <w:sz w:val="6"/>
                <w:szCs w:val="6"/>
                <w:color w:val="auto"/>
              </w:rPr>
            </w:pPr>
          </w:p>
        </w:tc>
        <w:tc>
          <w:tcPr>
            <w:tcW w:w="340" w:type="dxa"/>
            <w:vAlign w:val="bottom"/>
            <w:tcBorders>
              <w:top w:val="single" w:sz="8" w:color="3051F2"/>
              <w:bottom w:val="single" w:sz="8" w:color="auto"/>
            </w:tcBorders>
            <w:shd w:val="clear" w:color="auto" w:fill="CCEEFF"/>
          </w:tcPr>
          <w:p>
            <w:pPr>
              <w:spacing w:after="0"/>
              <w:rPr>
                <w:sz w:val="6"/>
                <w:szCs w:val="6"/>
                <w:color w:val="auto"/>
              </w:rPr>
            </w:pPr>
          </w:p>
        </w:tc>
        <w:tc>
          <w:tcPr>
            <w:tcW w:w="20" w:type="dxa"/>
            <w:vAlign w:val="bottom"/>
            <w:tcBorders>
              <w:top w:val="single" w:sz="8" w:color="3051F2"/>
              <w:bottom w:val="single" w:sz="8" w:color="auto"/>
            </w:tcBorders>
            <w:shd w:val="clear" w:color="auto" w:fill="CCEEFF"/>
          </w:tcPr>
          <w:p>
            <w:pPr>
              <w:spacing w:after="0"/>
              <w:rPr>
                <w:sz w:val="6"/>
                <w:szCs w:val="6"/>
                <w:color w:val="auto"/>
              </w:rPr>
            </w:pPr>
          </w:p>
        </w:tc>
        <w:tc>
          <w:tcPr>
            <w:tcW w:w="20" w:type="dxa"/>
            <w:vAlign w:val="bottom"/>
            <w:tcBorders>
              <w:top w:val="single" w:sz="8" w:color="3051F2"/>
              <w:bottom w:val="single" w:sz="8" w:color="auto"/>
            </w:tcBorders>
            <w:shd w:val="clear" w:color="auto" w:fill="CCEEFF"/>
          </w:tcPr>
          <w:p>
            <w:pPr>
              <w:spacing w:after="0"/>
              <w:rPr>
                <w:sz w:val="6"/>
                <w:szCs w:val="6"/>
                <w:color w:val="auto"/>
              </w:rPr>
            </w:pPr>
          </w:p>
        </w:tc>
        <w:tc>
          <w:tcPr>
            <w:tcW w:w="100" w:type="dxa"/>
            <w:vAlign w:val="bottom"/>
            <w:tcBorders>
              <w:top w:val="single" w:sz="8" w:color="3051F2"/>
              <w:bottom w:val="single" w:sz="8" w:color="auto"/>
            </w:tcBorders>
            <w:shd w:val="clear" w:color="auto" w:fill="CCEEFF"/>
          </w:tcPr>
          <w:p>
            <w:pPr>
              <w:spacing w:after="0"/>
              <w:rPr>
                <w:sz w:val="6"/>
                <w:szCs w:val="6"/>
                <w:color w:val="auto"/>
              </w:rPr>
            </w:pPr>
          </w:p>
        </w:tc>
        <w:tc>
          <w:tcPr>
            <w:tcW w:w="120" w:type="dxa"/>
            <w:vAlign w:val="bottom"/>
            <w:tcBorders>
              <w:top w:val="single" w:sz="8" w:color="3051F2"/>
              <w:bottom w:val="single" w:sz="8" w:color="auto"/>
            </w:tcBorders>
            <w:shd w:val="clear" w:color="auto" w:fill="CCEEFF"/>
          </w:tcPr>
          <w:p>
            <w:pPr>
              <w:spacing w:after="0"/>
              <w:rPr>
                <w:sz w:val="6"/>
                <w:szCs w:val="6"/>
                <w:color w:val="auto"/>
              </w:rPr>
            </w:pPr>
          </w:p>
        </w:tc>
        <w:tc>
          <w:tcPr>
            <w:tcW w:w="60" w:type="dxa"/>
            <w:vAlign w:val="bottom"/>
            <w:tcBorders>
              <w:top w:val="single" w:sz="8" w:color="3051F2"/>
              <w:bottom w:val="single" w:sz="8" w:color="auto"/>
            </w:tcBorders>
            <w:shd w:val="clear" w:color="auto" w:fill="CCEEFF"/>
          </w:tcPr>
          <w:p>
            <w:pPr>
              <w:spacing w:after="0"/>
              <w:rPr>
                <w:sz w:val="6"/>
                <w:szCs w:val="6"/>
                <w:color w:val="auto"/>
              </w:rPr>
            </w:pPr>
          </w:p>
        </w:tc>
        <w:tc>
          <w:tcPr>
            <w:tcW w:w="40" w:type="dxa"/>
            <w:vAlign w:val="bottom"/>
            <w:tcBorders>
              <w:top w:val="single" w:sz="8" w:color="3051F2"/>
              <w:bottom w:val="single" w:sz="8" w:color="auto"/>
            </w:tcBorders>
            <w:shd w:val="clear" w:color="auto" w:fill="CCEEFF"/>
          </w:tcPr>
          <w:p>
            <w:pPr>
              <w:spacing w:after="0"/>
              <w:rPr>
                <w:sz w:val="6"/>
                <w:szCs w:val="6"/>
                <w:color w:val="auto"/>
              </w:rPr>
            </w:pPr>
          </w:p>
        </w:tc>
        <w:tc>
          <w:tcPr>
            <w:tcW w:w="60" w:type="dxa"/>
            <w:vAlign w:val="bottom"/>
            <w:tcBorders>
              <w:top w:val="single" w:sz="8" w:color="CCEEFF"/>
              <w:bottom w:val="single" w:sz="8" w:color="auto"/>
            </w:tcBorders>
            <w:shd w:val="clear" w:color="auto" w:fill="CCEEFF"/>
          </w:tcPr>
          <w:p>
            <w:pPr>
              <w:spacing w:after="0"/>
              <w:rPr>
                <w:sz w:val="6"/>
                <w:szCs w:val="6"/>
                <w:color w:val="auto"/>
              </w:rPr>
            </w:pPr>
          </w:p>
        </w:tc>
        <w:tc>
          <w:tcPr>
            <w:tcW w:w="200" w:type="dxa"/>
            <w:vAlign w:val="bottom"/>
            <w:tcBorders>
              <w:top w:val="single" w:sz="8" w:color="CCEEFF"/>
              <w:bottom w:val="single" w:sz="8" w:color="auto"/>
            </w:tcBorders>
            <w:shd w:val="clear" w:color="auto" w:fill="CCEEFF"/>
          </w:tcPr>
          <w:p>
            <w:pPr>
              <w:spacing w:after="0"/>
              <w:rPr>
                <w:sz w:val="6"/>
                <w:szCs w:val="6"/>
                <w:color w:val="auto"/>
              </w:rPr>
            </w:pPr>
          </w:p>
        </w:tc>
        <w:tc>
          <w:tcPr>
            <w:tcW w:w="120" w:type="dxa"/>
            <w:vAlign w:val="bottom"/>
            <w:tcBorders>
              <w:top w:val="single" w:sz="8" w:color="CCEEFF"/>
              <w:bottom w:val="single" w:sz="8" w:color="auto"/>
            </w:tcBorders>
            <w:shd w:val="clear" w:color="auto" w:fill="CCEEFF"/>
          </w:tcPr>
          <w:p>
            <w:pPr>
              <w:spacing w:after="0"/>
              <w:rPr>
                <w:sz w:val="6"/>
                <w:szCs w:val="6"/>
                <w:color w:val="auto"/>
              </w:rPr>
            </w:pPr>
          </w:p>
        </w:tc>
        <w:tc>
          <w:tcPr>
            <w:tcW w:w="80" w:type="dxa"/>
            <w:vAlign w:val="bottom"/>
            <w:tcBorders>
              <w:top w:val="single" w:sz="8" w:color="CCEEFF"/>
              <w:bottom w:val="single" w:sz="8" w:color="auto"/>
            </w:tcBorders>
            <w:shd w:val="clear" w:color="auto" w:fill="CCEEFF"/>
          </w:tcPr>
          <w:p>
            <w:pPr>
              <w:spacing w:after="0"/>
              <w:rPr>
                <w:sz w:val="6"/>
                <w:szCs w:val="6"/>
                <w:color w:val="auto"/>
              </w:rPr>
            </w:pPr>
          </w:p>
        </w:tc>
        <w:tc>
          <w:tcPr>
            <w:tcW w:w="280" w:type="dxa"/>
            <w:vAlign w:val="bottom"/>
            <w:tcBorders>
              <w:top w:val="single" w:sz="8" w:color="CCEEFF"/>
              <w:bottom w:val="single" w:sz="8" w:color="auto"/>
            </w:tcBorders>
            <w:shd w:val="clear" w:color="auto" w:fill="CCEEFF"/>
          </w:tcPr>
          <w:p>
            <w:pPr>
              <w:spacing w:after="0"/>
              <w:rPr>
                <w:sz w:val="6"/>
                <w:szCs w:val="6"/>
                <w:color w:val="auto"/>
              </w:rPr>
            </w:pPr>
          </w:p>
        </w:tc>
        <w:tc>
          <w:tcPr>
            <w:tcW w:w="40" w:type="dxa"/>
            <w:vAlign w:val="bottom"/>
            <w:tcBorders>
              <w:top w:val="single" w:sz="8" w:color="CCEEFF"/>
              <w:bottom w:val="single" w:sz="8" w:color="auto"/>
            </w:tcBorders>
            <w:shd w:val="clear" w:color="auto" w:fill="CCEEFF"/>
          </w:tcPr>
          <w:p>
            <w:pPr>
              <w:spacing w:after="0"/>
              <w:rPr>
                <w:sz w:val="6"/>
                <w:szCs w:val="6"/>
                <w:color w:val="auto"/>
              </w:rPr>
            </w:pPr>
          </w:p>
        </w:tc>
        <w:tc>
          <w:tcPr>
            <w:tcW w:w="40" w:type="dxa"/>
            <w:vAlign w:val="bottom"/>
            <w:tcBorders>
              <w:top w:val="single" w:sz="8" w:color="CCEEFF"/>
              <w:bottom w:val="single" w:sz="8" w:color="auto"/>
            </w:tcBorders>
            <w:shd w:val="clear" w:color="auto" w:fill="CCEEFF"/>
          </w:tcPr>
          <w:p>
            <w:pPr>
              <w:spacing w:after="0"/>
              <w:rPr>
                <w:sz w:val="6"/>
                <w:szCs w:val="6"/>
                <w:color w:val="auto"/>
              </w:rPr>
            </w:pPr>
          </w:p>
        </w:tc>
        <w:tc>
          <w:tcPr>
            <w:tcW w:w="180" w:type="dxa"/>
            <w:vAlign w:val="bottom"/>
            <w:tcBorders>
              <w:top w:val="single" w:sz="8" w:color="CCEEFF"/>
              <w:bottom w:val="single" w:sz="8" w:color="auto"/>
            </w:tcBorders>
            <w:shd w:val="clear" w:color="auto" w:fill="CCEEFF"/>
          </w:tcPr>
          <w:p>
            <w:pPr>
              <w:spacing w:after="0"/>
              <w:rPr>
                <w:sz w:val="6"/>
                <w:szCs w:val="6"/>
                <w:color w:val="auto"/>
              </w:rPr>
            </w:pPr>
          </w:p>
        </w:tc>
        <w:tc>
          <w:tcPr>
            <w:tcW w:w="160" w:type="dxa"/>
            <w:vAlign w:val="bottom"/>
            <w:tcBorders>
              <w:top w:val="single" w:sz="8" w:color="CCEEFF"/>
              <w:bottom w:val="single" w:sz="8" w:color="auto"/>
            </w:tcBorders>
            <w:shd w:val="clear" w:color="auto" w:fill="CCEEFF"/>
          </w:tcPr>
          <w:p>
            <w:pPr>
              <w:spacing w:after="0"/>
              <w:rPr>
                <w:sz w:val="6"/>
                <w:szCs w:val="6"/>
                <w:color w:val="auto"/>
              </w:rPr>
            </w:pPr>
          </w:p>
        </w:tc>
        <w:tc>
          <w:tcPr>
            <w:tcW w:w="220" w:type="dxa"/>
            <w:vAlign w:val="bottom"/>
            <w:tcBorders>
              <w:top w:val="single" w:sz="8" w:color="CCEEFF"/>
              <w:bottom w:val="single" w:sz="8" w:color="auto"/>
            </w:tcBorders>
            <w:shd w:val="clear" w:color="auto" w:fill="CCEEFF"/>
          </w:tcPr>
          <w:p>
            <w:pPr>
              <w:spacing w:after="0"/>
              <w:rPr>
                <w:sz w:val="6"/>
                <w:szCs w:val="6"/>
                <w:color w:val="auto"/>
              </w:rPr>
            </w:pPr>
          </w:p>
        </w:tc>
        <w:tc>
          <w:tcPr>
            <w:tcW w:w="540" w:type="dxa"/>
            <w:vAlign w:val="bottom"/>
            <w:tcBorders>
              <w:top w:val="single" w:sz="8" w:color="CCEEFF"/>
              <w:bottom w:val="single" w:sz="8" w:color="auto"/>
            </w:tcBorders>
            <w:shd w:val="clear" w:color="auto" w:fill="CCEEFF"/>
          </w:tcPr>
          <w:p>
            <w:pPr>
              <w:spacing w:after="0"/>
              <w:rPr>
                <w:sz w:val="6"/>
                <w:szCs w:val="6"/>
                <w:color w:val="auto"/>
              </w:rPr>
            </w:pPr>
          </w:p>
        </w:tc>
        <w:tc>
          <w:tcPr>
            <w:tcW w:w="120" w:type="dxa"/>
            <w:vAlign w:val="bottom"/>
            <w:tcBorders>
              <w:top w:val="single" w:sz="8" w:color="CCEEFF"/>
              <w:bottom w:val="single" w:sz="8" w:color="auto"/>
            </w:tcBorders>
            <w:shd w:val="clear" w:color="auto" w:fill="CCEEFF"/>
          </w:tcPr>
          <w:p>
            <w:pPr>
              <w:spacing w:after="0"/>
              <w:rPr>
                <w:sz w:val="6"/>
                <w:szCs w:val="6"/>
                <w:color w:val="auto"/>
              </w:rPr>
            </w:pPr>
          </w:p>
        </w:tc>
        <w:tc>
          <w:tcPr>
            <w:tcW w:w="1040" w:type="dxa"/>
            <w:vAlign w:val="bottom"/>
            <w:tcBorders>
              <w:top w:val="single" w:sz="8" w:color="CCEEFF"/>
              <w:bottom w:val="single" w:sz="8" w:color="auto"/>
            </w:tcBorders>
            <w:shd w:val="clear" w:color="auto" w:fill="CCEEFF"/>
          </w:tcPr>
          <w:p>
            <w:pPr>
              <w:spacing w:after="0"/>
              <w:rPr>
                <w:sz w:val="6"/>
                <w:szCs w:val="6"/>
                <w:color w:val="auto"/>
              </w:rPr>
            </w:pPr>
          </w:p>
        </w:tc>
        <w:tc>
          <w:tcPr>
            <w:tcW w:w="40" w:type="dxa"/>
            <w:vAlign w:val="bottom"/>
            <w:tcBorders>
              <w:top w:val="single" w:sz="8" w:color="CCEEFF"/>
              <w:bottom w:val="single" w:sz="8" w:color="auto"/>
            </w:tcBorders>
            <w:shd w:val="clear" w:color="auto" w:fill="CCEEFF"/>
          </w:tcPr>
          <w:p>
            <w:pPr>
              <w:spacing w:after="0"/>
              <w:rPr>
                <w:sz w:val="6"/>
                <w:szCs w:val="6"/>
                <w:color w:val="auto"/>
              </w:rPr>
            </w:pPr>
          </w:p>
        </w:tc>
        <w:tc>
          <w:tcPr>
            <w:tcW w:w="480" w:type="dxa"/>
            <w:vAlign w:val="bottom"/>
            <w:tcBorders>
              <w:top w:val="single" w:sz="8" w:color="CCEEFF"/>
              <w:bottom w:val="single" w:sz="8" w:color="auto"/>
            </w:tcBorders>
            <w:shd w:val="clear" w:color="auto" w:fill="CCEEFF"/>
          </w:tcPr>
          <w:p>
            <w:pPr>
              <w:spacing w:after="0"/>
              <w:rPr>
                <w:sz w:val="6"/>
                <w:szCs w:val="6"/>
                <w:color w:val="auto"/>
              </w:rPr>
            </w:pPr>
          </w:p>
        </w:tc>
        <w:tc>
          <w:tcPr>
            <w:tcW w:w="480" w:type="dxa"/>
            <w:vAlign w:val="bottom"/>
            <w:tcBorders>
              <w:top w:val="single" w:sz="8" w:color="CCEEFF"/>
              <w:bottom w:val="single" w:sz="8" w:color="auto"/>
            </w:tcBorders>
            <w:shd w:val="clear" w:color="auto" w:fill="CCEEFF"/>
          </w:tcPr>
          <w:p>
            <w:pPr>
              <w:spacing w:after="0"/>
              <w:rPr>
                <w:sz w:val="6"/>
                <w:szCs w:val="6"/>
                <w:color w:val="auto"/>
              </w:rPr>
            </w:pPr>
          </w:p>
        </w:tc>
        <w:tc>
          <w:tcPr>
            <w:tcW w:w="80" w:type="dxa"/>
            <w:vAlign w:val="bottom"/>
            <w:tcBorders>
              <w:top w:val="single" w:sz="8" w:color="CCEEFF"/>
              <w:bottom w:val="single" w:sz="8" w:color="auto"/>
            </w:tcBorders>
            <w:shd w:val="clear" w:color="auto" w:fill="CCEEFF"/>
          </w:tcPr>
          <w:p>
            <w:pPr>
              <w:spacing w:after="0"/>
              <w:rPr>
                <w:sz w:val="6"/>
                <w:szCs w:val="6"/>
                <w:color w:val="auto"/>
              </w:rPr>
            </w:pPr>
          </w:p>
        </w:tc>
        <w:tc>
          <w:tcPr>
            <w:tcW w:w="20" w:type="dxa"/>
            <w:vAlign w:val="bottom"/>
            <w:tcBorders>
              <w:top w:val="single" w:sz="8" w:color="CCEEFF"/>
              <w:bottom w:val="single" w:sz="8" w:color="auto"/>
            </w:tcBorders>
            <w:shd w:val="clear" w:color="auto" w:fill="CCEEFF"/>
          </w:tcPr>
          <w:p>
            <w:pPr>
              <w:spacing w:after="0"/>
              <w:rPr>
                <w:sz w:val="6"/>
                <w:szCs w:val="6"/>
                <w:color w:val="auto"/>
              </w:rPr>
            </w:pPr>
          </w:p>
        </w:tc>
        <w:tc>
          <w:tcPr>
            <w:tcW w:w="20" w:type="dxa"/>
            <w:vAlign w:val="bottom"/>
            <w:tcBorders>
              <w:top w:val="single" w:sz="8" w:color="CCEEFF"/>
              <w:bottom w:val="single" w:sz="8" w:color="auto"/>
            </w:tcBorders>
            <w:shd w:val="clear" w:color="auto" w:fill="CCEEFF"/>
          </w:tcPr>
          <w:p>
            <w:pPr>
              <w:spacing w:after="0"/>
              <w:rPr>
                <w:sz w:val="6"/>
                <w:szCs w:val="6"/>
                <w:color w:val="auto"/>
              </w:rPr>
            </w:pPr>
          </w:p>
        </w:tc>
        <w:tc>
          <w:tcPr>
            <w:tcW w:w="20" w:type="dxa"/>
            <w:vAlign w:val="bottom"/>
            <w:tcBorders>
              <w:top w:val="single" w:sz="8" w:color="CCEEFF"/>
              <w:bottom w:val="single" w:sz="8" w:color="auto"/>
            </w:tcBorders>
            <w:shd w:val="clear" w:color="auto" w:fill="CCEEFF"/>
          </w:tcPr>
          <w:p>
            <w:pPr>
              <w:spacing w:after="0"/>
              <w:rPr>
                <w:sz w:val="6"/>
                <w:szCs w:val="6"/>
                <w:color w:val="auto"/>
              </w:rPr>
            </w:pPr>
          </w:p>
        </w:tc>
        <w:tc>
          <w:tcPr>
            <w:tcW w:w="20" w:type="dxa"/>
            <w:vAlign w:val="bottom"/>
            <w:tcBorders>
              <w:top w:val="single" w:sz="8" w:color="CCEEFF"/>
              <w:bottom w:val="single" w:sz="8" w:color="auto"/>
            </w:tcBorders>
            <w:shd w:val="clear" w:color="auto" w:fill="CCEEFF"/>
          </w:tcPr>
          <w:p>
            <w:pPr>
              <w:spacing w:after="0"/>
              <w:rPr>
                <w:sz w:val="6"/>
                <w:szCs w:val="6"/>
                <w:color w:val="auto"/>
              </w:rPr>
            </w:pPr>
          </w:p>
        </w:tc>
        <w:tc>
          <w:tcPr>
            <w:tcW w:w="60" w:type="dxa"/>
            <w:vAlign w:val="bottom"/>
            <w:tcBorders>
              <w:top w:val="single" w:sz="8" w:color="CCEEFF"/>
              <w:bottom w:val="single" w:sz="8" w:color="auto"/>
              <w:right w:val="single" w:sz="8" w:color="auto"/>
            </w:tcBorders>
            <w:shd w:val="clear" w:color="auto" w:fill="CCEEFF"/>
          </w:tcPr>
          <w:p>
            <w:pPr>
              <w:spacing w:after="0"/>
              <w:rPr>
                <w:sz w:val="6"/>
                <w:szCs w:val="6"/>
                <w:color w:val="auto"/>
              </w:rPr>
            </w:pPr>
          </w:p>
        </w:tc>
        <w:tc>
          <w:tcPr>
            <w:tcW w:w="4420" w:type="dxa"/>
            <w:vAlign w:val="bottom"/>
            <w:tcBorders>
              <w:top w:val="single" w:sz="8" w:color="CCEEFF"/>
              <w:bottom w:val="single" w:sz="8" w:color="auto"/>
              <w:right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7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rPr>
              <w:t>10.38#</w:t>
            </w:r>
          </w:p>
        </w:tc>
        <w:tc>
          <w:tcPr>
            <w:tcW w:w="6100" w:type="dxa"/>
            <w:vAlign w:val="bottom"/>
            <w:tcBorders>
              <w:right w:val="single" w:sz="8" w:color="auto"/>
            </w:tcBorders>
            <w:gridSpan w:val="31"/>
            <w:vMerge w:val="restart"/>
          </w:tcPr>
          <w:p>
            <w:pPr>
              <w:spacing w:after="0"/>
              <w:rPr>
                <w:rFonts w:ascii="Times New Roman" w:cs="Times New Roman" w:eastAsia="Times New Roman" w:hAnsi="Times New Roman"/>
                <w:sz w:val="12"/>
                <w:szCs w:val="12"/>
                <w:color w:val="3051F2"/>
              </w:rPr>
            </w:pPr>
            <w:hyperlink r:id="rId103">
              <w:r>
                <w:rPr>
                  <w:rFonts w:ascii="Times New Roman" w:cs="Times New Roman" w:eastAsia="Times New Roman" w:hAnsi="Times New Roman"/>
                  <w:sz w:val="12"/>
                  <w:szCs w:val="12"/>
                  <w:color w:val="3051F2"/>
                </w:rPr>
                <w:t>Sun Communities Inc. Executive Compensation Recovery (Clawback) Policy</w:t>
              </w:r>
            </w:hyperlink>
          </w:p>
        </w:tc>
        <w:tc>
          <w:tcPr>
            <w:tcW w:w="4420" w:type="dxa"/>
            <w:vAlign w:val="bottom"/>
            <w:tcBorders>
              <w:right w:val="single" w:sz="8" w:color="auto"/>
            </w:tcBorders>
          </w:tcPr>
          <w:p>
            <w:pPr>
              <w:spacing w:after="0" w:line="116" w:lineRule="exact"/>
              <w:rPr>
                <w:sz w:val="20"/>
                <w:szCs w:val="20"/>
                <w:color w:val="auto"/>
              </w:rPr>
            </w:pPr>
            <w:r>
              <w:rPr>
                <w:rFonts w:ascii="Times New Roman" w:cs="Times New Roman" w:eastAsia="Times New Roman" w:hAnsi="Times New Roman"/>
                <w:sz w:val="12"/>
                <w:szCs w:val="12"/>
                <w:color w:val="auto"/>
              </w:rPr>
              <w:t>Incorporated by reference to Exhibit 10.25 of Sun Communities Inc.'s Current Report on</w:t>
            </w:r>
          </w:p>
        </w:tc>
        <w:tc>
          <w:tcPr>
            <w:tcW w:w="0" w:type="dxa"/>
            <w:vAlign w:val="bottom"/>
          </w:tcPr>
          <w:p>
            <w:pPr>
              <w:spacing w:after="0"/>
              <w:rPr>
                <w:sz w:val="1"/>
                <w:szCs w:val="1"/>
                <w:color w:val="auto"/>
              </w:rPr>
            </w:pPr>
          </w:p>
        </w:tc>
      </w:tr>
      <w:tr>
        <w:trPr>
          <w:trHeight w:val="66"/>
        </w:trPr>
        <w:tc>
          <w:tcPr>
            <w:tcW w:w="760" w:type="dxa"/>
            <w:vAlign w:val="bottom"/>
            <w:tcBorders>
              <w:left w:val="single" w:sz="8" w:color="auto"/>
              <w:right w:val="single" w:sz="8" w:color="auto"/>
            </w:tcBorders>
            <w:vMerge w:val="continue"/>
          </w:tcPr>
          <w:p>
            <w:pPr>
              <w:spacing w:after="0"/>
              <w:rPr>
                <w:sz w:val="5"/>
                <w:szCs w:val="5"/>
                <w:color w:val="auto"/>
              </w:rPr>
            </w:pPr>
          </w:p>
        </w:tc>
        <w:tc>
          <w:tcPr>
            <w:tcW w:w="6100" w:type="dxa"/>
            <w:vAlign w:val="bottom"/>
            <w:tcBorders>
              <w:right w:val="single" w:sz="8" w:color="auto"/>
            </w:tcBorders>
            <w:gridSpan w:val="31"/>
            <w:vMerge w:val="continue"/>
          </w:tcPr>
          <w:p>
            <w:pPr>
              <w:spacing w:after="0"/>
              <w:rPr>
                <w:sz w:val="5"/>
                <w:szCs w:val="5"/>
                <w:color w:val="auto"/>
              </w:rPr>
            </w:pPr>
          </w:p>
        </w:tc>
        <w:tc>
          <w:tcPr>
            <w:tcW w:w="4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2"/>
                <w:szCs w:val="12"/>
                <w:color w:val="auto"/>
              </w:rPr>
              <w:t>Form 10-K filed on February 28, 2024</w:t>
            </w:r>
          </w:p>
        </w:tc>
        <w:tc>
          <w:tcPr>
            <w:tcW w:w="0" w:type="dxa"/>
            <w:vAlign w:val="bottom"/>
          </w:tcPr>
          <w:p>
            <w:pPr>
              <w:spacing w:after="0"/>
              <w:rPr>
                <w:sz w:val="1"/>
                <w:szCs w:val="1"/>
                <w:color w:val="auto"/>
              </w:rPr>
            </w:pPr>
          </w:p>
        </w:tc>
      </w:tr>
      <w:tr>
        <w:trPr>
          <w:trHeight w:val="79"/>
        </w:trPr>
        <w:tc>
          <w:tcPr>
            <w:tcW w:w="760" w:type="dxa"/>
            <w:vAlign w:val="bottom"/>
            <w:tcBorders>
              <w:left w:val="single" w:sz="8" w:color="auto"/>
              <w:bottom w:val="single" w:sz="8" w:color="auto"/>
              <w:right w:val="single" w:sz="8" w:color="auto"/>
            </w:tcBorders>
          </w:tcPr>
          <w:p>
            <w:pPr>
              <w:spacing w:after="0"/>
              <w:rPr>
                <w:sz w:val="6"/>
                <w:szCs w:val="6"/>
                <w:color w:val="auto"/>
              </w:rPr>
            </w:pPr>
          </w:p>
        </w:tc>
        <w:tc>
          <w:tcPr>
            <w:tcW w:w="380" w:type="dxa"/>
            <w:vAlign w:val="bottom"/>
            <w:tcBorders>
              <w:top w:val="single" w:sz="8" w:color="3051F2"/>
              <w:bottom w:val="single" w:sz="8" w:color="auto"/>
            </w:tcBorders>
          </w:tcPr>
          <w:p>
            <w:pPr>
              <w:spacing w:after="0"/>
              <w:rPr>
                <w:sz w:val="6"/>
                <w:szCs w:val="6"/>
                <w:color w:val="auto"/>
              </w:rPr>
            </w:pPr>
          </w:p>
        </w:tc>
        <w:tc>
          <w:tcPr>
            <w:tcW w:w="720" w:type="dxa"/>
            <w:vAlign w:val="bottom"/>
            <w:tcBorders>
              <w:top w:val="single" w:sz="8" w:color="3051F2"/>
              <w:bottom w:val="single" w:sz="8" w:color="auto"/>
            </w:tcBorders>
          </w:tcPr>
          <w:p>
            <w:pPr>
              <w:spacing w:after="0"/>
              <w:rPr>
                <w:sz w:val="6"/>
                <w:szCs w:val="6"/>
                <w:color w:val="auto"/>
              </w:rPr>
            </w:pPr>
          </w:p>
        </w:tc>
        <w:tc>
          <w:tcPr>
            <w:tcW w:w="340" w:type="dxa"/>
            <w:vAlign w:val="bottom"/>
            <w:tcBorders>
              <w:top w:val="single" w:sz="8" w:color="3051F2"/>
              <w:bottom w:val="single" w:sz="8" w:color="auto"/>
            </w:tcBorders>
          </w:tcPr>
          <w:p>
            <w:pPr>
              <w:spacing w:after="0"/>
              <w:rPr>
                <w:sz w:val="6"/>
                <w:szCs w:val="6"/>
                <w:color w:val="auto"/>
              </w:rPr>
            </w:pPr>
          </w:p>
        </w:tc>
        <w:tc>
          <w:tcPr>
            <w:tcW w:w="20" w:type="dxa"/>
            <w:vAlign w:val="bottom"/>
            <w:tcBorders>
              <w:top w:val="single" w:sz="8" w:color="3051F2"/>
              <w:bottom w:val="single" w:sz="8" w:color="auto"/>
            </w:tcBorders>
          </w:tcPr>
          <w:p>
            <w:pPr>
              <w:spacing w:after="0"/>
              <w:rPr>
                <w:sz w:val="6"/>
                <w:szCs w:val="6"/>
                <w:color w:val="auto"/>
              </w:rPr>
            </w:pPr>
          </w:p>
        </w:tc>
        <w:tc>
          <w:tcPr>
            <w:tcW w:w="20" w:type="dxa"/>
            <w:vAlign w:val="bottom"/>
            <w:tcBorders>
              <w:top w:val="single" w:sz="8" w:color="3051F2"/>
              <w:bottom w:val="single" w:sz="8" w:color="auto"/>
            </w:tcBorders>
          </w:tcPr>
          <w:p>
            <w:pPr>
              <w:spacing w:after="0"/>
              <w:rPr>
                <w:sz w:val="6"/>
                <w:szCs w:val="6"/>
                <w:color w:val="auto"/>
              </w:rPr>
            </w:pPr>
          </w:p>
        </w:tc>
        <w:tc>
          <w:tcPr>
            <w:tcW w:w="100" w:type="dxa"/>
            <w:vAlign w:val="bottom"/>
            <w:tcBorders>
              <w:top w:val="single" w:sz="8" w:color="3051F2"/>
              <w:bottom w:val="single" w:sz="8" w:color="auto"/>
            </w:tcBorders>
          </w:tcPr>
          <w:p>
            <w:pPr>
              <w:spacing w:after="0"/>
              <w:rPr>
                <w:sz w:val="6"/>
                <w:szCs w:val="6"/>
                <w:color w:val="auto"/>
              </w:rPr>
            </w:pPr>
          </w:p>
        </w:tc>
        <w:tc>
          <w:tcPr>
            <w:tcW w:w="120" w:type="dxa"/>
            <w:vAlign w:val="bottom"/>
            <w:tcBorders>
              <w:top w:val="single" w:sz="8" w:color="3051F2"/>
              <w:bottom w:val="single" w:sz="8" w:color="auto"/>
            </w:tcBorders>
          </w:tcPr>
          <w:p>
            <w:pPr>
              <w:spacing w:after="0"/>
              <w:rPr>
                <w:sz w:val="6"/>
                <w:szCs w:val="6"/>
                <w:color w:val="auto"/>
              </w:rPr>
            </w:pPr>
          </w:p>
        </w:tc>
        <w:tc>
          <w:tcPr>
            <w:tcW w:w="60" w:type="dxa"/>
            <w:vAlign w:val="bottom"/>
            <w:tcBorders>
              <w:top w:val="single" w:sz="8" w:color="3051F2"/>
              <w:bottom w:val="single" w:sz="8" w:color="auto"/>
            </w:tcBorders>
          </w:tcPr>
          <w:p>
            <w:pPr>
              <w:spacing w:after="0"/>
              <w:rPr>
                <w:sz w:val="6"/>
                <w:szCs w:val="6"/>
                <w:color w:val="auto"/>
              </w:rPr>
            </w:pPr>
          </w:p>
        </w:tc>
        <w:tc>
          <w:tcPr>
            <w:tcW w:w="40" w:type="dxa"/>
            <w:vAlign w:val="bottom"/>
            <w:tcBorders>
              <w:top w:val="single" w:sz="8" w:color="3051F2"/>
              <w:bottom w:val="single" w:sz="8" w:color="auto"/>
            </w:tcBorders>
          </w:tcPr>
          <w:p>
            <w:pPr>
              <w:spacing w:after="0"/>
              <w:rPr>
                <w:sz w:val="6"/>
                <w:szCs w:val="6"/>
                <w:color w:val="auto"/>
              </w:rPr>
            </w:pPr>
          </w:p>
        </w:tc>
        <w:tc>
          <w:tcPr>
            <w:tcW w:w="60" w:type="dxa"/>
            <w:vAlign w:val="bottom"/>
            <w:tcBorders>
              <w:top w:val="single" w:sz="8" w:color="3051F2"/>
              <w:bottom w:val="single" w:sz="8" w:color="auto"/>
            </w:tcBorders>
          </w:tcPr>
          <w:p>
            <w:pPr>
              <w:spacing w:after="0"/>
              <w:rPr>
                <w:sz w:val="6"/>
                <w:szCs w:val="6"/>
                <w:color w:val="auto"/>
              </w:rPr>
            </w:pPr>
          </w:p>
        </w:tc>
        <w:tc>
          <w:tcPr>
            <w:tcW w:w="200" w:type="dxa"/>
            <w:vAlign w:val="bottom"/>
            <w:tcBorders>
              <w:top w:val="single" w:sz="8" w:color="3051F2"/>
              <w:bottom w:val="single" w:sz="8" w:color="auto"/>
            </w:tcBorders>
          </w:tcPr>
          <w:p>
            <w:pPr>
              <w:spacing w:after="0"/>
              <w:rPr>
                <w:sz w:val="6"/>
                <w:szCs w:val="6"/>
                <w:color w:val="auto"/>
              </w:rPr>
            </w:pPr>
          </w:p>
        </w:tc>
        <w:tc>
          <w:tcPr>
            <w:tcW w:w="120" w:type="dxa"/>
            <w:vAlign w:val="bottom"/>
            <w:tcBorders>
              <w:top w:val="single" w:sz="8" w:color="3051F2"/>
              <w:bottom w:val="single" w:sz="8" w:color="auto"/>
            </w:tcBorders>
          </w:tcPr>
          <w:p>
            <w:pPr>
              <w:spacing w:after="0"/>
              <w:rPr>
                <w:sz w:val="6"/>
                <w:szCs w:val="6"/>
                <w:color w:val="auto"/>
              </w:rPr>
            </w:pPr>
          </w:p>
        </w:tc>
        <w:tc>
          <w:tcPr>
            <w:tcW w:w="80" w:type="dxa"/>
            <w:vAlign w:val="bottom"/>
            <w:tcBorders>
              <w:top w:val="single" w:sz="8" w:color="3051F2"/>
              <w:bottom w:val="single" w:sz="8" w:color="auto"/>
            </w:tcBorders>
          </w:tcPr>
          <w:p>
            <w:pPr>
              <w:spacing w:after="0"/>
              <w:rPr>
                <w:sz w:val="6"/>
                <w:szCs w:val="6"/>
                <w:color w:val="auto"/>
              </w:rPr>
            </w:pPr>
          </w:p>
        </w:tc>
        <w:tc>
          <w:tcPr>
            <w:tcW w:w="280" w:type="dxa"/>
            <w:vAlign w:val="bottom"/>
            <w:tcBorders>
              <w:top w:val="single" w:sz="8" w:color="3051F2"/>
              <w:bottom w:val="single" w:sz="8" w:color="auto"/>
            </w:tcBorders>
          </w:tcPr>
          <w:p>
            <w:pPr>
              <w:spacing w:after="0"/>
              <w:rPr>
                <w:sz w:val="6"/>
                <w:szCs w:val="6"/>
                <w:color w:val="auto"/>
              </w:rPr>
            </w:pPr>
          </w:p>
        </w:tc>
        <w:tc>
          <w:tcPr>
            <w:tcW w:w="40" w:type="dxa"/>
            <w:vAlign w:val="bottom"/>
            <w:tcBorders>
              <w:top w:val="single" w:sz="8" w:color="3051F2"/>
              <w:bottom w:val="single" w:sz="8" w:color="auto"/>
            </w:tcBorders>
          </w:tcPr>
          <w:p>
            <w:pPr>
              <w:spacing w:after="0"/>
              <w:rPr>
                <w:sz w:val="6"/>
                <w:szCs w:val="6"/>
                <w:color w:val="auto"/>
              </w:rPr>
            </w:pPr>
          </w:p>
        </w:tc>
        <w:tc>
          <w:tcPr>
            <w:tcW w:w="40" w:type="dxa"/>
            <w:vAlign w:val="bottom"/>
            <w:tcBorders>
              <w:top w:val="single" w:sz="8" w:color="3051F2"/>
              <w:bottom w:val="single" w:sz="8" w:color="auto"/>
            </w:tcBorders>
          </w:tcPr>
          <w:p>
            <w:pPr>
              <w:spacing w:after="0"/>
              <w:rPr>
                <w:sz w:val="6"/>
                <w:szCs w:val="6"/>
                <w:color w:val="auto"/>
              </w:rPr>
            </w:pPr>
          </w:p>
        </w:tc>
        <w:tc>
          <w:tcPr>
            <w:tcW w:w="180" w:type="dxa"/>
            <w:vAlign w:val="bottom"/>
            <w:tcBorders>
              <w:top w:val="single" w:sz="8" w:color="3051F2"/>
              <w:bottom w:val="single" w:sz="8" w:color="auto"/>
            </w:tcBorders>
          </w:tcPr>
          <w:p>
            <w:pPr>
              <w:spacing w:after="0"/>
              <w:rPr>
                <w:sz w:val="6"/>
                <w:szCs w:val="6"/>
                <w:color w:val="auto"/>
              </w:rPr>
            </w:pPr>
          </w:p>
        </w:tc>
        <w:tc>
          <w:tcPr>
            <w:tcW w:w="160" w:type="dxa"/>
            <w:vAlign w:val="bottom"/>
            <w:tcBorders>
              <w:top w:val="single" w:sz="8" w:color="3051F2"/>
              <w:bottom w:val="single" w:sz="8" w:color="auto"/>
            </w:tcBorders>
          </w:tcPr>
          <w:p>
            <w:pPr>
              <w:spacing w:after="0"/>
              <w:rPr>
                <w:sz w:val="6"/>
                <w:szCs w:val="6"/>
                <w:color w:val="auto"/>
              </w:rPr>
            </w:pPr>
          </w:p>
        </w:tc>
        <w:tc>
          <w:tcPr>
            <w:tcW w:w="220" w:type="dxa"/>
            <w:vAlign w:val="bottom"/>
            <w:tcBorders>
              <w:top w:val="single" w:sz="8" w:color="3051F2"/>
              <w:bottom w:val="single" w:sz="8" w:color="auto"/>
            </w:tcBorders>
          </w:tcPr>
          <w:p>
            <w:pPr>
              <w:spacing w:after="0"/>
              <w:rPr>
                <w:sz w:val="6"/>
                <w:szCs w:val="6"/>
                <w:color w:val="auto"/>
              </w:rPr>
            </w:pPr>
          </w:p>
        </w:tc>
        <w:tc>
          <w:tcPr>
            <w:tcW w:w="540" w:type="dxa"/>
            <w:vAlign w:val="bottom"/>
            <w:tcBorders>
              <w:top w:val="single" w:sz="8" w:color="3051F2"/>
              <w:bottom w:val="single" w:sz="8" w:color="auto"/>
            </w:tcBorders>
          </w:tcPr>
          <w:p>
            <w:pPr>
              <w:spacing w:after="0"/>
              <w:rPr>
                <w:sz w:val="6"/>
                <w:szCs w:val="6"/>
                <w:color w:val="auto"/>
              </w:rPr>
            </w:pPr>
          </w:p>
        </w:tc>
        <w:tc>
          <w:tcPr>
            <w:tcW w:w="120" w:type="dxa"/>
            <w:vAlign w:val="bottom"/>
            <w:tcBorders>
              <w:top w:val="single" w:sz="8" w:color="3051F2"/>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right w:val="single" w:sz="8" w:color="auto"/>
            </w:tcBorders>
          </w:tcPr>
          <w:p>
            <w:pPr>
              <w:spacing w:after="0"/>
              <w:rPr>
                <w:sz w:val="6"/>
                <w:szCs w:val="6"/>
                <w:color w:val="auto"/>
              </w:rPr>
            </w:pPr>
          </w:p>
        </w:tc>
        <w:tc>
          <w:tcPr>
            <w:tcW w:w="44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760" w:type="dxa"/>
            <w:vAlign w:val="bottom"/>
            <w:tcBorders>
              <w:left w:val="single" w:sz="8" w:color="auto"/>
              <w:right w:val="single" w:sz="8" w:color="auto"/>
            </w:tcBorders>
            <w:shd w:val="clear" w:color="auto" w:fill="CCEEFF"/>
          </w:tcPr>
          <w:p>
            <w:pPr>
              <w:spacing w:after="0"/>
              <w:rPr>
                <w:sz w:val="11"/>
                <w:szCs w:val="11"/>
                <w:color w:val="auto"/>
              </w:rPr>
            </w:pPr>
          </w:p>
        </w:tc>
        <w:tc>
          <w:tcPr>
            <w:tcW w:w="6100" w:type="dxa"/>
            <w:vAlign w:val="bottom"/>
            <w:tcBorders>
              <w:right w:val="single" w:sz="8" w:color="auto"/>
            </w:tcBorders>
            <w:gridSpan w:val="31"/>
            <w:shd w:val="clear" w:color="auto" w:fill="CCEEFF"/>
          </w:tcPr>
          <w:p>
            <w:pPr>
              <w:spacing w:after="0" w:line="124" w:lineRule="exact"/>
              <w:rPr>
                <w:rFonts w:ascii="Times New Roman" w:cs="Times New Roman" w:eastAsia="Times New Roman" w:hAnsi="Times New Roman"/>
                <w:sz w:val="12"/>
                <w:szCs w:val="12"/>
                <w:color w:val="3051F2"/>
              </w:rPr>
            </w:pPr>
            <w:hyperlink r:id="rId104">
              <w:r>
                <w:rPr>
                  <w:rFonts w:ascii="Times New Roman" w:cs="Times New Roman" w:eastAsia="Times New Roman" w:hAnsi="Times New Roman"/>
                  <w:sz w:val="12"/>
                  <w:szCs w:val="12"/>
                  <w:color w:val="3051F2"/>
                </w:rPr>
                <w:t>Credit Agreement dated September 17, 2025, among Sun Communities Operating Limited Partnership, as borrower; Sun</w:t>
              </w:r>
            </w:hyperlink>
          </w:p>
        </w:tc>
        <w:tc>
          <w:tcPr>
            <w:tcW w:w="4420" w:type="dxa"/>
            <w:vAlign w:val="bottom"/>
            <w:tcBorders>
              <w:right w:val="single" w:sz="8" w:color="auto"/>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Incorporated by reference to Exhibit 10.1 to Sun Communities, Inc.'s Current Report on</w:t>
            </w:r>
          </w:p>
        </w:tc>
        <w:tc>
          <w:tcPr>
            <w:tcW w:w="0" w:type="dxa"/>
            <w:vAlign w:val="bottom"/>
          </w:tcPr>
          <w:p>
            <w:pPr>
              <w:spacing w:after="0"/>
              <w:rPr>
                <w:sz w:val="1"/>
                <w:szCs w:val="1"/>
                <w:color w:val="auto"/>
              </w:rPr>
            </w:pPr>
          </w:p>
        </w:tc>
      </w:tr>
      <w:tr>
        <w:trPr>
          <w:trHeight w:val="127"/>
        </w:trPr>
        <w:tc>
          <w:tcPr>
            <w:tcW w:w="760" w:type="dxa"/>
            <w:vAlign w:val="bottom"/>
            <w:tcBorders>
              <w:top w:val="single" w:sz="8" w:color="CCEEFF"/>
              <w:left w:val="single" w:sz="8" w:color="auto"/>
              <w:right w:val="single" w:sz="8" w:color="auto"/>
            </w:tcBorders>
            <w:shd w:val="clear" w:color="auto" w:fill="CCEEFF"/>
          </w:tcPr>
          <w:p>
            <w:pPr>
              <w:spacing w:after="0"/>
              <w:rPr>
                <w:sz w:val="11"/>
                <w:szCs w:val="11"/>
                <w:color w:val="auto"/>
              </w:rPr>
            </w:pPr>
          </w:p>
        </w:tc>
        <w:tc>
          <w:tcPr>
            <w:tcW w:w="6040" w:type="dxa"/>
            <w:vAlign w:val="bottom"/>
            <w:tcBorders>
              <w:top w:val="single" w:sz="8" w:color="3051F2"/>
            </w:tcBorders>
            <w:gridSpan w:val="30"/>
            <w:shd w:val="clear" w:color="auto" w:fill="CCEEFF"/>
          </w:tcPr>
          <w:p>
            <w:pPr>
              <w:spacing w:after="0" w:line="128" w:lineRule="exact"/>
              <w:rPr>
                <w:rFonts w:ascii="Times New Roman" w:cs="Times New Roman" w:eastAsia="Times New Roman" w:hAnsi="Times New Roman"/>
                <w:sz w:val="12"/>
                <w:szCs w:val="12"/>
                <w:color w:val="3051F2"/>
              </w:rPr>
            </w:pPr>
            <w:hyperlink r:id="rId104">
              <w:r>
                <w:rPr>
                  <w:rFonts w:ascii="Times New Roman" w:cs="Times New Roman" w:eastAsia="Times New Roman" w:hAnsi="Times New Roman"/>
                  <w:sz w:val="12"/>
                  <w:szCs w:val="12"/>
                  <w:color w:val="3051F2"/>
                </w:rPr>
                <w:t>Communities, Inc., as parent guarantor; J.P.Morgan, as Administrative Agent; Bank of America, N.A., BMO Bank,</w:t>
              </w:r>
            </w:hyperlink>
          </w:p>
        </w:tc>
        <w:tc>
          <w:tcPr>
            <w:tcW w:w="60" w:type="dxa"/>
            <w:vAlign w:val="bottom"/>
            <w:tcBorders>
              <w:top w:val="single" w:sz="8" w:color="CCEEFF"/>
              <w:right w:val="single" w:sz="8" w:color="auto"/>
            </w:tcBorders>
            <w:shd w:val="clear" w:color="auto" w:fill="CCEEFF"/>
          </w:tcPr>
          <w:p>
            <w:pPr>
              <w:spacing w:after="0"/>
              <w:rPr>
                <w:sz w:val="11"/>
                <w:szCs w:val="11"/>
                <w:color w:val="auto"/>
              </w:rPr>
            </w:pPr>
          </w:p>
        </w:tc>
        <w:tc>
          <w:tcPr>
            <w:tcW w:w="4420" w:type="dxa"/>
            <w:vAlign w:val="bottom"/>
            <w:tcBorders>
              <w:top w:val="single" w:sz="8" w:color="CCEEFF"/>
              <w:right w:val="single" w:sz="8" w:color="auto"/>
            </w:tcBorders>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Form 8-K filed on September 22, 2025</w:t>
            </w:r>
          </w:p>
        </w:tc>
        <w:tc>
          <w:tcPr>
            <w:tcW w:w="0" w:type="dxa"/>
            <w:vAlign w:val="bottom"/>
          </w:tcPr>
          <w:p>
            <w:pPr>
              <w:spacing w:after="0"/>
              <w:rPr>
                <w:sz w:val="1"/>
                <w:szCs w:val="1"/>
                <w:color w:val="auto"/>
              </w:rPr>
            </w:pPr>
          </w:p>
        </w:tc>
      </w:tr>
      <w:tr>
        <w:trPr>
          <w:trHeight w:val="119"/>
        </w:trPr>
        <w:tc>
          <w:tcPr>
            <w:tcW w:w="760" w:type="dxa"/>
            <w:vAlign w:val="bottom"/>
            <w:tcBorders>
              <w:top w:val="single" w:sz="8" w:color="CCEEFF"/>
              <w:left w:val="single" w:sz="8" w:color="auto"/>
              <w:bottom w:val="single" w:sz="8" w:color="CCEEFF"/>
              <w:right w:val="single" w:sz="8" w:color="auto"/>
            </w:tcBorders>
            <w:shd w:val="clear" w:color="auto" w:fill="CCEEFF"/>
          </w:tcPr>
          <w:p>
            <w:pPr>
              <w:spacing w:after="0"/>
              <w:rPr>
                <w:sz w:val="10"/>
                <w:szCs w:val="10"/>
                <w:color w:val="auto"/>
              </w:rPr>
            </w:pPr>
          </w:p>
        </w:tc>
        <w:tc>
          <w:tcPr>
            <w:tcW w:w="5960" w:type="dxa"/>
            <w:vAlign w:val="bottom"/>
            <w:tcBorders>
              <w:top w:val="single" w:sz="8" w:color="3051F2"/>
              <w:bottom w:val="single" w:sz="8" w:color="3051F2"/>
            </w:tcBorders>
            <w:gridSpan w:val="26"/>
            <w:shd w:val="clear" w:color="auto" w:fill="CCEEFF"/>
          </w:tcPr>
          <w:p>
            <w:pPr>
              <w:spacing w:after="0" w:line="119" w:lineRule="exact"/>
              <w:rPr>
                <w:rFonts w:ascii="Times New Roman" w:cs="Times New Roman" w:eastAsia="Times New Roman" w:hAnsi="Times New Roman"/>
                <w:sz w:val="12"/>
                <w:szCs w:val="12"/>
                <w:color w:val="3051F2"/>
              </w:rPr>
            </w:pPr>
            <w:hyperlink r:id="rId104">
              <w:r>
                <w:rPr>
                  <w:rFonts w:ascii="Times New Roman" w:cs="Times New Roman" w:eastAsia="Times New Roman" w:hAnsi="Times New Roman"/>
                  <w:sz w:val="12"/>
                  <w:szCs w:val="12"/>
                  <w:color w:val="3051F2"/>
                </w:rPr>
                <w:t>N.A., Citibank, N.A., Fifth Third Bank, National Association and Wells Fargo Bank, National Association, as</w:t>
              </w:r>
            </w:hyperlink>
          </w:p>
        </w:tc>
        <w:tc>
          <w:tcPr>
            <w:tcW w:w="20" w:type="dxa"/>
            <w:vAlign w:val="bottom"/>
            <w:tcBorders>
              <w:top w:val="single" w:sz="8" w:color="CCEEFF"/>
              <w:bottom w:val="single" w:sz="8" w:color="3051F2"/>
            </w:tcBorders>
            <w:shd w:val="clear" w:color="auto" w:fill="CCEEFF"/>
          </w:tcPr>
          <w:p>
            <w:pPr>
              <w:spacing w:after="0"/>
              <w:rPr>
                <w:sz w:val="10"/>
                <w:szCs w:val="10"/>
                <w:color w:val="auto"/>
              </w:rPr>
            </w:pPr>
          </w:p>
        </w:tc>
        <w:tc>
          <w:tcPr>
            <w:tcW w:w="20" w:type="dxa"/>
            <w:vAlign w:val="bottom"/>
            <w:tcBorders>
              <w:top w:val="single" w:sz="8" w:color="CCEEFF"/>
              <w:bottom w:val="single" w:sz="8" w:color="3051F2"/>
            </w:tcBorders>
            <w:shd w:val="clear" w:color="auto" w:fill="CCEEFF"/>
          </w:tcPr>
          <w:p>
            <w:pPr>
              <w:spacing w:after="0"/>
              <w:rPr>
                <w:sz w:val="10"/>
                <w:szCs w:val="10"/>
                <w:color w:val="auto"/>
              </w:rPr>
            </w:pPr>
          </w:p>
        </w:tc>
        <w:tc>
          <w:tcPr>
            <w:tcW w:w="20" w:type="dxa"/>
            <w:vAlign w:val="bottom"/>
            <w:tcBorders>
              <w:top w:val="single" w:sz="8" w:color="CCEEFF"/>
              <w:bottom w:val="single" w:sz="8" w:color="3051F2"/>
            </w:tcBorders>
            <w:shd w:val="clear" w:color="auto" w:fill="CCEEFF"/>
          </w:tcPr>
          <w:p>
            <w:pPr>
              <w:spacing w:after="0"/>
              <w:rPr>
                <w:sz w:val="10"/>
                <w:szCs w:val="10"/>
                <w:color w:val="auto"/>
              </w:rPr>
            </w:pPr>
          </w:p>
        </w:tc>
        <w:tc>
          <w:tcPr>
            <w:tcW w:w="80" w:type="dxa"/>
            <w:vAlign w:val="bottom"/>
            <w:tcBorders>
              <w:top w:val="single" w:sz="8" w:color="CCEEFF"/>
              <w:bottom w:val="single" w:sz="8" w:color="CCEEFF"/>
              <w:right w:val="single" w:sz="8" w:color="auto"/>
            </w:tcBorders>
            <w:gridSpan w:val="2"/>
            <w:shd w:val="clear" w:color="auto" w:fill="CCEEFF"/>
          </w:tcPr>
          <w:p>
            <w:pPr>
              <w:spacing w:after="0"/>
              <w:rPr>
                <w:sz w:val="10"/>
                <w:szCs w:val="10"/>
                <w:color w:val="auto"/>
              </w:rPr>
            </w:pPr>
          </w:p>
        </w:tc>
        <w:tc>
          <w:tcPr>
            <w:tcW w:w="4420" w:type="dxa"/>
            <w:vAlign w:val="bottom"/>
            <w:tcBorders>
              <w:top w:val="single" w:sz="8" w:color="CCEEFF"/>
              <w:bottom w:val="single" w:sz="8" w:color="CCEEFF"/>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760" w:type="dxa"/>
            <w:vAlign w:val="bottom"/>
            <w:tcBorders>
              <w:left w:val="single" w:sz="8" w:color="auto"/>
              <w:bottom w:val="single" w:sz="8" w:color="CCEEFF"/>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10.39*</w:t>
            </w:r>
          </w:p>
        </w:tc>
        <w:tc>
          <w:tcPr>
            <w:tcW w:w="6020" w:type="dxa"/>
            <w:vAlign w:val="bottom"/>
            <w:tcBorders>
              <w:bottom w:val="single" w:sz="8" w:color="3051F2"/>
            </w:tcBorders>
            <w:gridSpan w:val="29"/>
            <w:shd w:val="clear" w:color="auto" w:fill="CCEEFF"/>
          </w:tcPr>
          <w:p>
            <w:pPr>
              <w:spacing w:after="0" w:line="119" w:lineRule="exact"/>
              <w:rPr>
                <w:rFonts w:ascii="Times New Roman" w:cs="Times New Roman" w:eastAsia="Times New Roman" w:hAnsi="Times New Roman"/>
                <w:sz w:val="12"/>
                <w:szCs w:val="12"/>
                <w:color w:val="3051F2"/>
              </w:rPr>
            </w:pPr>
            <w:hyperlink r:id="rId104">
              <w:r>
                <w:rPr>
                  <w:rFonts w:ascii="Times New Roman" w:cs="Times New Roman" w:eastAsia="Times New Roman" w:hAnsi="Times New Roman"/>
                  <w:sz w:val="12"/>
                  <w:szCs w:val="12"/>
                  <w:color w:val="3051F2"/>
                </w:rPr>
                <w:t>Syndication Agents; PNC Bank, National Association, Regions Bank, Royal Bank of Canada, Truist Bank and US Bank</w:t>
              </w:r>
            </w:hyperlink>
          </w:p>
        </w:tc>
        <w:tc>
          <w:tcPr>
            <w:tcW w:w="20" w:type="dxa"/>
            <w:vAlign w:val="bottom"/>
            <w:tcBorders>
              <w:bottom w:val="single" w:sz="8" w:color="3051F2"/>
            </w:tcBorders>
            <w:shd w:val="clear" w:color="auto" w:fill="CCEEFF"/>
          </w:tcPr>
          <w:p>
            <w:pPr>
              <w:spacing w:after="0"/>
              <w:rPr>
                <w:sz w:val="10"/>
                <w:szCs w:val="10"/>
                <w:color w:val="auto"/>
              </w:rPr>
            </w:pPr>
          </w:p>
        </w:tc>
        <w:tc>
          <w:tcPr>
            <w:tcW w:w="60" w:type="dxa"/>
            <w:vAlign w:val="bottom"/>
            <w:tcBorders>
              <w:bottom w:val="single" w:sz="8" w:color="CCEEFF"/>
              <w:right w:val="single" w:sz="8" w:color="auto"/>
            </w:tcBorders>
            <w:shd w:val="clear" w:color="auto" w:fill="CCEEFF"/>
          </w:tcPr>
          <w:p>
            <w:pPr>
              <w:spacing w:after="0"/>
              <w:rPr>
                <w:sz w:val="10"/>
                <w:szCs w:val="10"/>
                <w:color w:val="auto"/>
              </w:rPr>
            </w:pPr>
          </w:p>
        </w:tc>
        <w:tc>
          <w:tcPr>
            <w:tcW w:w="4420" w:type="dxa"/>
            <w:vAlign w:val="bottom"/>
            <w:tcBorders>
              <w:bottom w:val="single" w:sz="8" w:color="CCEEFF"/>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760" w:type="dxa"/>
            <w:vAlign w:val="bottom"/>
            <w:tcBorders>
              <w:left w:val="single" w:sz="8" w:color="auto"/>
              <w:right w:val="single" w:sz="8" w:color="auto"/>
            </w:tcBorders>
            <w:vMerge w:val="continue"/>
            <w:shd w:val="clear" w:color="auto" w:fill="CCEEFF"/>
          </w:tcPr>
          <w:p>
            <w:pPr>
              <w:spacing w:after="0"/>
              <w:rPr>
                <w:sz w:val="5"/>
                <w:szCs w:val="5"/>
                <w:color w:val="auto"/>
              </w:rPr>
            </w:pPr>
          </w:p>
        </w:tc>
        <w:tc>
          <w:tcPr>
            <w:tcW w:w="6100" w:type="dxa"/>
            <w:vAlign w:val="bottom"/>
            <w:tcBorders>
              <w:right w:val="single" w:sz="8" w:color="auto"/>
            </w:tcBorders>
            <w:gridSpan w:val="31"/>
            <w:vMerge w:val="restart"/>
            <w:shd w:val="clear" w:color="auto" w:fill="CCEEFF"/>
          </w:tcPr>
          <w:p>
            <w:pPr>
              <w:spacing w:after="0" w:line="119" w:lineRule="exact"/>
              <w:rPr>
                <w:rFonts w:ascii="Times New Roman" w:cs="Times New Roman" w:eastAsia="Times New Roman" w:hAnsi="Times New Roman"/>
                <w:sz w:val="12"/>
                <w:szCs w:val="12"/>
                <w:color w:val="3051F2"/>
              </w:rPr>
            </w:pPr>
            <w:hyperlink r:id="rId104">
              <w:r>
                <w:rPr>
                  <w:rFonts w:ascii="Times New Roman" w:cs="Times New Roman" w:eastAsia="Times New Roman" w:hAnsi="Times New Roman"/>
                  <w:sz w:val="12"/>
                  <w:szCs w:val="12"/>
                  <w:color w:val="3051F2"/>
                </w:rPr>
                <w:t>National Association, as Co-Documentation Agents; JPMorgan Chase Bank, N.A., BOFA Securities, Inc., BMO Capital</w:t>
              </w:r>
            </w:hyperlink>
          </w:p>
        </w:tc>
        <w:tc>
          <w:tcPr>
            <w:tcW w:w="4420" w:type="dxa"/>
            <w:vAlign w:val="bottom"/>
            <w:tcBorders>
              <w:right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57"/>
        </w:trPr>
        <w:tc>
          <w:tcPr>
            <w:tcW w:w="760" w:type="dxa"/>
            <w:vAlign w:val="bottom"/>
            <w:tcBorders>
              <w:left w:val="single" w:sz="8" w:color="auto"/>
              <w:right w:val="single" w:sz="8" w:color="auto"/>
            </w:tcBorders>
            <w:shd w:val="clear" w:color="auto" w:fill="CCEEFF"/>
          </w:tcPr>
          <w:p>
            <w:pPr>
              <w:spacing w:after="0"/>
              <w:rPr>
                <w:sz w:val="4"/>
                <w:szCs w:val="4"/>
                <w:color w:val="auto"/>
              </w:rPr>
            </w:pPr>
          </w:p>
        </w:tc>
        <w:tc>
          <w:tcPr>
            <w:tcW w:w="6100" w:type="dxa"/>
            <w:vAlign w:val="bottom"/>
            <w:tcBorders>
              <w:right w:val="single" w:sz="8" w:color="auto"/>
            </w:tcBorders>
            <w:gridSpan w:val="31"/>
            <w:vMerge w:val="continue"/>
            <w:shd w:val="clear" w:color="auto" w:fill="CCEEFF"/>
          </w:tcPr>
          <w:p>
            <w:pPr>
              <w:spacing w:after="0"/>
              <w:rPr>
                <w:sz w:val="4"/>
                <w:szCs w:val="4"/>
                <w:color w:val="auto"/>
              </w:rPr>
            </w:pPr>
          </w:p>
        </w:tc>
        <w:tc>
          <w:tcPr>
            <w:tcW w:w="4420" w:type="dxa"/>
            <w:vAlign w:val="bottom"/>
            <w:tcBorders>
              <w:right w:val="single" w:sz="8" w:color="auto"/>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760" w:type="dxa"/>
            <w:vAlign w:val="bottom"/>
            <w:tcBorders>
              <w:top w:val="single" w:sz="8" w:color="CCEEFF"/>
              <w:left w:val="single" w:sz="8" w:color="auto"/>
              <w:bottom w:val="single" w:sz="8" w:color="CCEEFF"/>
              <w:right w:val="single" w:sz="8" w:color="auto"/>
            </w:tcBorders>
            <w:shd w:val="clear" w:color="auto" w:fill="CCEEFF"/>
          </w:tcPr>
          <w:p>
            <w:pPr>
              <w:spacing w:after="0"/>
              <w:rPr>
                <w:sz w:val="10"/>
                <w:szCs w:val="10"/>
                <w:color w:val="auto"/>
              </w:rPr>
            </w:pPr>
          </w:p>
        </w:tc>
        <w:tc>
          <w:tcPr>
            <w:tcW w:w="5980" w:type="dxa"/>
            <w:vAlign w:val="bottom"/>
            <w:tcBorders>
              <w:top w:val="single" w:sz="8" w:color="3051F2"/>
              <w:bottom w:val="single" w:sz="8" w:color="3051F2"/>
            </w:tcBorders>
            <w:gridSpan w:val="27"/>
            <w:shd w:val="clear" w:color="auto" w:fill="CCEEFF"/>
          </w:tcPr>
          <w:p>
            <w:pPr>
              <w:spacing w:after="0" w:line="119" w:lineRule="exact"/>
              <w:rPr>
                <w:rFonts w:ascii="Times New Roman" w:cs="Times New Roman" w:eastAsia="Times New Roman" w:hAnsi="Times New Roman"/>
                <w:sz w:val="12"/>
                <w:szCs w:val="12"/>
                <w:color w:val="3051F2"/>
              </w:rPr>
            </w:pPr>
            <w:hyperlink r:id="rId104">
              <w:r>
                <w:rPr>
                  <w:rFonts w:ascii="Times New Roman" w:cs="Times New Roman" w:eastAsia="Times New Roman" w:hAnsi="Times New Roman"/>
                  <w:sz w:val="12"/>
                  <w:szCs w:val="12"/>
                  <w:color w:val="3051F2"/>
                </w:rPr>
                <w:t>Markets Corp., Citibank, N.A., Fifth Third Bank, National Association and Wells Fargo Securities LLC, as Joint</w:t>
              </w:r>
            </w:hyperlink>
          </w:p>
        </w:tc>
        <w:tc>
          <w:tcPr>
            <w:tcW w:w="20" w:type="dxa"/>
            <w:vAlign w:val="bottom"/>
            <w:tcBorders>
              <w:top w:val="single" w:sz="8" w:color="CCEEFF"/>
              <w:bottom w:val="single" w:sz="8" w:color="3051F2"/>
            </w:tcBorders>
            <w:shd w:val="clear" w:color="auto" w:fill="CCEEFF"/>
          </w:tcPr>
          <w:p>
            <w:pPr>
              <w:spacing w:after="0"/>
              <w:rPr>
                <w:sz w:val="10"/>
                <w:szCs w:val="10"/>
                <w:color w:val="auto"/>
              </w:rPr>
            </w:pPr>
          </w:p>
        </w:tc>
        <w:tc>
          <w:tcPr>
            <w:tcW w:w="100" w:type="dxa"/>
            <w:vAlign w:val="bottom"/>
            <w:tcBorders>
              <w:top w:val="single" w:sz="8" w:color="CCEEFF"/>
              <w:bottom w:val="single" w:sz="8" w:color="3051F2"/>
              <w:right w:val="single" w:sz="8" w:color="auto"/>
            </w:tcBorders>
            <w:gridSpan w:val="3"/>
            <w:shd w:val="clear" w:color="auto" w:fill="CCEEFF"/>
          </w:tcPr>
          <w:p>
            <w:pPr>
              <w:spacing w:after="0"/>
              <w:rPr>
                <w:sz w:val="10"/>
                <w:szCs w:val="10"/>
                <w:color w:val="auto"/>
              </w:rPr>
            </w:pPr>
          </w:p>
        </w:tc>
        <w:tc>
          <w:tcPr>
            <w:tcW w:w="4420" w:type="dxa"/>
            <w:vAlign w:val="bottom"/>
            <w:tcBorders>
              <w:top w:val="single" w:sz="8" w:color="CCEEFF"/>
              <w:bottom w:val="single" w:sz="8" w:color="CCEEFF"/>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760" w:type="dxa"/>
            <w:vAlign w:val="bottom"/>
            <w:tcBorders>
              <w:left w:val="single" w:sz="8" w:color="auto"/>
              <w:right w:val="single" w:sz="8" w:color="auto"/>
            </w:tcBorders>
            <w:shd w:val="clear" w:color="auto" w:fill="CCEEFF"/>
          </w:tcPr>
          <w:p>
            <w:pPr>
              <w:spacing w:after="0"/>
              <w:rPr>
                <w:sz w:val="10"/>
                <w:szCs w:val="10"/>
                <w:color w:val="auto"/>
              </w:rPr>
            </w:pPr>
          </w:p>
        </w:tc>
        <w:tc>
          <w:tcPr>
            <w:tcW w:w="6100" w:type="dxa"/>
            <w:vAlign w:val="bottom"/>
            <w:tcBorders>
              <w:right w:val="single" w:sz="8" w:color="auto"/>
            </w:tcBorders>
            <w:gridSpan w:val="31"/>
            <w:shd w:val="clear" w:color="auto" w:fill="CCEEFF"/>
          </w:tcPr>
          <w:p>
            <w:pPr>
              <w:spacing w:after="0" w:line="119" w:lineRule="exact"/>
              <w:rPr>
                <w:rFonts w:ascii="Times New Roman" w:cs="Times New Roman" w:eastAsia="Times New Roman" w:hAnsi="Times New Roman"/>
                <w:sz w:val="12"/>
                <w:szCs w:val="12"/>
                <w:color w:val="3051F2"/>
              </w:rPr>
            </w:pPr>
            <w:hyperlink r:id="rId104">
              <w:r>
                <w:rPr>
                  <w:rFonts w:ascii="Times New Roman" w:cs="Times New Roman" w:eastAsia="Times New Roman" w:hAnsi="Times New Roman"/>
                  <w:sz w:val="12"/>
                  <w:szCs w:val="12"/>
                  <w:color w:val="3051F2"/>
                </w:rPr>
                <w:t>Bookrunners and Joint Lead Arrangers and PNC Capital Markets LLC, Regions Capital Markets, RBC Capital Markets,</w:t>
              </w:r>
            </w:hyperlink>
          </w:p>
        </w:tc>
        <w:tc>
          <w:tcPr>
            <w:tcW w:w="442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760" w:type="dxa"/>
            <w:vAlign w:val="bottom"/>
            <w:tcBorders>
              <w:top w:val="single" w:sz="8" w:color="CCEEFF"/>
              <w:left w:val="single" w:sz="8" w:color="auto"/>
              <w:bottom w:val="single" w:sz="8" w:color="auto"/>
              <w:right w:val="single" w:sz="8" w:color="auto"/>
            </w:tcBorders>
            <w:shd w:val="clear" w:color="auto" w:fill="CCEEFF"/>
          </w:tcPr>
          <w:p>
            <w:pPr>
              <w:spacing w:after="0"/>
              <w:rPr>
                <w:sz w:val="14"/>
                <w:szCs w:val="14"/>
                <w:color w:val="auto"/>
              </w:rPr>
            </w:pPr>
          </w:p>
        </w:tc>
        <w:tc>
          <w:tcPr>
            <w:tcW w:w="6000" w:type="dxa"/>
            <w:vAlign w:val="bottom"/>
            <w:tcBorders>
              <w:top w:val="single" w:sz="8" w:color="3051F2"/>
              <w:bottom w:val="single" w:sz="8" w:color="auto"/>
            </w:tcBorders>
            <w:gridSpan w:val="28"/>
            <w:shd w:val="clear" w:color="auto" w:fill="CCEEFF"/>
          </w:tcPr>
          <w:p>
            <w:pPr>
              <w:spacing w:after="0" w:line="119" w:lineRule="exact"/>
              <w:rPr>
                <w:rFonts w:ascii="Times New Roman" w:cs="Times New Roman" w:eastAsia="Times New Roman" w:hAnsi="Times New Roman"/>
                <w:sz w:val="12"/>
                <w:szCs w:val="12"/>
                <w:color w:val="3051F2"/>
              </w:rPr>
            </w:pPr>
            <w:hyperlink r:id="rId104">
              <w:r>
                <w:rPr>
                  <w:rFonts w:ascii="Times New Roman" w:cs="Times New Roman" w:eastAsia="Times New Roman" w:hAnsi="Times New Roman"/>
                  <w:sz w:val="12"/>
                  <w:szCs w:val="12"/>
                  <w:color w:val="3051F2"/>
                </w:rPr>
                <w:t>Truist Securities, Inc., and U.S. Bank National Association, as Joint Lead Arrangers and certain other lenders</w:t>
              </w:r>
            </w:hyperlink>
          </w:p>
        </w:tc>
        <w:tc>
          <w:tcPr>
            <w:tcW w:w="100" w:type="dxa"/>
            <w:vAlign w:val="bottom"/>
            <w:tcBorders>
              <w:top w:val="single" w:sz="8" w:color="CCEEFF"/>
              <w:bottom w:val="single" w:sz="8" w:color="auto"/>
              <w:right w:val="single" w:sz="8" w:color="auto"/>
            </w:tcBorders>
            <w:gridSpan w:val="3"/>
            <w:shd w:val="clear" w:color="auto" w:fill="CCEEFF"/>
          </w:tcPr>
          <w:p>
            <w:pPr>
              <w:spacing w:after="0"/>
              <w:rPr>
                <w:sz w:val="14"/>
                <w:szCs w:val="14"/>
                <w:color w:val="auto"/>
              </w:rPr>
            </w:pPr>
          </w:p>
        </w:tc>
        <w:tc>
          <w:tcPr>
            <w:tcW w:w="4420" w:type="dxa"/>
            <w:vAlign w:val="bottom"/>
            <w:tcBorders>
              <w:top w:val="single" w:sz="8" w:color="CCEEFF"/>
              <w:bottom w:val="single" w:sz="8" w:color="auto"/>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7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rPr>
              <w:t>14.1</w:t>
            </w:r>
          </w:p>
        </w:tc>
        <w:tc>
          <w:tcPr>
            <w:tcW w:w="6100" w:type="dxa"/>
            <w:vAlign w:val="bottom"/>
            <w:tcBorders>
              <w:right w:val="single" w:sz="8" w:color="auto"/>
            </w:tcBorders>
            <w:gridSpan w:val="31"/>
            <w:vMerge w:val="restart"/>
          </w:tcPr>
          <w:p>
            <w:pPr>
              <w:spacing w:after="0"/>
              <w:rPr>
                <w:rFonts w:ascii="Times New Roman" w:cs="Times New Roman" w:eastAsia="Times New Roman" w:hAnsi="Times New Roman"/>
                <w:sz w:val="12"/>
                <w:szCs w:val="12"/>
                <w:color w:val="3051F2"/>
              </w:rPr>
            </w:pPr>
            <w:hyperlink r:id="rId102">
              <w:r>
                <w:rPr>
                  <w:rFonts w:ascii="Times New Roman" w:cs="Times New Roman" w:eastAsia="Times New Roman" w:hAnsi="Times New Roman"/>
                  <w:sz w:val="12"/>
                  <w:szCs w:val="12"/>
                  <w:color w:val="3051F2"/>
                </w:rPr>
                <w:t>Code of Conduct and Business Ethics</w:t>
              </w:r>
            </w:hyperlink>
          </w:p>
        </w:tc>
        <w:tc>
          <w:tcPr>
            <w:tcW w:w="4420" w:type="dxa"/>
            <w:vAlign w:val="bottom"/>
            <w:tcBorders>
              <w:right w:val="single" w:sz="8" w:color="auto"/>
            </w:tcBorders>
          </w:tcPr>
          <w:p>
            <w:pPr>
              <w:spacing w:after="0" w:line="111" w:lineRule="exact"/>
              <w:rPr>
                <w:sz w:val="20"/>
                <w:szCs w:val="20"/>
                <w:color w:val="auto"/>
              </w:rPr>
            </w:pPr>
            <w:r>
              <w:rPr>
                <w:rFonts w:ascii="Times New Roman" w:cs="Times New Roman" w:eastAsia="Times New Roman" w:hAnsi="Times New Roman"/>
                <w:sz w:val="12"/>
                <w:szCs w:val="12"/>
                <w:color w:val="auto"/>
              </w:rPr>
              <w:t>Incorporated by reference to Exhibit 14.1 of Sun Communities Inc.'s Current Report on</w:t>
            </w:r>
          </w:p>
        </w:tc>
        <w:tc>
          <w:tcPr>
            <w:tcW w:w="0" w:type="dxa"/>
            <w:vAlign w:val="bottom"/>
          </w:tcPr>
          <w:p>
            <w:pPr>
              <w:spacing w:after="0"/>
              <w:rPr>
                <w:sz w:val="1"/>
                <w:szCs w:val="1"/>
                <w:color w:val="auto"/>
              </w:rPr>
            </w:pPr>
          </w:p>
        </w:tc>
      </w:tr>
      <w:tr>
        <w:trPr>
          <w:trHeight w:val="66"/>
        </w:trPr>
        <w:tc>
          <w:tcPr>
            <w:tcW w:w="760" w:type="dxa"/>
            <w:vAlign w:val="bottom"/>
            <w:tcBorders>
              <w:left w:val="single" w:sz="8" w:color="auto"/>
              <w:right w:val="single" w:sz="8" w:color="auto"/>
            </w:tcBorders>
            <w:vMerge w:val="continue"/>
          </w:tcPr>
          <w:p>
            <w:pPr>
              <w:spacing w:after="0"/>
              <w:rPr>
                <w:sz w:val="5"/>
                <w:szCs w:val="5"/>
                <w:color w:val="auto"/>
              </w:rPr>
            </w:pPr>
          </w:p>
        </w:tc>
        <w:tc>
          <w:tcPr>
            <w:tcW w:w="6100" w:type="dxa"/>
            <w:vAlign w:val="bottom"/>
            <w:tcBorders>
              <w:right w:val="single" w:sz="8" w:color="auto"/>
            </w:tcBorders>
            <w:gridSpan w:val="31"/>
            <w:vMerge w:val="continue"/>
          </w:tcPr>
          <w:p>
            <w:pPr>
              <w:spacing w:after="0"/>
              <w:rPr>
                <w:sz w:val="5"/>
                <w:szCs w:val="5"/>
                <w:color w:val="auto"/>
              </w:rPr>
            </w:pPr>
          </w:p>
        </w:tc>
        <w:tc>
          <w:tcPr>
            <w:tcW w:w="4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2"/>
                <w:szCs w:val="12"/>
                <w:color w:val="auto"/>
              </w:rPr>
              <w:t>Form 8-K filed on February 19, 2025</w:t>
            </w:r>
          </w:p>
        </w:tc>
        <w:tc>
          <w:tcPr>
            <w:tcW w:w="0" w:type="dxa"/>
            <w:vAlign w:val="bottom"/>
          </w:tcPr>
          <w:p>
            <w:pPr>
              <w:spacing w:after="0"/>
              <w:rPr>
                <w:sz w:val="1"/>
                <w:szCs w:val="1"/>
                <w:color w:val="auto"/>
              </w:rPr>
            </w:pPr>
          </w:p>
        </w:tc>
      </w:tr>
      <w:tr>
        <w:trPr>
          <w:trHeight w:val="79"/>
        </w:trPr>
        <w:tc>
          <w:tcPr>
            <w:tcW w:w="760" w:type="dxa"/>
            <w:vAlign w:val="bottom"/>
            <w:tcBorders>
              <w:left w:val="single" w:sz="8" w:color="auto"/>
              <w:bottom w:val="single" w:sz="8" w:color="auto"/>
              <w:right w:val="single" w:sz="8" w:color="auto"/>
            </w:tcBorders>
          </w:tcPr>
          <w:p>
            <w:pPr>
              <w:spacing w:after="0"/>
              <w:rPr>
                <w:sz w:val="6"/>
                <w:szCs w:val="6"/>
                <w:color w:val="auto"/>
              </w:rPr>
            </w:pPr>
          </w:p>
        </w:tc>
        <w:tc>
          <w:tcPr>
            <w:tcW w:w="380" w:type="dxa"/>
            <w:vAlign w:val="bottom"/>
            <w:tcBorders>
              <w:top w:val="single" w:sz="8" w:color="3051F2"/>
              <w:bottom w:val="single" w:sz="8" w:color="auto"/>
            </w:tcBorders>
          </w:tcPr>
          <w:p>
            <w:pPr>
              <w:spacing w:after="0"/>
              <w:rPr>
                <w:sz w:val="6"/>
                <w:szCs w:val="6"/>
                <w:color w:val="auto"/>
              </w:rPr>
            </w:pPr>
          </w:p>
        </w:tc>
        <w:tc>
          <w:tcPr>
            <w:tcW w:w="720" w:type="dxa"/>
            <w:vAlign w:val="bottom"/>
            <w:tcBorders>
              <w:top w:val="single" w:sz="8" w:color="3051F2"/>
              <w:bottom w:val="single" w:sz="8" w:color="auto"/>
            </w:tcBorders>
          </w:tcPr>
          <w:p>
            <w:pPr>
              <w:spacing w:after="0"/>
              <w:rPr>
                <w:sz w:val="6"/>
                <w:szCs w:val="6"/>
                <w:color w:val="auto"/>
              </w:rPr>
            </w:pPr>
          </w:p>
        </w:tc>
        <w:tc>
          <w:tcPr>
            <w:tcW w:w="340" w:type="dxa"/>
            <w:vAlign w:val="bottom"/>
            <w:tcBorders>
              <w:top w:val="single" w:sz="8" w:color="3051F2"/>
              <w:bottom w:val="single" w:sz="8" w:color="auto"/>
            </w:tcBorders>
          </w:tcPr>
          <w:p>
            <w:pPr>
              <w:spacing w:after="0"/>
              <w:rPr>
                <w:sz w:val="6"/>
                <w:szCs w:val="6"/>
                <w:color w:val="auto"/>
              </w:rPr>
            </w:pPr>
          </w:p>
        </w:tc>
        <w:tc>
          <w:tcPr>
            <w:tcW w:w="20" w:type="dxa"/>
            <w:vAlign w:val="bottom"/>
            <w:tcBorders>
              <w:top w:val="single" w:sz="8" w:color="3051F2"/>
              <w:bottom w:val="single" w:sz="8" w:color="auto"/>
            </w:tcBorders>
          </w:tcPr>
          <w:p>
            <w:pPr>
              <w:spacing w:after="0"/>
              <w:rPr>
                <w:sz w:val="6"/>
                <w:szCs w:val="6"/>
                <w:color w:val="auto"/>
              </w:rPr>
            </w:pPr>
          </w:p>
        </w:tc>
        <w:tc>
          <w:tcPr>
            <w:tcW w:w="20" w:type="dxa"/>
            <w:vAlign w:val="bottom"/>
            <w:tcBorders>
              <w:top w:val="single" w:sz="8" w:color="3051F2"/>
              <w:bottom w:val="single" w:sz="8" w:color="auto"/>
            </w:tcBorders>
          </w:tcPr>
          <w:p>
            <w:pPr>
              <w:spacing w:after="0"/>
              <w:rPr>
                <w:sz w:val="6"/>
                <w:szCs w:val="6"/>
                <w:color w:val="auto"/>
              </w:rPr>
            </w:pPr>
          </w:p>
        </w:tc>
        <w:tc>
          <w:tcPr>
            <w:tcW w:w="100" w:type="dxa"/>
            <w:vAlign w:val="bottom"/>
            <w:tcBorders>
              <w:top w:val="single" w:sz="8" w:color="3051F2"/>
              <w:bottom w:val="single" w:sz="8" w:color="auto"/>
            </w:tcBorders>
          </w:tcPr>
          <w:p>
            <w:pPr>
              <w:spacing w:after="0"/>
              <w:rPr>
                <w:sz w:val="6"/>
                <w:szCs w:val="6"/>
                <w:color w:val="auto"/>
              </w:rPr>
            </w:pPr>
          </w:p>
        </w:tc>
        <w:tc>
          <w:tcPr>
            <w:tcW w:w="120" w:type="dxa"/>
            <w:vAlign w:val="bottom"/>
            <w:tcBorders>
              <w:top w:val="single" w:sz="8" w:color="3051F2"/>
              <w:bottom w:val="single" w:sz="8" w:color="auto"/>
            </w:tcBorders>
          </w:tcPr>
          <w:p>
            <w:pPr>
              <w:spacing w:after="0"/>
              <w:rPr>
                <w:sz w:val="6"/>
                <w:szCs w:val="6"/>
                <w:color w:val="auto"/>
              </w:rPr>
            </w:pPr>
          </w:p>
        </w:tc>
        <w:tc>
          <w:tcPr>
            <w:tcW w:w="60" w:type="dxa"/>
            <w:vAlign w:val="bottom"/>
            <w:tcBorders>
              <w:top w:val="single" w:sz="8" w:color="3051F2"/>
              <w:bottom w:val="single" w:sz="8" w:color="auto"/>
            </w:tcBorders>
          </w:tcPr>
          <w:p>
            <w:pPr>
              <w:spacing w:after="0"/>
              <w:rPr>
                <w:sz w:val="6"/>
                <w:szCs w:val="6"/>
                <w:color w:val="auto"/>
              </w:rPr>
            </w:pPr>
          </w:p>
        </w:tc>
        <w:tc>
          <w:tcPr>
            <w:tcW w:w="40" w:type="dxa"/>
            <w:vAlign w:val="bottom"/>
            <w:tcBorders>
              <w:top w:val="single" w:sz="8" w:color="3051F2"/>
              <w:bottom w:val="single" w:sz="8" w:color="auto"/>
            </w:tcBorders>
          </w:tcPr>
          <w:p>
            <w:pPr>
              <w:spacing w:after="0"/>
              <w:rPr>
                <w:sz w:val="6"/>
                <w:szCs w:val="6"/>
                <w:color w:val="auto"/>
              </w:rPr>
            </w:pPr>
          </w:p>
        </w:tc>
        <w:tc>
          <w:tcPr>
            <w:tcW w:w="60" w:type="dxa"/>
            <w:vAlign w:val="bottom"/>
            <w:tcBorders>
              <w:top w:val="single" w:sz="8" w:color="3051F2"/>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right w:val="single" w:sz="8" w:color="auto"/>
            </w:tcBorders>
          </w:tcPr>
          <w:p>
            <w:pPr>
              <w:spacing w:after="0"/>
              <w:rPr>
                <w:sz w:val="6"/>
                <w:szCs w:val="6"/>
                <w:color w:val="auto"/>
              </w:rPr>
            </w:pPr>
          </w:p>
        </w:tc>
        <w:tc>
          <w:tcPr>
            <w:tcW w:w="44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76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19.1</w:t>
            </w:r>
          </w:p>
        </w:tc>
        <w:tc>
          <w:tcPr>
            <w:tcW w:w="6100" w:type="dxa"/>
            <w:vAlign w:val="bottom"/>
            <w:tcBorders>
              <w:right w:val="single" w:sz="8" w:color="auto"/>
            </w:tcBorders>
            <w:gridSpan w:val="31"/>
            <w:vMerge w:val="restart"/>
            <w:shd w:val="clear" w:color="auto" w:fill="CCEEFF"/>
          </w:tcPr>
          <w:p>
            <w:pPr>
              <w:spacing w:after="0"/>
              <w:rPr>
                <w:rFonts w:ascii="Times New Roman" w:cs="Times New Roman" w:eastAsia="Times New Roman" w:hAnsi="Times New Roman"/>
                <w:sz w:val="12"/>
                <w:szCs w:val="12"/>
                <w:color w:val="3051F2"/>
              </w:rPr>
            </w:pPr>
            <w:hyperlink r:id="rId102">
              <w:r>
                <w:rPr>
                  <w:rFonts w:ascii="Times New Roman" w:cs="Times New Roman" w:eastAsia="Times New Roman" w:hAnsi="Times New Roman"/>
                  <w:sz w:val="12"/>
                  <w:szCs w:val="12"/>
                  <w:color w:val="3051F2"/>
                </w:rPr>
                <w:t>Insider Trading Policy</w:t>
              </w:r>
            </w:hyperlink>
          </w:p>
        </w:tc>
        <w:tc>
          <w:tcPr>
            <w:tcW w:w="4420" w:type="dxa"/>
            <w:vAlign w:val="bottom"/>
            <w:tcBorders>
              <w:right w:val="single" w:sz="8" w:color="auto"/>
            </w:tcBorders>
            <w:shd w:val="clear" w:color="auto" w:fill="CCEEFF"/>
          </w:tcPr>
          <w:p>
            <w:pPr>
              <w:spacing w:after="0" w:line="116" w:lineRule="exact"/>
              <w:rPr>
                <w:sz w:val="20"/>
                <w:szCs w:val="20"/>
                <w:color w:val="auto"/>
              </w:rPr>
            </w:pPr>
            <w:r>
              <w:rPr>
                <w:rFonts w:ascii="Times New Roman" w:cs="Times New Roman" w:eastAsia="Times New Roman" w:hAnsi="Times New Roman"/>
                <w:sz w:val="12"/>
                <w:szCs w:val="12"/>
                <w:color w:val="auto"/>
              </w:rPr>
              <w:t>Incorporated by reference to Exhibit 99.1 of Sun Communities Inc.'s Current Report on</w:t>
            </w:r>
          </w:p>
        </w:tc>
        <w:tc>
          <w:tcPr>
            <w:tcW w:w="0" w:type="dxa"/>
            <w:vAlign w:val="bottom"/>
          </w:tcPr>
          <w:p>
            <w:pPr>
              <w:spacing w:after="0"/>
              <w:rPr>
                <w:sz w:val="1"/>
                <w:szCs w:val="1"/>
                <w:color w:val="auto"/>
              </w:rPr>
            </w:pPr>
          </w:p>
        </w:tc>
      </w:tr>
      <w:tr>
        <w:trPr>
          <w:trHeight w:val="66"/>
        </w:trPr>
        <w:tc>
          <w:tcPr>
            <w:tcW w:w="760" w:type="dxa"/>
            <w:vAlign w:val="bottom"/>
            <w:tcBorders>
              <w:left w:val="single" w:sz="8" w:color="auto"/>
              <w:right w:val="single" w:sz="8" w:color="auto"/>
            </w:tcBorders>
            <w:vMerge w:val="continue"/>
            <w:shd w:val="clear" w:color="auto" w:fill="CCEEFF"/>
          </w:tcPr>
          <w:p>
            <w:pPr>
              <w:spacing w:after="0"/>
              <w:rPr>
                <w:sz w:val="5"/>
                <w:szCs w:val="5"/>
                <w:color w:val="auto"/>
              </w:rPr>
            </w:pPr>
          </w:p>
        </w:tc>
        <w:tc>
          <w:tcPr>
            <w:tcW w:w="6100" w:type="dxa"/>
            <w:vAlign w:val="bottom"/>
            <w:tcBorders>
              <w:right w:val="single" w:sz="8" w:color="auto"/>
            </w:tcBorders>
            <w:gridSpan w:val="31"/>
            <w:vMerge w:val="continue"/>
            <w:shd w:val="clear" w:color="auto" w:fill="CCEEFF"/>
          </w:tcPr>
          <w:p>
            <w:pPr>
              <w:spacing w:after="0"/>
              <w:rPr>
                <w:sz w:val="5"/>
                <w:szCs w:val="5"/>
                <w:color w:val="auto"/>
              </w:rPr>
            </w:pPr>
          </w:p>
        </w:tc>
        <w:tc>
          <w:tcPr>
            <w:tcW w:w="442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Form 8-K filed on February 19, 2025</w:t>
            </w:r>
          </w:p>
        </w:tc>
        <w:tc>
          <w:tcPr>
            <w:tcW w:w="0" w:type="dxa"/>
            <w:vAlign w:val="bottom"/>
          </w:tcPr>
          <w:p>
            <w:pPr>
              <w:spacing w:after="0"/>
              <w:rPr>
                <w:sz w:val="1"/>
                <w:szCs w:val="1"/>
                <w:color w:val="auto"/>
              </w:rPr>
            </w:pPr>
          </w:p>
        </w:tc>
      </w:tr>
      <w:tr>
        <w:trPr>
          <w:trHeight w:val="79"/>
        </w:trPr>
        <w:tc>
          <w:tcPr>
            <w:tcW w:w="760" w:type="dxa"/>
            <w:vAlign w:val="bottom"/>
            <w:tcBorders>
              <w:top w:val="single" w:sz="8" w:color="CCEEFF"/>
              <w:left w:val="single" w:sz="8" w:color="auto"/>
              <w:bottom w:val="single" w:sz="8" w:color="auto"/>
              <w:right w:val="single" w:sz="8" w:color="auto"/>
            </w:tcBorders>
            <w:shd w:val="clear" w:color="auto" w:fill="CCEEFF"/>
          </w:tcPr>
          <w:p>
            <w:pPr>
              <w:spacing w:after="0"/>
              <w:rPr>
                <w:sz w:val="6"/>
                <w:szCs w:val="6"/>
                <w:color w:val="auto"/>
              </w:rPr>
            </w:pPr>
          </w:p>
        </w:tc>
        <w:tc>
          <w:tcPr>
            <w:tcW w:w="380" w:type="dxa"/>
            <w:vAlign w:val="bottom"/>
            <w:tcBorders>
              <w:top w:val="single" w:sz="8" w:color="3051F2"/>
              <w:bottom w:val="single" w:sz="8" w:color="auto"/>
            </w:tcBorders>
            <w:shd w:val="clear" w:color="auto" w:fill="CCEEFF"/>
          </w:tcPr>
          <w:p>
            <w:pPr>
              <w:spacing w:after="0"/>
              <w:rPr>
                <w:sz w:val="6"/>
                <w:szCs w:val="6"/>
                <w:color w:val="auto"/>
              </w:rPr>
            </w:pPr>
          </w:p>
        </w:tc>
        <w:tc>
          <w:tcPr>
            <w:tcW w:w="720" w:type="dxa"/>
            <w:vAlign w:val="bottom"/>
            <w:tcBorders>
              <w:top w:val="single" w:sz="8" w:color="3051F2"/>
              <w:bottom w:val="single" w:sz="8" w:color="auto"/>
            </w:tcBorders>
            <w:shd w:val="clear" w:color="auto" w:fill="CCEEFF"/>
          </w:tcPr>
          <w:p>
            <w:pPr>
              <w:spacing w:after="0"/>
              <w:rPr>
                <w:sz w:val="6"/>
                <w:szCs w:val="6"/>
                <w:color w:val="auto"/>
              </w:rPr>
            </w:pPr>
          </w:p>
        </w:tc>
        <w:tc>
          <w:tcPr>
            <w:tcW w:w="340" w:type="dxa"/>
            <w:vAlign w:val="bottom"/>
            <w:tcBorders>
              <w:top w:val="single" w:sz="8" w:color="CCEEFF"/>
              <w:bottom w:val="single" w:sz="8" w:color="auto"/>
            </w:tcBorders>
            <w:shd w:val="clear" w:color="auto" w:fill="CCEEFF"/>
          </w:tcPr>
          <w:p>
            <w:pPr>
              <w:spacing w:after="0"/>
              <w:rPr>
                <w:sz w:val="6"/>
                <w:szCs w:val="6"/>
                <w:color w:val="auto"/>
              </w:rPr>
            </w:pPr>
          </w:p>
        </w:tc>
        <w:tc>
          <w:tcPr>
            <w:tcW w:w="20" w:type="dxa"/>
            <w:vAlign w:val="bottom"/>
            <w:tcBorders>
              <w:top w:val="single" w:sz="8" w:color="CCEEFF"/>
              <w:bottom w:val="single" w:sz="8" w:color="auto"/>
            </w:tcBorders>
            <w:shd w:val="clear" w:color="auto" w:fill="CCEEFF"/>
          </w:tcPr>
          <w:p>
            <w:pPr>
              <w:spacing w:after="0"/>
              <w:rPr>
                <w:sz w:val="6"/>
                <w:szCs w:val="6"/>
                <w:color w:val="auto"/>
              </w:rPr>
            </w:pPr>
          </w:p>
        </w:tc>
        <w:tc>
          <w:tcPr>
            <w:tcW w:w="20" w:type="dxa"/>
            <w:vAlign w:val="bottom"/>
            <w:tcBorders>
              <w:top w:val="single" w:sz="8" w:color="CCEEFF"/>
              <w:bottom w:val="single" w:sz="8" w:color="auto"/>
            </w:tcBorders>
            <w:shd w:val="clear" w:color="auto" w:fill="CCEEFF"/>
          </w:tcPr>
          <w:p>
            <w:pPr>
              <w:spacing w:after="0"/>
              <w:rPr>
                <w:sz w:val="6"/>
                <w:szCs w:val="6"/>
                <w:color w:val="auto"/>
              </w:rPr>
            </w:pPr>
          </w:p>
        </w:tc>
        <w:tc>
          <w:tcPr>
            <w:tcW w:w="100" w:type="dxa"/>
            <w:vAlign w:val="bottom"/>
            <w:tcBorders>
              <w:top w:val="single" w:sz="8" w:color="CCEEFF"/>
              <w:bottom w:val="single" w:sz="8" w:color="auto"/>
            </w:tcBorders>
            <w:shd w:val="clear" w:color="auto" w:fill="CCEEFF"/>
          </w:tcPr>
          <w:p>
            <w:pPr>
              <w:spacing w:after="0"/>
              <w:rPr>
                <w:sz w:val="6"/>
                <w:szCs w:val="6"/>
                <w:color w:val="auto"/>
              </w:rPr>
            </w:pPr>
          </w:p>
        </w:tc>
        <w:tc>
          <w:tcPr>
            <w:tcW w:w="120" w:type="dxa"/>
            <w:vAlign w:val="bottom"/>
            <w:tcBorders>
              <w:top w:val="single" w:sz="8" w:color="CCEEFF"/>
              <w:bottom w:val="single" w:sz="8" w:color="auto"/>
            </w:tcBorders>
            <w:shd w:val="clear" w:color="auto" w:fill="CCEEFF"/>
          </w:tcPr>
          <w:p>
            <w:pPr>
              <w:spacing w:after="0"/>
              <w:rPr>
                <w:sz w:val="6"/>
                <w:szCs w:val="6"/>
                <w:color w:val="auto"/>
              </w:rPr>
            </w:pPr>
          </w:p>
        </w:tc>
        <w:tc>
          <w:tcPr>
            <w:tcW w:w="60" w:type="dxa"/>
            <w:vAlign w:val="bottom"/>
            <w:tcBorders>
              <w:top w:val="single" w:sz="8" w:color="CCEEFF"/>
              <w:bottom w:val="single" w:sz="8" w:color="auto"/>
            </w:tcBorders>
            <w:shd w:val="clear" w:color="auto" w:fill="CCEEFF"/>
          </w:tcPr>
          <w:p>
            <w:pPr>
              <w:spacing w:after="0"/>
              <w:rPr>
                <w:sz w:val="6"/>
                <w:szCs w:val="6"/>
                <w:color w:val="auto"/>
              </w:rPr>
            </w:pPr>
          </w:p>
        </w:tc>
        <w:tc>
          <w:tcPr>
            <w:tcW w:w="40" w:type="dxa"/>
            <w:vAlign w:val="bottom"/>
            <w:tcBorders>
              <w:top w:val="single" w:sz="8" w:color="CCEEFF"/>
              <w:bottom w:val="single" w:sz="8" w:color="auto"/>
            </w:tcBorders>
            <w:shd w:val="clear" w:color="auto" w:fill="CCEEFF"/>
          </w:tcPr>
          <w:p>
            <w:pPr>
              <w:spacing w:after="0"/>
              <w:rPr>
                <w:sz w:val="6"/>
                <w:szCs w:val="6"/>
                <w:color w:val="auto"/>
              </w:rPr>
            </w:pPr>
          </w:p>
        </w:tc>
        <w:tc>
          <w:tcPr>
            <w:tcW w:w="60" w:type="dxa"/>
            <w:vAlign w:val="bottom"/>
            <w:tcBorders>
              <w:top w:val="single" w:sz="8" w:color="CCEEFF"/>
              <w:bottom w:val="single" w:sz="8" w:color="auto"/>
            </w:tcBorders>
            <w:shd w:val="clear" w:color="auto" w:fill="CCEEFF"/>
          </w:tcPr>
          <w:p>
            <w:pPr>
              <w:spacing w:after="0"/>
              <w:rPr>
                <w:sz w:val="6"/>
                <w:szCs w:val="6"/>
                <w:color w:val="auto"/>
              </w:rPr>
            </w:pPr>
          </w:p>
        </w:tc>
        <w:tc>
          <w:tcPr>
            <w:tcW w:w="200" w:type="dxa"/>
            <w:vAlign w:val="bottom"/>
            <w:tcBorders>
              <w:top w:val="single" w:sz="8" w:color="CCEEFF"/>
              <w:bottom w:val="single" w:sz="8" w:color="auto"/>
            </w:tcBorders>
            <w:shd w:val="clear" w:color="auto" w:fill="CCEEFF"/>
          </w:tcPr>
          <w:p>
            <w:pPr>
              <w:spacing w:after="0"/>
              <w:rPr>
                <w:sz w:val="6"/>
                <w:szCs w:val="6"/>
                <w:color w:val="auto"/>
              </w:rPr>
            </w:pPr>
          </w:p>
        </w:tc>
        <w:tc>
          <w:tcPr>
            <w:tcW w:w="120" w:type="dxa"/>
            <w:vAlign w:val="bottom"/>
            <w:tcBorders>
              <w:top w:val="single" w:sz="8" w:color="CCEEFF"/>
              <w:bottom w:val="single" w:sz="8" w:color="auto"/>
            </w:tcBorders>
            <w:shd w:val="clear" w:color="auto" w:fill="CCEEFF"/>
          </w:tcPr>
          <w:p>
            <w:pPr>
              <w:spacing w:after="0"/>
              <w:rPr>
                <w:sz w:val="6"/>
                <w:szCs w:val="6"/>
                <w:color w:val="auto"/>
              </w:rPr>
            </w:pPr>
          </w:p>
        </w:tc>
        <w:tc>
          <w:tcPr>
            <w:tcW w:w="80" w:type="dxa"/>
            <w:vAlign w:val="bottom"/>
            <w:tcBorders>
              <w:top w:val="single" w:sz="8" w:color="CCEEFF"/>
              <w:bottom w:val="single" w:sz="8" w:color="auto"/>
            </w:tcBorders>
            <w:shd w:val="clear" w:color="auto" w:fill="CCEEFF"/>
          </w:tcPr>
          <w:p>
            <w:pPr>
              <w:spacing w:after="0"/>
              <w:rPr>
                <w:sz w:val="6"/>
                <w:szCs w:val="6"/>
                <w:color w:val="auto"/>
              </w:rPr>
            </w:pPr>
          </w:p>
        </w:tc>
        <w:tc>
          <w:tcPr>
            <w:tcW w:w="280" w:type="dxa"/>
            <w:vAlign w:val="bottom"/>
            <w:tcBorders>
              <w:top w:val="single" w:sz="8" w:color="CCEEFF"/>
              <w:bottom w:val="single" w:sz="8" w:color="auto"/>
            </w:tcBorders>
            <w:shd w:val="clear" w:color="auto" w:fill="CCEEFF"/>
          </w:tcPr>
          <w:p>
            <w:pPr>
              <w:spacing w:after="0"/>
              <w:rPr>
                <w:sz w:val="6"/>
                <w:szCs w:val="6"/>
                <w:color w:val="auto"/>
              </w:rPr>
            </w:pPr>
          </w:p>
        </w:tc>
        <w:tc>
          <w:tcPr>
            <w:tcW w:w="40" w:type="dxa"/>
            <w:vAlign w:val="bottom"/>
            <w:tcBorders>
              <w:top w:val="single" w:sz="8" w:color="CCEEFF"/>
              <w:bottom w:val="single" w:sz="8" w:color="auto"/>
            </w:tcBorders>
            <w:shd w:val="clear" w:color="auto" w:fill="CCEEFF"/>
          </w:tcPr>
          <w:p>
            <w:pPr>
              <w:spacing w:after="0"/>
              <w:rPr>
                <w:sz w:val="6"/>
                <w:szCs w:val="6"/>
                <w:color w:val="auto"/>
              </w:rPr>
            </w:pPr>
          </w:p>
        </w:tc>
        <w:tc>
          <w:tcPr>
            <w:tcW w:w="40" w:type="dxa"/>
            <w:vAlign w:val="bottom"/>
            <w:tcBorders>
              <w:top w:val="single" w:sz="8" w:color="CCEEFF"/>
              <w:bottom w:val="single" w:sz="8" w:color="auto"/>
            </w:tcBorders>
            <w:shd w:val="clear" w:color="auto" w:fill="CCEEFF"/>
          </w:tcPr>
          <w:p>
            <w:pPr>
              <w:spacing w:after="0"/>
              <w:rPr>
                <w:sz w:val="6"/>
                <w:szCs w:val="6"/>
                <w:color w:val="auto"/>
              </w:rPr>
            </w:pPr>
          </w:p>
        </w:tc>
        <w:tc>
          <w:tcPr>
            <w:tcW w:w="180" w:type="dxa"/>
            <w:vAlign w:val="bottom"/>
            <w:tcBorders>
              <w:top w:val="single" w:sz="8" w:color="CCEEFF"/>
              <w:bottom w:val="single" w:sz="8" w:color="auto"/>
            </w:tcBorders>
            <w:shd w:val="clear" w:color="auto" w:fill="CCEEFF"/>
          </w:tcPr>
          <w:p>
            <w:pPr>
              <w:spacing w:after="0"/>
              <w:rPr>
                <w:sz w:val="6"/>
                <w:szCs w:val="6"/>
                <w:color w:val="auto"/>
              </w:rPr>
            </w:pPr>
          </w:p>
        </w:tc>
        <w:tc>
          <w:tcPr>
            <w:tcW w:w="160" w:type="dxa"/>
            <w:vAlign w:val="bottom"/>
            <w:tcBorders>
              <w:top w:val="single" w:sz="8" w:color="CCEEFF"/>
              <w:bottom w:val="single" w:sz="8" w:color="auto"/>
            </w:tcBorders>
            <w:shd w:val="clear" w:color="auto" w:fill="CCEEFF"/>
          </w:tcPr>
          <w:p>
            <w:pPr>
              <w:spacing w:after="0"/>
              <w:rPr>
                <w:sz w:val="6"/>
                <w:szCs w:val="6"/>
                <w:color w:val="auto"/>
              </w:rPr>
            </w:pPr>
          </w:p>
        </w:tc>
        <w:tc>
          <w:tcPr>
            <w:tcW w:w="220" w:type="dxa"/>
            <w:vAlign w:val="bottom"/>
            <w:tcBorders>
              <w:top w:val="single" w:sz="8" w:color="CCEEFF"/>
              <w:bottom w:val="single" w:sz="8" w:color="auto"/>
            </w:tcBorders>
            <w:shd w:val="clear" w:color="auto" w:fill="CCEEFF"/>
          </w:tcPr>
          <w:p>
            <w:pPr>
              <w:spacing w:after="0"/>
              <w:rPr>
                <w:sz w:val="6"/>
                <w:szCs w:val="6"/>
                <w:color w:val="auto"/>
              </w:rPr>
            </w:pPr>
          </w:p>
        </w:tc>
        <w:tc>
          <w:tcPr>
            <w:tcW w:w="540" w:type="dxa"/>
            <w:vAlign w:val="bottom"/>
            <w:tcBorders>
              <w:top w:val="single" w:sz="8" w:color="CCEEFF"/>
              <w:bottom w:val="single" w:sz="8" w:color="auto"/>
            </w:tcBorders>
            <w:shd w:val="clear" w:color="auto" w:fill="CCEEFF"/>
          </w:tcPr>
          <w:p>
            <w:pPr>
              <w:spacing w:after="0"/>
              <w:rPr>
                <w:sz w:val="6"/>
                <w:szCs w:val="6"/>
                <w:color w:val="auto"/>
              </w:rPr>
            </w:pPr>
          </w:p>
        </w:tc>
        <w:tc>
          <w:tcPr>
            <w:tcW w:w="120" w:type="dxa"/>
            <w:vAlign w:val="bottom"/>
            <w:tcBorders>
              <w:top w:val="single" w:sz="8" w:color="CCEEFF"/>
              <w:bottom w:val="single" w:sz="8" w:color="auto"/>
            </w:tcBorders>
            <w:shd w:val="clear" w:color="auto" w:fill="CCEEFF"/>
          </w:tcPr>
          <w:p>
            <w:pPr>
              <w:spacing w:after="0"/>
              <w:rPr>
                <w:sz w:val="6"/>
                <w:szCs w:val="6"/>
                <w:color w:val="auto"/>
              </w:rPr>
            </w:pPr>
          </w:p>
        </w:tc>
        <w:tc>
          <w:tcPr>
            <w:tcW w:w="1040" w:type="dxa"/>
            <w:vAlign w:val="bottom"/>
            <w:tcBorders>
              <w:top w:val="single" w:sz="8" w:color="CCEEFF"/>
              <w:bottom w:val="single" w:sz="8" w:color="auto"/>
            </w:tcBorders>
            <w:shd w:val="clear" w:color="auto" w:fill="CCEEFF"/>
          </w:tcPr>
          <w:p>
            <w:pPr>
              <w:spacing w:after="0"/>
              <w:rPr>
                <w:sz w:val="6"/>
                <w:szCs w:val="6"/>
                <w:color w:val="auto"/>
              </w:rPr>
            </w:pPr>
          </w:p>
        </w:tc>
        <w:tc>
          <w:tcPr>
            <w:tcW w:w="40" w:type="dxa"/>
            <w:vAlign w:val="bottom"/>
            <w:tcBorders>
              <w:top w:val="single" w:sz="8" w:color="CCEEFF"/>
              <w:bottom w:val="single" w:sz="8" w:color="auto"/>
            </w:tcBorders>
            <w:shd w:val="clear" w:color="auto" w:fill="CCEEFF"/>
          </w:tcPr>
          <w:p>
            <w:pPr>
              <w:spacing w:after="0"/>
              <w:rPr>
                <w:sz w:val="6"/>
                <w:szCs w:val="6"/>
                <w:color w:val="auto"/>
              </w:rPr>
            </w:pPr>
          </w:p>
        </w:tc>
        <w:tc>
          <w:tcPr>
            <w:tcW w:w="480" w:type="dxa"/>
            <w:vAlign w:val="bottom"/>
            <w:tcBorders>
              <w:top w:val="single" w:sz="8" w:color="CCEEFF"/>
              <w:bottom w:val="single" w:sz="8" w:color="auto"/>
            </w:tcBorders>
            <w:shd w:val="clear" w:color="auto" w:fill="CCEEFF"/>
          </w:tcPr>
          <w:p>
            <w:pPr>
              <w:spacing w:after="0"/>
              <w:rPr>
                <w:sz w:val="6"/>
                <w:szCs w:val="6"/>
                <w:color w:val="auto"/>
              </w:rPr>
            </w:pPr>
          </w:p>
        </w:tc>
        <w:tc>
          <w:tcPr>
            <w:tcW w:w="480" w:type="dxa"/>
            <w:vAlign w:val="bottom"/>
            <w:tcBorders>
              <w:top w:val="single" w:sz="8" w:color="CCEEFF"/>
              <w:bottom w:val="single" w:sz="8" w:color="auto"/>
            </w:tcBorders>
            <w:shd w:val="clear" w:color="auto" w:fill="CCEEFF"/>
          </w:tcPr>
          <w:p>
            <w:pPr>
              <w:spacing w:after="0"/>
              <w:rPr>
                <w:sz w:val="6"/>
                <w:szCs w:val="6"/>
                <w:color w:val="auto"/>
              </w:rPr>
            </w:pPr>
          </w:p>
        </w:tc>
        <w:tc>
          <w:tcPr>
            <w:tcW w:w="80" w:type="dxa"/>
            <w:vAlign w:val="bottom"/>
            <w:tcBorders>
              <w:top w:val="single" w:sz="8" w:color="CCEEFF"/>
              <w:bottom w:val="single" w:sz="8" w:color="auto"/>
            </w:tcBorders>
            <w:shd w:val="clear" w:color="auto" w:fill="CCEEFF"/>
          </w:tcPr>
          <w:p>
            <w:pPr>
              <w:spacing w:after="0"/>
              <w:rPr>
                <w:sz w:val="6"/>
                <w:szCs w:val="6"/>
                <w:color w:val="auto"/>
              </w:rPr>
            </w:pPr>
          </w:p>
        </w:tc>
        <w:tc>
          <w:tcPr>
            <w:tcW w:w="20" w:type="dxa"/>
            <w:vAlign w:val="bottom"/>
            <w:tcBorders>
              <w:top w:val="single" w:sz="8" w:color="CCEEFF"/>
              <w:bottom w:val="single" w:sz="8" w:color="auto"/>
            </w:tcBorders>
            <w:shd w:val="clear" w:color="auto" w:fill="CCEEFF"/>
          </w:tcPr>
          <w:p>
            <w:pPr>
              <w:spacing w:after="0"/>
              <w:rPr>
                <w:sz w:val="6"/>
                <w:szCs w:val="6"/>
                <w:color w:val="auto"/>
              </w:rPr>
            </w:pPr>
          </w:p>
        </w:tc>
        <w:tc>
          <w:tcPr>
            <w:tcW w:w="20" w:type="dxa"/>
            <w:vAlign w:val="bottom"/>
            <w:tcBorders>
              <w:top w:val="single" w:sz="8" w:color="CCEEFF"/>
              <w:bottom w:val="single" w:sz="8" w:color="auto"/>
            </w:tcBorders>
            <w:shd w:val="clear" w:color="auto" w:fill="CCEEFF"/>
          </w:tcPr>
          <w:p>
            <w:pPr>
              <w:spacing w:after="0"/>
              <w:rPr>
                <w:sz w:val="6"/>
                <w:szCs w:val="6"/>
                <w:color w:val="auto"/>
              </w:rPr>
            </w:pPr>
          </w:p>
        </w:tc>
        <w:tc>
          <w:tcPr>
            <w:tcW w:w="20" w:type="dxa"/>
            <w:vAlign w:val="bottom"/>
            <w:tcBorders>
              <w:top w:val="single" w:sz="8" w:color="CCEEFF"/>
              <w:bottom w:val="single" w:sz="8" w:color="auto"/>
            </w:tcBorders>
            <w:shd w:val="clear" w:color="auto" w:fill="CCEEFF"/>
          </w:tcPr>
          <w:p>
            <w:pPr>
              <w:spacing w:after="0"/>
              <w:rPr>
                <w:sz w:val="6"/>
                <w:szCs w:val="6"/>
                <w:color w:val="auto"/>
              </w:rPr>
            </w:pPr>
          </w:p>
        </w:tc>
        <w:tc>
          <w:tcPr>
            <w:tcW w:w="20" w:type="dxa"/>
            <w:vAlign w:val="bottom"/>
            <w:tcBorders>
              <w:top w:val="single" w:sz="8" w:color="CCEEFF"/>
              <w:bottom w:val="single" w:sz="8" w:color="auto"/>
            </w:tcBorders>
            <w:shd w:val="clear" w:color="auto" w:fill="CCEEFF"/>
          </w:tcPr>
          <w:p>
            <w:pPr>
              <w:spacing w:after="0"/>
              <w:rPr>
                <w:sz w:val="6"/>
                <w:szCs w:val="6"/>
                <w:color w:val="auto"/>
              </w:rPr>
            </w:pPr>
          </w:p>
        </w:tc>
        <w:tc>
          <w:tcPr>
            <w:tcW w:w="60" w:type="dxa"/>
            <w:vAlign w:val="bottom"/>
            <w:tcBorders>
              <w:top w:val="single" w:sz="8" w:color="CCEEFF"/>
              <w:bottom w:val="single" w:sz="8" w:color="auto"/>
              <w:right w:val="single" w:sz="8" w:color="auto"/>
            </w:tcBorders>
            <w:shd w:val="clear" w:color="auto" w:fill="CCEEFF"/>
          </w:tcPr>
          <w:p>
            <w:pPr>
              <w:spacing w:after="0"/>
              <w:rPr>
                <w:sz w:val="6"/>
                <w:szCs w:val="6"/>
                <w:color w:val="auto"/>
              </w:rPr>
            </w:pPr>
          </w:p>
        </w:tc>
        <w:tc>
          <w:tcPr>
            <w:tcW w:w="4420" w:type="dxa"/>
            <w:vAlign w:val="bottom"/>
            <w:tcBorders>
              <w:top w:val="single" w:sz="8" w:color="CCEEFF"/>
              <w:bottom w:val="single" w:sz="8" w:color="auto"/>
              <w:right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760" w:type="dxa"/>
            <w:vAlign w:val="bottom"/>
            <w:tcBorders>
              <w:left w:val="single" w:sz="8" w:color="auto"/>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2"/>
                <w:szCs w:val="12"/>
                <w:color w:val="auto"/>
              </w:rPr>
              <w:t>21.1</w:t>
            </w:r>
          </w:p>
        </w:tc>
        <w:tc>
          <w:tcPr>
            <w:tcW w:w="6100" w:type="dxa"/>
            <w:vAlign w:val="bottom"/>
            <w:tcBorders>
              <w:right w:val="single" w:sz="8" w:color="auto"/>
            </w:tcBorders>
            <w:gridSpan w:val="31"/>
          </w:tcPr>
          <w:p>
            <w:pPr>
              <w:spacing w:after="0" w:line="136" w:lineRule="exact"/>
              <w:rPr>
                <w:sz w:val="20"/>
                <w:szCs w:val="20"/>
                <w:color w:val="auto"/>
              </w:rPr>
            </w:pPr>
            <w:r>
              <w:rPr>
                <w:rFonts w:ascii="Times New Roman" w:cs="Times New Roman" w:eastAsia="Times New Roman" w:hAnsi="Times New Roman"/>
                <w:sz w:val="12"/>
                <w:szCs w:val="12"/>
                <w:color w:val="3051F2"/>
              </w:rPr>
              <w:t>List of Subsidiaries of Sun Communities, Inc.</w:t>
            </w:r>
          </w:p>
        </w:tc>
        <w:tc>
          <w:tcPr>
            <w:tcW w:w="4420" w:type="dxa"/>
            <w:vAlign w:val="bottom"/>
            <w:tcBorders>
              <w:right w:val="single" w:sz="8" w:color="auto"/>
            </w:tcBorders>
          </w:tcPr>
          <w:p>
            <w:pPr>
              <w:spacing w:after="0" w:line="136" w:lineRule="exact"/>
              <w:rPr>
                <w:sz w:val="20"/>
                <w:szCs w:val="20"/>
                <w:color w:val="auto"/>
              </w:rPr>
            </w:pPr>
            <w:r>
              <w:rPr>
                <w:rFonts w:ascii="Times New Roman" w:cs="Times New Roman" w:eastAsia="Times New Roman" w:hAnsi="Times New Roman"/>
                <w:sz w:val="12"/>
                <w:szCs w:val="12"/>
                <w:color w:val="auto"/>
              </w:rPr>
              <w:t>Filed herewith</w:t>
            </w:r>
          </w:p>
        </w:tc>
        <w:tc>
          <w:tcPr>
            <w:tcW w:w="0" w:type="dxa"/>
            <w:vAlign w:val="bottom"/>
          </w:tcPr>
          <w:p>
            <w:pPr>
              <w:spacing w:after="0"/>
              <w:rPr>
                <w:sz w:val="1"/>
                <w:szCs w:val="1"/>
                <w:color w:val="auto"/>
              </w:rPr>
            </w:pPr>
          </w:p>
        </w:tc>
      </w:tr>
      <w:tr>
        <w:trPr>
          <w:trHeight w:val="26"/>
        </w:trPr>
        <w:tc>
          <w:tcPr>
            <w:tcW w:w="760" w:type="dxa"/>
            <w:vAlign w:val="bottom"/>
            <w:tcBorders>
              <w:left w:val="single" w:sz="8" w:color="auto"/>
              <w:bottom w:val="single" w:sz="8" w:color="auto"/>
              <w:right w:val="single" w:sz="8" w:color="auto"/>
            </w:tcBorders>
          </w:tcPr>
          <w:p>
            <w:pPr>
              <w:spacing w:after="0"/>
              <w:rPr>
                <w:sz w:val="2"/>
                <w:szCs w:val="2"/>
                <w:color w:val="auto"/>
              </w:rPr>
            </w:pPr>
          </w:p>
        </w:tc>
        <w:tc>
          <w:tcPr>
            <w:tcW w:w="380" w:type="dxa"/>
            <w:vAlign w:val="bottom"/>
            <w:tcBorders>
              <w:top w:val="single" w:sz="8" w:color="3051F2"/>
              <w:bottom w:val="single" w:sz="8" w:color="auto"/>
            </w:tcBorders>
          </w:tcPr>
          <w:p>
            <w:pPr>
              <w:spacing w:after="0"/>
              <w:rPr>
                <w:sz w:val="2"/>
                <w:szCs w:val="2"/>
                <w:color w:val="auto"/>
              </w:rPr>
            </w:pPr>
          </w:p>
        </w:tc>
        <w:tc>
          <w:tcPr>
            <w:tcW w:w="720" w:type="dxa"/>
            <w:vAlign w:val="bottom"/>
            <w:tcBorders>
              <w:top w:val="single" w:sz="8" w:color="3051F2"/>
              <w:bottom w:val="single" w:sz="8" w:color="auto"/>
            </w:tcBorders>
          </w:tcPr>
          <w:p>
            <w:pPr>
              <w:spacing w:after="0"/>
              <w:rPr>
                <w:sz w:val="2"/>
                <w:szCs w:val="2"/>
                <w:color w:val="auto"/>
              </w:rPr>
            </w:pPr>
          </w:p>
        </w:tc>
        <w:tc>
          <w:tcPr>
            <w:tcW w:w="340" w:type="dxa"/>
            <w:vAlign w:val="bottom"/>
            <w:tcBorders>
              <w:top w:val="single" w:sz="8" w:color="3051F2"/>
              <w:bottom w:val="single" w:sz="8" w:color="auto"/>
            </w:tcBorders>
          </w:tcPr>
          <w:p>
            <w:pPr>
              <w:spacing w:after="0"/>
              <w:rPr>
                <w:sz w:val="2"/>
                <w:szCs w:val="2"/>
                <w:color w:val="auto"/>
              </w:rPr>
            </w:pPr>
          </w:p>
        </w:tc>
        <w:tc>
          <w:tcPr>
            <w:tcW w:w="20" w:type="dxa"/>
            <w:vAlign w:val="bottom"/>
            <w:tcBorders>
              <w:top w:val="single" w:sz="8" w:color="3051F2"/>
              <w:bottom w:val="single" w:sz="8" w:color="auto"/>
            </w:tcBorders>
          </w:tcPr>
          <w:p>
            <w:pPr>
              <w:spacing w:after="0"/>
              <w:rPr>
                <w:sz w:val="2"/>
                <w:szCs w:val="2"/>
                <w:color w:val="auto"/>
              </w:rPr>
            </w:pPr>
          </w:p>
        </w:tc>
        <w:tc>
          <w:tcPr>
            <w:tcW w:w="20" w:type="dxa"/>
            <w:vAlign w:val="bottom"/>
            <w:tcBorders>
              <w:top w:val="single" w:sz="8" w:color="3051F2"/>
              <w:bottom w:val="single" w:sz="8" w:color="auto"/>
            </w:tcBorders>
          </w:tcPr>
          <w:p>
            <w:pPr>
              <w:spacing w:after="0"/>
              <w:rPr>
                <w:sz w:val="2"/>
                <w:szCs w:val="2"/>
                <w:color w:val="auto"/>
              </w:rPr>
            </w:pPr>
          </w:p>
        </w:tc>
        <w:tc>
          <w:tcPr>
            <w:tcW w:w="100" w:type="dxa"/>
            <w:vAlign w:val="bottom"/>
            <w:tcBorders>
              <w:top w:val="single" w:sz="8" w:color="3051F2"/>
              <w:bottom w:val="single" w:sz="8" w:color="auto"/>
            </w:tcBorders>
          </w:tcPr>
          <w:p>
            <w:pPr>
              <w:spacing w:after="0"/>
              <w:rPr>
                <w:sz w:val="2"/>
                <w:szCs w:val="2"/>
                <w:color w:val="auto"/>
              </w:rPr>
            </w:pPr>
          </w:p>
        </w:tc>
        <w:tc>
          <w:tcPr>
            <w:tcW w:w="120" w:type="dxa"/>
            <w:vAlign w:val="bottom"/>
            <w:tcBorders>
              <w:top w:val="single" w:sz="8" w:color="3051F2"/>
              <w:bottom w:val="single" w:sz="8" w:color="auto"/>
            </w:tcBorders>
          </w:tcPr>
          <w:p>
            <w:pPr>
              <w:spacing w:after="0"/>
              <w:rPr>
                <w:sz w:val="2"/>
                <w:szCs w:val="2"/>
                <w:color w:val="auto"/>
              </w:rPr>
            </w:pPr>
          </w:p>
        </w:tc>
        <w:tc>
          <w:tcPr>
            <w:tcW w:w="60" w:type="dxa"/>
            <w:vAlign w:val="bottom"/>
            <w:tcBorders>
              <w:top w:val="single" w:sz="8" w:color="3051F2"/>
              <w:bottom w:val="single" w:sz="8" w:color="auto"/>
            </w:tcBorders>
          </w:tcPr>
          <w:p>
            <w:pPr>
              <w:spacing w:after="0"/>
              <w:rPr>
                <w:sz w:val="2"/>
                <w:szCs w:val="2"/>
                <w:color w:val="auto"/>
              </w:rPr>
            </w:pPr>
          </w:p>
        </w:tc>
        <w:tc>
          <w:tcPr>
            <w:tcW w:w="40" w:type="dxa"/>
            <w:vAlign w:val="bottom"/>
            <w:tcBorders>
              <w:top w:val="single" w:sz="8" w:color="3051F2"/>
              <w:bottom w:val="single" w:sz="8" w:color="auto"/>
            </w:tcBorders>
          </w:tcPr>
          <w:p>
            <w:pPr>
              <w:spacing w:after="0"/>
              <w:rPr>
                <w:sz w:val="2"/>
                <w:szCs w:val="2"/>
                <w:color w:val="auto"/>
              </w:rPr>
            </w:pPr>
          </w:p>
        </w:tc>
        <w:tc>
          <w:tcPr>
            <w:tcW w:w="60" w:type="dxa"/>
            <w:vAlign w:val="bottom"/>
            <w:tcBorders>
              <w:top w:val="single" w:sz="8" w:color="3051F2"/>
              <w:bottom w:val="single" w:sz="8" w:color="auto"/>
            </w:tcBorders>
          </w:tcPr>
          <w:p>
            <w:pPr>
              <w:spacing w:after="0"/>
              <w:rPr>
                <w:sz w:val="2"/>
                <w:szCs w:val="2"/>
                <w:color w:val="auto"/>
              </w:rPr>
            </w:pPr>
          </w:p>
        </w:tc>
        <w:tc>
          <w:tcPr>
            <w:tcW w:w="200" w:type="dxa"/>
            <w:vAlign w:val="bottom"/>
            <w:tcBorders>
              <w:top w:val="single" w:sz="8" w:color="3051F2"/>
              <w:bottom w:val="single" w:sz="8" w:color="auto"/>
            </w:tcBorders>
          </w:tcPr>
          <w:p>
            <w:pPr>
              <w:spacing w:after="0"/>
              <w:rPr>
                <w:sz w:val="2"/>
                <w:szCs w:val="2"/>
                <w:color w:val="auto"/>
              </w:rPr>
            </w:pPr>
          </w:p>
        </w:tc>
        <w:tc>
          <w:tcPr>
            <w:tcW w:w="120" w:type="dxa"/>
            <w:vAlign w:val="bottom"/>
            <w:tcBorders>
              <w:top w:val="single" w:sz="8" w:color="3051F2"/>
              <w:bottom w:val="single" w:sz="8" w:color="auto"/>
            </w:tcBorders>
          </w:tcPr>
          <w:p>
            <w:pPr>
              <w:spacing w:after="0"/>
              <w:rPr>
                <w:sz w:val="2"/>
                <w:szCs w:val="2"/>
                <w:color w:val="auto"/>
              </w:rPr>
            </w:pPr>
          </w:p>
        </w:tc>
        <w:tc>
          <w:tcPr>
            <w:tcW w:w="80" w:type="dxa"/>
            <w:vAlign w:val="bottom"/>
            <w:tcBorders>
              <w:top w:val="single" w:sz="8" w:color="3051F2"/>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760" w:type="dxa"/>
            <w:vAlign w:val="bottom"/>
            <w:tcBorders>
              <w:left w:val="single" w:sz="8" w:color="auto"/>
              <w:bottom w:val="single" w:sz="8" w:color="auto"/>
              <w:right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2"/>
                <w:szCs w:val="12"/>
                <w:color w:val="auto"/>
              </w:rPr>
              <w:t>22.1</w:t>
            </w:r>
          </w:p>
        </w:tc>
        <w:tc>
          <w:tcPr>
            <w:tcW w:w="6100" w:type="dxa"/>
            <w:vAlign w:val="bottom"/>
            <w:tcBorders>
              <w:bottom w:val="single" w:sz="8" w:color="auto"/>
              <w:right w:val="single" w:sz="8" w:color="auto"/>
            </w:tcBorders>
            <w:gridSpan w:val="31"/>
            <w:shd w:val="clear" w:color="auto" w:fill="CCEEFF"/>
          </w:tcPr>
          <w:p>
            <w:pPr>
              <w:spacing w:after="0" w:line="119" w:lineRule="exact"/>
              <w:rPr>
                <w:sz w:val="20"/>
                <w:szCs w:val="20"/>
                <w:color w:val="auto"/>
              </w:rPr>
            </w:pPr>
            <w:r>
              <w:rPr>
                <w:rFonts w:ascii="Times New Roman" w:cs="Times New Roman" w:eastAsia="Times New Roman" w:hAnsi="Times New Roman"/>
                <w:sz w:val="12"/>
                <w:szCs w:val="12"/>
                <w:color w:val="3051F2"/>
              </w:rPr>
              <w:t>List issuers of guaranteed securities</w:t>
            </w:r>
          </w:p>
        </w:tc>
        <w:tc>
          <w:tcPr>
            <w:tcW w:w="4420" w:type="dxa"/>
            <w:vAlign w:val="bottom"/>
            <w:tcBorders>
              <w:bottom w:val="single" w:sz="8" w:color="auto"/>
              <w:right w:val="single" w:sz="8" w:color="auto"/>
            </w:tcBorders>
            <w:shd w:val="clear" w:color="auto" w:fill="CCEEFF"/>
          </w:tcPr>
          <w:p>
            <w:pPr>
              <w:spacing w:after="0" w:line="119" w:lineRule="exact"/>
              <w:rPr>
                <w:sz w:val="20"/>
                <w:szCs w:val="20"/>
                <w:color w:val="auto"/>
              </w:rPr>
            </w:pPr>
            <w:r>
              <w:rPr>
                <w:rFonts w:ascii="Times New Roman" w:cs="Times New Roman" w:eastAsia="Times New Roman" w:hAnsi="Times New Roman"/>
                <w:sz w:val="12"/>
                <w:szCs w:val="12"/>
                <w:color w:val="auto"/>
              </w:rPr>
              <w:t>Filed herewith</w:t>
            </w:r>
          </w:p>
        </w:tc>
        <w:tc>
          <w:tcPr>
            <w:tcW w:w="0" w:type="dxa"/>
            <w:vAlign w:val="bottom"/>
          </w:tcPr>
          <w:p>
            <w:pPr>
              <w:spacing w:after="0"/>
              <w:rPr>
                <w:sz w:val="1"/>
                <w:szCs w:val="1"/>
                <w:color w:val="auto"/>
              </w:rPr>
            </w:pPr>
          </w:p>
        </w:tc>
      </w:tr>
      <w:tr>
        <w:trPr>
          <w:trHeight w:val="119"/>
        </w:trPr>
        <w:tc>
          <w:tcPr>
            <w:tcW w:w="760" w:type="dxa"/>
            <w:vAlign w:val="bottom"/>
            <w:tcBorders>
              <w:left w:val="single" w:sz="8" w:color="auto"/>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2"/>
                <w:szCs w:val="12"/>
                <w:color w:val="auto"/>
              </w:rPr>
              <w:t>23.1</w:t>
            </w:r>
          </w:p>
        </w:tc>
        <w:tc>
          <w:tcPr>
            <w:tcW w:w="6100" w:type="dxa"/>
            <w:vAlign w:val="bottom"/>
            <w:tcBorders>
              <w:right w:val="single" w:sz="8" w:color="auto"/>
            </w:tcBorders>
            <w:gridSpan w:val="31"/>
          </w:tcPr>
          <w:p>
            <w:pPr>
              <w:spacing w:after="0" w:line="119" w:lineRule="exact"/>
              <w:rPr>
                <w:sz w:val="20"/>
                <w:szCs w:val="20"/>
                <w:color w:val="auto"/>
              </w:rPr>
            </w:pPr>
            <w:r>
              <w:rPr>
                <w:rFonts w:ascii="Times New Roman" w:cs="Times New Roman" w:eastAsia="Times New Roman" w:hAnsi="Times New Roman"/>
                <w:sz w:val="12"/>
                <w:szCs w:val="12"/>
                <w:color w:val="3051F2"/>
              </w:rPr>
              <w:t>Consent of Grant Thornton LLP</w:t>
            </w:r>
          </w:p>
        </w:tc>
        <w:tc>
          <w:tcPr>
            <w:tcW w:w="4420" w:type="dxa"/>
            <w:vAlign w:val="bottom"/>
            <w:tcBorders>
              <w:right w:val="single" w:sz="8" w:color="auto"/>
            </w:tcBorders>
          </w:tcPr>
          <w:p>
            <w:pPr>
              <w:spacing w:after="0" w:line="119" w:lineRule="exact"/>
              <w:rPr>
                <w:sz w:val="20"/>
                <w:szCs w:val="20"/>
                <w:color w:val="auto"/>
              </w:rPr>
            </w:pPr>
            <w:r>
              <w:rPr>
                <w:rFonts w:ascii="Times New Roman" w:cs="Times New Roman" w:eastAsia="Times New Roman" w:hAnsi="Times New Roman"/>
                <w:sz w:val="12"/>
                <w:szCs w:val="12"/>
                <w:color w:val="auto"/>
              </w:rPr>
              <w:t>Filed herewith</w:t>
            </w:r>
          </w:p>
        </w:tc>
        <w:tc>
          <w:tcPr>
            <w:tcW w:w="0" w:type="dxa"/>
            <w:vAlign w:val="bottom"/>
          </w:tcPr>
          <w:p>
            <w:pPr>
              <w:spacing w:after="0"/>
              <w:rPr>
                <w:sz w:val="1"/>
                <w:szCs w:val="1"/>
                <w:color w:val="auto"/>
              </w:rPr>
            </w:pPr>
          </w:p>
        </w:tc>
      </w:tr>
      <w:tr>
        <w:trPr>
          <w:trHeight w:val="26"/>
        </w:trPr>
        <w:tc>
          <w:tcPr>
            <w:tcW w:w="760" w:type="dxa"/>
            <w:vAlign w:val="bottom"/>
            <w:tcBorders>
              <w:left w:val="single" w:sz="8" w:color="auto"/>
              <w:bottom w:val="single" w:sz="8" w:color="auto"/>
              <w:right w:val="single" w:sz="8" w:color="auto"/>
            </w:tcBorders>
          </w:tcPr>
          <w:p>
            <w:pPr>
              <w:spacing w:after="0"/>
              <w:rPr>
                <w:sz w:val="2"/>
                <w:szCs w:val="2"/>
                <w:color w:val="auto"/>
              </w:rPr>
            </w:pPr>
          </w:p>
        </w:tc>
        <w:tc>
          <w:tcPr>
            <w:tcW w:w="380" w:type="dxa"/>
            <w:vAlign w:val="bottom"/>
            <w:tcBorders>
              <w:top w:val="single" w:sz="8" w:color="3051F2"/>
              <w:bottom w:val="single" w:sz="8" w:color="auto"/>
            </w:tcBorders>
          </w:tcPr>
          <w:p>
            <w:pPr>
              <w:spacing w:after="0"/>
              <w:rPr>
                <w:sz w:val="2"/>
                <w:szCs w:val="2"/>
                <w:color w:val="auto"/>
              </w:rPr>
            </w:pPr>
          </w:p>
        </w:tc>
        <w:tc>
          <w:tcPr>
            <w:tcW w:w="720" w:type="dxa"/>
            <w:vAlign w:val="bottom"/>
            <w:tcBorders>
              <w:top w:val="single" w:sz="8" w:color="3051F2"/>
              <w:bottom w:val="single" w:sz="8" w:color="auto"/>
            </w:tcBorders>
          </w:tcPr>
          <w:p>
            <w:pPr>
              <w:spacing w:after="0"/>
              <w:rPr>
                <w:sz w:val="2"/>
                <w:szCs w:val="2"/>
                <w:color w:val="auto"/>
              </w:rPr>
            </w:pPr>
          </w:p>
        </w:tc>
        <w:tc>
          <w:tcPr>
            <w:tcW w:w="340" w:type="dxa"/>
            <w:vAlign w:val="bottom"/>
            <w:tcBorders>
              <w:top w:val="single" w:sz="8" w:color="3051F2"/>
              <w:bottom w:val="single" w:sz="8" w:color="auto"/>
            </w:tcBorders>
          </w:tcPr>
          <w:p>
            <w:pPr>
              <w:spacing w:after="0"/>
              <w:rPr>
                <w:sz w:val="2"/>
                <w:szCs w:val="2"/>
                <w:color w:val="auto"/>
              </w:rPr>
            </w:pPr>
          </w:p>
        </w:tc>
        <w:tc>
          <w:tcPr>
            <w:tcW w:w="20" w:type="dxa"/>
            <w:vAlign w:val="bottom"/>
            <w:tcBorders>
              <w:top w:val="single" w:sz="8" w:color="3051F2"/>
              <w:bottom w:val="single" w:sz="8" w:color="auto"/>
            </w:tcBorders>
          </w:tcPr>
          <w:p>
            <w:pPr>
              <w:spacing w:after="0"/>
              <w:rPr>
                <w:sz w:val="2"/>
                <w:szCs w:val="2"/>
                <w:color w:val="auto"/>
              </w:rPr>
            </w:pPr>
          </w:p>
        </w:tc>
        <w:tc>
          <w:tcPr>
            <w:tcW w:w="20" w:type="dxa"/>
            <w:vAlign w:val="bottom"/>
            <w:tcBorders>
              <w:top w:val="single" w:sz="8" w:color="3051F2"/>
              <w:bottom w:val="single" w:sz="8" w:color="auto"/>
            </w:tcBorders>
          </w:tcPr>
          <w:p>
            <w:pPr>
              <w:spacing w:after="0"/>
              <w:rPr>
                <w:sz w:val="2"/>
                <w:szCs w:val="2"/>
                <w:color w:val="auto"/>
              </w:rPr>
            </w:pPr>
          </w:p>
        </w:tc>
        <w:tc>
          <w:tcPr>
            <w:tcW w:w="100" w:type="dxa"/>
            <w:vAlign w:val="bottom"/>
            <w:tcBorders>
              <w:top w:val="single" w:sz="8" w:color="3051F2"/>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760" w:type="dxa"/>
            <w:vAlign w:val="bottom"/>
            <w:tcBorders>
              <w:left w:val="single" w:sz="8" w:color="auto"/>
              <w:bottom w:val="single" w:sz="8" w:color="auto"/>
              <w:right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2"/>
                <w:szCs w:val="12"/>
                <w:color w:val="auto"/>
              </w:rPr>
              <w:t>31.1</w:t>
            </w:r>
          </w:p>
        </w:tc>
        <w:tc>
          <w:tcPr>
            <w:tcW w:w="6100" w:type="dxa"/>
            <w:vAlign w:val="bottom"/>
            <w:tcBorders>
              <w:bottom w:val="single" w:sz="8" w:color="auto"/>
              <w:right w:val="single" w:sz="8" w:color="auto"/>
            </w:tcBorders>
            <w:gridSpan w:val="31"/>
            <w:shd w:val="clear" w:color="auto" w:fill="CCEEFF"/>
          </w:tcPr>
          <w:p>
            <w:pPr>
              <w:spacing w:after="0" w:line="119" w:lineRule="exact"/>
              <w:rPr>
                <w:sz w:val="20"/>
                <w:szCs w:val="20"/>
                <w:color w:val="auto"/>
              </w:rPr>
            </w:pPr>
            <w:r>
              <w:rPr>
                <w:rFonts w:ascii="Times New Roman" w:cs="Times New Roman" w:eastAsia="Times New Roman" w:hAnsi="Times New Roman"/>
                <w:sz w:val="12"/>
                <w:szCs w:val="12"/>
                <w:color w:val="3051F2"/>
              </w:rPr>
              <w:t>Certification of Chief Executive Officer pursuant to Section 302 of the Sarbanes-Oxley Act of 2002</w:t>
            </w:r>
          </w:p>
        </w:tc>
        <w:tc>
          <w:tcPr>
            <w:tcW w:w="4420" w:type="dxa"/>
            <w:vAlign w:val="bottom"/>
            <w:tcBorders>
              <w:bottom w:val="single" w:sz="8" w:color="auto"/>
              <w:right w:val="single" w:sz="8" w:color="auto"/>
            </w:tcBorders>
            <w:shd w:val="clear" w:color="auto" w:fill="CCEEFF"/>
          </w:tcPr>
          <w:p>
            <w:pPr>
              <w:spacing w:after="0" w:line="119" w:lineRule="exact"/>
              <w:rPr>
                <w:sz w:val="20"/>
                <w:szCs w:val="20"/>
                <w:color w:val="auto"/>
              </w:rPr>
            </w:pPr>
            <w:r>
              <w:rPr>
                <w:rFonts w:ascii="Times New Roman" w:cs="Times New Roman" w:eastAsia="Times New Roman" w:hAnsi="Times New Roman"/>
                <w:sz w:val="12"/>
                <w:szCs w:val="12"/>
                <w:color w:val="auto"/>
              </w:rPr>
              <w:t>Filed herewith</w:t>
            </w:r>
          </w:p>
        </w:tc>
        <w:tc>
          <w:tcPr>
            <w:tcW w:w="0" w:type="dxa"/>
            <w:vAlign w:val="bottom"/>
          </w:tcPr>
          <w:p>
            <w:pPr>
              <w:spacing w:after="0"/>
              <w:rPr>
                <w:sz w:val="1"/>
                <w:szCs w:val="1"/>
                <w:color w:val="auto"/>
              </w:rPr>
            </w:pPr>
          </w:p>
        </w:tc>
      </w:tr>
      <w:tr>
        <w:trPr>
          <w:trHeight w:val="119"/>
        </w:trPr>
        <w:tc>
          <w:tcPr>
            <w:tcW w:w="760" w:type="dxa"/>
            <w:vAlign w:val="bottom"/>
            <w:tcBorders>
              <w:left w:val="single" w:sz="8" w:color="auto"/>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2"/>
                <w:szCs w:val="12"/>
                <w:color w:val="auto"/>
              </w:rPr>
              <w:t>31.2</w:t>
            </w:r>
          </w:p>
        </w:tc>
        <w:tc>
          <w:tcPr>
            <w:tcW w:w="6100" w:type="dxa"/>
            <w:vAlign w:val="bottom"/>
            <w:tcBorders>
              <w:right w:val="single" w:sz="8" w:color="auto"/>
            </w:tcBorders>
            <w:gridSpan w:val="31"/>
          </w:tcPr>
          <w:p>
            <w:pPr>
              <w:spacing w:after="0" w:line="119" w:lineRule="exact"/>
              <w:rPr>
                <w:sz w:val="20"/>
                <w:szCs w:val="20"/>
                <w:color w:val="auto"/>
              </w:rPr>
            </w:pPr>
            <w:r>
              <w:rPr>
                <w:rFonts w:ascii="Times New Roman" w:cs="Times New Roman" w:eastAsia="Times New Roman" w:hAnsi="Times New Roman"/>
                <w:sz w:val="12"/>
                <w:szCs w:val="12"/>
                <w:color w:val="3051F2"/>
              </w:rPr>
              <w:t>Certification of Chief Financial Officer pursuant to Section 302 of the Sarbanes-Oxley Act of 2002</w:t>
            </w:r>
          </w:p>
        </w:tc>
        <w:tc>
          <w:tcPr>
            <w:tcW w:w="4420" w:type="dxa"/>
            <w:vAlign w:val="bottom"/>
            <w:tcBorders>
              <w:right w:val="single" w:sz="8" w:color="auto"/>
            </w:tcBorders>
          </w:tcPr>
          <w:p>
            <w:pPr>
              <w:spacing w:after="0" w:line="119" w:lineRule="exact"/>
              <w:rPr>
                <w:sz w:val="20"/>
                <w:szCs w:val="20"/>
                <w:color w:val="auto"/>
              </w:rPr>
            </w:pPr>
            <w:r>
              <w:rPr>
                <w:rFonts w:ascii="Times New Roman" w:cs="Times New Roman" w:eastAsia="Times New Roman" w:hAnsi="Times New Roman"/>
                <w:sz w:val="12"/>
                <w:szCs w:val="12"/>
                <w:color w:val="auto"/>
              </w:rPr>
              <w:t>Filed herewith</w:t>
            </w:r>
          </w:p>
        </w:tc>
        <w:tc>
          <w:tcPr>
            <w:tcW w:w="0" w:type="dxa"/>
            <w:vAlign w:val="bottom"/>
          </w:tcPr>
          <w:p>
            <w:pPr>
              <w:spacing w:after="0"/>
              <w:rPr>
                <w:sz w:val="1"/>
                <w:szCs w:val="1"/>
                <w:color w:val="auto"/>
              </w:rPr>
            </w:pPr>
          </w:p>
        </w:tc>
      </w:tr>
      <w:tr>
        <w:trPr>
          <w:trHeight w:val="26"/>
        </w:trPr>
        <w:tc>
          <w:tcPr>
            <w:tcW w:w="760" w:type="dxa"/>
            <w:vAlign w:val="bottom"/>
            <w:tcBorders>
              <w:left w:val="single" w:sz="8" w:color="auto"/>
              <w:bottom w:val="single" w:sz="8" w:color="auto"/>
              <w:right w:val="single" w:sz="8" w:color="auto"/>
            </w:tcBorders>
          </w:tcPr>
          <w:p>
            <w:pPr>
              <w:spacing w:after="0"/>
              <w:rPr>
                <w:sz w:val="2"/>
                <w:szCs w:val="2"/>
                <w:color w:val="auto"/>
              </w:rPr>
            </w:pPr>
          </w:p>
        </w:tc>
        <w:tc>
          <w:tcPr>
            <w:tcW w:w="380" w:type="dxa"/>
            <w:vAlign w:val="bottom"/>
            <w:tcBorders>
              <w:top w:val="single" w:sz="8" w:color="3051F2"/>
              <w:bottom w:val="single" w:sz="8" w:color="auto"/>
            </w:tcBorders>
          </w:tcPr>
          <w:p>
            <w:pPr>
              <w:spacing w:after="0"/>
              <w:rPr>
                <w:sz w:val="2"/>
                <w:szCs w:val="2"/>
                <w:color w:val="auto"/>
              </w:rPr>
            </w:pPr>
          </w:p>
        </w:tc>
        <w:tc>
          <w:tcPr>
            <w:tcW w:w="720" w:type="dxa"/>
            <w:vAlign w:val="bottom"/>
            <w:tcBorders>
              <w:top w:val="single" w:sz="8" w:color="3051F2"/>
              <w:bottom w:val="single" w:sz="8" w:color="auto"/>
            </w:tcBorders>
          </w:tcPr>
          <w:p>
            <w:pPr>
              <w:spacing w:after="0"/>
              <w:rPr>
                <w:sz w:val="2"/>
                <w:szCs w:val="2"/>
                <w:color w:val="auto"/>
              </w:rPr>
            </w:pPr>
          </w:p>
        </w:tc>
        <w:tc>
          <w:tcPr>
            <w:tcW w:w="340" w:type="dxa"/>
            <w:vAlign w:val="bottom"/>
            <w:tcBorders>
              <w:top w:val="single" w:sz="8" w:color="3051F2"/>
              <w:bottom w:val="single" w:sz="8" w:color="auto"/>
            </w:tcBorders>
          </w:tcPr>
          <w:p>
            <w:pPr>
              <w:spacing w:after="0"/>
              <w:rPr>
                <w:sz w:val="2"/>
                <w:szCs w:val="2"/>
                <w:color w:val="auto"/>
              </w:rPr>
            </w:pPr>
          </w:p>
        </w:tc>
        <w:tc>
          <w:tcPr>
            <w:tcW w:w="20" w:type="dxa"/>
            <w:vAlign w:val="bottom"/>
            <w:tcBorders>
              <w:top w:val="single" w:sz="8" w:color="3051F2"/>
              <w:bottom w:val="single" w:sz="8" w:color="auto"/>
            </w:tcBorders>
          </w:tcPr>
          <w:p>
            <w:pPr>
              <w:spacing w:after="0"/>
              <w:rPr>
                <w:sz w:val="2"/>
                <w:szCs w:val="2"/>
                <w:color w:val="auto"/>
              </w:rPr>
            </w:pPr>
          </w:p>
        </w:tc>
        <w:tc>
          <w:tcPr>
            <w:tcW w:w="20" w:type="dxa"/>
            <w:vAlign w:val="bottom"/>
            <w:tcBorders>
              <w:top w:val="single" w:sz="8" w:color="3051F2"/>
              <w:bottom w:val="single" w:sz="8" w:color="auto"/>
            </w:tcBorders>
          </w:tcPr>
          <w:p>
            <w:pPr>
              <w:spacing w:after="0"/>
              <w:rPr>
                <w:sz w:val="2"/>
                <w:szCs w:val="2"/>
                <w:color w:val="auto"/>
              </w:rPr>
            </w:pPr>
          </w:p>
        </w:tc>
        <w:tc>
          <w:tcPr>
            <w:tcW w:w="100" w:type="dxa"/>
            <w:vAlign w:val="bottom"/>
            <w:tcBorders>
              <w:top w:val="single" w:sz="8" w:color="3051F2"/>
              <w:bottom w:val="single" w:sz="8" w:color="auto"/>
            </w:tcBorders>
          </w:tcPr>
          <w:p>
            <w:pPr>
              <w:spacing w:after="0"/>
              <w:rPr>
                <w:sz w:val="2"/>
                <w:szCs w:val="2"/>
                <w:color w:val="auto"/>
              </w:rPr>
            </w:pPr>
          </w:p>
        </w:tc>
        <w:tc>
          <w:tcPr>
            <w:tcW w:w="120" w:type="dxa"/>
            <w:vAlign w:val="bottom"/>
            <w:tcBorders>
              <w:top w:val="single" w:sz="8" w:color="3051F2"/>
              <w:bottom w:val="single" w:sz="8" w:color="auto"/>
            </w:tcBorders>
          </w:tcPr>
          <w:p>
            <w:pPr>
              <w:spacing w:after="0"/>
              <w:rPr>
                <w:sz w:val="2"/>
                <w:szCs w:val="2"/>
                <w:color w:val="auto"/>
              </w:rPr>
            </w:pPr>
          </w:p>
        </w:tc>
        <w:tc>
          <w:tcPr>
            <w:tcW w:w="60" w:type="dxa"/>
            <w:vAlign w:val="bottom"/>
            <w:tcBorders>
              <w:top w:val="single" w:sz="8" w:color="3051F2"/>
              <w:bottom w:val="single" w:sz="8" w:color="auto"/>
            </w:tcBorders>
          </w:tcPr>
          <w:p>
            <w:pPr>
              <w:spacing w:after="0"/>
              <w:rPr>
                <w:sz w:val="2"/>
                <w:szCs w:val="2"/>
                <w:color w:val="auto"/>
              </w:rPr>
            </w:pPr>
          </w:p>
        </w:tc>
        <w:tc>
          <w:tcPr>
            <w:tcW w:w="40" w:type="dxa"/>
            <w:vAlign w:val="bottom"/>
            <w:tcBorders>
              <w:top w:val="single" w:sz="8" w:color="3051F2"/>
              <w:bottom w:val="single" w:sz="8" w:color="auto"/>
            </w:tcBorders>
          </w:tcPr>
          <w:p>
            <w:pPr>
              <w:spacing w:after="0"/>
              <w:rPr>
                <w:sz w:val="2"/>
                <w:szCs w:val="2"/>
                <w:color w:val="auto"/>
              </w:rPr>
            </w:pPr>
          </w:p>
        </w:tc>
        <w:tc>
          <w:tcPr>
            <w:tcW w:w="60" w:type="dxa"/>
            <w:vAlign w:val="bottom"/>
            <w:tcBorders>
              <w:top w:val="single" w:sz="8" w:color="3051F2"/>
              <w:bottom w:val="single" w:sz="8" w:color="auto"/>
            </w:tcBorders>
          </w:tcPr>
          <w:p>
            <w:pPr>
              <w:spacing w:after="0"/>
              <w:rPr>
                <w:sz w:val="2"/>
                <w:szCs w:val="2"/>
                <w:color w:val="auto"/>
              </w:rPr>
            </w:pPr>
          </w:p>
        </w:tc>
        <w:tc>
          <w:tcPr>
            <w:tcW w:w="200" w:type="dxa"/>
            <w:vAlign w:val="bottom"/>
            <w:tcBorders>
              <w:top w:val="single" w:sz="8" w:color="3051F2"/>
              <w:bottom w:val="single" w:sz="8" w:color="auto"/>
            </w:tcBorders>
          </w:tcPr>
          <w:p>
            <w:pPr>
              <w:spacing w:after="0"/>
              <w:rPr>
                <w:sz w:val="2"/>
                <w:szCs w:val="2"/>
                <w:color w:val="auto"/>
              </w:rPr>
            </w:pPr>
          </w:p>
        </w:tc>
        <w:tc>
          <w:tcPr>
            <w:tcW w:w="120" w:type="dxa"/>
            <w:vAlign w:val="bottom"/>
            <w:tcBorders>
              <w:top w:val="single" w:sz="8" w:color="3051F2"/>
              <w:bottom w:val="single" w:sz="8" w:color="auto"/>
            </w:tcBorders>
          </w:tcPr>
          <w:p>
            <w:pPr>
              <w:spacing w:after="0"/>
              <w:rPr>
                <w:sz w:val="2"/>
                <w:szCs w:val="2"/>
                <w:color w:val="auto"/>
              </w:rPr>
            </w:pPr>
          </w:p>
        </w:tc>
        <w:tc>
          <w:tcPr>
            <w:tcW w:w="80" w:type="dxa"/>
            <w:vAlign w:val="bottom"/>
            <w:tcBorders>
              <w:top w:val="single" w:sz="8" w:color="3051F2"/>
              <w:bottom w:val="single" w:sz="8" w:color="auto"/>
            </w:tcBorders>
          </w:tcPr>
          <w:p>
            <w:pPr>
              <w:spacing w:after="0"/>
              <w:rPr>
                <w:sz w:val="2"/>
                <w:szCs w:val="2"/>
                <w:color w:val="auto"/>
              </w:rPr>
            </w:pPr>
          </w:p>
        </w:tc>
        <w:tc>
          <w:tcPr>
            <w:tcW w:w="280" w:type="dxa"/>
            <w:vAlign w:val="bottom"/>
            <w:tcBorders>
              <w:top w:val="single" w:sz="8" w:color="3051F2"/>
              <w:bottom w:val="single" w:sz="8" w:color="auto"/>
            </w:tcBorders>
          </w:tcPr>
          <w:p>
            <w:pPr>
              <w:spacing w:after="0"/>
              <w:rPr>
                <w:sz w:val="2"/>
                <w:szCs w:val="2"/>
                <w:color w:val="auto"/>
              </w:rPr>
            </w:pPr>
          </w:p>
        </w:tc>
        <w:tc>
          <w:tcPr>
            <w:tcW w:w="40" w:type="dxa"/>
            <w:vAlign w:val="bottom"/>
            <w:tcBorders>
              <w:top w:val="single" w:sz="8" w:color="3051F2"/>
              <w:bottom w:val="single" w:sz="8" w:color="auto"/>
            </w:tcBorders>
          </w:tcPr>
          <w:p>
            <w:pPr>
              <w:spacing w:after="0"/>
              <w:rPr>
                <w:sz w:val="2"/>
                <w:szCs w:val="2"/>
                <w:color w:val="auto"/>
              </w:rPr>
            </w:pPr>
          </w:p>
        </w:tc>
        <w:tc>
          <w:tcPr>
            <w:tcW w:w="40" w:type="dxa"/>
            <w:vAlign w:val="bottom"/>
            <w:tcBorders>
              <w:top w:val="single" w:sz="8" w:color="3051F2"/>
              <w:bottom w:val="single" w:sz="8" w:color="auto"/>
            </w:tcBorders>
          </w:tcPr>
          <w:p>
            <w:pPr>
              <w:spacing w:after="0"/>
              <w:rPr>
                <w:sz w:val="2"/>
                <w:szCs w:val="2"/>
                <w:color w:val="auto"/>
              </w:rPr>
            </w:pPr>
          </w:p>
        </w:tc>
        <w:tc>
          <w:tcPr>
            <w:tcW w:w="180" w:type="dxa"/>
            <w:vAlign w:val="bottom"/>
            <w:tcBorders>
              <w:top w:val="single" w:sz="8" w:color="3051F2"/>
              <w:bottom w:val="single" w:sz="8" w:color="auto"/>
            </w:tcBorders>
          </w:tcPr>
          <w:p>
            <w:pPr>
              <w:spacing w:after="0"/>
              <w:rPr>
                <w:sz w:val="2"/>
                <w:szCs w:val="2"/>
                <w:color w:val="auto"/>
              </w:rPr>
            </w:pPr>
          </w:p>
        </w:tc>
        <w:tc>
          <w:tcPr>
            <w:tcW w:w="160" w:type="dxa"/>
            <w:vAlign w:val="bottom"/>
            <w:tcBorders>
              <w:top w:val="single" w:sz="8" w:color="3051F2"/>
              <w:bottom w:val="single" w:sz="8" w:color="auto"/>
            </w:tcBorders>
          </w:tcPr>
          <w:p>
            <w:pPr>
              <w:spacing w:after="0"/>
              <w:rPr>
                <w:sz w:val="2"/>
                <w:szCs w:val="2"/>
                <w:color w:val="auto"/>
              </w:rPr>
            </w:pPr>
          </w:p>
        </w:tc>
        <w:tc>
          <w:tcPr>
            <w:tcW w:w="220" w:type="dxa"/>
            <w:vAlign w:val="bottom"/>
            <w:tcBorders>
              <w:top w:val="single" w:sz="8" w:color="3051F2"/>
              <w:bottom w:val="single" w:sz="8" w:color="auto"/>
            </w:tcBorders>
          </w:tcPr>
          <w:p>
            <w:pPr>
              <w:spacing w:after="0"/>
              <w:rPr>
                <w:sz w:val="2"/>
                <w:szCs w:val="2"/>
                <w:color w:val="auto"/>
              </w:rPr>
            </w:pPr>
          </w:p>
        </w:tc>
        <w:tc>
          <w:tcPr>
            <w:tcW w:w="540" w:type="dxa"/>
            <w:vAlign w:val="bottom"/>
            <w:tcBorders>
              <w:top w:val="single" w:sz="8" w:color="3051F2"/>
              <w:bottom w:val="single" w:sz="8" w:color="auto"/>
            </w:tcBorders>
          </w:tcPr>
          <w:p>
            <w:pPr>
              <w:spacing w:after="0"/>
              <w:rPr>
                <w:sz w:val="2"/>
                <w:szCs w:val="2"/>
                <w:color w:val="auto"/>
              </w:rPr>
            </w:pPr>
          </w:p>
        </w:tc>
        <w:tc>
          <w:tcPr>
            <w:tcW w:w="120" w:type="dxa"/>
            <w:vAlign w:val="bottom"/>
            <w:tcBorders>
              <w:top w:val="single" w:sz="8" w:color="3051F2"/>
              <w:bottom w:val="single" w:sz="8" w:color="auto"/>
            </w:tcBorders>
          </w:tcPr>
          <w:p>
            <w:pPr>
              <w:spacing w:after="0"/>
              <w:rPr>
                <w:sz w:val="2"/>
                <w:szCs w:val="2"/>
                <w:color w:val="auto"/>
              </w:rPr>
            </w:pPr>
          </w:p>
        </w:tc>
        <w:tc>
          <w:tcPr>
            <w:tcW w:w="1040" w:type="dxa"/>
            <w:vAlign w:val="bottom"/>
            <w:tcBorders>
              <w:top w:val="single" w:sz="8" w:color="3051F2"/>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760" w:type="dxa"/>
            <w:vAlign w:val="bottom"/>
            <w:tcBorders>
              <w:left w:val="single" w:sz="8" w:color="auto"/>
              <w:bottom w:val="single" w:sz="8" w:color="CCEEFF"/>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32.1</w:t>
            </w:r>
          </w:p>
        </w:tc>
        <w:tc>
          <w:tcPr>
            <w:tcW w:w="6020" w:type="dxa"/>
            <w:vAlign w:val="bottom"/>
            <w:tcBorders>
              <w:bottom w:val="single" w:sz="8" w:color="3051F2"/>
            </w:tcBorders>
            <w:gridSpan w:val="29"/>
            <w:shd w:val="clear" w:color="auto" w:fill="CCEEFF"/>
          </w:tcPr>
          <w:p>
            <w:pPr>
              <w:spacing w:after="0" w:line="119" w:lineRule="exact"/>
              <w:rPr>
                <w:sz w:val="20"/>
                <w:szCs w:val="20"/>
                <w:color w:val="auto"/>
              </w:rPr>
            </w:pPr>
            <w:r>
              <w:rPr>
                <w:rFonts w:ascii="Times New Roman" w:cs="Times New Roman" w:eastAsia="Times New Roman" w:hAnsi="Times New Roman"/>
                <w:sz w:val="12"/>
                <w:szCs w:val="12"/>
                <w:color w:val="3051F2"/>
              </w:rPr>
              <w:t>Certification of Chief Executive Officer and Chief Financial Officer pursuant to Section 906 of the Sarbanes-Oxley Act</w:t>
            </w:r>
          </w:p>
        </w:tc>
        <w:tc>
          <w:tcPr>
            <w:tcW w:w="80" w:type="dxa"/>
            <w:vAlign w:val="bottom"/>
            <w:tcBorders>
              <w:bottom w:val="single" w:sz="8" w:color="CCEEFF"/>
              <w:right w:val="single" w:sz="8" w:color="auto"/>
            </w:tcBorders>
            <w:gridSpan w:val="2"/>
            <w:shd w:val="clear" w:color="auto" w:fill="CCEEFF"/>
          </w:tcPr>
          <w:p>
            <w:pPr>
              <w:spacing w:after="0"/>
              <w:rPr>
                <w:sz w:val="10"/>
                <w:szCs w:val="10"/>
                <w:color w:val="auto"/>
              </w:rPr>
            </w:pPr>
          </w:p>
        </w:tc>
        <w:tc>
          <w:tcPr>
            <w:tcW w:w="4420" w:type="dxa"/>
            <w:vAlign w:val="bottom"/>
            <w:tcBorders>
              <w:bottom w:val="single" w:sz="8" w:color="CCEEFF"/>
              <w:right w:val="single" w:sz="8" w:color="auto"/>
            </w:tcBorders>
            <w:shd w:val="clear" w:color="auto" w:fill="CCEEFF"/>
          </w:tcPr>
          <w:p>
            <w:pPr>
              <w:spacing w:after="0" w:line="119" w:lineRule="exact"/>
              <w:rPr>
                <w:sz w:val="20"/>
                <w:szCs w:val="20"/>
                <w:color w:val="auto"/>
              </w:rPr>
            </w:pPr>
            <w:r>
              <w:rPr>
                <w:rFonts w:ascii="Times New Roman" w:cs="Times New Roman" w:eastAsia="Times New Roman" w:hAnsi="Times New Roman"/>
                <w:sz w:val="12"/>
                <w:szCs w:val="12"/>
                <w:color w:val="auto"/>
              </w:rPr>
              <w:t>Filed herewith</w:t>
            </w:r>
          </w:p>
        </w:tc>
        <w:tc>
          <w:tcPr>
            <w:tcW w:w="0" w:type="dxa"/>
            <w:vAlign w:val="bottom"/>
          </w:tcPr>
          <w:p>
            <w:pPr>
              <w:spacing w:after="0"/>
              <w:rPr>
                <w:sz w:val="1"/>
                <w:szCs w:val="1"/>
                <w:color w:val="auto"/>
              </w:rPr>
            </w:pPr>
          </w:p>
        </w:tc>
      </w:tr>
      <w:tr>
        <w:trPr>
          <w:trHeight w:val="62"/>
        </w:trPr>
        <w:tc>
          <w:tcPr>
            <w:tcW w:w="760" w:type="dxa"/>
            <w:vAlign w:val="bottom"/>
            <w:tcBorders>
              <w:left w:val="single" w:sz="8" w:color="auto"/>
              <w:right w:val="single" w:sz="8" w:color="auto"/>
            </w:tcBorders>
            <w:vMerge w:val="continue"/>
            <w:shd w:val="clear" w:color="auto" w:fill="CCEEFF"/>
          </w:tcPr>
          <w:p>
            <w:pPr>
              <w:spacing w:after="0"/>
              <w:rPr>
                <w:sz w:val="5"/>
                <w:szCs w:val="5"/>
                <w:color w:val="auto"/>
              </w:rPr>
            </w:pPr>
          </w:p>
        </w:tc>
        <w:tc>
          <w:tcPr>
            <w:tcW w:w="6100" w:type="dxa"/>
            <w:vAlign w:val="bottom"/>
            <w:tcBorders>
              <w:right w:val="single" w:sz="8" w:color="auto"/>
            </w:tcBorders>
            <w:gridSpan w:val="31"/>
            <w:vMerge w:val="restart"/>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3051F2"/>
              </w:rPr>
              <w:t>of 2002</w:t>
            </w:r>
          </w:p>
        </w:tc>
        <w:tc>
          <w:tcPr>
            <w:tcW w:w="4420" w:type="dxa"/>
            <w:vAlign w:val="bottom"/>
            <w:tcBorders>
              <w:right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85"/>
        </w:trPr>
        <w:tc>
          <w:tcPr>
            <w:tcW w:w="760" w:type="dxa"/>
            <w:vAlign w:val="bottom"/>
            <w:tcBorders>
              <w:left w:val="single" w:sz="8" w:color="auto"/>
              <w:bottom w:val="single" w:sz="8" w:color="auto"/>
              <w:right w:val="single" w:sz="8" w:color="auto"/>
            </w:tcBorders>
            <w:shd w:val="clear" w:color="auto" w:fill="CCEEFF"/>
          </w:tcPr>
          <w:p>
            <w:pPr>
              <w:spacing w:after="0"/>
              <w:rPr>
                <w:sz w:val="7"/>
                <w:szCs w:val="7"/>
                <w:color w:val="auto"/>
              </w:rPr>
            </w:pPr>
          </w:p>
        </w:tc>
        <w:tc>
          <w:tcPr>
            <w:tcW w:w="6100" w:type="dxa"/>
            <w:vAlign w:val="bottom"/>
            <w:tcBorders>
              <w:bottom w:val="single" w:sz="8" w:color="auto"/>
              <w:right w:val="single" w:sz="8" w:color="auto"/>
            </w:tcBorders>
            <w:gridSpan w:val="31"/>
            <w:vMerge w:val="continue"/>
            <w:shd w:val="clear" w:color="auto" w:fill="CCEEFF"/>
          </w:tcPr>
          <w:p>
            <w:pPr>
              <w:spacing w:after="0"/>
              <w:rPr>
                <w:sz w:val="7"/>
                <w:szCs w:val="7"/>
                <w:color w:val="auto"/>
              </w:rPr>
            </w:pPr>
          </w:p>
        </w:tc>
        <w:tc>
          <w:tcPr>
            <w:tcW w:w="4420" w:type="dxa"/>
            <w:vAlign w:val="bottom"/>
            <w:tcBorders>
              <w:bottom w:val="single" w:sz="8" w:color="auto"/>
              <w:right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7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rPr>
              <w:t>101.INS</w:t>
            </w:r>
          </w:p>
        </w:tc>
        <w:tc>
          <w:tcPr>
            <w:tcW w:w="6100" w:type="dxa"/>
            <w:vAlign w:val="bottom"/>
            <w:tcBorders>
              <w:right w:val="single" w:sz="8" w:color="auto"/>
            </w:tcBorders>
            <w:gridSpan w:val="31"/>
            <w:vMerge w:val="restart"/>
          </w:tcPr>
          <w:p>
            <w:pPr>
              <w:spacing w:after="0"/>
              <w:rPr>
                <w:sz w:val="20"/>
                <w:szCs w:val="20"/>
                <w:color w:val="auto"/>
              </w:rPr>
            </w:pPr>
            <w:r>
              <w:rPr>
                <w:rFonts w:ascii="Times New Roman" w:cs="Times New Roman" w:eastAsia="Times New Roman" w:hAnsi="Times New Roman"/>
                <w:sz w:val="12"/>
                <w:szCs w:val="12"/>
                <w:color w:val="auto"/>
              </w:rPr>
              <w:t>XBRL Instance Document</w:t>
            </w:r>
          </w:p>
        </w:tc>
        <w:tc>
          <w:tcPr>
            <w:tcW w:w="4420" w:type="dxa"/>
            <w:vAlign w:val="bottom"/>
            <w:tcBorders>
              <w:right w:val="single" w:sz="8" w:color="auto"/>
            </w:tcBorders>
          </w:tcPr>
          <w:p>
            <w:pPr>
              <w:spacing w:after="0" w:line="106" w:lineRule="exact"/>
              <w:rPr>
                <w:sz w:val="20"/>
                <w:szCs w:val="20"/>
                <w:color w:val="auto"/>
              </w:rPr>
            </w:pPr>
            <w:r>
              <w:rPr>
                <w:rFonts w:ascii="Times New Roman" w:cs="Times New Roman" w:eastAsia="Times New Roman" w:hAnsi="Times New Roman"/>
                <w:sz w:val="12"/>
                <w:szCs w:val="12"/>
                <w:color w:val="auto"/>
              </w:rPr>
              <w:t>The instance document does not appear in the Interactive Data File because its XBRL tags</w:t>
            </w:r>
          </w:p>
        </w:tc>
        <w:tc>
          <w:tcPr>
            <w:tcW w:w="0" w:type="dxa"/>
            <w:vAlign w:val="bottom"/>
          </w:tcPr>
          <w:p>
            <w:pPr>
              <w:spacing w:after="0"/>
              <w:rPr>
                <w:sz w:val="1"/>
                <w:szCs w:val="1"/>
                <w:color w:val="auto"/>
              </w:rPr>
            </w:pPr>
          </w:p>
        </w:tc>
      </w:tr>
      <w:tr>
        <w:trPr>
          <w:trHeight w:val="90"/>
        </w:trPr>
        <w:tc>
          <w:tcPr>
            <w:tcW w:w="760" w:type="dxa"/>
            <w:vAlign w:val="bottom"/>
            <w:tcBorders>
              <w:left w:val="single" w:sz="8" w:color="auto"/>
              <w:right w:val="single" w:sz="8" w:color="auto"/>
            </w:tcBorders>
            <w:vMerge w:val="continue"/>
          </w:tcPr>
          <w:p>
            <w:pPr>
              <w:spacing w:after="0"/>
              <w:rPr>
                <w:sz w:val="7"/>
                <w:szCs w:val="7"/>
                <w:color w:val="auto"/>
              </w:rPr>
            </w:pPr>
          </w:p>
        </w:tc>
        <w:tc>
          <w:tcPr>
            <w:tcW w:w="6100" w:type="dxa"/>
            <w:vAlign w:val="bottom"/>
            <w:tcBorders>
              <w:right w:val="single" w:sz="8" w:color="auto"/>
            </w:tcBorders>
            <w:gridSpan w:val="31"/>
            <w:vMerge w:val="continue"/>
          </w:tcPr>
          <w:p>
            <w:pPr>
              <w:spacing w:after="0"/>
              <w:rPr>
                <w:sz w:val="7"/>
                <w:szCs w:val="7"/>
                <w:color w:val="auto"/>
              </w:rPr>
            </w:pPr>
          </w:p>
        </w:tc>
        <w:tc>
          <w:tcPr>
            <w:tcW w:w="4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2"/>
                <w:szCs w:val="12"/>
                <w:color w:val="auto"/>
              </w:rPr>
              <w:t>are embedded within the Inline XBRL document.</w:t>
            </w:r>
          </w:p>
        </w:tc>
        <w:tc>
          <w:tcPr>
            <w:tcW w:w="0" w:type="dxa"/>
            <w:vAlign w:val="bottom"/>
          </w:tcPr>
          <w:p>
            <w:pPr>
              <w:spacing w:after="0"/>
              <w:rPr>
                <w:sz w:val="1"/>
                <w:szCs w:val="1"/>
                <w:color w:val="auto"/>
              </w:rPr>
            </w:pPr>
          </w:p>
        </w:tc>
      </w:tr>
      <w:tr>
        <w:trPr>
          <w:trHeight w:val="75"/>
        </w:trPr>
        <w:tc>
          <w:tcPr>
            <w:tcW w:w="760" w:type="dxa"/>
            <w:vAlign w:val="bottom"/>
            <w:tcBorders>
              <w:left w:val="single" w:sz="8" w:color="auto"/>
              <w:bottom w:val="single" w:sz="8" w:color="auto"/>
              <w:right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right w:val="single" w:sz="8" w:color="auto"/>
            </w:tcBorders>
          </w:tcPr>
          <w:p>
            <w:pPr>
              <w:spacing w:after="0"/>
              <w:rPr>
                <w:sz w:val="6"/>
                <w:szCs w:val="6"/>
                <w:color w:val="auto"/>
              </w:rPr>
            </w:pPr>
          </w:p>
        </w:tc>
        <w:tc>
          <w:tcPr>
            <w:tcW w:w="44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76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101.SCH</w:t>
            </w:r>
          </w:p>
        </w:tc>
        <w:tc>
          <w:tcPr>
            <w:tcW w:w="6100" w:type="dxa"/>
            <w:vAlign w:val="bottom"/>
            <w:tcBorders>
              <w:bottom w:val="single" w:sz="8" w:color="auto"/>
              <w:right w:val="single" w:sz="8" w:color="auto"/>
            </w:tcBorders>
            <w:gridSpan w:val="31"/>
            <w:shd w:val="clear" w:color="auto" w:fill="CCEEFF"/>
          </w:tcPr>
          <w:p>
            <w:pPr>
              <w:spacing w:after="0"/>
              <w:rPr>
                <w:sz w:val="20"/>
                <w:szCs w:val="20"/>
                <w:color w:val="auto"/>
              </w:rPr>
            </w:pPr>
            <w:r>
              <w:rPr>
                <w:rFonts w:ascii="Times New Roman" w:cs="Times New Roman" w:eastAsia="Times New Roman" w:hAnsi="Times New Roman"/>
                <w:sz w:val="12"/>
                <w:szCs w:val="12"/>
                <w:color w:val="auto"/>
              </w:rPr>
              <w:t>XBRL Taxonomy Extension Schema Document</w:t>
            </w:r>
          </w:p>
        </w:tc>
        <w:tc>
          <w:tcPr>
            <w:tcW w:w="442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Filed herewith</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53" w:name="page54"/>
    <w:bookmarkEnd w:id="53"/>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10" w:type="dxa"/>
        <w:tblCellMar>
          <w:top w:w="0" w:type="dxa"/>
          <w:left w:w="0" w:type="dxa"/>
          <w:bottom w:w="0" w:type="dxa"/>
          <w:right w:w="0" w:type="dxa"/>
        </w:tblCellMar>
      </w:tblPr>
      <w:tr>
        <w:trPr>
          <w:trHeight w:val="178"/>
        </w:trPr>
        <w:tc>
          <w:tcPr>
            <w:tcW w:w="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101.CAL</w:t>
            </w:r>
          </w:p>
        </w:tc>
        <w:tc>
          <w:tcPr>
            <w:tcW w:w="60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XBRL Taxonomy Extension Calculation Linkbase Document</w:t>
            </w:r>
          </w:p>
        </w:tc>
        <w:tc>
          <w:tcPr>
            <w:tcW w:w="45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Filed herewith</w:t>
            </w:r>
          </w:p>
        </w:tc>
      </w:tr>
      <w:tr>
        <w:trPr>
          <w:trHeight w:val="165"/>
        </w:trPr>
        <w:tc>
          <w:tcPr>
            <w:tcW w:w="76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101.DEF</w:t>
            </w:r>
          </w:p>
        </w:tc>
        <w:tc>
          <w:tcPr>
            <w:tcW w:w="60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XBRL Taxonomy Extension Definition Linkbase Document</w:t>
            </w:r>
          </w:p>
        </w:tc>
        <w:tc>
          <w:tcPr>
            <w:tcW w:w="452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Filed herewith</w:t>
            </w:r>
          </w:p>
        </w:tc>
      </w:tr>
      <w:tr>
        <w:trPr>
          <w:trHeight w:val="165"/>
        </w:trPr>
        <w:tc>
          <w:tcPr>
            <w:tcW w:w="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101.LAB</w:t>
            </w:r>
          </w:p>
        </w:tc>
        <w:tc>
          <w:tcPr>
            <w:tcW w:w="6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XBRL Taxonomy Extension Label Linkbase Document</w:t>
            </w:r>
          </w:p>
        </w:tc>
        <w:tc>
          <w:tcPr>
            <w:tcW w:w="4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Filed herewith</w:t>
            </w:r>
          </w:p>
        </w:tc>
      </w:tr>
      <w:tr>
        <w:trPr>
          <w:trHeight w:val="165"/>
        </w:trPr>
        <w:tc>
          <w:tcPr>
            <w:tcW w:w="76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101.PRE</w:t>
            </w:r>
          </w:p>
        </w:tc>
        <w:tc>
          <w:tcPr>
            <w:tcW w:w="60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XBRL Taxonomy Extension Presentation Linkbase Document</w:t>
            </w:r>
          </w:p>
        </w:tc>
        <w:tc>
          <w:tcPr>
            <w:tcW w:w="452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Filed herewith</w:t>
            </w:r>
          </w:p>
        </w:tc>
      </w:tr>
      <w:tr>
        <w:trPr>
          <w:trHeight w:val="218"/>
        </w:trPr>
        <w:tc>
          <w:tcPr>
            <w:tcW w:w="760" w:type="dxa"/>
            <w:vAlign w:val="bottom"/>
            <w:tcBorders>
              <w:left w:val="single" w:sz="8" w:color="auto"/>
              <w:bottom w:val="single" w:sz="8" w:color="auto"/>
              <w:right w:val="single" w:sz="8" w:color="auto"/>
            </w:tcBorders>
          </w:tcPr>
          <w:p>
            <w:pPr>
              <w:spacing w:after="0"/>
              <w:rPr>
                <w:sz w:val="18"/>
                <w:szCs w:val="18"/>
                <w:color w:val="auto"/>
              </w:rPr>
            </w:pPr>
          </w:p>
        </w:tc>
        <w:tc>
          <w:tcPr>
            <w:tcW w:w="6000" w:type="dxa"/>
            <w:vAlign w:val="bottom"/>
            <w:tcBorders>
              <w:bottom w:val="single" w:sz="8" w:color="auto"/>
              <w:right w:val="single" w:sz="8" w:color="auto"/>
            </w:tcBorders>
          </w:tcPr>
          <w:p>
            <w:pPr>
              <w:spacing w:after="0"/>
              <w:rPr>
                <w:sz w:val="18"/>
                <w:szCs w:val="18"/>
                <w:color w:val="auto"/>
              </w:rPr>
            </w:pPr>
          </w:p>
        </w:tc>
        <w:tc>
          <w:tcPr>
            <w:tcW w:w="4520" w:type="dxa"/>
            <w:vAlign w:val="bottom"/>
            <w:tcBorders>
              <w:bottom w:val="single" w:sz="8" w:color="auto"/>
              <w:right w:val="single" w:sz="8" w:color="auto"/>
            </w:tcBorders>
          </w:tcPr>
          <w:p>
            <w:pPr>
              <w:spacing w:after="0"/>
              <w:rPr>
                <w:sz w:val="18"/>
                <w:szCs w:val="18"/>
                <w:color w:val="auto"/>
              </w:rPr>
            </w:pPr>
          </w:p>
        </w:tc>
      </w:tr>
      <w:tr>
        <w:trPr>
          <w:trHeight w:val="111"/>
        </w:trPr>
        <w:tc>
          <w:tcPr>
            <w:tcW w:w="760" w:type="dxa"/>
            <w:vAlign w:val="bottom"/>
            <w:tcBorders>
              <w:left w:val="single" w:sz="8" w:color="auto"/>
              <w:right w:val="single" w:sz="8" w:color="auto"/>
            </w:tcBorders>
          </w:tcPr>
          <w:p>
            <w:pPr>
              <w:jc w:val="right"/>
              <w:ind w:right="618"/>
              <w:spacing w:after="0" w:line="111" w:lineRule="exact"/>
              <w:rPr>
                <w:sz w:val="20"/>
                <w:szCs w:val="20"/>
                <w:color w:val="auto"/>
              </w:rPr>
            </w:pPr>
            <w:r>
              <w:rPr>
                <w:rFonts w:ascii="Times New Roman" w:cs="Times New Roman" w:eastAsia="Times New Roman" w:hAnsi="Times New Roman"/>
                <w:sz w:val="12"/>
                <w:szCs w:val="12"/>
                <w:color w:val="auto"/>
                <w:w w:val="99"/>
              </w:rPr>
              <w:t>*</w:t>
            </w:r>
          </w:p>
        </w:tc>
        <w:tc>
          <w:tcPr>
            <w:tcW w:w="10520" w:type="dxa"/>
            <w:vAlign w:val="bottom"/>
            <w:tcBorders>
              <w:right w:val="single" w:sz="8" w:color="auto"/>
            </w:tcBorders>
            <w:gridSpan w:val="2"/>
          </w:tcPr>
          <w:p>
            <w:pPr>
              <w:spacing w:after="0" w:line="111" w:lineRule="exact"/>
              <w:rPr>
                <w:sz w:val="20"/>
                <w:szCs w:val="20"/>
                <w:color w:val="auto"/>
              </w:rPr>
            </w:pPr>
            <w:r>
              <w:rPr>
                <w:rFonts w:ascii="Times New Roman" w:cs="Times New Roman" w:eastAsia="Times New Roman" w:hAnsi="Times New Roman"/>
                <w:sz w:val="12"/>
                <w:szCs w:val="12"/>
                <w:color w:val="auto"/>
              </w:rPr>
              <w:t>Certain schedules and exhibits have been omitted pursuance to Item 601(a)(5) of Regulation S-K because such schedules and exhibits do not contain information which is material to an investment decision or</w:t>
            </w:r>
          </w:p>
        </w:tc>
      </w:tr>
      <w:tr>
        <w:trPr>
          <w:trHeight w:val="165"/>
        </w:trPr>
        <w:tc>
          <w:tcPr>
            <w:tcW w:w="760" w:type="dxa"/>
            <w:vAlign w:val="bottom"/>
            <w:tcBorders>
              <w:left w:val="single" w:sz="8" w:color="auto"/>
              <w:bottom w:val="single" w:sz="8" w:color="auto"/>
              <w:right w:val="single" w:sz="8" w:color="auto"/>
            </w:tcBorders>
          </w:tcPr>
          <w:p>
            <w:pPr>
              <w:spacing w:after="0"/>
              <w:rPr>
                <w:sz w:val="14"/>
                <w:szCs w:val="14"/>
                <w:color w:val="auto"/>
              </w:rPr>
            </w:pPr>
          </w:p>
        </w:tc>
        <w:tc>
          <w:tcPr>
            <w:tcW w:w="105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which is not otherwise disclosed in the filed agreements. The Company will furnish the omitted schedules and exhibits to the SEC upon request by the SEC.</w:t>
            </w:r>
          </w:p>
        </w:tc>
      </w:tr>
      <w:tr>
        <w:trPr>
          <w:trHeight w:val="164"/>
        </w:trPr>
        <w:tc>
          <w:tcPr>
            <w:tcW w:w="760" w:type="dxa"/>
            <w:vAlign w:val="bottom"/>
            <w:tcBorders>
              <w:left w:val="single" w:sz="8" w:color="auto"/>
              <w:bottom w:val="single" w:sz="8" w:color="auto"/>
              <w:right w:val="single" w:sz="8" w:color="auto"/>
            </w:tcBorders>
          </w:tcPr>
          <w:p>
            <w:pPr>
              <w:jc w:val="right"/>
              <w:ind w:right="618"/>
              <w:spacing w:after="0"/>
              <w:rPr>
                <w:sz w:val="20"/>
                <w:szCs w:val="20"/>
                <w:color w:val="auto"/>
              </w:rPr>
            </w:pPr>
            <w:r>
              <w:rPr>
                <w:rFonts w:ascii="Times New Roman" w:cs="Times New Roman" w:eastAsia="Times New Roman" w:hAnsi="Times New Roman"/>
                <w:sz w:val="12"/>
                <w:szCs w:val="12"/>
                <w:color w:val="auto"/>
                <w:w w:val="99"/>
              </w:rPr>
              <w:t>#</w:t>
            </w:r>
          </w:p>
        </w:tc>
        <w:tc>
          <w:tcPr>
            <w:tcW w:w="6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Management contract or compensatory plan or arrangement</w:t>
            </w:r>
          </w:p>
        </w:tc>
        <w:tc>
          <w:tcPr>
            <w:tcW w:w="4520" w:type="dxa"/>
            <w:vAlign w:val="bottom"/>
            <w:tcBorders>
              <w:bottom w:val="single" w:sz="8" w:color="auto"/>
              <w:right w:val="single" w:sz="8" w:color="auto"/>
            </w:tcBorders>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109"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6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ind w:left="5720"/>
        <w:spacing w:after="0"/>
        <w:rPr>
          <w:sz w:val="20"/>
          <w:szCs w:val="20"/>
          <w:color w:val="auto"/>
        </w:rPr>
      </w:pPr>
      <w:r>
        <w:rPr>
          <w:rFonts w:ascii="Times New Roman" w:cs="Times New Roman" w:eastAsia="Times New Roman" w:hAnsi="Times New Roman"/>
          <w:sz w:val="15"/>
          <w:szCs w:val="15"/>
          <w:color w:val="auto"/>
        </w:rPr>
        <w:t>(Registrant)</w:t>
      </w:r>
    </w:p>
    <w:p>
      <w:pPr>
        <w:spacing w:after="0" w:line="20" w:lineRule="exact"/>
        <w:rPr>
          <w:sz w:val="20"/>
          <w:szCs w:val="20"/>
          <w:color w:val="auto"/>
        </w:rPr>
      </w:pPr>
    </w:p>
    <w:p>
      <w:pPr>
        <w:spacing w:after="0"/>
        <w:tabs>
          <w:tab w:leader="none" w:pos="5840" w:val="left"/>
          <w:tab w:leader="none" w:pos="6500" w:val="left"/>
          <w:tab w:leader="none" w:pos="8180" w:val="left"/>
        </w:tabs>
        <w:rPr>
          <w:sz w:val="20"/>
          <w:szCs w:val="20"/>
          <w:color w:val="auto"/>
        </w:rPr>
      </w:pPr>
      <w:r>
        <w:rPr>
          <w:rFonts w:ascii="Times New Roman" w:cs="Times New Roman" w:eastAsia="Times New Roman" w:hAnsi="Times New Roman"/>
          <w:sz w:val="15"/>
          <w:szCs w:val="15"/>
          <w:color w:val="auto"/>
        </w:rPr>
        <w:t>Dated: February 25, 2026</w:t>
      </w:r>
      <w:r>
        <w:rPr>
          <w:sz w:val="20"/>
          <w:szCs w:val="20"/>
          <w:color w:val="auto"/>
        </w:rPr>
        <w:tab/>
      </w: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color w:val="auto"/>
        </w:rPr>
        <w:t>/s/</w:t>
      </w:r>
      <w:r>
        <w:rPr>
          <w:sz w:val="20"/>
          <w:szCs w:val="20"/>
          <w:color w:val="auto"/>
        </w:rPr>
        <w:tab/>
      </w:r>
      <w:r>
        <w:rPr>
          <w:rFonts w:ascii="Times New Roman" w:cs="Times New Roman" w:eastAsia="Times New Roman" w:hAnsi="Times New Roman"/>
          <w:sz w:val="15"/>
          <w:szCs w:val="15"/>
          <w:color w:val="auto"/>
        </w:rPr>
        <w:t>Charles D.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3927475</wp:posOffset>
            </wp:positionH>
            <wp:positionV relativeFrom="paragraph">
              <wp:posOffset>17145</wp:posOffset>
            </wp:positionV>
            <wp:extent cx="2954655"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7">
                      <a:extLst>
                        <a:ext uri="{28A0092B-C50C-407E-A947-70E740481C1C}"/>
                      </a:extLst>
                    </a:blip>
                    <a:srcRect/>
                    <a:stretch>
                      <a:fillRect/>
                    </a:stretch>
                  </pic:blipFill>
                  <pic:spPr bwMode="auto">
                    <a:xfrm>
                      <a:off x="0" y="0"/>
                      <a:ext cx="2954655" cy="7620"/>
                    </a:xfrm>
                    <a:prstGeom prst="rect">
                      <a:avLst/>
                    </a:prstGeom>
                    <a:noFill/>
                  </pic:spPr>
                </pic:pic>
              </a:graphicData>
            </a:graphic>
          </wp:anchor>
        </w:drawing>
      </w:r>
    </w:p>
    <w:p>
      <w:pPr>
        <w:spacing w:after="0" w:line="9"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2"/>
          <w:szCs w:val="12"/>
          <w:b w:val="1"/>
          <w:bCs w:val="1"/>
          <w:color w:val="auto"/>
        </w:rPr>
        <w:t>Charles D. Young, Chief Executive Officer</w:t>
      </w:r>
    </w:p>
    <w:p>
      <w:pPr>
        <w:spacing w:after="0" w:line="205"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this Annual Report on Form 10-K has been signed by the following persons on behalf of the registrant and in the capacities and on the dates indicated.</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17"/>
                <w:szCs w:val="17"/>
                <w:color w:val="auto"/>
              </w:rPr>
            </w:pPr>
          </w:p>
        </w:tc>
        <w:tc>
          <w:tcPr>
            <w:tcW w:w="3220" w:type="dxa"/>
            <w:vAlign w:val="bottom"/>
          </w:tcPr>
          <w:p>
            <w:pPr>
              <w:jc w:val="center"/>
              <w:ind w:right="450"/>
              <w:spacing w:after="0"/>
              <w:rPr>
                <w:sz w:val="20"/>
                <w:szCs w:val="20"/>
                <w:color w:val="auto"/>
              </w:rPr>
            </w:pPr>
            <w:r>
              <w:rPr>
                <w:rFonts w:ascii="Times New Roman" w:cs="Times New Roman" w:eastAsia="Times New Roman" w:hAnsi="Times New Roman"/>
                <w:sz w:val="15"/>
                <w:szCs w:val="15"/>
                <w:b w:val="1"/>
                <w:bCs w:val="1"/>
                <w:color w:val="auto"/>
              </w:rPr>
              <w:t>Name</w:t>
            </w:r>
          </w:p>
        </w:tc>
        <w:tc>
          <w:tcPr>
            <w:tcW w:w="100" w:type="dxa"/>
            <w:vAlign w:val="bottom"/>
          </w:tcPr>
          <w:p>
            <w:pPr>
              <w:spacing w:after="0"/>
              <w:rPr>
                <w:sz w:val="17"/>
                <w:szCs w:val="17"/>
                <w:color w:val="auto"/>
              </w:rPr>
            </w:pPr>
          </w:p>
        </w:tc>
        <w:tc>
          <w:tcPr>
            <w:tcW w:w="5380" w:type="dxa"/>
            <w:vAlign w:val="bottom"/>
            <w:gridSpan w:val="2"/>
          </w:tcPr>
          <w:p>
            <w:pPr>
              <w:ind w:left="2340"/>
              <w:spacing w:after="0"/>
              <w:rPr>
                <w:sz w:val="20"/>
                <w:szCs w:val="20"/>
                <w:color w:val="auto"/>
              </w:rPr>
            </w:pPr>
            <w:r>
              <w:rPr>
                <w:rFonts w:ascii="Times New Roman" w:cs="Times New Roman" w:eastAsia="Times New Roman" w:hAnsi="Times New Roman"/>
                <w:sz w:val="15"/>
                <w:szCs w:val="15"/>
                <w:b w:val="1"/>
                <w:bCs w:val="1"/>
                <w:color w:val="auto"/>
              </w:rPr>
              <w:t>Capacity</w:t>
            </w:r>
          </w:p>
        </w:tc>
        <w:tc>
          <w:tcPr>
            <w:tcW w:w="17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Date</w:t>
            </w:r>
          </w:p>
        </w:tc>
      </w:tr>
      <w:tr>
        <w:trPr>
          <w:trHeight w:val="189"/>
        </w:trPr>
        <w:tc>
          <w:tcPr>
            <w:tcW w:w="86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/s/</w:t>
            </w:r>
          </w:p>
        </w:tc>
        <w:tc>
          <w:tcPr>
            <w:tcW w:w="3220" w:type="dxa"/>
            <w:vAlign w:val="bottom"/>
            <w:tcBorders>
              <w:top w:val="single" w:sz="8" w:color="auto"/>
              <w:bottom w:val="single" w:sz="8" w:color="auto"/>
            </w:tcBorders>
          </w:tcPr>
          <w:p>
            <w:pPr>
              <w:jc w:val="center"/>
              <w:ind w:right="450"/>
              <w:spacing w:after="0"/>
              <w:rPr>
                <w:sz w:val="20"/>
                <w:szCs w:val="20"/>
                <w:color w:val="auto"/>
              </w:rPr>
            </w:pPr>
            <w:r>
              <w:rPr>
                <w:rFonts w:ascii="Times New Roman" w:cs="Times New Roman" w:eastAsia="Times New Roman" w:hAnsi="Times New Roman"/>
                <w:sz w:val="15"/>
                <w:szCs w:val="15"/>
                <w:color w:val="auto"/>
              </w:rPr>
              <w:t>Charles D. Young</w:t>
            </w:r>
          </w:p>
        </w:tc>
        <w:tc>
          <w:tcPr>
            <w:tcW w:w="100" w:type="dxa"/>
            <w:vAlign w:val="bottom"/>
          </w:tcPr>
          <w:p>
            <w:pPr>
              <w:spacing w:after="0"/>
              <w:rPr>
                <w:sz w:val="16"/>
                <w:szCs w:val="16"/>
                <w:color w:val="auto"/>
              </w:rPr>
            </w:pPr>
          </w:p>
        </w:tc>
        <w:tc>
          <w:tcPr>
            <w:tcW w:w="5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rPr>
              <w:t>Chief Executive Officer and Director (Principal Executive Officer)</w:t>
            </w:r>
          </w:p>
        </w:tc>
        <w:tc>
          <w:tcPr>
            <w:tcW w:w="100" w:type="dxa"/>
            <w:vAlign w:val="bottom"/>
          </w:tcPr>
          <w:p>
            <w:pPr>
              <w:spacing w:after="0"/>
              <w:rPr>
                <w:sz w:val="16"/>
                <w:szCs w:val="16"/>
                <w:color w:val="auto"/>
              </w:rPr>
            </w:pP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February 25, 2026</w:t>
            </w:r>
          </w:p>
        </w:tc>
      </w:tr>
      <w:tr>
        <w:trPr>
          <w:trHeight w:val="154"/>
        </w:trPr>
        <w:tc>
          <w:tcPr>
            <w:tcW w:w="860" w:type="dxa"/>
            <w:vAlign w:val="bottom"/>
          </w:tcPr>
          <w:p>
            <w:pPr>
              <w:spacing w:after="0"/>
              <w:rPr>
                <w:sz w:val="13"/>
                <w:szCs w:val="13"/>
                <w:color w:val="auto"/>
              </w:rPr>
            </w:pPr>
          </w:p>
        </w:tc>
        <w:tc>
          <w:tcPr>
            <w:tcW w:w="3220" w:type="dxa"/>
            <w:vAlign w:val="bottom"/>
          </w:tcPr>
          <w:p>
            <w:pPr>
              <w:jc w:val="center"/>
              <w:ind w:right="470"/>
              <w:spacing w:after="0"/>
              <w:rPr>
                <w:sz w:val="20"/>
                <w:szCs w:val="20"/>
                <w:color w:val="auto"/>
              </w:rPr>
            </w:pPr>
            <w:r>
              <w:rPr>
                <w:rFonts w:ascii="Times New Roman" w:cs="Times New Roman" w:eastAsia="Times New Roman" w:hAnsi="Times New Roman"/>
                <w:sz w:val="12"/>
                <w:szCs w:val="12"/>
                <w:b w:val="1"/>
                <w:bCs w:val="1"/>
                <w:color w:val="auto"/>
              </w:rPr>
              <w:t>Charles D. Young</w:t>
            </w:r>
          </w:p>
        </w:tc>
        <w:tc>
          <w:tcPr>
            <w:tcW w:w="10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162"/>
        </w:trPr>
        <w:tc>
          <w:tcPr>
            <w:tcW w:w="8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38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Executive Vice President, Chief Financial Officer, Treasurer and Secretary (Principal</w:t>
            </w:r>
          </w:p>
        </w:tc>
        <w:tc>
          <w:tcPr>
            <w:tcW w:w="1700" w:type="dxa"/>
            <w:vAlign w:val="bottom"/>
          </w:tcPr>
          <w:p>
            <w:pPr>
              <w:spacing w:after="0"/>
              <w:rPr>
                <w:sz w:val="14"/>
                <w:szCs w:val="14"/>
                <w:color w:val="auto"/>
              </w:rPr>
            </w:pPr>
          </w:p>
        </w:tc>
      </w:tr>
      <w:tr>
        <w:trPr>
          <w:trHeight w:val="208"/>
        </w:trPr>
        <w:tc>
          <w:tcPr>
            <w:tcW w:w="8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/s/</w:t>
            </w:r>
          </w:p>
        </w:tc>
        <w:tc>
          <w:tcPr>
            <w:tcW w:w="3220" w:type="dxa"/>
            <w:vAlign w:val="bottom"/>
            <w:tcBorders>
              <w:bottom w:val="single" w:sz="8" w:color="auto"/>
            </w:tcBorders>
          </w:tcPr>
          <w:p>
            <w:pPr>
              <w:jc w:val="center"/>
              <w:ind w:right="470"/>
              <w:spacing w:after="0"/>
              <w:rPr>
                <w:sz w:val="20"/>
                <w:szCs w:val="20"/>
                <w:color w:val="auto"/>
              </w:rPr>
            </w:pPr>
            <w:r>
              <w:rPr>
                <w:rFonts w:ascii="Times New Roman" w:cs="Times New Roman" w:eastAsia="Times New Roman" w:hAnsi="Times New Roman"/>
                <w:sz w:val="15"/>
                <w:szCs w:val="15"/>
                <w:color w:val="auto"/>
              </w:rPr>
              <w:t>Fernando Castro-Caratini</w:t>
            </w:r>
          </w:p>
        </w:tc>
        <w:tc>
          <w:tcPr>
            <w:tcW w:w="10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Financial Officer)</w:t>
            </w:r>
          </w:p>
        </w:tc>
        <w:tc>
          <w:tcPr>
            <w:tcW w:w="17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February 25, 2026</w:t>
            </w:r>
          </w:p>
        </w:tc>
      </w:tr>
      <w:tr>
        <w:trPr>
          <w:trHeight w:val="154"/>
        </w:trPr>
        <w:tc>
          <w:tcPr>
            <w:tcW w:w="860" w:type="dxa"/>
            <w:vAlign w:val="bottom"/>
          </w:tcPr>
          <w:p>
            <w:pPr>
              <w:spacing w:after="0"/>
              <w:rPr>
                <w:sz w:val="13"/>
                <w:szCs w:val="13"/>
                <w:color w:val="auto"/>
              </w:rPr>
            </w:pPr>
          </w:p>
        </w:tc>
        <w:tc>
          <w:tcPr>
            <w:tcW w:w="3220" w:type="dxa"/>
            <w:vAlign w:val="bottom"/>
          </w:tcPr>
          <w:p>
            <w:pPr>
              <w:jc w:val="center"/>
              <w:ind w:right="450"/>
              <w:spacing w:after="0"/>
              <w:rPr>
                <w:sz w:val="20"/>
                <w:szCs w:val="20"/>
                <w:color w:val="auto"/>
              </w:rPr>
            </w:pPr>
            <w:r>
              <w:rPr>
                <w:rFonts w:ascii="Times New Roman" w:cs="Times New Roman" w:eastAsia="Times New Roman" w:hAnsi="Times New Roman"/>
                <w:sz w:val="12"/>
                <w:szCs w:val="12"/>
                <w:b w:val="1"/>
                <w:bCs w:val="1"/>
                <w:color w:val="auto"/>
              </w:rPr>
              <w:t>Fernando Castro-Caratini</w:t>
            </w:r>
          </w:p>
        </w:tc>
        <w:tc>
          <w:tcPr>
            <w:tcW w:w="10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208"/>
        </w:trPr>
        <w:tc>
          <w:tcPr>
            <w:tcW w:w="8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/s/</w:t>
            </w:r>
          </w:p>
        </w:tc>
        <w:tc>
          <w:tcPr>
            <w:tcW w:w="3220" w:type="dxa"/>
            <w:vAlign w:val="bottom"/>
            <w:tcBorders>
              <w:bottom w:val="single" w:sz="8" w:color="auto"/>
            </w:tcBorders>
          </w:tcPr>
          <w:p>
            <w:pPr>
              <w:jc w:val="center"/>
              <w:ind w:right="450"/>
              <w:spacing w:after="0"/>
              <w:rPr>
                <w:sz w:val="20"/>
                <w:szCs w:val="20"/>
                <w:color w:val="auto"/>
              </w:rPr>
            </w:pPr>
            <w:r>
              <w:rPr>
                <w:rFonts w:ascii="Times New Roman" w:cs="Times New Roman" w:eastAsia="Times New Roman" w:hAnsi="Times New Roman"/>
                <w:sz w:val="15"/>
                <w:szCs w:val="15"/>
                <w:color w:val="auto"/>
              </w:rPr>
              <w:t>Brian Loftus</w:t>
            </w:r>
          </w:p>
        </w:tc>
        <w:tc>
          <w:tcPr>
            <w:tcW w:w="10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Senior Vice President and Chief Accounting Officer (Principal Accounting Officer)</w:t>
            </w:r>
          </w:p>
        </w:tc>
        <w:tc>
          <w:tcPr>
            <w:tcW w:w="17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February 25, 2026</w:t>
            </w:r>
          </w:p>
        </w:tc>
      </w:tr>
      <w:tr>
        <w:trPr>
          <w:trHeight w:val="154"/>
        </w:trPr>
        <w:tc>
          <w:tcPr>
            <w:tcW w:w="860" w:type="dxa"/>
            <w:vAlign w:val="bottom"/>
          </w:tcPr>
          <w:p>
            <w:pPr>
              <w:spacing w:after="0"/>
              <w:rPr>
                <w:sz w:val="13"/>
                <w:szCs w:val="13"/>
                <w:color w:val="auto"/>
              </w:rPr>
            </w:pPr>
          </w:p>
        </w:tc>
        <w:tc>
          <w:tcPr>
            <w:tcW w:w="3220" w:type="dxa"/>
            <w:vAlign w:val="bottom"/>
          </w:tcPr>
          <w:p>
            <w:pPr>
              <w:jc w:val="center"/>
              <w:ind w:right="470"/>
              <w:spacing w:after="0"/>
              <w:rPr>
                <w:sz w:val="20"/>
                <w:szCs w:val="20"/>
                <w:color w:val="auto"/>
              </w:rPr>
            </w:pPr>
            <w:r>
              <w:rPr>
                <w:rFonts w:ascii="Times New Roman" w:cs="Times New Roman" w:eastAsia="Times New Roman" w:hAnsi="Times New Roman"/>
                <w:sz w:val="12"/>
                <w:szCs w:val="12"/>
                <w:b w:val="1"/>
                <w:bCs w:val="1"/>
                <w:color w:val="auto"/>
              </w:rPr>
              <w:t>Brian Loftus</w:t>
            </w:r>
          </w:p>
        </w:tc>
        <w:tc>
          <w:tcPr>
            <w:tcW w:w="10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208"/>
        </w:trPr>
        <w:tc>
          <w:tcPr>
            <w:tcW w:w="8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/s/</w:t>
            </w:r>
          </w:p>
        </w:tc>
        <w:tc>
          <w:tcPr>
            <w:tcW w:w="3220" w:type="dxa"/>
            <w:vAlign w:val="bottom"/>
            <w:tcBorders>
              <w:bottom w:val="single" w:sz="8" w:color="auto"/>
            </w:tcBorders>
          </w:tcPr>
          <w:p>
            <w:pPr>
              <w:jc w:val="center"/>
              <w:ind w:right="450"/>
              <w:spacing w:after="0"/>
              <w:rPr>
                <w:sz w:val="20"/>
                <w:szCs w:val="20"/>
                <w:color w:val="auto"/>
              </w:rPr>
            </w:pPr>
            <w:r>
              <w:rPr>
                <w:rFonts w:ascii="Times New Roman" w:cs="Times New Roman" w:eastAsia="Times New Roman" w:hAnsi="Times New Roman"/>
                <w:sz w:val="15"/>
                <w:szCs w:val="15"/>
                <w:color w:val="auto"/>
              </w:rPr>
              <w:t>Gary A. Shiffman</w:t>
            </w:r>
          </w:p>
        </w:tc>
        <w:tc>
          <w:tcPr>
            <w:tcW w:w="10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Chairman of the Board</w:t>
            </w:r>
          </w:p>
        </w:tc>
        <w:tc>
          <w:tcPr>
            <w:tcW w:w="17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February 25, 2026</w:t>
            </w:r>
          </w:p>
        </w:tc>
      </w:tr>
      <w:tr>
        <w:trPr>
          <w:trHeight w:val="154"/>
        </w:trPr>
        <w:tc>
          <w:tcPr>
            <w:tcW w:w="860" w:type="dxa"/>
            <w:vAlign w:val="bottom"/>
          </w:tcPr>
          <w:p>
            <w:pPr>
              <w:spacing w:after="0"/>
              <w:rPr>
                <w:sz w:val="13"/>
                <w:szCs w:val="13"/>
                <w:color w:val="auto"/>
              </w:rPr>
            </w:pPr>
          </w:p>
        </w:tc>
        <w:tc>
          <w:tcPr>
            <w:tcW w:w="3220" w:type="dxa"/>
            <w:vAlign w:val="bottom"/>
          </w:tcPr>
          <w:p>
            <w:pPr>
              <w:jc w:val="center"/>
              <w:ind w:right="450"/>
              <w:spacing w:after="0"/>
              <w:rPr>
                <w:sz w:val="20"/>
                <w:szCs w:val="20"/>
                <w:color w:val="auto"/>
              </w:rPr>
            </w:pPr>
            <w:r>
              <w:rPr>
                <w:rFonts w:ascii="Times New Roman" w:cs="Times New Roman" w:eastAsia="Times New Roman" w:hAnsi="Times New Roman"/>
                <w:sz w:val="12"/>
                <w:szCs w:val="12"/>
                <w:b w:val="1"/>
                <w:bCs w:val="1"/>
                <w:color w:val="auto"/>
              </w:rPr>
              <w:t>Gary A. Shiffman</w:t>
            </w:r>
          </w:p>
        </w:tc>
        <w:tc>
          <w:tcPr>
            <w:tcW w:w="10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208"/>
        </w:trPr>
        <w:tc>
          <w:tcPr>
            <w:tcW w:w="8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/s/</w:t>
            </w:r>
          </w:p>
        </w:tc>
        <w:tc>
          <w:tcPr>
            <w:tcW w:w="3220" w:type="dxa"/>
            <w:vAlign w:val="bottom"/>
            <w:tcBorders>
              <w:bottom w:val="single" w:sz="8" w:color="auto"/>
            </w:tcBorders>
          </w:tcPr>
          <w:p>
            <w:pPr>
              <w:jc w:val="center"/>
              <w:ind w:right="470"/>
              <w:spacing w:after="0"/>
              <w:rPr>
                <w:sz w:val="20"/>
                <w:szCs w:val="20"/>
                <w:color w:val="auto"/>
              </w:rPr>
            </w:pPr>
            <w:r>
              <w:rPr>
                <w:rFonts w:ascii="Times New Roman" w:cs="Times New Roman" w:eastAsia="Times New Roman" w:hAnsi="Times New Roman"/>
                <w:sz w:val="15"/>
                <w:szCs w:val="15"/>
                <w:color w:val="auto"/>
              </w:rPr>
              <w:t>Tonya Allen</w:t>
            </w:r>
          </w:p>
        </w:tc>
        <w:tc>
          <w:tcPr>
            <w:tcW w:w="10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Director</w:t>
            </w:r>
          </w:p>
        </w:tc>
        <w:tc>
          <w:tcPr>
            <w:tcW w:w="17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February 25, 2026</w:t>
            </w:r>
          </w:p>
        </w:tc>
      </w:tr>
      <w:tr>
        <w:trPr>
          <w:trHeight w:val="154"/>
        </w:trPr>
        <w:tc>
          <w:tcPr>
            <w:tcW w:w="860" w:type="dxa"/>
            <w:vAlign w:val="bottom"/>
          </w:tcPr>
          <w:p>
            <w:pPr>
              <w:spacing w:after="0"/>
              <w:rPr>
                <w:sz w:val="13"/>
                <w:szCs w:val="13"/>
                <w:color w:val="auto"/>
              </w:rPr>
            </w:pPr>
          </w:p>
        </w:tc>
        <w:tc>
          <w:tcPr>
            <w:tcW w:w="3220" w:type="dxa"/>
            <w:vAlign w:val="bottom"/>
          </w:tcPr>
          <w:p>
            <w:pPr>
              <w:jc w:val="center"/>
              <w:ind w:right="470"/>
              <w:spacing w:after="0"/>
              <w:rPr>
                <w:sz w:val="20"/>
                <w:szCs w:val="20"/>
                <w:color w:val="auto"/>
              </w:rPr>
            </w:pPr>
            <w:r>
              <w:rPr>
                <w:rFonts w:ascii="Times New Roman" w:cs="Times New Roman" w:eastAsia="Times New Roman" w:hAnsi="Times New Roman"/>
                <w:sz w:val="12"/>
                <w:szCs w:val="12"/>
                <w:b w:val="1"/>
                <w:bCs w:val="1"/>
                <w:color w:val="auto"/>
              </w:rPr>
              <w:t>Tonya Allen</w:t>
            </w:r>
          </w:p>
        </w:tc>
        <w:tc>
          <w:tcPr>
            <w:tcW w:w="10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208"/>
        </w:trPr>
        <w:tc>
          <w:tcPr>
            <w:tcW w:w="8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/s/</w:t>
            </w:r>
          </w:p>
        </w:tc>
        <w:tc>
          <w:tcPr>
            <w:tcW w:w="3220" w:type="dxa"/>
            <w:vAlign w:val="bottom"/>
            <w:tcBorders>
              <w:bottom w:val="single" w:sz="8" w:color="auto"/>
            </w:tcBorders>
          </w:tcPr>
          <w:p>
            <w:pPr>
              <w:jc w:val="center"/>
              <w:ind w:right="450"/>
              <w:spacing w:after="0"/>
              <w:rPr>
                <w:sz w:val="20"/>
                <w:szCs w:val="20"/>
                <w:color w:val="auto"/>
              </w:rPr>
            </w:pPr>
            <w:r>
              <w:rPr>
                <w:rFonts w:ascii="Times New Roman" w:cs="Times New Roman" w:eastAsia="Times New Roman" w:hAnsi="Times New Roman"/>
                <w:sz w:val="15"/>
                <w:szCs w:val="15"/>
                <w:color w:val="auto"/>
              </w:rPr>
              <w:t>Meghan G. Baivier</w:t>
            </w:r>
          </w:p>
        </w:tc>
        <w:tc>
          <w:tcPr>
            <w:tcW w:w="10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Director</w:t>
            </w:r>
          </w:p>
        </w:tc>
        <w:tc>
          <w:tcPr>
            <w:tcW w:w="17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February 25, 2026</w:t>
            </w:r>
          </w:p>
        </w:tc>
      </w:tr>
      <w:tr>
        <w:trPr>
          <w:trHeight w:val="154"/>
        </w:trPr>
        <w:tc>
          <w:tcPr>
            <w:tcW w:w="860" w:type="dxa"/>
            <w:vAlign w:val="bottom"/>
          </w:tcPr>
          <w:p>
            <w:pPr>
              <w:spacing w:after="0"/>
              <w:rPr>
                <w:sz w:val="13"/>
                <w:szCs w:val="13"/>
                <w:color w:val="auto"/>
              </w:rPr>
            </w:pPr>
          </w:p>
        </w:tc>
        <w:tc>
          <w:tcPr>
            <w:tcW w:w="3220" w:type="dxa"/>
            <w:vAlign w:val="bottom"/>
          </w:tcPr>
          <w:p>
            <w:pPr>
              <w:jc w:val="center"/>
              <w:ind w:right="470"/>
              <w:spacing w:after="0"/>
              <w:rPr>
                <w:sz w:val="20"/>
                <w:szCs w:val="20"/>
                <w:color w:val="auto"/>
              </w:rPr>
            </w:pPr>
            <w:r>
              <w:rPr>
                <w:rFonts w:ascii="Times New Roman" w:cs="Times New Roman" w:eastAsia="Times New Roman" w:hAnsi="Times New Roman"/>
                <w:sz w:val="12"/>
                <w:szCs w:val="12"/>
                <w:b w:val="1"/>
                <w:bCs w:val="1"/>
                <w:color w:val="auto"/>
              </w:rPr>
              <w:t>Meghan G. Baivier</w:t>
            </w:r>
          </w:p>
        </w:tc>
        <w:tc>
          <w:tcPr>
            <w:tcW w:w="10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208"/>
        </w:trPr>
        <w:tc>
          <w:tcPr>
            <w:tcW w:w="8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/s/</w:t>
            </w:r>
          </w:p>
        </w:tc>
        <w:tc>
          <w:tcPr>
            <w:tcW w:w="3220" w:type="dxa"/>
            <w:vAlign w:val="bottom"/>
            <w:tcBorders>
              <w:bottom w:val="single" w:sz="8" w:color="auto"/>
            </w:tcBorders>
          </w:tcPr>
          <w:p>
            <w:pPr>
              <w:jc w:val="center"/>
              <w:ind w:right="450"/>
              <w:spacing w:after="0"/>
              <w:rPr>
                <w:sz w:val="20"/>
                <w:szCs w:val="20"/>
                <w:color w:val="auto"/>
              </w:rPr>
            </w:pPr>
            <w:r>
              <w:rPr>
                <w:rFonts w:ascii="Times New Roman" w:cs="Times New Roman" w:eastAsia="Times New Roman" w:hAnsi="Times New Roman"/>
                <w:sz w:val="15"/>
                <w:szCs w:val="15"/>
                <w:color w:val="auto"/>
              </w:rPr>
              <w:t>Mark Denien</w:t>
            </w:r>
          </w:p>
        </w:tc>
        <w:tc>
          <w:tcPr>
            <w:tcW w:w="10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Director</w:t>
            </w:r>
          </w:p>
        </w:tc>
        <w:tc>
          <w:tcPr>
            <w:tcW w:w="17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February 25, 2026</w:t>
            </w:r>
          </w:p>
        </w:tc>
      </w:tr>
      <w:tr>
        <w:trPr>
          <w:trHeight w:val="154"/>
        </w:trPr>
        <w:tc>
          <w:tcPr>
            <w:tcW w:w="860" w:type="dxa"/>
            <w:vAlign w:val="bottom"/>
          </w:tcPr>
          <w:p>
            <w:pPr>
              <w:spacing w:after="0"/>
              <w:rPr>
                <w:sz w:val="13"/>
                <w:szCs w:val="13"/>
                <w:color w:val="auto"/>
              </w:rPr>
            </w:pPr>
          </w:p>
        </w:tc>
        <w:tc>
          <w:tcPr>
            <w:tcW w:w="3220" w:type="dxa"/>
            <w:vAlign w:val="bottom"/>
          </w:tcPr>
          <w:p>
            <w:pPr>
              <w:jc w:val="center"/>
              <w:ind w:right="450"/>
              <w:spacing w:after="0"/>
              <w:rPr>
                <w:sz w:val="20"/>
                <w:szCs w:val="20"/>
                <w:color w:val="auto"/>
              </w:rPr>
            </w:pPr>
            <w:r>
              <w:rPr>
                <w:rFonts w:ascii="Times New Roman" w:cs="Times New Roman" w:eastAsia="Times New Roman" w:hAnsi="Times New Roman"/>
                <w:sz w:val="12"/>
                <w:szCs w:val="12"/>
                <w:b w:val="1"/>
                <w:bCs w:val="1"/>
                <w:color w:val="auto"/>
              </w:rPr>
              <w:t>Mark Denien</w:t>
            </w:r>
          </w:p>
        </w:tc>
        <w:tc>
          <w:tcPr>
            <w:tcW w:w="10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208"/>
        </w:trPr>
        <w:tc>
          <w:tcPr>
            <w:tcW w:w="8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/s/</w:t>
            </w:r>
          </w:p>
        </w:tc>
        <w:tc>
          <w:tcPr>
            <w:tcW w:w="3220" w:type="dxa"/>
            <w:vAlign w:val="bottom"/>
            <w:tcBorders>
              <w:bottom w:val="single" w:sz="8" w:color="auto"/>
            </w:tcBorders>
          </w:tcPr>
          <w:p>
            <w:pPr>
              <w:jc w:val="center"/>
              <w:ind w:right="470"/>
              <w:spacing w:after="0"/>
              <w:rPr>
                <w:sz w:val="20"/>
                <w:szCs w:val="20"/>
                <w:color w:val="auto"/>
              </w:rPr>
            </w:pPr>
            <w:r>
              <w:rPr>
                <w:rFonts w:ascii="Times New Roman" w:cs="Times New Roman" w:eastAsia="Times New Roman" w:hAnsi="Times New Roman"/>
                <w:sz w:val="15"/>
                <w:szCs w:val="15"/>
                <w:color w:val="auto"/>
              </w:rPr>
              <w:t>Jeff T. Blau</w:t>
            </w:r>
          </w:p>
        </w:tc>
        <w:tc>
          <w:tcPr>
            <w:tcW w:w="10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Director</w:t>
            </w:r>
          </w:p>
        </w:tc>
        <w:tc>
          <w:tcPr>
            <w:tcW w:w="17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February 25, 2026</w:t>
            </w:r>
          </w:p>
        </w:tc>
      </w:tr>
      <w:tr>
        <w:trPr>
          <w:trHeight w:val="154"/>
        </w:trPr>
        <w:tc>
          <w:tcPr>
            <w:tcW w:w="860" w:type="dxa"/>
            <w:vAlign w:val="bottom"/>
          </w:tcPr>
          <w:p>
            <w:pPr>
              <w:spacing w:after="0"/>
              <w:rPr>
                <w:sz w:val="13"/>
                <w:szCs w:val="13"/>
                <w:color w:val="auto"/>
              </w:rPr>
            </w:pPr>
          </w:p>
        </w:tc>
        <w:tc>
          <w:tcPr>
            <w:tcW w:w="3220" w:type="dxa"/>
            <w:vAlign w:val="bottom"/>
          </w:tcPr>
          <w:p>
            <w:pPr>
              <w:jc w:val="center"/>
              <w:ind w:right="470"/>
              <w:spacing w:after="0"/>
              <w:rPr>
                <w:sz w:val="20"/>
                <w:szCs w:val="20"/>
                <w:color w:val="auto"/>
              </w:rPr>
            </w:pPr>
            <w:r>
              <w:rPr>
                <w:rFonts w:ascii="Times New Roman" w:cs="Times New Roman" w:eastAsia="Times New Roman" w:hAnsi="Times New Roman"/>
                <w:sz w:val="12"/>
                <w:szCs w:val="12"/>
                <w:b w:val="1"/>
                <w:bCs w:val="1"/>
                <w:color w:val="auto"/>
                <w:w w:val="99"/>
              </w:rPr>
              <w:t>Jeff T. Blau</w:t>
            </w:r>
          </w:p>
        </w:tc>
        <w:tc>
          <w:tcPr>
            <w:tcW w:w="10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208"/>
        </w:trPr>
        <w:tc>
          <w:tcPr>
            <w:tcW w:w="8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/s/</w:t>
            </w:r>
          </w:p>
        </w:tc>
        <w:tc>
          <w:tcPr>
            <w:tcW w:w="3220" w:type="dxa"/>
            <w:vAlign w:val="bottom"/>
            <w:tcBorders>
              <w:bottom w:val="single" w:sz="8" w:color="auto"/>
            </w:tcBorders>
          </w:tcPr>
          <w:p>
            <w:pPr>
              <w:jc w:val="center"/>
              <w:ind w:right="450"/>
              <w:spacing w:after="0"/>
              <w:rPr>
                <w:sz w:val="20"/>
                <w:szCs w:val="20"/>
                <w:color w:val="auto"/>
              </w:rPr>
            </w:pPr>
            <w:r>
              <w:rPr>
                <w:rFonts w:ascii="Times New Roman" w:cs="Times New Roman" w:eastAsia="Times New Roman" w:hAnsi="Times New Roman"/>
                <w:sz w:val="15"/>
                <w:szCs w:val="15"/>
                <w:color w:val="auto"/>
              </w:rPr>
              <w:t>Jerome W. Ehlinger</w:t>
            </w:r>
          </w:p>
        </w:tc>
        <w:tc>
          <w:tcPr>
            <w:tcW w:w="10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Director</w:t>
            </w:r>
          </w:p>
        </w:tc>
        <w:tc>
          <w:tcPr>
            <w:tcW w:w="17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February 25, 2026</w:t>
            </w:r>
          </w:p>
        </w:tc>
      </w:tr>
      <w:tr>
        <w:trPr>
          <w:trHeight w:val="154"/>
        </w:trPr>
        <w:tc>
          <w:tcPr>
            <w:tcW w:w="860" w:type="dxa"/>
            <w:vAlign w:val="bottom"/>
          </w:tcPr>
          <w:p>
            <w:pPr>
              <w:spacing w:after="0"/>
              <w:rPr>
                <w:sz w:val="13"/>
                <w:szCs w:val="13"/>
                <w:color w:val="auto"/>
              </w:rPr>
            </w:pPr>
          </w:p>
        </w:tc>
        <w:tc>
          <w:tcPr>
            <w:tcW w:w="3220" w:type="dxa"/>
            <w:vAlign w:val="bottom"/>
          </w:tcPr>
          <w:p>
            <w:pPr>
              <w:jc w:val="center"/>
              <w:ind w:right="470"/>
              <w:spacing w:after="0"/>
              <w:rPr>
                <w:sz w:val="20"/>
                <w:szCs w:val="20"/>
                <w:color w:val="auto"/>
              </w:rPr>
            </w:pPr>
            <w:r>
              <w:rPr>
                <w:rFonts w:ascii="Times New Roman" w:cs="Times New Roman" w:eastAsia="Times New Roman" w:hAnsi="Times New Roman"/>
                <w:sz w:val="12"/>
                <w:szCs w:val="12"/>
                <w:b w:val="1"/>
                <w:bCs w:val="1"/>
                <w:color w:val="auto"/>
              </w:rPr>
              <w:t>Jerome W. Ehlinger</w:t>
            </w:r>
          </w:p>
        </w:tc>
        <w:tc>
          <w:tcPr>
            <w:tcW w:w="10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208"/>
        </w:trPr>
        <w:tc>
          <w:tcPr>
            <w:tcW w:w="8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/s/</w:t>
            </w:r>
          </w:p>
        </w:tc>
        <w:tc>
          <w:tcPr>
            <w:tcW w:w="3220" w:type="dxa"/>
            <w:vAlign w:val="bottom"/>
            <w:tcBorders>
              <w:bottom w:val="single" w:sz="8" w:color="auto"/>
            </w:tcBorders>
          </w:tcPr>
          <w:p>
            <w:pPr>
              <w:jc w:val="center"/>
              <w:ind w:right="450"/>
              <w:spacing w:after="0"/>
              <w:rPr>
                <w:sz w:val="20"/>
                <w:szCs w:val="20"/>
                <w:color w:val="auto"/>
              </w:rPr>
            </w:pPr>
            <w:r>
              <w:rPr>
                <w:rFonts w:ascii="Times New Roman" w:cs="Times New Roman" w:eastAsia="Times New Roman" w:hAnsi="Times New Roman"/>
                <w:sz w:val="15"/>
                <w:szCs w:val="15"/>
                <w:color w:val="auto"/>
              </w:rPr>
              <w:t>Brian M. Hermelin</w:t>
            </w:r>
          </w:p>
        </w:tc>
        <w:tc>
          <w:tcPr>
            <w:tcW w:w="10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Director</w:t>
            </w:r>
          </w:p>
        </w:tc>
        <w:tc>
          <w:tcPr>
            <w:tcW w:w="17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February 25, 2026</w:t>
            </w:r>
          </w:p>
        </w:tc>
      </w:tr>
      <w:tr>
        <w:trPr>
          <w:trHeight w:val="154"/>
        </w:trPr>
        <w:tc>
          <w:tcPr>
            <w:tcW w:w="860" w:type="dxa"/>
            <w:vAlign w:val="bottom"/>
          </w:tcPr>
          <w:p>
            <w:pPr>
              <w:spacing w:after="0"/>
              <w:rPr>
                <w:sz w:val="13"/>
                <w:szCs w:val="13"/>
                <w:color w:val="auto"/>
              </w:rPr>
            </w:pPr>
          </w:p>
        </w:tc>
        <w:tc>
          <w:tcPr>
            <w:tcW w:w="3220" w:type="dxa"/>
            <w:vAlign w:val="bottom"/>
          </w:tcPr>
          <w:p>
            <w:pPr>
              <w:jc w:val="center"/>
              <w:ind w:right="470"/>
              <w:spacing w:after="0"/>
              <w:rPr>
                <w:sz w:val="20"/>
                <w:szCs w:val="20"/>
                <w:color w:val="auto"/>
              </w:rPr>
            </w:pPr>
            <w:r>
              <w:rPr>
                <w:rFonts w:ascii="Times New Roman" w:cs="Times New Roman" w:eastAsia="Times New Roman" w:hAnsi="Times New Roman"/>
                <w:sz w:val="12"/>
                <w:szCs w:val="12"/>
                <w:b w:val="1"/>
                <w:bCs w:val="1"/>
                <w:color w:val="auto"/>
              </w:rPr>
              <w:t>Brian M. Hermelin</w:t>
            </w:r>
          </w:p>
        </w:tc>
        <w:tc>
          <w:tcPr>
            <w:tcW w:w="10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208"/>
        </w:trPr>
        <w:tc>
          <w:tcPr>
            <w:tcW w:w="8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/s/</w:t>
            </w:r>
          </w:p>
        </w:tc>
        <w:tc>
          <w:tcPr>
            <w:tcW w:w="3220" w:type="dxa"/>
            <w:vAlign w:val="bottom"/>
            <w:tcBorders>
              <w:bottom w:val="single" w:sz="8" w:color="auto"/>
            </w:tcBorders>
          </w:tcPr>
          <w:p>
            <w:pPr>
              <w:jc w:val="center"/>
              <w:ind w:right="470"/>
              <w:spacing w:after="0"/>
              <w:rPr>
                <w:sz w:val="20"/>
                <w:szCs w:val="20"/>
                <w:color w:val="auto"/>
              </w:rPr>
            </w:pPr>
            <w:r>
              <w:rPr>
                <w:rFonts w:ascii="Times New Roman" w:cs="Times New Roman" w:eastAsia="Times New Roman" w:hAnsi="Times New Roman"/>
                <w:sz w:val="15"/>
                <w:szCs w:val="15"/>
                <w:color w:val="auto"/>
              </w:rPr>
              <w:t>Craig A. Leupold</w:t>
            </w:r>
          </w:p>
        </w:tc>
        <w:tc>
          <w:tcPr>
            <w:tcW w:w="10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Director</w:t>
            </w:r>
          </w:p>
        </w:tc>
        <w:tc>
          <w:tcPr>
            <w:tcW w:w="17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February 25, 2026</w:t>
            </w:r>
          </w:p>
        </w:tc>
      </w:tr>
      <w:tr>
        <w:trPr>
          <w:trHeight w:val="154"/>
        </w:trPr>
        <w:tc>
          <w:tcPr>
            <w:tcW w:w="860" w:type="dxa"/>
            <w:vAlign w:val="bottom"/>
          </w:tcPr>
          <w:p>
            <w:pPr>
              <w:spacing w:after="0"/>
              <w:rPr>
                <w:sz w:val="13"/>
                <w:szCs w:val="13"/>
                <w:color w:val="auto"/>
              </w:rPr>
            </w:pPr>
          </w:p>
        </w:tc>
        <w:tc>
          <w:tcPr>
            <w:tcW w:w="3220" w:type="dxa"/>
            <w:vAlign w:val="bottom"/>
          </w:tcPr>
          <w:p>
            <w:pPr>
              <w:jc w:val="center"/>
              <w:ind w:right="470"/>
              <w:spacing w:after="0"/>
              <w:rPr>
                <w:sz w:val="20"/>
                <w:szCs w:val="20"/>
                <w:color w:val="auto"/>
              </w:rPr>
            </w:pPr>
            <w:r>
              <w:rPr>
                <w:rFonts w:ascii="Times New Roman" w:cs="Times New Roman" w:eastAsia="Times New Roman" w:hAnsi="Times New Roman"/>
                <w:sz w:val="12"/>
                <w:szCs w:val="12"/>
                <w:b w:val="1"/>
                <w:bCs w:val="1"/>
                <w:color w:val="auto"/>
              </w:rPr>
              <w:t>Craig A. Leupold</w:t>
            </w:r>
          </w:p>
        </w:tc>
        <w:tc>
          <w:tcPr>
            <w:tcW w:w="10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208"/>
        </w:trPr>
        <w:tc>
          <w:tcPr>
            <w:tcW w:w="8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/s/</w:t>
            </w:r>
          </w:p>
        </w:tc>
        <w:tc>
          <w:tcPr>
            <w:tcW w:w="3220" w:type="dxa"/>
            <w:vAlign w:val="bottom"/>
            <w:tcBorders>
              <w:bottom w:val="single" w:sz="8" w:color="auto"/>
            </w:tcBorders>
          </w:tcPr>
          <w:p>
            <w:pPr>
              <w:jc w:val="center"/>
              <w:ind w:right="470"/>
              <w:spacing w:after="0"/>
              <w:rPr>
                <w:sz w:val="20"/>
                <w:szCs w:val="20"/>
                <w:color w:val="auto"/>
              </w:rPr>
            </w:pPr>
            <w:r>
              <w:rPr>
                <w:rFonts w:ascii="Times New Roman" w:cs="Times New Roman" w:eastAsia="Times New Roman" w:hAnsi="Times New Roman"/>
                <w:sz w:val="15"/>
                <w:szCs w:val="15"/>
                <w:color w:val="auto"/>
              </w:rPr>
              <w:t>Clunet R. Lewis</w:t>
            </w:r>
          </w:p>
        </w:tc>
        <w:tc>
          <w:tcPr>
            <w:tcW w:w="10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Director</w:t>
            </w:r>
          </w:p>
        </w:tc>
        <w:tc>
          <w:tcPr>
            <w:tcW w:w="17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February 25, 2026</w:t>
            </w:r>
          </w:p>
        </w:tc>
      </w:tr>
      <w:tr>
        <w:trPr>
          <w:trHeight w:val="154"/>
        </w:trPr>
        <w:tc>
          <w:tcPr>
            <w:tcW w:w="860" w:type="dxa"/>
            <w:vAlign w:val="bottom"/>
          </w:tcPr>
          <w:p>
            <w:pPr>
              <w:spacing w:after="0"/>
              <w:rPr>
                <w:sz w:val="13"/>
                <w:szCs w:val="13"/>
                <w:color w:val="auto"/>
              </w:rPr>
            </w:pPr>
          </w:p>
        </w:tc>
        <w:tc>
          <w:tcPr>
            <w:tcW w:w="3220" w:type="dxa"/>
            <w:vAlign w:val="bottom"/>
          </w:tcPr>
          <w:p>
            <w:pPr>
              <w:jc w:val="center"/>
              <w:ind w:right="470"/>
              <w:spacing w:after="0"/>
              <w:rPr>
                <w:sz w:val="20"/>
                <w:szCs w:val="20"/>
                <w:color w:val="auto"/>
              </w:rPr>
            </w:pPr>
            <w:r>
              <w:rPr>
                <w:rFonts w:ascii="Times New Roman" w:cs="Times New Roman" w:eastAsia="Times New Roman" w:hAnsi="Times New Roman"/>
                <w:sz w:val="12"/>
                <w:szCs w:val="12"/>
                <w:b w:val="1"/>
                <w:bCs w:val="1"/>
                <w:color w:val="auto"/>
              </w:rPr>
              <w:t>Clunet R. Lewis</w:t>
            </w:r>
          </w:p>
        </w:tc>
        <w:tc>
          <w:tcPr>
            <w:tcW w:w="10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3"/>
        </w:trPr>
        <w:tc>
          <w:tcPr>
            <w:tcW w:w="9460" w:type="dxa"/>
            <w:vAlign w:val="bottom"/>
          </w:tcPr>
          <w:p>
            <w:pPr>
              <w:jc w:val="center"/>
              <w:ind w:left="1723"/>
              <w:spacing w:after="0"/>
              <w:rPr>
                <w:sz w:val="20"/>
                <w:szCs w:val="20"/>
                <w:color w:val="auto"/>
              </w:rPr>
            </w:pPr>
            <w:r>
              <w:rPr>
                <w:rFonts w:ascii="Times New Roman" w:cs="Times New Roman" w:eastAsia="Times New Roman" w:hAnsi="Times New Roman"/>
                <w:sz w:val="15"/>
                <w:szCs w:val="15"/>
                <w:b w:val="1"/>
                <w:bCs w:val="1"/>
                <w:color w:val="auto"/>
              </w:rPr>
              <w:t>SUN COMMUNITIES, INC.</w:t>
            </w: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5"/>
        </w:trPr>
        <w:tc>
          <w:tcPr>
            <w:tcW w:w="9460" w:type="dxa"/>
            <w:vAlign w:val="bottom"/>
          </w:tcPr>
          <w:p>
            <w:pPr>
              <w:jc w:val="center"/>
              <w:ind w:left="1703"/>
              <w:spacing w:after="0"/>
              <w:rPr>
                <w:sz w:val="20"/>
                <w:szCs w:val="20"/>
                <w:color w:val="auto"/>
              </w:rPr>
            </w:pPr>
            <w:r>
              <w:rPr>
                <w:rFonts w:ascii="Times New Roman" w:cs="Times New Roman" w:eastAsia="Times New Roman" w:hAnsi="Times New Roman"/>
                <w:sz w:val="15"/>
                <w:szCs w:val="15"/>
                <w:b w:val="1"/>
                <w:bCs w:val="1"/>
                <w:color w:val="auto"/>
              </w:rPr>
              <w:t>INDEX TO THE CONSOLIDATED FINANCIAL STATEMENTS AND</w:t>
            </w: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9460" w:type="dxa"/>
            <w:vAlign w:val="bottom"/>
          </w:tcPr>
          <w:p>
            <w:pPr>
              <w:jc w:val="center"/>
              <w:ind w:left="1703"/>
              <w:spacing w:after="0"/>
              <w:rPr>
                <w:sz w:val="20"/>
                <w:szCs w:val="20"/>
                <w:color w:val="auto"/>
              </w:rPr>
            </w:pPr>
            <w:r>
              <w:rPr>
                <w:rFonts w:ascii="Times New Roman" w:cs="Times New Roman" w:eastAsia="Times New Roman" w:hAnsi="Times New Roman"/>
                <w:sz w:val="15"/>
                <w:szCs w:val="15"/>
                <w:b w:val="1"/>
                <w:bCs w:val="1"/>
                <w:color w:val="auto"/>
              </w:rPr>
              <w:t>FINANCIAL STATEMENT SCHEDULES</w:t>
            </w: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912"/>
        </w:trPr>
        <w:tc>
          <w:tcPr>
            <w:tcW w:w="9460" w:type="dxa"/>
            <w:vAlign w:val="bottom"/>
          </w:tcPr>
          <w:p>
            <w:pPr>
              <w:spacing w:after="0"/>
              <w:rPr>
                <w:sz w:val="24"/>
                <w:szCs w:val="24"/>
                <w:color w:val="auto"/>
              </w:rPr>
            </w:pPr>
          </w:p>
        </w:tc>
        <w:tc>
          <w:tcPr>
            <w:tcW w:w="1800" w:type="dxa"/>
            <w:vAlign w:val="bottom"/>
            <w:gridSpan w:val="5"/>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Page</w:t>
            </w:r>
          </w:p>
        </w:tc>
      </w:tr>
      <w:tr>
        <w:trPr>
          <w:trHeight w:val="165"/>
        </w:trPr>
        <w:tc>
          <w:tcPr>
            <w:tcW w:w="946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Reports of Independent Registered Public Accounting Firm (PCAOB ID Number 248)</w:t>
            </w:r>
          </w:p>
        </w:tc>
        <w:tc>
          <w:tcPr>
            <w:tcW w:w="1800" w:type="dxa"/>
            <w:vAlign w:val="bottom"/>
            <w:gridSpan w:val="5"/>
          </w:tcPr>
          <w:p>
            <w:pPr>
              <w:jc w:val="right"/>
              <w:ind w:right="20"/>
              <w:spacing w:after="0" w:line="165" w:lineRule="exact"/>
              <w:rPr>
                <w:sz w:val="20"/>
                <w:szCs w:val="20"/>
                <w:color w:val="auto"/>
              </w:rPr>
            </w:pPr>
            <w:r>
              <w:rPr>
                <w:rFonts w:ascii="Times New Roman" w:cs="Times New Roman" w:eastAsia="Times New Roman" w:hAnsi="Times New Roman"/>
                <w:sz w:val="15"/>
                <w:szCs w:val="15"/>
                <w:color w:val="auto"/>
              </w:rPr>
              <w:t>F-2</w:t>
            </w:r>
          </w:p>
        </w:tc>
      </w:tr>
      <w:tr>
        <w:trPr>
          <w:trHeight w:val="209"/>
        </w:trPr>
        <w:tc>
          <w:tcPr>
            <w:tcW w:w="9460" w:type="dxa"/>
            <w:vAlign w:val="bottom"/>
          </w:tcPr>
          <w:p>
            <w:pPr>
              <w:spacing w:after="0"/>
              <w:rPr>
                <w:sz w:val="20"/>
                <w:szCs w:val="20"/>
                <w:color w:val="auto"/>
              </w:rPr>
            </w:pPr>
            <w:r>
              <w:rPr>
                <w:rFonts w:ascii="Times New Roman" w:cs="Times New Roman" w:eastAsia="Times New Roman" w:hAnsi="Times New Roman"/>
                <w:sz w:val="15"/>
                <w:szCs w:val="15"/>
                <w:color w:val="auto"/>
              </w:rPr>
              <w:t>Financial Statements:</w:t>
            </w: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65"/>
        </w:trPr>
        <w:tc>
          <w:tcPr>
            <w:tcW w:w="9460" w:type="dxa"/>
            <w:vAlign w:val="bottom"/>
          </w:tcPr>
          <w:p>
            <w:pPr>
              <w:ind w:left="180"/>
              <w:spacing w:after="0" w:line="165" w:lineRule="exact"/>
              <w:rPr>
                <w:sz w:val="20"/>
                <w:szCs w:val="20"/>
                <w:color w:val="auto"/>
              </w:rPr>
            </w:pPr>
            <w:r>
              <w:rPr>
                <w:rFonts w:ascii="Times New Roman" w:cs="Times New Roman" w:eastAsia="Times New Roman" w:hAnsi="Times New Roman"/>
                <w:sz w:val="15"/>
                <w:szCs w:val="15"/>
                <w:color w:val="auto"/>
              </w:rPr>
              <w:t>Consolidated Balance Sheets as of December 31, 2025 and 2024</w:t>
            </w:r>
          </w:p>
        </w:tc>
        <w:tc>
          <w:tcPr>
            <w:tcW w:w="1800" w:type="dxa"/>
            <w:vAlign w:val="bottom"/>
            <w:gridSpan w:val="5"/>
          </w:tcPr>
          <w:p>
            <w:pPr>
              <w:jc w:val="right"/>
              <w:ind w:right="20"/>
              <w:spacing w:after="0" w:line="165" w:lineRule="exact"/>
              <w:rPr>
                <w:sz w:val="20"/>
                <w:szCs w:val="20"/>
                <w:color w:val="auto"/>
              </w:rPr>
            </w:pPr>
            <w:r>
              <w:rPr>
                <w:rFonts w:ascii="Times New Roman" w:cs="Times New Roman" w:eastAsia="Times New Roman" w:hAnsi="Times New Roman"/>
                <w:sz w:val="15"/>
                <w:szCs w:val="15"/>
                <w:color w:val="auto"/>
              </w:rPr>
              <w:t>F-5</w:t>
            </w:r>
          </w:p>
        </w:tc>
      </w:tr>
      <w:tr>
        <w:trPr>
          <w:trHeight w:val="20"/>
        </w:trPr>
        <w:tc>
          <w:tcPr>
            <w:tcW w:w="9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gridSpan w:val="2"/>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177"/>
        </w:trPr>
        <w:tc>
          <w:tcPr>
            <w:tcW w:w="94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Consolidated Statements of Operations for the Years Ended December 31, 2025, 2024, and 2023</w:t>
            </w:r>
          </w:p>
        </w:tc>
        <w:tc>
          <w:tcPr>
            <w:tcW w:w="1800" w:type="dxa"/>
            <w:vAlign w:val="bottom"/>
            <w:gridSpan w:val="5"/>
          </w:tcPr>
          <w:p>
            <w:pPr>
              <w:jc w:val="right"/>
              <w:ind w:right="20"/>
              <w:spacing w:after="0"/>
              <w:rPr>
                <w:sz w:val="20"/>
                <w:szCs w:val="20"/>
                <w:color w:val="auto"/>
              </w:rPr>
            </w:pPr>
            <w:r>
              <w:rPr>
                <w:rFonts w:ascii="Times New Roman" w:cs="Times New Roman" w:eastAsia="Times New Roman" w:hAnsi="Times New Roman"/>
                <w:sz w:val="15"/>
                <w:szCs w:val="15"/>
                <w:color w:val="auto"/>
              </w:rPr>
              <w:t>F-6</w:t>
            </w:r>
          </w:p>
        </w:tc>
      </w:tr>
      <w:tr>
        <w:trPr>
          <w:trHeight w:val="20"/>
        </w:trPr>
        <w:tc>
          <w:tcPr>
            <w:tcW w:w="9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gridSpan w:val="2"/>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177"/>
        </w:trPr>
        <w:tc>
          <w:tcPr>
            <w:tcW w:w="94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Consolidated Statements of Comprehensive Income / (Loss) for the Years Ended December 31, 2025, 2024, and 2023</w:t>
            </w:r>
          </w:p>
        </w:tc>
        <w:tc>
          <w:tcPr>
            <w:tcW w:w="1800" w:type="dxa"/>
            <w:vAlign w:val="bottom"/>
            <w:gridSpan w:val="5"/>
          </w:tcPr>
          <w:p>
            <w:pPr>
              <w:jc w:val="right"/>
              <w:ind w:right="20"/>
              <w:spacing w:after="0"/>
              <w:rPr>
                <w:sz w:val="20"/>
                <w:szCs w:val="20"/>
                <w:color w:val="auto"/>
              </w:rPr>
            </w:pPr>
            <w:r>
              <w:rPr>
                <w:rFonts w:ascii="Times New Roman" w:cs="Times New Roman" w:eastAsia="Times New Roman" w:hAnsi="Times New Roman"/>
                <w:sz w:val="15"/>
                <w:szCs w:val="15"/>
                <w:color w:val="auto"/>
              </w:rPr>
              <w:t>F-7</w:t>
            </w:r>
          </w:p>
        </w:tc>
      </w:tr>
      <w:tr>
        <w:trPr>
          <w:trHeight w:val="20"/>
        </w:trPr>
        <w:tc>
          <w:tcPr>
            <w:tcW w:w="9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gridSpan w:val="2"/>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177"/>
        </w:trPr>
        <w:tc>
          <w:tcPr>
            <w:tcW w:w="94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Consolidated Statements of Shareholders' Equity for the Years Ended December 31, 2025, 2024, and 2023</w:t>
            </w:r>
          </w:p>
        </w:tc>
        <w:tc>
          <w:tcPr>
            <w:tcW w:w="1800" w:type="dxa"/>
            <w:vAlign w:val="bottom"/>
            <w:gridSpan w:val="5"/>
          </w:tcPr>
          <w:p>
            <w:pPr>
              <w:jc w:val="right"/>
              <w:ind w:right="20"/>
              <w:spacing w:after="0"/>
              <w:rPr>
                <w:sz w:val="20"/>
                <w:szCs w:val="20"/>
                <w:color w:val="auto"/>
              </w:rPr>
            </w:pPr>
            <w:r>
              <w:rPr>
                <w:rFonts w:ascii="Times New Roman" w:cs="Times New Roman" w:eastAsia="Times New Roman" w:hAnsi="Times New Roman"/>
                <w:sz w:val="15"/>
                <w:szCs w:val="15"/>
                <w:color w:val="auto"/>
              </w:rPr>
              <w:t>F-8</w:t>
            </w:r>
          </w:p>
        </w:tc>
      </w:tr>
      <w:tr>
        <w:trPr>
          <w:trHeight w:val="20"/>
        </w:trPr>
        <w:tc>
          <w:tcPr>
            <w:tcW w:w="9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gridSpan w:val="2"/>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177"/>
        </w:trPr>
        <w:tc>
          <w:tcPr>
            <w:tcW w:w="94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Consolidated Statements of Cash Flows for the Years Ended December 31, 2025, 2024, and 2023</w:t>
            </w:r>
          </w:p>
        </w:tc>
        <w:tc>
          <w:tcPr>
            <w:tcW w:w="1800" w:type="dxa"/>
            <w:vAlign w:val="bottom"/>
            <w:gridSpan w:val="5"/>
          </w:tcPr>
          <w:p>
            <w:pPr>
              <w:jc w:val="right"/>
              <w:ind w:right="20"/>
              <w:spacing w:after="0"/>
              <w:rPr>
                <w:sz w:val="20"/>
                <w:szCs w:val="20"/>
                <w:color w:val="auto"/>
              </w:rPr>
            </w:pPr>
            <w:r>
              <w:rPr>
                <w:rFonts w:ascii="Times New Roman" w:cs="Times New Roman" w:eastAsia="Times New Roman" w:hAnsi="Times New Roman"/>
                <w:sz w:val="15"/>
                <w:szCs w:val="15"/>
                <w:color w:val="auto"/>
              </w:rPr>
              <w:t>F-9</w:t>
            </w:r>
          </w:p>
        </w:tc>
      </w:tr>
      <w:tr>
        <w:trPr>
          <w:trHeight w:val="20"/>
        </w:trPr>
        <w:tc>
          <w:tcPr>
            <w:tcW w:w="9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7"/>
        </w:trPr>
        <w:tc>
          <w:tcPr>
            <w:tcW w:w="94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Notes to Consolidated Financial Statements</w:t>
            </w:r>
          </w:p>
        </w:tc>
        <w:tc>
          <w:tcPr>
            <w:tcW w:w="1800" w:type="dxa"/>
            <w:vAlign w:val="bottom"/>
            <w:gridSpan w:val="5"/>
          </w:tcPr>
          <w:p>
            <w:pPr>
              <w:jc w:val="right"/>
              <w:ind w:right="20"/>
              <w:spacing w:after="0"/>
              <w:rPr>
                <w:sz w:val="20"/>
                <w:szCs w:val="20"/>
                <w:color w:val="auto"/>
              </w:rPr>
            </w:pPr>
            <w:r>
              <w:rPr>
                <w:rFonts w:ascii="Times New Roman" w:cs="Times New Roman" w:eastAsia="Times New Roman" w:hAnsi="Times New Roman"/>
                <w:sz w:val="15"/>
                <w:szCs w:val="15"/>
                <w:color w:val="auto"/>
              </w:rPr>
              <w:t>F-11</w:t>
            </w:r>
          </w:p>
        </w:tc>
      </w:tr>
      <w:tr>
        <w:trPr>
          <w:trHeight w:val="20"/>
        </w:trPr>
        <w:tc>
          <w:tcPr>
            <w:tcW w:w="9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7"/>
        </w:trPr>
        <w:tc>
          <w:tcPr>
            <w:tcW w:w="94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Real Estate and Accumulated Depreciation, Schedule III</w:t>
            </w:r>
          </w:p>
        </w:tc>
        <w:tc>
          <w:tcPr>
            <w:tcW w:w="1800" w:type="dxa"/>
            <w:vAlign w:val="bottom"/>
            <w:gridSpan w:val="5"/>
          </w:tcPr>
          <w:p>
            <w:pPr>
              <w:jc w:val="right"/>
              <w:ind w:right="20"/>
              <w:spacing w:after="0"/>
              <w:rPr>
                <w:sz w:val="20"/>
                <w:szCs w:val="20"/>
                <w:color w:val="auto"/>
              </w:rPr>
            </w:pPr>
            <w:r>
              <w:rPr>
                <w:rFonts w:ascii="Times New Roman" w:cs="Times New Roman" w:eastAsia="Times New Roman" w:hAnsi="Times New Roman"/>
                <w:sz w:val="15"/>
                <w:szCs w:val="15"/>
                <w:color w:val="auto"/>
              </w:rPr>
              <w:t>F-46</w:t>
            </w:r>
          </w:p>
        </w:tc>
      </w:tr>
      <w:tr>
        <w:trPr>
          <w:trHeight w:val="1091"/>
        </w:trPr>
        <w:tc>
          <w:tcPr>
            <w:tcW w:w="9460" w:type="dxa"/>
            <w:vAlign w:val="bottom"/>
          </w:tcPr>
          <w:p>
            <w:pPr>
              <w:jc w:val="center"/>
              <w:ind w:left="1703"/>
              <w:spacing w:after="0"/>
              <w:rPr>
                <w:sz w:val="20"/>
                <w:szCs w:val="20"/>
                <w:color w:val="auto"/>
              </w:rPr>
            </w:pPr>
            <w:r>
              <w:rPr>
                <w:rFonts w:ascii="Times New Roman" w:cs="Times New Roman" w:eastAsia="Times New Roman" w:hAnsi="Times New Roman"/>
                <w:sz w:val="15"/>
                <w:szCs w:val="15"/>
                <w:color w:val="auto"/>
                <w:w w:val="98"/>
              </w:rPr>
              <w:t>F - 1</w:t>
            </w:r>
          </w:p>
        </w:tc>
        <w:tc>
          <w:tcPr>
            <w:tcW w:w="16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89"/>
        </w:trPr>
        <w:tc>
          <w:tcPr>
            <w:tcW w:w="9460" w:type="dxa"/>
            <w:vAlign w:val="bottom"/>
            <w:tcBorders>
              <w:bottom w:val="single" w:sz="8" w:color="9A9A9A"/>
            </w:tcBorders>
          </w:tcPr>
          <w:p>
            <w:pPr>
              <w:spacing w:after="0"/>
              <w:rPr>
                <w:sz w:val="16"/>
                <w:szCs w:val="16"/>
                <w:color w:val="auto"/>
              </w:rPr>
            </w:pPr>
          </w:p>
        </w:tc>
        <w:tc>
          <w:tcPr>
            <w:tcW w:w="16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9">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0">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REPORT OF INDEPENDENT REGISTERED PUBLIC ACCOUNTING FIRM</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Board of Directors and Shareholders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Sun Communities, Inc.</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Opinion on the financial statements</w:t>
      </w:r>
    </w:p>
    <w:p>
      <w:pPr>
        <w:spacing w:after="0" w:line="10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We have audited the accompanying consolidated balance sheets of Sun Communities, Inc. (a Maryland corporation) and subsidiaries (the "Company") as of December 31, 2025 and 2024, the related consolidated statements of operations, comprehensive income, shareholders' equity, and cash flows for each of the three years in the period ending December 31, 2025, and the related notes and schedule included under Item 15(a)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5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 xml:space="preserve">We also have audited, in accordance with the standards of the Public Company Accounting Oversight Board (United States) ("PCAOB"), the Company's internal control over financial reporting as of December 31, 2025, based on criteria established in the 2013 </w:t>
      </w:r>
      <w:r>
        <w:rPr>
          <w:rFonts w:ascii="Times New Roman" w:cs="Times New Roman" w:eastAsia="Times New Roman" w:hAnsi="Times New Roman"/>
          <w:sz w:val="15"/>
          <w:szCs w:val="15"/>
          <w:i w:val="1"/>
          <w:iCs w:val="1"/>
          <w:color w:val="auto"/>
        </w:rPr>
        <w:t>Internal Control—Integrated Framework</w:t>
      </w:r>
      <w:r>
        <w:rPr>
          <w:rFonts w:ascii="Times New Roman" w:cs="Times New Roman" w:eastAsia="Times New Roman" w:hAnsi="Times New Roman"/>
          <w:sz w:val="15"/>
          <w:szCs w:val="15"/>
          <w:color w:val="auto"/>
        </w:rPr>
        <w:t xml:space="preserve"> issued by the Committee of Sponsoring Organizations of the Treadway Commission ("COSO"), and our report dated February 25, 2026 expressed an unqualified opinion.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Basis for opinion</w:t>
      </w:r>
    </w:p>
    <w:p>
      <w:pPr>
        <w:spacing w:after="0" w:line="10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Critical audit matter</w:t>
      </w:r>
    </w:p>
    <w:p>
      <w:pPr>
        <w:spacing w:after="0" w:line="1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Impairment of Investment Properties</w:t>
      </w:r>
    </w:p>
    <w:p>
      <w:pPr>
        <w:spacing w:after="0" w:line="1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As described further in note 1 to the financial statements, the Company reviews the carrying value of its long-lived investment properties for impairment on a quarterly basis or whenever events or changes in circumstances indicate a possible impairment. Events or circumstances that may prompt a test of recoverability may include a significant decrease in the anticipated market price, an adverse change to the extent or manner in which an asset may be used or in its physical condition or other events that may significantly change the value of the long-lived investment property.</w:t>
      </w:r>
    </w:p>
    <w:p>
      <w:pPr>
        <w:spacing w:after="0" w:line="57"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5"/>
          <w:szCs w:val="15"/>
          <w:color w:val="auto"/>
        </w:rPr>
        <w:t>When impairment indicators are identified, the Company may undertake additional analyses comparing expected undiscounted future cash flows for identified investment properties to those properties' carrying values. When the results of the undiscounted cash flows analyses or other change in circumstances indicate the carrying value of the investment property is not recoverable, an impairment loss is calculated by comparing the carrying amount of the investment property to estimated fair value, using discounted cash flow models or third-party appraisals. For the year ended December 31, 2025, the Company recognized impairment charges of $386.7 million on its long-lived investment properties.</w:t>
      </w:r>
    </w:p>
    <w:p>
      <w:pPr>
        <w:spacing w:after="0" w:line="57"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color w:val="auto"/>
        </w:rPr>
        <w:t>We identified the recognition of potential impairment indicators, evaluation of recoverability of long-lived investment properties when a potential impairment indicator is identified, and the measurement of an impairment charge when a property's carrying value exceeds its estimated fair value as a critical audit matter.</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The principal consideration for our determination that the recognition of potential impairment indicators, evaluation of recoverability of long-lived investment properties, and the measurement of an impairment charge when a property's carrying value exceeds its estimated fair value is a critical audit matter is that auditing management's evaluation of impairment is challenging due to the high degree of subjective auditor judgment necessary in evaluating management's evaluation of potential impairment indicators and determination of undiscounted cash flows for properties where impairment indicators have been identified. Forecasting of cash flows requires management to make estimates and assumptions about variables such as growth rates, forecasted net operating income, estimated holding period, development and operating expenses during the holding period, and capitalization rates, among other assumptions. These assumptions can be affected by expectations about future market or economic conditions, demand and competition. Further, auditing the measurement of the impairment charges recognized is complex and involves a high degree of subjectivity in evaluating management's estimates of certain assets' fair values less costs to sell, which were based on discounted cash flow analyses or valuation reports provided by third-party appraisers.</w:t>
      </w:r>
    </w:p>
    <w:p>
      <w:pPr>
        <w:spacing w:after="0" w:line="62"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color w:val="auto"/>
        </w:rPr>
        <w:t>Our audit procedures related to the identification of potential impairment indicators, evaluating management's determination of recoverability when a potential impairment indicator has been identified, and measurement of an impairment charge when a property's carrying value exceeds its estimate fair value included the following, among others:</w:t>
      </w:r>
    </w:p>
    <w:p>
      <w:pPr>
        <w:spacing w:after="0" w:line="39" w:lineRule="exact"/>
        <w:rPr>
          <w:sz w:val="20"/>
          <w:szCs w:val="20"/>
          <w:color w:val="auto"/>
        </w:rPr>
      </w:pPr>
    </w:p>
    <w:p>
      <w:pPr>
        <w:jc w:val="both"/>
        <w:ind w:left="540" w:hanging="270"/>
        <w:spacing w:after="0" w:line="262" w:lineRule="auto"/>
        <w:tabs>
          <w:tab w:leader="none" w:pos="536"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obtained an understanding, evaluated the design, and tested the operating effectiveness of the controls over the Company's impairment assessment process for long-lived investment properties. We tested controls over management's process of identifying potential impairment indicators, evaluating recoverability, including management's review of the operations and financial performance of long-lived investment properties and preparation of undiscounted cash flow analysis, as well as controls related to management's development of the fair value estimates used to calculate impairment charges.</w:t>
      </w:r>
    </w:p>
    <w:p>
      <w:pPr>
        <w:spacing w:after="0" w:line="1"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evaluated the Company's quarterly analysis of potential impairment indicators.</w:t>
      </w:r>
    </w:p>
    <w:p>
      <w:pPr>
        <w:spacing w:after="0" w:line="12" w:lineRule="exact"/>
        <w:rPr>
          <w:rFonts w:ascii="Times New Roman" w:cs="Times New Roman" w:eastAsia="Times New Roman" w:hAnsi="Times New Roman"/>
          <w:sz w:val="15"/>
          <w:szCs w:val="15"/>
          <w:color w:val="auto"/>
        </w:rPr>
      </w:pPr>
    </w:p>
    <w:p>
      <w:pPr>
        <w:jc w:val="both"/>
        <w:ind w:left="540" w:hanging="270"/>
        <w:spacing w:after="0" w:line="257" w:lineRule="auto"/>
        <w:tabs>
          <w:tab w:leader="none" w:pos="536"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When an undiscounted cash flow analysis was necessary, we evaluated the significant assumptions and methods used in that analysis. As part of our evaluation, we compared significant assumptions used to estimate future cash flows to the Company's historical accounting records or to available market data. We also tested the mathematical accuracy of management's forecast of cash flows. We performed sensitivity analyses of certain significant assumptions to evaluate the changes in the undiscounted cash flows of certain properties that would result from changes in the assumptions used by management.</w:t>
      </w:r>
    </w:p>
    <w:p>
      <w:pPr>
        <w:spacing w:after="0" w:line="1" w:lineRule="exact"/>
        <w:rPr>
          <w:rFonts w:ascii="Times New Roman" w:cs="Times New Roman" w:eastAsia="Times New Roman" w:hAnsi="Times New Roman"/>
          <w:sz w:val="15"/>
          <w:szCs w:val="15"/>
          <w:color w:val="auto"/>
        </w:rPr>
      </w:pPr>
    </w:p>
    <w:p>
      <w:pPr>
        <w:ind w:left="540" w:right="20" w:hanging="270"/>
        <w:spacing w:after="0" w:line="275" w:lineRule="auto"/>
        <w:tabs>
          <w:tab w:leader="none" w:pos="536"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utilized an internal valuation specialist to assess certain significant assumptions used by the Company in their assessment of recoverability as well as estimation of fair value by the Company or third-party appraisers, including assessing whether those assumptions were consistent with available market data when applicable.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GRANT THORNTON LLP</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have served as the Company's auditor since 2003.</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Southfield, Michigan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February 25, 2026</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REPORT OF INDEPENDENT REGISTERED PUBLIC ACCOUNTING FIRM</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Board of Directors and Shareholders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Sun Communities, Inc.</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Opinion on internal control over financial reporting</w:t>
      </w:r>
    </w:p>
    <w:p>
      <w:pPr>
        <w:spacing w:after="0" w:line="1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 xml:space="preserve">We have audited the internal control over financial reporting of Sun Communities, Inc., (a Maryland corporation) and subsidiaries (the "Company") as of December 31, 2025, based on criteria established in the 2013 </w:t>
      </w:r>
      <w:r>
        <w:rPr>
          <w:rFonts w:ascii="Times New Roman" w:cs="Times New Roman" w:eastAsia="Times New Roman" w:hAnsi="Times New Roman"/>
          <w:sz w:val="15"/>
          <w:szCs w:val="15"/>
          <w:i w:val="1"/>
          <w:iCs w:val="1"/>
          <w:color w:val="auto"/>
        </w:rPr>
        <w:t>Internal Control—Integrated Framework</w:t>
      </w:r>
      <w:r>
        <w:rPr>
          <w:rFonts w:ascii="Times New Roman" w:cs="Times New Roman" w:eastAsia="Times New Roman" w:hAnsi="Times New Roman"/>
          <w:sz w:val="15"/>
          <w:szCs w:val="15"/>
          <w:color w:val="auto"/>
        </w:rPr>
        <w:t xml:space="preserve"> issued by the Committee of Sponsoring Organizations of the Treadway Commission ("COSO"). In our opinion, the Company maintained, in all material respects, effective internal control over financial reporting as of December 31, 2025, based on criteria established in the 2013 </w:t>
      </w:r>
      <w:r>
        <w:rPr>
          <w:rFonts w:ascii="Times New Roman" w:cs="Times New Roman" w:eastAsia="Times New Roman" w:hAnsi="Times New Roman"/>
          <w:sz w:val="15"/>
          <w:szCs w:val="15"/>
          <w:i w:val="1"/>
          <w:iCs w:val="1"/>
          <w:color w:val="auto"/>
        </w:rPr>
        <w:t xml:space="preserve">Internal Control—Integrated Framework </w:t>
      </w:r>
      <w:r>
        <w:rPr>
          <w:rFonts w:ascii="Times New Roman" w:cs="Times New Roman" w:eastAsia="Times New Roman" w:hAnsi="Times New Roman"/>
          <w:sz w:val="15"/>
          <w:szCs w:val="15"/>
          <w:color w:val="auto"/>
        </w:rPr>
        <w:t>issued by COSO.</w:t>
      </w:r>
    </w:p>
    <w:p>
      <w:pPr>
        <w:spacing w:after="0" w:line="57"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color w:val="auto"/>
        </w:rPr>
        <w:t>We also have audited, in accordance with the standards of the Public Company Accounting Oversight Board (United States) ("PCAOB"), the consolidated financial statements of the Company as of and for the year ended December 31, 2025, and our report dated February 25, 2026 expressed an unqualified opinion on those financial statements.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Basis for opinion</w:t>
      </w:r>
    </w:p>
    <w:p>
      <w:pPr>
        <w:spacing w:after="0" w:line="1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Definition and limitations of internal control over financial reporting</w:t>
      </w:r>
    </w:p>
    <w:p>
      <w:pPr>
        <w:spacing w:after="0" w:line="10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5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5"/>
          <w:szCs w:val="15"/>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GRANT THORNTON LLP</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Southfield, Michigan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February 25, 2026</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59" w:name="page60"/>
    <w:bookmarkEnd w:id="59"/>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CONSOLIDATED BALANCE SHEETS</w:t>
      </w:r>
    </w:p>
    <w:p>
      <w:pPr>
        <w:spacing w:after="0" w:line="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(In millions, except for per share amounts)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84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784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2025</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6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0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Land</w:t>
            </w:r>
          </w:p>
        </w:tc>
        <w:tc>
          <w:tcPr>
            <w:tcW w:w="1060" w:type="dxa"/>
            <w:vAlign w:val="bottom"/>
          </w:tcPr>
          <w:p>
            <w:pPr>
              <w:jc w:val="right"/>
              <w:ind w:right="914"/>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3,503.2</w:t>
            </w:r>
          </w:p>
        </w:tc>
        <w:tc>
          <w:tcPr>
            <w:tcW w:w="80" w:type="dxa"/>
            <w:vAlign w:val="bottom"/>
          </w:tcPr>
          <w:p>
            <w:pPr>
              <w:spacing w:after="0"/>
              <w:rPr>
                <w:sz w:val="14"/>
                <w:szCs w:val="14"/>
                <w:color w:val="auto"/>
              </w:rPr>
            </w:pPr>
          </w:p>
        </w:tc>
        <w:tc>
          <w:tcPr>
            <w:tcW w:w="620" w:type="dxa"/>
            <w:vAlign w:val="bottom"/>
          </w:tcPr>
          <w:p>
            <w:pPr>
              <w:jc w:val="right"/>
              <w:ind w:right="474"/>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3,461.5</w:t>
            </w:r>
          </w:p>
        </w:tc>
        <w:tc>
          <w:tcPr>
            <w:tcW w:w="0" w:type="dxa"/>
            <w:vAlign w:val="bottom"/>
          </w:tcPr>
          <w:p>
            <w:pPr>
              <w:spacing w:after="0"/>
              <w:rPr>
                <w:sz w:val="1"/>
                <w:szCs w:val="1"/>
                <w:color w:val="auto"/>
              </w:rPr>
            </w:pPr>
          </w:p>
        </w:tc>
      </w:tr>
      <w:tr>
        <w:trPr>
          <w:trHeight w:val="175"/>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Land improvements and buildings</w:t>
            </w:r>
          </w:p>
        </w:tc>
        <w:tc>
          <w:tcPr>
            <w:tcW w:w="10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9,286.8</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9,058.7</w:t>
            </w:r>
          </w:p>
        </w:tc>
        <w:tc>
          <w:tcPr>
            <w:tcW w:w="0" w:type="dxa"/>
            <w:vAlign w:val="bottom"/>
          </w:tcPr>
          <w:p>
            <w:pPr>
              <w:spacing w:after="0"/>
              <w:rPr>
                <w:sz w:val="1"/>
                <w:szCs w:val="1"/>
                <w:color w:val="auto"/>
              </w:rPr>
            </w:pPr>
          </w:p>
        </w:tc>
      </w:tr>
      <w:tr>
        <w:trPr>
          <w:trHeight w:val="172"/>
        </w:trPr>
        <w:tc>
          <w:tcPr>
            <w:tcW w:w="7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Rental homes and improvements</w:t>
            </w:r>
          </w:p>
        </w:tc>
        <w:tc>
          <w:tcPr>
            <w:tcW w:w="10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940.2</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834.1</w:t>
            </w:r>
          </w:p>
        </w:tc>
        <w:tc>
          <w:tcPr>
            <w:tcW w:w="0" w:type="dxa"/>
            <w:vAlign w:val="bottom"/>
          </w:tcPr>
          <w:p>
            <w:pPr>
              <w:spacing w:after="0"/>
              <w:rPr>
                <w:sz w:val="1"/>
                <w:szCs w:val="1"/>
                <w:color w:val="auto"/>
              </w:rPr>
            </w:pPr>
          </w:p>
        </w:tc>
      </w:tr>
      <w:tr>
        <w:trPr>
          <w:trHeight w:val="175"/>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Furniture, fixtures and equipment</w:t>
            </w:r>
          </w:p>
        </w:tc>
        <w:tc>
          <w:tcPr>
            <w:tcW w:w="10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769.8</w:t>
            </w: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739.2</w:t>
            </w:r>
          </w:p>
        </w:tc>
        <w:tc>
          <w:tcPr>
            <w:tcW w:w="0" w:type="dxa"/>
            <w:vAlign w:val="bottom"/>
          </w:tcPr>
          <w:p>
            <w:pPr>
              <w:spacing w:after="0"/>
              <w:rPr>
                <w:sz w:val="1"/>
                <w:szCs w:val="1"/>
                <w:color w:val="auto"/>
              </w:rPr>
            </w:pPr>
          </w:p>
        </w:tc>
      </w:tr>
      <w:tr>
        <w:trPr>
          <w:trHeight w:val="164"/>
        </w:trPr>
        <w:tc>
          <w:tcPr>
            <w:tcW w:w="7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Investment property</w:t>
            </w:r>
          </w:p>
        </w:tc>
        <w:tc>
          <w:tcPr>
            <w:tcW w:w="10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14,500.0</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14,093.5</w:t>
            </w:r>
          </w:p>
        </w:tc>
        <w:tc>
          <w:tcPr>
            <w:tcW w:w="0" w:type="dxa"/>
            <w:vAlign w:val="bottom"/>
          </w:tcPr>
          <w:p>
            <w:pPr>
              <w:spacing w:after="0"/>
              <w:rPr>
                <w:sz w:val="1"/>
                <w:szCs w:val="1"/>
                <w:color w:val="auto"/>
              </w:rPr>
            </w:pPr>
          </w:p>
        </w:tc>
      </w:tr>
      <w:tr>
        <w:trPr>
          <w:trHeight w:val="175"/>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Accumulated depreciation</w:t>
            </w:r>
          </w:p>
        </w:tc>
        <w:tc>
          <w:tcPr>
            <w:tcW w:w="10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(3,598.3)</w:t>
            </w: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(3,228.4)</w:t>
            </w:r>
          </w:p>
        </w:tc>
        <w:tc>
          <w:tcPr>
            <w:tcW w:w="0" w:type="dxa"/>
            <w:vAlign w:val="bottom"/>
          </w:tcPr>
          <w:p>
            <w:pPr>
              <w:spacing w:after="0"/>
              <w:rPr>
                <w:sz w:val="1"/>
                <w:szCs w:val="1"/>
                <w:color w:val="auto"/>
              </w:rPr>
            </w:pPr>
          </w:p>
        </w:tc>
      </w:tr>
      <w:tr>
        <w:trPr>
          <w:trHeight w:val="164"/>
        </w:trPr>
        <w:tc>
          <w:tcPr>
            <w:tcW w:w="7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Investment property, net</w:t>
            </w:r>
          </w:p>
        </w:tc>
        <w:tc>
          <w:tcPr>
            <w:tcW w:w="10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10,901.7</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10,865.1</w:t>
            </w:r>
          </w:p>
        </w:tc>
        <w:tc>
          <w:tcPr>
            <w:tcW w:w="0" w:type="dxa"/>
            <w:vAlign w:val="bottom"/>
          </w:tcPr>
          <w:p>
            <w:pPr>
              <w:spacing w:after="0"/>
              <w:rPr>
                <w:sz w:val="1"/>
                <w:szCs w:val="1"/>
                <w:color w:val="auto"/>
              </w:rPr>
            </w:pPr>
          </w:p>
        </w:tc>
      </w:tr>
      <w:tr>
        <w:trPr>
          <w:trHeight w:val="175"/>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Cash, cash equivalents and restricted cash</w:t>
            </w:r>
          </w:p>
        </w:tc>
        <w:tc>
          <w:tcPr>
            <w:tcW w:w="10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636.1</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57.1</w:t>
            </w:r>
          </w:p>
        </w:tc>
        <w:tc>
          <w:tcPr>
            <w:tcW w:w="0" w:type="dxa"/>
            <w:vAlign w:val="bottom"/>
          </w:tcPr>
          <w:p>
            <w:pPr>
              <w:spacing w:after="0"/>
              <w:rPr>
                <w:sz w:val="1"/>
                <w:szCs w:val="1"/>
                <w:color w:val="auto"/>
              </w:rPr>
            </w:pPr>
          </w:p>
        </w:tc>
      </w:tr>
      <w:tr>
        <w:trPr>
          <w:trHeight w:val="172"/>
        </w:trPr>
        <w:tc>
          <w:tcPr>
            <w:tcW w:w="7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Inventory of manufactured homes</w:t>
            </w:r>
          </w:p>
        </w:tc>
        <w:tc>
          <w:tcPr>
            <w:tcW w:w="10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142.9</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129.8</w:t>
            </w:r>
          </w:p>
        </w:tc>
        <w:tc>
          <w:tcPr>
            <w:tcW w:w="0" w:type="dxa"/>
            <w:vAlign w:val="bottom"/>
          </w:tcPr>
          <w:p>
            <w:pPr>
              <w:spacing w:after="0"/>
              <w:rPr>
                <w:sz w:val="1"/>
                <w:szCs w:val="1"/>
                <w:color w:val="auto"/>
              </w:rPr>
            </w:pPr>
          </w:p>
        </w:tc>
      </w:tr>
      <w:tr>
        <w:trPr>
          <w:trHeight w:val="198"/>
        </w:trPr>
        <w:tc>
          <w:tcPr>
            <w:tcW w:w="7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Notes and other receivables, net (includes $183.7 and $242.4 at fair value)</w:t>
            </w:r>
          </w:p>
        </w:tc>
        <w:tc>
          <w:tcPr>
            <w:tcW w:w="10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332.1</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430.1</w:t>
            </w:r>
          </w:p>
        </w:tc>
        <w:tc>
          <w:tcPr>
            <w:tcW w:w="0" w:type="dxa"/>
            <w:vAlign w:val="bottom"/>
          </w:tcPr>
          <w:p>
            <w:pPr>
              <w:spacing w:after="0"/>
              <w:rPr>
                <w:sz w:val="1"/>
                <w:szCs w:val="1"/>
                <w:color w:val="auto"/>
              </w:rPr>
            </w:pPr>
          </w:p>
        </w:tc>
      </w:tr>
      <w:tr>
        <w:trPr>
          <w:trHeight w:val="172"/>
        </w:trPr>
        <w:tc>
          <w:tcPr>
            <w:tcW w:w="7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Collateralized receivables, net</w:t>
            </w:r>
          </w:p>
        </w:tc>
        <w:tc>
          <w:tcPr>
            <w:tcW w:w="10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43.2</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51.2</w:t>
            </w:r>
          </w:p>
        </w:tc>
        <w:tc>
          <w:tcPr>
            <w:tcW w:w="0" w:type="dxa"/>
            <w:vAlign w:val="bottom"/>
          </w:tcPr>
          <w:p>
            <w:pPr>
              <w:spacing w:after="0"/>
              <w:rPr>
                <w:sz w:val="1"/>
                <w:szCs w:val="1"/>
                <w:color w:val="auto"/>
              </w:rPr>
            </w:pPr>
          </w:p>
        </w:tc>
      </w:tr>
      <w:tr>
        <w:trPr>
          <w:trHeight w:val="175"/>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Goodwill</w:t>
            </w:r>
          </w:p>
        </w:tc>
        <w:tc>
          <w:tcPr>
            <w:tcW w:w="10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0" w:type="dxa"/>
            <w:vAlign w:val="bottom"/>
          </w:tcPr>
          <w:p>
            <w:pPr>
              <w:spacing w:after="0"/>
              <w:rPr>
                <w:sz w:val="1"/>
                <w:szCs w:val="1"/>
                <w:color w:val="auto"/>
              </w:rPr>
            </w:pPr>
          </w:p>
        </w:tc>
      </w:tr>
      <w:tr>
        <w:trPr>
          <w:trHeight w:val="172"/>
        </w:trPr>
        <w:tc>
          <w:tcPr>
            <w:tcW w:w="7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intangible assets, net</w:t>
            </w:r>
          </w:p>
        </w:tc>
        <w:tc>
          <w:tcPr>
            <w:tcW w:w="10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101.5</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102.5</w:t>
            </w:r>
          </w:p>
        </w:tc>
        <w:tc>
          <w:tcPr>
            <w:tcW w:w="0" w:type="dxa"/>
            <w:vAlign w:val="bottom"/>
          </w:tcPr>
          <w:p>
            <w:pPr>
              <w:spacing w:after="0"/>
              <w:rPr>
                <w:sz w:val="1"/>
                <w:szCs w:val="1"/>
                <w:color w:val="auto"/>
              </w:rPr>
            </w:pPr>
          </w:p>
        </w:tc>
      </w:tr>
      <w:tr>
        <w:trPr>
          <w:trHeight w:val="175"/>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assets, net</w:t>
            </w:r>
          </w:p>
        </w:tc>
        <w:tc>
          <w:tcPr>
            <w:tcW w:w="10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355.9</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442.4</w:t>
            </w:r>
          </w:p>
        </w:tc>
        <w:tc>
          <w:tcPr>
            <w:tcW w:w="0" w:type="dxa"/>
            <w:vAlign w:val="bottom"/>
          </w:tcPr>
          <w:p>
            <w:pPr>
              <w:spacing w:after="0"/>
              <w:rPr>
                <w:sz w:val="1"/>
                <w:szCs w:val="1"/>
                <w:color w:val="auto"/>
              </w:rPr>
            </w:pPr>
          </w:p>
        </w:tc>
      </w:tr>
      <w:tr>
        <w:trPr>
          <w:trHeight w:val="172"/>
        </w:trPr>
        <w:tc>
          <w:tcPr>
            <w:tcW w:w="7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Assets held for sale and discontinued operations, net (see Note 2)</w:t>
            </w:r>
          </w:p>
        </w:tc>
        <w:tc>
          <w:tcPr>
            <w:tcW w:w="106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4,461.7</w:t>
            </w:r>
          </w:p>
        </w:tc>
        <w:tc>
          <w:tcPr>
            <w:tcW w:w="0" w:type="dxa"/>
            <w:vAlign w:val="bottom"/>
          </w:tcPr>
          <w:p>
            <w:pPr>
              <w:spacing w:after="0"/>
              <w:rPr>
                <w:sz w:val="1"/>
                <w:szCs w:val="1"/>
                <w:color w:val="auto"/>
              </w:rPr>
            </w:pPr>
          </w:p>
        </w:tc>
      </w:tr>
      <w:tr>
        <w:trPr>
          <w:trHeight w:val="192"/>
        </w:trPr>
        <w:tc>
          <w:tcPr>
            <w:tcW w:w="784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060" w:type="dxa"/>
            <w:vAlign w:val="bottom"/>
            <w:tcBorders>
              <w:top w:val="single" w:sz="8" w:color="auto"/>
              <w:bottom w:val="single" w:sz="8" w:color="auto"/>
            </w:tcBorders>
            <w:shd w:val="clear" w:color="auto" w:fill="CCEEFF"/>
          </w:tcPr>
          <w:p>
            <w:pPr>
              <w:jc w:val="right"/>
              <w:ind w:right="914"/>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12,522.9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ind w:right="474"/>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16,549.4</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784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Mortgage loans payable (see Note 7)</w:t>
            </w:r>
          </w:p>
        </w:tc>
        <w:tc>
          <w:tcPr>
            <w:tcW w:w="106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2,429.0</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3,212.2</w:t>
            </w:r>
          </w:p>
        </w:tc>
        <w:tc>
          <w:tcPr>
            <w:tcW w:w="0" w:type="dxa"/>
            <w:vAlign w:val="bottom"/>
          </w:tcPr>
          <w:p>
            <w:pPr>
              <w:spacing w:after="0"/>
              <w:rPr>
                <w:sz w:val="1"/>
                <w:szCs w:val="1"/>
                <w:color w:val="auto"/>
              </w:rPr>
            </w:pPr>
          </w:p>
        </w:tc>
      </w:tr>
      <w:tr>
        <w:trPr>
          <w:trHeight w:val="172"/>
        </w:trPr>
        <w:tc>
          <w:tcPr>
            <w:tcW w:w="7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Secured borrowings on collateralized receivables</w:t>
            </w:r>
          </w:p>
        </w:tc>
        <w:tc>
          <w:tcPr>
            <w:tcW w:w="10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43.2</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51.2</w:t>
            </w:r>
          </w:p>
        </w:tc>
        <w:tc>
          <w:tcPr>
            <w:tcW w:w="0" w:type="dxa"/>
            <w:vAlign w:val="bottom"/>
          </w:tcPr>
          <w:p>
            <w:pPr>
              <w:spacing w:after="0"/>
              <w:rPr>
                <w:sz w:val="1"/>
                <w:szCs w:val="1"/>
                <w:color w:val="auto"/>
              </w:rPr>
            </w:pPr>
          </w:p>
        </w:tc>
      </w:tr>
      <w:tr>
        <w:trPr>
          <w:trHeight w:val="175"/>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Unsecured debt (see Note 7)</w:t>
            </w:r>
          </w:p>
        </w:tc>
        <w:tc>
          <w:tcPr>
            <w:tcW w:w="10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1,786.5</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4,089.4</w:t>
            </w:r>
          </w:p>
        </w:tc>
        <w:tc>
          <w:tcPr>
            <w:tcW w:w="0" w:type="dxa"/>
            <w:vAlign w:val="bottom"/>
          </w:tcPr>
          <w:p>
            <w:pPr>
              <w:spacing w:after="0"/>
              <w:rPr>
                <w:sz w:val="1"/>
                <w:szCs w:val="1"/>
                <w:color w:val="auto"/>
              </w:rPr>
            </w:pPr>
          </w:p>
        </w:tc>
      </w:tr>
      <w:tr>
        <w:trPr>
          <w:trHeight w:val="172"/>
        </w:trPr>
        <w:tc>
          <w:tcPr>
            <w:tcW w:w="7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Distributions payable</w:t>
            </w:r>
          </w:p>
        </w:tc>
        <w:tc>
          <w:tcPr>
            <w:tcW w:w="10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131.1</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122.6</w:t>
            </w:r>
          </w:p>
        </w:tc>
        <w:tc>
          <w:tcPr>
            <w:tcW w:w="0" w:type="dxa"/>
            <w:vAlign w:val="bottom"/>
          </w:tcPr>
          <w:p>
            <w:pPr>
              <w:spacing w:after="0"/>
              <w:rPr>
                <w:sz w:val="1"/>
                <w:szCs w:val="1"/>
                <w:color w:val="auto"/>
              </w:rPr>
            </w:pPr>
          </w:p>
        </w:tc>
      </w:tr>
      <w:tr>
        <w:trPr>
          <w:trHeight w:val="175"/>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Advanced reservation deposits and rent</w:t>
            </w:r>
          </w:p>
        </w:tc>
        <w:tc>
          <w:tcPr>
            <w:tcW w:w="10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255.9</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249.4</w:t>
            </w:r>
          </w:p>
        </w:tc>
        <w:tc>
          <w:tcPr>
            <w:tcW w:w="0" w:type="dxa"/>
            <w:vAlign w:val="bottom"/>
          </w:tcPr>
          <w:p>
            <w:pPr>
              <w:spacing w:after="0"/>
              <w:rPr>
                <w:sz w:val="1"/>
                <w:szCs w:val="1"/>
                <w:color w:val="auto"/>
              </w:rPr>
            </w:pPr>
          </w:p>
        </w:tc>
      </w:tr>
      <w:tr>
        <w:trPr>
          <w:trHeight w:val="172"/>
        </w:trPr>
        <w:tc>
          <w:tcPr>
            <w:tcW w:w="7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Accrued expenses and accounts payable</w:t>
            </w:r>
          </w:p>
        </w:tc>
        <w:tc>
          <w:tcPr>
            <w:tcW w:w="10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228.1</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265.8</w:t>
            </w:r>
          </w:p>
        </w:tc>
        <w:tc>
          <w:tcPr>
            <w:tcW w:w="0" w:type="dxa"/>
            <w:vAlign w:val="bottom"/>
          </w:tcPr>
          <w:p>
            <w:pPr>
              <w:spacing w:after="0"/>
              <w:rPr>
                <w:sz w:val="1"/>
                <w:szCs w:val="1"/>
                <w:color w:val="auto"/>
              </w:rPr>
            </w:pPr>
          </w:p>
        </w:tc>
      </w:tr>
      <w:tr>
        <w:trPr>
          <w:trHeight w:val="175"/>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liabilities</w:t>
            </w:r>
          </w:p>
        </w:tc>
        <w:tc>
          <w:tcPr>
            <w:tcW w:w="10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320.6</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819.3</w:t>
            </w:r>
          </w:p>
        </w:tc>
        <w:tc>
          <w:tcPr>
            <w:tcW w:w="0" w:type="dxa"/>
            <w:vAlign w:val="bottom"/>
          </w:tcPr>
          <w:p>
            <w:pPr>
              <w:spacing w:after="0"/>
              <w:rPr>
                <w:sz w:val="1"/>
                <w:szCs w:val="1"/>
                <w:color w:val="auto"/>
              </w:rPr>
            </w:pPr>
          </w:p>
        </w:tc>
      </w:tr>
      <w:tr>
        <w:trPr>
          <w:trHeight w:val="172"/>
        </w:trPr>
        <w:tc>
          <w:tcPr>
            <w:tcW w:w="7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Liabilities held for sale and discontinued operations, net (see Note 2)</w:t>
            </w:r>
          </w:p>
        </w:tc>
        <w:tc>
          <w:tcPr>
            <w:tcW w:w="106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286.9</w:t>
            </w:r>
          </w:p>
        </w:tc>
        <w:tc>
          <w:tcPr>
            <w:tcW w:w="0" w:type="dxa"/>
            <w:vAlign w:val="bottom"/>
          </w:tcPr>
          <w:p>
            <w:pPr>
              <w:spacing w:after="0"/>
              <w:rPr>
                <w:sz w:val="1"/>
                <w:szCs w:val="1"/>
                <w:color w:val="auto"/>
              </w:rPr>
            </w:pPr>
          </w:p>
        </w:tc>
      </w:tr>
      <w:tr>
        <w:trPr>
          <w:trHeight w:val="167"/>
        </w:trPr>
        <w:tc>
          <w:tcPr>
            <w:tcW w:w="7840" w:type="dxa"/>
            <w:vAlign w:val="bottom"/>
            <w:tcBorders>
              <w:top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106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5,194.4</w:t>
            </w:r>
          </w:p>
        </w:tc>
        <w:tc>
          <w:tcPr>
            <w:tcW w:w="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9,096.8</w:t>
            </w:r>
          </w:p>
        </w:tc>
        <w:tc>
          <w:tcPr>
            <w:tcW w:w="0" w:type="dxa"/>
            <w:vAlign w:val="bottom"/>
          </w:tcPr>
          <w:p>
            <w:pPr>
              <w:spacing w:after="0"/>
              <w:rPr>
                <w:sz w:val="1"/>
                <w:szCs w:val="1"/>
                <w:color w:val="auto"/>
              </w:rPr>
            </w:pPr>
          </w:p>
        </w:tc>
      </w:tr>
      <w:tr>
        <w:trPr>
          <w:trHeight w:val="172"/>
        </w:trPr>
        <w:tc>
          <w:tcPr>
            <w:tcW w:w="7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Commitments and contingencies (see Note 15)</w:t>
            </w: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Temporary equity (see Note 8)</w:t>
            </w:r>
          </w:p>
        </w:tc>
        <w:tc>
          <w:tcPr>
            <w:tcW w:w="10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255.7</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259.8</w:t>
            </w:r>
          </w:p>
        </w:tc>
        <w:tc>
          <w:tcPr>
            <w:tcW w:w="0" w:type="dxa"/>
            <w:vAlign w:val="bottom"/>
          </w:tcPr>
          <w:p>
            <w:pPr>
              <w:spacing w:after="0"/>
              <w:rPr>
                <w:sz w:val="1"/>
                <w:szCs w:val="1"/>
                <w:color w:val="auto"/>
              </w:rPr>
            </w:pPr>
          </w:p>
        </w:tc>
      </w:tr>
      <w:tr>
        <w:trPr>
          <w:trHeight w:val="173"/>
        </w:trPr>
        <w:tc>
          <w:tcPr>
            <w:tcW w:w="78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Shareholders' Equity</w:t>
            </w: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Common stock, $0.01 par value. Authorized: 360.0 shares; Issued and outstanding: 123.5 at December 31, 2025 and 127.4 at December 31, 2024</w:t>
            </w:r>
          </w:p>
        </w:tc>
        <w:tc>
          <w:tcPr>
            <w:tcW w:w="10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72"/>
        </w:trPr>
        <w:tc>
          <w:tcPr>
            <w:tcW w:w="7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0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9,563.1</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9,864.2</w:t>
            </w:r>
          </w:p>
        </w:tc>
        <w:tc>
          <w:tcPr>
            <w:tcW w:w="0" w:type="dxa"/>
            <w:vAlign w:val="bottom"/>
          </w:tcPr>
          <w:p>
            <w:pPr>
              <w:spacing w:after="0"/>
              <w:rPr>
                <w:sz w:val="1"/>
                <w:szCs w:val="1"/>
                <w:color w:val="auto"/>
              </w:rPr>
            </w:pPr>
          </w:p>
        </w:tc>
      </w:tr>
      <w:tr>
        <w:trPr>
          <w:trHeight w:val="175"/>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Accumulated other comprehensive income / (loss)</w:t>
            </w:r>
          </w:p>
        </w:tc>
        <w:tc>
          <w:tcPr>
            <w:tcW w:w="10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0" w:type="dxa"/>
            <w:vAlign w:val="bottom"/>
          </w:tcPr>
          <w:p>
            <w:pPr>
              <w:spacing w:after="0"/>
              <w:rPr>
                <w:sz w:val="1"/>
                <w:szCs w:val="1"/>
                <w:color w:val="auto"/>
              </w:rPr>
            </w:pPr>
          </w:p>
        </w:tc>
      </w:tr>
      <w:tr>
        <w:trPr>
          <w:trHeight w:val="172"/>
        </w:trPr>
        <w:tc>
          <w:tcPr>
            <w:tcW w:w="7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Distributions in excess of accumulated earnings</w:t>
            </w:r>
          </w:p>
        </w:tc>
        <w:tc>
          <w:tcPr>
            <w:tcW w:w="10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rPr>
              <w:t>(2,634.7)</w:t>
            </w: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(2,775.9)</w:t>
            </w:r>
          </w:p>
        </w:tc>
        <w:tc>
          <w:tcPr>
            <w:tcW w:w="0" w:type="dxa"/>
            <w:vAlign w:val="bottom"/>
          </w:tcPr>
          <w:p>
            <w:pPr>
              <w:spacing w:after="0"/>
              <w:rPr>
                <w:sz w:val="1"/>
                <w:szCs w:val="1"/>
                <w:color w:val="auto"/>
              </w:rPr>
            </w:pPr>
          </w:p>
        </w:tc>
      </w:tr>
      <w:tr>
        <w:trPr>
          <w:trHeight w:val="167"/>
        </w:trPr>
        <w:tc>
          <w:tcPr>
            <w:tcW w:w="7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SUI Shareholders' Equity</w:t>
            </w:r>
          </w:p>
        </w:tc>
        <w:tc>
          <w:tcPr>
            <w:tcW w:w="10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6,956.1</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7,081.7</w:t>
            </w:r>
          </w:p>
        </w:tc>
        <w:tc>
          <w:tcPr>
            <w:tcW w:w="0" w:type="dxa"/>
            <w:vAlign w:val="bottom"/>
          </w:tcPr>
          <w:p>
            <w:pPr>
              <w:spacing w:after="0"/>
              <w:rPr>
                <w:sz w:val="1"/>
                <w:szCs w:val="1"/>
                <w:color w:val="auto"/>
              </w:rPr>
            </w:pPr>
          </w:p>
        </w:tc>
      </w:tr>
      <w:tr>
        <w:trPr>
          <w:trHeight w:val="172"/>
        </w:trPr>
        <w:tc>
          <w:tcPr>
            <w:tcW w:w="7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Common and preferred OP units</w:t>
            </w:r>
          </w:p>
        </w:tc>
        <w:tc>
          <w:tcPr>
            <w:tcW w:w="10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116.3</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110.4</w:t>
            </w:r>
          </w:p>
        </w:tc>
        <w:tc>
          <w:tcPr>
            <w:tcW w:w="0" w:type="dxa"/>
            <w:vAlign w:val="bottom"/>
          </w:tcPr>
          <w:p>
            <w:pPr>
              <w:spacing w:after="0"/>
              <w:rPr>
                <w:sz w:val="1"/>
                <w:szCs w:val="1"/>
                <w:color w:val="auto"/>
              </w:rPr>
            </w:pPr>
          </w:p>
        </w:tc>
      </w:tr>
      <w:tr>
        <w:trPr>
          <w:trHeight w:val="172"/>
        </w:trPr>
        <w:tc>
          <w:tcPr>
            <w:tcW w:w="78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Consolidated entities</w:t>
            </w:r>
          </w:p>
        </w:tc>
        <w:tc>
          <w:tcPr>
            <w:tcW w:w="10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0" w:type="dxa"/>
            <w:vAlign w:val="bottom"/>
          </w:tcPr>
          <w:p>
            <w:pPr>
              <w:spacing w:after="0"/>
              <w:rPr>
                <w:sz w:val="1"/>
                <w:szCs w:val="1"/>
                <w:color w:val="auto"/>
              </w:rPr>
            </w:pPr>
          </w:p>
        </w:tc>
      </w:tr>
      <w:tr>
        <w:trPr>
          <w:trHeight w:val="167"/>
        </w:trPr>
        <w:tc>
          <w:tcPr>
            <w:tcW w:w="7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noncontrolling interests</w:t>
            </w:r>
          </w:p>
        </w:tc>
        <w:tc>
          <w:tcPr>
            <w:tcW w:w="10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116.7</w:t>
            </w:r>
          </w:p>
        </w:tc>
        <w:tc>
          <w:tcPr>
            <w:tcW w:w="8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111.1</w:t>
            </w:r>
          </w:p>
        </w:tc>
        <w:tc>
          <w:tcPr>
            <w:tcW w:w="0" w:type="dxa"/>
            <w:vAlign w:val="bottom"/>
          </w:tcPr>
          <w:p>
            <w:pPr>
              <w:spacing w:after="0"/>
              <w:rPr>
                <w:sz w:val="1"/>
                <w:szCs w:val="1"/>
                <w:color w:val="auto"/>
              </w:rPr>
            </w:pPr>
          </w:p>
        </w:tc>
      </w:tr>
      <w:tr>
        <w:trPr>
          <w:trHeight w:val="164"/>
        </w:trPr>
        <w:tc>
          <w:tcPr>
            <w:tcW w:w="784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3"/>
                <w:szCs w:val="13"/>
                <w:b w:val="1"/>
                <w:bCs w:val="1"/>
                <w:color w:val="auto"/>
              </w:rPr>
              <w:t>Total Shareholders' Equity</w:t>
            </w:r>
          </w:p>
        </w:tc>
        <w:tc>
          <w:tcPr>
            <w:tcW w:w="10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7,072.8</w:t>
            </w: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7,192.8</w:t>
            </w:r>
          </w:p>
        </w:tc>
        <w:tc>
          <w:tcPr>
            <w:tcW w:w="0" w:type="dxa"/>
            <w:vAlign w:val="bottom"/>
          </w:tcPr>
          <w:p>
            <w:pPr>
              <w:spacing w:after="0"/>
              <w:rPr>
                <w:sz w:val="1"/>
                <w:szCs w:val="1"/>
                <w:color w:val="auto"/>
              </w:rPr>
            </w:pPr>
          </w:p>
        </w:tc>
      </w:tr>
      <w:tr>
        <w:trPr>
          <w:trHeight w:val="192"/>
        </w:trPr>
        <w:tc>
          <w:tcPr>
            <w:tcW w:w="7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Total Liabilities, Temporary Equity and Shareholders' Equity</w:t>
            </w:r>
          </w:p>
        </w:tc>
        <w:tc>
          <w:tcPr>
            <w:tcW w:w="1060" w:type="dxa"/>
            <w:vAlign w:val="bottom"/>
            <w:tcBorders>
              <w:bottom w:val="single" w:sz="8" w:color="auto"/>
            </w:tcBorders>
            <w:shd w:val="clear" w:color="auto" w:fill="CCEEFF"/>
          </w:tcPr>
          <w:p>
            <w:pPr>
              <w:jc w:val="right"/>
              <w:ind w:right="914"/>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12,522.9</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474"/>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16,549.4</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i w:val="1"/>
          <w:iCs w:val="1"/>
          <w:color w:val="auto"/>
        </w:rPr>
        <w:t>See accompanying Notes to Consolidated Financial Statements.</w:t>
      </w: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116" w:right="319" w:bottom="1440" w:gutter="0" w:footer="0" w:header="0"/>
        </w:sectPr>
      </w:pPr>
    </w:p>
    <w:bookmarkStart w:id="60" w:name="page61"/>
    <w:bookmarkEnd w:id="60"/>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CONSOLIDATED STATEMENTS OF OPERATIONS</w:t>
      </w:r>
    </w:p>
    <w:p>
      <w:pPr>
        <w:spacing w:after="0" w:line="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(In millions, except for per share amounts)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58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5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2025</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66"/>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9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5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Real property</w:t>
            </w:r>
          </w:p>
        </w:tc>
        <w:tc>
          <w:tcPr>
            <w:tcW w:w="960" w:type="dxa"/>
            <w:vAlign w:val="bottom"/>
          </w:tcPr>
          <w:p>
            <w:pPr>
              <w:jc w:val="right"/>
              <w:ind w:right="814"/>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1,765.8</w:t>
            </w:r>
          </w:p>
        </w:tc>
        <w:tc>
          <w:tcPr>
            <w:tcW w:w="80" w:type="dxa"/>
            <w:vAlign w:val="bottom"/>
          </w:tcPr>
          <w:p>
            <w:pPr>
              <w:spacing w:after="0"/>
              <w:rPr>
                <w:sz w:val="14"/>
                <w:szCs w:val="14"/>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1,703.1</w:t>
            </w:r>
          </w:p>
        </w:tc>
        <w:tc>
          <w:tcPr>
            <w:tcW w:w="80" w:type="dxa"/>
            <w:vAlign w:val="bottom"/>
          </w:tcPr>
          <w:p>
            <w:pPr>
              <w:spacing w:after="0"/>
              <w:rPr>
                <w:sz w:val="14"/>
                <w:szCs w:val="14"/>
                <w:color w:val="auto"/>
              </w:rPr>
            </w:pPr>
          </w:p>
        </w:tc>
        <w:tc>
          <w:tcPr>
            <w:tcW w:w="34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1,628.2</w:t>
            </w:r>
          </w:p>
        </w:tc>
        <w:tc>
          <w:tcPr>
            <w:tcW w:w="0" w:type="dxa"/>
            <w:vAlign w:val="bottom"/>
          </w:tcPr>
          <w:p>
            <w:pPr>
              <w:spacing w:after="0"/>
              <w:rPr>
                <w:sz w:val="1"/>
                <w:szCs w:val="1"/>
                <w:color w:val="auto"/>
              </w:rPr>
            </w:pPr>
          </w:p>
        </w:tc>
      </w:tr>
      <w:tr>
        <w:trPr>
          <w:trHeight w:val="175"/>
        </w:trPr>
        <w:tc>
          <w:tcPr>
            <w:tcW w:w="6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Home sales</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419.9</w:t>
            </w:r>
          </w:p>
        </w:tc>
        <w:tc>
          <w:tcPr>
            <w:tcW w:w="0" w:type="dxa"/>
            <w:vAlign w:val="bottom"/>
          </w:tcPr>
          <w:p>
            <w:pPr>
              <w:spacing w:after="0"/>
              <w:rPr>
                <w:sz w:val="1"/>
                <w:szCs w:val="1"/>
                <w:color w:val="auto"/>
              </w:rPr>
            </w:pPr>
          </w:p>
        </w:tc>
      </w:tr>
      <w:tr>
        <w:trPr>
          <w:trHeight w:val="172"/>
        </w:trPr>
        <w:tc>
          <w:tcPr>
            <w:tcW w:w="65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Ancillary</w:t>
            </w:r>
          </w:p>
        </w:tc>
        <w:tc>
          <w:tcPr>
            <w:tcW w:w="9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137.6</w:t>
            </w:r>
          </w:p>
        </w:tc>
        <w:tc>
          <w:tcPr>
            <w:tcW w:w="0" w:type="dxa"/>
            <w:vAlign w:val="bottom"/>
          </w:tcPr>
          <w:p>
            <w:pPr>
              <w:spacing w:after="0"/>
              <w:rPr>
                <w:sz w:val="1"/>
                <w:szCs w:val="1"/>
                <w:color w:val="auto"/>
              </w:rPr>
            </w:pPr>
          </w:p>
        </w:tc>
      </w:tr>
      <w:tr>
        <w:trPr>
          <w:trHeight w:val="175"/>
        </w:trPr>
        <w:tc>
          <w:tcPr>
            <w:tcW w:w="6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Interest</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44.8</w:t>
            </w:r>
          </w:p>
        </w:tc>
        <w:tc>
          <w:tcPr>
            <w:tcW w:w="0" w:type="dxa"/>
            <w:vAlign w:val="bottom"/>
          </w:tcPr>
          <w:p>
            <w:pPr>
              <w:spacing w:after="0"/>
              <w:rPr>
                <w:sz w:val="1"/>
                <w:szCs w:val="1"/>
                <w:color w:val="auto"/>
              </w:rPr>
            </w:pPr>
          </w:p>
        </w:tc>
      </w:tr>
      <w:tr>
        <w:trPr>
          <w:trHeight w:val="172"/>
        </w:trPr>
        <w:tc>
          <w:tcPr>
            <w:tcW w:w="65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3"/>
                <w:szCs w:val="13"/>
                <w:color w:val="auto"/>
              </w:rPr>
              <w:t>Brokerage commissions and other, net</w:t>
            </w:r>
          </w:p>
        </w:tc>
        <w:tc>
          <w:tcPr>
            <w:tcW w:w="9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24.0</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34.9</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53.6</w:t>
            </w:r>
          </w:p>
        </w:tc>
        <w:tc>
          <w:tcPr>
            <w:tcW w:w="0" w:type="dxa"/>
            <w:vAlign w:val="bottom"/>
          </w:tcPr>
          <w:p>
            <w:pPr>
              <w:spacing w:after="0"/>
              <w:rPr>
                <w:sz w:val="1"/>
                <w:szCs w:val="1"/>
                <w:color w:val="auto"/>
              </w:rPr>
            </w:pPr>
          </w:p>
        </w:tc>
      </w:tr>
      <w:tr>
        <w:trPr>
          <w:trHeight w:val="167"/>
        </w:trPr>
        <w:tc>
          <w:tcPr>
            <w:tcW w:w="6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b w:val="1"/>
                <w:bCs w:val="1"/>
                <w:color w:val="auto"/>
              </w:rPr>
              <w:t>Total Revenues</w:t>
            </w:r>
          </w:p>
        </w:tc>
        <w:tc>
          <w:tcPr>
            <w:tcW w:w="9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2,306.1</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2,260.5</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2,284.1</w:t>
            </w:r>
          </w:p>
        </w:tc>
        <w:tc>
          <w:tcPr>
            <w:tcW w:w="0" w:type="dxa"/>
            <w:vAlign w:val="bottom"/>
          </w:tcPr>
          <w:p>
            <w:pPr>
              <w:spacing w:after="0"/>
              <w:rPr>
                <w:sz w:val="1"/>
                <w:szCs w:val="1"/>
                <w:color w:val="auto"/>
              </w:rPr>
            </w:pPr>
          </w:p>
        </w:tc>
      </w:tr>
      <w:tr>
        <w:trPr>
          <w:trHeight w:val="162"/>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6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Property operating and maintenance</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595.9</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584.0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555.9</w:t>
            </w:r>
          </w:p>
        </w:tc>
        <w:tc>
          <w:tcPr>
            <w:tcW w:w="0" w:type="dxa"/>
            <w:vAlign w:val="bottom"/>
          </w:tcPr>
          <w:p>
            <w:pPr>
              <w:spacing w:after="0"/>
              <w:rPr>
                <w:sz w:val="1"/>
                <w:szCs w:val="1"/>
                <w:color w:val="auto"/>
              </w:rPr>
            </w:pPr>
          </w:p>
        </w:tc>
      </w:tr>
      <w:tr>
        <w:trPr>
          <w:trHeight w:val="172"/>
        </w:trPr>
        <w:tc>
          <w:tcPr>
            <w:tcW w:w="65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Real estate tax</w:t>
            </w:r>
          </w:p>
        </w:tc>
        <w:tc>
          <w:tcPr>
            <w:tcW w:w="9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95.7</w:t>
            </w:r>
          </w:p>
        </w:tc>
        <w:tc>
          <w:tcPr>
            <w:tcW w:w="0" w:type="dxa"/>
            <w:vAlign w:val="bottom"/>
          </w:tcPr>
          <w:p>
            <w:pPr>
              <w:spacing w:after="0"/>
              <w:rPr>
                <w:sz w:val="1"/>
                <w:szCs w:val="1"/>
                <w:color w:val="auto"/>
              </w:rPr>
            </w:pPr>
          </w:p>
        </w:tc>
      </w:tr>
      <w:tr>
        <w:trPr>
          <w:trHeight w:val="175"/>
        </w:trPr>
        <w:tc>
          <w:tcPr>
            <w:tcW w:w="6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Home costs and selling</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305.6</w:t>
            </w:r>
          </w:p>
        </w:tc>
        <w:tc>
          <w:tcPr>
            <w:tcW w:w="0" w:type="dxa"/>
            <w:vAlign w:val="bottom"/>
          </w:tcPr>
          <w:p>
            <w:pPr>
              <w:spacing w:after="0"/>
              <w:rPr>
                <w:sz w:val="1"/>
                <w:szCs w:val="1"/>
                <w:color w:val="auto"/>
              </w:rPr>
            </w:pPr>
          </w:p>
        </w:tc>
      </w:tr>
      <w:tr>
        <w:trPr>
          <w:trHeight w:val="172"/>
        </w:trPr>
        <w:tc>
          <w:tcPr>
            <w:tcW w:w="65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Ancillary</w:t>
            </w:r>
          </w:p>
        </w:tc>
        <w:tc>
          <w:tcPr>
            <w:tcW w:w="9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108.3</w:t>
            </w:r>
          </w:p>
        </w:tc>
        <w:tc>
          <w:tcPr>
            <w:tcW w:w="0" w:type="dxa"/>
            <w:vAlign w:val="bottom"/>
          </w:tcPr>
          <w:p>
            <w:pPr>
              <w:spacing w:after="0"/>
              <w:rPr>
                <w:sz w:val="1"/>
                <w:szCs w:val="1"/>
                <w:color w:val="auto"/>
              </w:rPr>
            </w:pPr>
          </w:p>
        </w:tc>
      </w:tr>
      <w:tr>
        <w:trPr>
          <w:trHeight w:val="175"/>
        </w:trPr>
        <w:tc>
          <w:tcPr>
            <w:tcW w:w="6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236.7</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213.5</w:t>
            </w:r>
          </w:p>
        </w:tc>
        <w:tc>
          <w:tcPr>
            <w:tcW w:w="0" w:type="dxa"/>
            <w:vAlign w:val="bottom"/>
          </w:tcPr>
          <w:p>
            <w:pPr>
              <w:spacing w:after="0"/>
              <w:rPr>
                <w:sz w:val="1"/>
                <w:szCs w:val="1"/>
                <w:color w:val="auto"/>
              </w:rPr>
            </w:pPr>
          </w:p>
        </w:tc>
      </w:tr>
      <w:tr>
        <w:trPr>
          <w:trHeight w:val="172"/>
        </w:trPr>
        <w:tc>
          <w:tcPr>
            <w:tcW w:w="65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Catastrophic event-related charges, net (see Note 15)</w:t>
            </w:r>
          </w:p>
        </w:tc>
        <w:tc>
          <w:tcPr>
            <w:tcW w:w="9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0" w:type="dxa"/>
            <w:vAlign w:val="bottom"/>
          </w:tcPr>
          <w:p>
            <w:pPr>
              <w:spacing w:after="0"/>
              <w:rPr>
                <w:sz w:val="1"/>
                <w:szCs w:val="1"/>
                <w:color w:val="auto"/>
              </w:rPr>
            </w:pPr>
          </w:p>
        </w:tc>
      </w:tr>
      <w:tr>
        <w:trPr>
          <w:trHeight w:val="175"/>
        </w:trPr>
        <w:tc>
          <w:tcPr>
            <w:tcW w:w="6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Business combinations</w:t>
            </w:r>
          </w:p>
        </w:tc>
        <w:tc>
          <w:tcPr>
            <w:tcW w:w="9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72"/>
        </w:trPr>
        <w:tc>
          <w:tcPr>
            <w:tcW w:w="65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9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507.9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490.5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494.1</w:t>
            </w:r>
          </w:p>
        </w:tc>
        <w:tc>
          <w:tcPr>
            <w:tcW w:w="0" w:type="dxa"/>
            <w:vAlign w:val="bottom"/>
          </w:tcPr>
          <w:p>
            <w:pPr>
              <w:spacing w:after="0"/>
              <w:rPr>
                <w:sz w:val="1"/>
                <w:szCs w:val="1"/>
                <w:color w:val="auto"/>
              </w:rPr>
            </w:pPr>
          </w:p>
        </w:tc>
      </w:tr>
      <w:tr>
        <w:trPr>
          <w:trHeight w:val="175"/>
        </w:trPr>
        <w:tc>
          <w:tcPr>
            <w:tcW w:w="6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Asset impairments (see Note 14)</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386.7</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0" w:type="dxa"/>
            <w:vAlign w:val="bottom"/>
          </w:tcPr>
          <w:p>
            <w:pPr>
              <w:spacing w:after="0"/>
              <w:rPr>
                <w:sz w:val="1"/>
                <w:szCs w:val="1"/>
                <w:color w:val="auto"/>
              </w:rPr>
            </w:pPr>
          </w:p>
        </w:tc>
      </w:tr>
      <w:tr>
        <w:trPr>
          <w:trHeight w:val="172"/>
        </w:trPr>
        <w:tc>
          <w:tcPr>
            <w:tcW w:w="65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Goodwill impairment (see Note 5)</w:t>
            </w:r>
          </w:p>
        </w:tc>
        <w:tc>
          <w:tcPr>
            <w:tcW w:w="96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369.9</w:t>
            </w:r>
          </w:p>
        </w:tc>
        <w:tc>
          <w:tcPr>
            <w:tcW w:w="0" w:type="dxa"/>
            <w:vAlign w:val="bottom"/>
          </w:tcPr>
          <w:p>
            <w:pPr>
              <w:spacing w:after="0"/>
              <w:rPr>
                <w:sz w:val="1"/>
                <w:szCs w:val="1"/>
                <w:color w:val="auto"/>
              </w:rPr>
            </w:pPr>
          </w:p>
        </w:tc>
      </w:tr>
      <w:tr>
        <w:trPr>
          <w:trHeight w:val="175"/>
        </w:trPr>
        <w:tc>
          <w:tcPr>
            <w:tcW w:w="6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Loss on extinguishment of debt (see Note 7)</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65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Interest</w:t>
            </w:r>
          </w:p>
        </w:tc>
        <w:tc>
          <w:tcPr>
            <w:tcW w:w="9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350.3</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325.7</w:t>
            </w:r>
          </w:p>
        </w:tc>
        <w:tc>
          <w:tcPr>
            <w:tcW w:w="0" w:type="dxa"/>
            <w:vAlign w:val="bottom"/>
          </w:tcPr>
          <w:p>
            <w:pPr>
              <w:spacing w:after="0"/>
              <w:rPr>
                <w:sz w:val="1"/>
                <w:szCs w:val="1"/>
                <w:color w:val="auto"/>
              </w:rPr>
            </w:pPr>
          </w:p>
        </w:tc>
      </w:tr>
      <w:tr>
        <w:trPr>
          <w:trHeight w:val="175"/>
        </w:trPr>
        <w:tc>
          <w:tcPr>
            <w:tcW w:w="6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Interest on mandatorily redeemable preferred OP units / equity</w:t>
            </w:r>
          </w:p>
        </w:tc>
        <w:tc>
          <w:tcPr>
            <w:tcW w:w="9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164"/>
        </w:trPr>
        <w:tc>
          <w:tcPr>
            <w:tcW w:w="65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3"/>
                <w:szCs w:val="13"/>
                <w:b w:val="1"/>
                <w:bCs w:val="1"/>
                <w:color w:val="auto"/>
              </w:rPr>
              <w:t>Total Expenses</w:t>
            </w:r>
          </w:p>
        </w:tc>
        <w:tc>
          <w:tcPr>
            <w:tcW w:w="96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2,534.3</w:t>
            </w:r>
          </w:p>
        </w:tc>
        <w:tc>
          <w:tcPr>
            <w:tcW w:w="8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2,413.6</w:t>
            </w:r>
          </w:p>
        </w:tc>
        <w:tc>
          <w:tcPr>
            <w:tcW w:w="8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2,477.2</w:t>
            </w:r>
          </w:p>
        </w:tc>
        <w:tc>
          <w:tcPr>
            <w:tcW w:w="0" w:type="dxa"/>
            <w:vAlign w:val="bottom"/>
          </w:tcPr>
          <w:p>
            <w:pPr>
              <w:spacing w:after="0"/>
              <w:rPr>
                <w:sz w:val="1"/>
                <w:szCs w:val="1"/>
                <w:color w:val="auto"/>
              </w:rPr>
            </w:pPr>
          </w:p>
        </w:tc>
      </w:tr>
      <w:tr>
        <w:trPr>
          <w:trHeight w:val="167"/>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Loss Before Other Items</w:t>
            </w:r>
          </w:p>
        </w:tc>
        <w:tc>
          <w:tcPr>
            <w:tcW w:w="9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(153.1)</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(193.1)</w:t>
            </w:r>
          </w:p>
        </w:tc>
        <w:tc>
          <w:tcPr>
            <w:tcW w:w="0" w:type="dxa"/>
            <w:vAlign w:val="bottom"/>
          </w:tcPr>
          <w:p>
            <w:pPr>
              <w:spacing w:after="0"/>
              <w:rPr>
                <w:sz w:val="1"/>
                <w:szCs w:val="1"/>
                <w:color w:val="auto"/>
              </w:rPr>
            </w:pPr>
          </w:p>
        </w:tc>
      </w:tr>
      <w:tr>
        <w:trPr>
          <w:trHeight w:val="172"/>
        </w:trPr>
        <w:tc>
          <w:tcPr>
            <w:tcW w:w="65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Loss on remeasurement of marketable securities</w:t>
            </w:r>
          </w:p>
        </w:tc>
        <w:tc>
          <w:tcPr>
            <w:tcW w:w="96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0" w:type="dxa"/>
            <w:vAlign w:val="bottom"/>
          </w:tcPr>
          <w:p>
            <w:pPr>
              <w:spacing w:after="0"/>
              <w:rPr>
                <w:sz w:val="1"/>
                <w:szCs w:val="1"/>
                <w:color w:val="auto"/>
              </w:rPr>
            </w:pPr>
          </w:p>
        </w:tc>
      </w:tr>
      <w:tr>
        <w:trPr>
          <w:trHeight w:val="175"/>
        </w:trPr>
        <w:tc>
          <w:tcPr>
            <w:tcW w:w="6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Gain / (loss) on foreign currency exchanges</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0" w:type="dxa"/>
            <w:vAlign w:val="bottom"/>
          </w:tcPr>
          <w:p>
            <w:pPr>
              <w:spacing w:after="0"/>
              <w:rPr>
                <w:sz w:val="1"/>
                <w:szCs w:val="1"/>
                <w:color w:val="auto"/>
              </w:rPr>
            </w:pPr>
          </w:p>
        </w:tc>
      </w:tr>
      <w:tr>
        <w:trPr>
          <w:trHeight w:val="172"/>
        </w:trPr>
        <w:tc>
          <w:tcPr>
            <w:tcW w:w="65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Gain on dispositions of properties, net (see Note 3)</w:t>
            </w:r>
          </w:p>
        </w:tc>
        <w:tc>
          <w:tcPr>
            <w:tcW w:w="9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0" w:type="dxa"/>
            <w:vAlign w:val="bottom"/>
          </w:tcPr>
          <w:p>
            <w:pPr>
              <w:spacing w:after="0"/>
              <w:rPr>
                <w:sz w:val="1"/>
                <w:szCs w:val="1"/>
                <w:color w:val="auto"/>
              </w:rPr>
            </w:pPr>
          </w:p>
        </w:tc>
      </w:tr>
      <w:tr>
        <w:trPr>
          <w:trHeight w:val="175"/>
        </w:trPr>
        <w:tc>
          <w:tcPr>
            <w:tcW w:w="6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Other income / (expense), net</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133.9</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0" w:type="dxa"/>
            <w:vAlign w:val="bottom"/>
          </w:tcPr>
          <w:p>
            <w:pPr>
              <w:spacing w:after="0"/>
              <w:rPr>
                <w:sz w:val="1"/>
                <w:szCs w:val="1"/>
                <w:color w:val="auto"/>
              </w:rPr>
            </w:pPr>
          </w:p>
        </w:tc>
      </w:tr>
      <w:tr>
        <w:trPr>
          <w:trHeight w:val="172"/>
        </w:trPr>
        <w:tc>
          <w:tcPr>
            <w:tcW w:w="65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Loss on remeasurement of notes receivable (see Note 4 and Note 14)</w:t>
            </w:r>
          </w:p>
        </w:tc>
        <w:tc>
          <w:tcPr>
            <w:tcW w:w="9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(106.7)</w:t>
            </w:r>
          </w:p>
        </w:tc>
        <w:tc>
          <w:tcPr>
            <w:tcW w:w="0" w:type="dxa"/>
            <w:vAlign w:val="bottom"/>
          </w:tcPr>
          <w:p>
            <w:pPr>
              <w:spacing w:after="0"/>
              <w:rPr>
                <w:sz w:val="1"/>
                <w:szCs w:val="1"/>
                <w:color w:val="auto"/>
              </w:rPr>
            </w:pPr>
          </w:p>
        </w:tc>
      </w:tr>
      <w:tr>
        <w:trPr>
          <w:trHeight w:val="175"/>
        </w:trPr>
        <w:tc>
          <w:tcPr>
            <w:tcW w:w="6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Income from nonconsolidated affiliates (see Note 6)</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0" w:type="dxa"/>
            <w:vAlign w:val="bottom"/>
          </w:tcPr>
          <w:p>
            <w:pPr>
              <w:spacing w:after="0"/>
              <w:rPr>
                <w:sz w:val="1"/>
                <w:szCs w:val="1"/>
                <w:color w:val="auto"/>
              </w:rPr>
            </w:pPr>
          </w:p>
        </w:tc>
      </w:tr>
      <w:tr>
        <w:trPr>
          <w:trHeight w:val="172"/>
        </w:trPr>
        <w:tc>
          <w:tcPr>
            <w:tcW w:w="65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Gain / (loss) on remeasurement of investment in nonconsolidated affiliates (see Note 6)</w:t>
            </w:r>
          </w:p>
        </w:tc>
        <w:tc>
          <w:tcPr>
            <w:tcW w:w="9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0" w:type="dxa"/>
            <w:vAlign w:val="bottom"/>
          </w:tcPr>
          <w:p>
            <w:pPr>
              <w:spacing w:after="0"/>
              <w:rPr>
                <w:sz w:val="1"/>
                <w:szCs w:val="1"/>
                <w:color w:val="auto"/>
              </w:rPr>
            </w:pPr>
          </w:p>
        </w:tc>
      </w:tr>
      <w:tr>
        <w:trPr>
          <w:trHeight w:val="175"/>
        </w:trPr>
        <w:tc>
          <w:tcPr>
            <w:tcW w:w="6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Current tax expense (see Note 11)</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0" w:type="dxa"/>
            <w:vAlign w:val="bottom"/>
          </w:tcPr>
          <w:p>
            <w:pPr>
              <w:spacing w:after="0"/>
              <w:rPr>
                <w:sz w:val="1"/>
                <w:szCs w:val="1"/>
                <w:color w:val="auto"/>
              </w:rPr>
            </w:pPr>
          </w:p>
        </w:tc>
      </w:tr>
      <w:tr>
        <w:trPr>
          <w:trHeight w:val="172"/>
        </w:trPr>
        <w:tc>
          <w:tcPr>
            <w:tcW w:w="65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3"/>
                <w:szCs w:val="13"/>
                <w:color w:val="auto"/>
              </w:rPr>
              <w:t>Deferred tax benefit (see Note 11)</w:t>
            </w:r>
          </w:p>
        </w:tc>
        <w:tc>
          <w:tcPr>
            <w:tcW w:w="9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39.6</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22.9</w:t>
            </w:r>
          </w:p>
        </w:tc>
        <w:tc>
          <w:tcPr>
            <w:tcW w:w="0" w:type="dxa"/>
            <w:vAlign w:val="bottom"/>
          </w:tcPr>
          <w:p>
            <w:pPr>
              <w:spacing w:after="0"/>
              <w:rPr>
                <w:sz w:val="1"/>
                <w:szCs w:val="1"/>
                <w:color w:val="auto"/>
              </w:rPr>
            </w:pPr>
          </w:p>
        </w:tc>
      </w:tr>
      <w:tr>
        <w:trPr>
          <w:trHeight w:val="167"/>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 (Loss) from Continuing Operations</w:t>
            </w:r>
          </w:p>
        </w:tc>
        <w:tc>
          <w:tcPr>
            <w:tcW w:w="9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(291.4)</w:t>
            </w:r>
          </w:p>
        </w:tc>
        <w:tc>
          <w:tcPr>
            <w:tcW w:w="0" w:type="dxa"/>
            <w:vAlign w:val="bottom"/>
          </w:tcPr>
          <w:p>
            <w:pPr>
              <w:spacing w:after="0"/>
              <w:rPr>
                <w:sz w:val="1"/>
                <w:szCs w:val="1"/>
                <w:color w:val="auto"/>
              </w:rPr>
            </w:pPr>
          </w:p>
        </w:tc>
      </w:tr>
      <w:tr>
        <w:trPr>
          <w:trHeight w:val="172"/>
        </w:trPr>
        <w:tc>
          <w:tcPr>
            <w:tcW w:w="65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3"/>
                <w:szCs w:val="13"/>
                <w:color w:val="auto"/>
              </w:rPr>
              <w:t>Income from discontinued operations, net</w:t>
            </w:r>
          </w:p>
        </w:tc>
        <w:tc>
          <w:tcPr>
            <w:tcW w:w="9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1,429.6</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74.2</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82.3</w:t>
            </w:r>
          </w:p>
        </w:tc>
        <w:tc>
          <w:tcPr>
            <w:tcW w:w="0" w:type="dxa"/>
            <w:vAlign w:val="bottom"/>
          </w:tcPr>
          <w:p>
            <w:pPr>
              <w:spacing w:after="0"/>
              <w:rPr>
                <w:sz w:val="1"/>
                <w:szCs w:val="1"/>
                <w:color w:val="auto"/>
              </w:rPr>
            </w:pPr>
          </w:p>
        </w:tc>
      </w:tr>
      <w:tr>
        <w:trPr>
          <w:trHeight w:val="167"/>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 (Loss)</w:t>
            </w:r>
          </w:p>
        </w:tc>
        <w:tc>
          <w:tcPr>
            <w:tcW w:w="9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1,430.2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107.1</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(209.1)</w:t>
            </w:r>
          </w:p>
        </w:tc>
        <w:tc>
          <w:tcPr>
            <w:tcW w:w="0" w:type="dxa"/>
            <w:vAlign w:val="bottom"/>
          </w:tcPr>
          <w:p>
            <w:pPr>
              <w:spacing w:after="0"/>
              <w:rPr>
                <w:sz w:val="1"/>
                <w:szCs w:val="1"/>
                <w:color w:val="auto"/>
              </w:rPr>
            </w:pPr>
          </w:p>
        </w:tc>
      </w:tr>
      <w:tr>
        <w:trPr>
          <w:trHeight w:val="172"/>
        </w:trPr>
        <w:tc>
          <w:tcPr>
            <w:tcW w:w="65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Less: Preferred return to preferred OP units / equity interests</w:t>
            </w:r>
          </w:p>
        </w:tc>
        <w:tc>
          <w:tcPr>
            <w:tcW w:w="9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0" w:type="dxa"/>
            <w:vAlign w:val="bottom"/>
          </w:tcPr>
          <w:p>
            <w:pPr>
              <w:spacing w:after="0"/>
              <w:rPr>
                <w:sz w:val="1"/>
                <w:szCs w:val="1"/>
                <w:color w:val="auto"/>
              </w:rPr>
            </w:pPr>
          </w:p>
        </w:tc>
      </w:tr>
      <w:tr>
        <w:trPr>
          <w:trHeight w:val="174"/>
        </w:trPr>
        <w:tc>
          <w:tcPr>
            <w:tcW w:w="6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Less: Income / (loss) attributable to noncontrolling interests</w:t>
            </w:r>
          </w:p>
        </w:tc>
        <w:tc>
          <w:tcPr>
            <w:tcW w:w="9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56.4</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0" w:type="dxa"/>
            <w:vAlign w:val="bottom"/>
          </w:tcPr>
          <w:p>
            <w:pPr>
              <w:spacing w:after="0"/>
              <w:rPr>
                <w:sz w:val="1"/>
                <w:szCs w:val="1"/>
                <w:color w:val="auto"/>
              </w:rPr>
            </w:pPr>
          </w:p>
        </w:tc>
      </w:tr>
      <w:tr>
        <w:trPr>
          <w:trHeight w:val="167"/>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 (Loss) Attributable to SUI Common Shareholders</w:t>
            </w:r>
          </w:p>
        </w:tc>
        <w:tc>
          <w:tcPr>
            <w:tcW w:w="96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1,361.2</w:t>
            </w:r>
          </w:p>
        </w:tc>
        <w:tc>
          <w:tcPr>
            <w:tcW w:w="80" w:type="dxa"/>
            <w:vAlign w:val="bottom"/>
          </w:tcPr>
          <w:p>
            <w:pPr>
              <w:spacing w:after="0"/>
              <w:rPr>
                <w:sz w:val="14"/>
                <w:szCs w:val="14"/>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89.0</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(213.3)</w:t>
            </w:r>
          </w:p>
        </w:tc>
        <w:tc>
          <w:tcPr>
            <w:tcW w:w="0" w:type="dxa"/>
            <w:vAlign w:val="bottom"/>
          </w:tcPr>
          <w:p>
            <w:pPr>
              <w:spacing w:after="0"/>
              <w:rPr>
                <w:sz w:val="1"/>
                <w:szCs w:val="1"/>
                <w:color w:val="auto"/>
              </w:rPr>
            </w:pPr>
          </w:p>
        </w:tc>
      </w:tr>
      <w:tr>
        <w:trPr>
          <w:trHeight w:val="20"/>
        </w:trPr>
        <w:tc>
          <w:tcPr>
            <w:tcW w:w="65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5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 average common shares outstanding - basic</w:t>
            </w:r>
          </w:p>
        </w:tc>
        <w:tc>
          <w:tcPr>
            <w:tcW w:w="9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123.4</w:t>
            </w:r>
          </w:p>
        </w:tc>
        <w:tc>
          <w:tcPr>
            <w:tcW w:w="0" w:type="dxa"/>
            <w:vAlign w:val="bottom"/>
          </w:tcPr>
          <w:p>
            <w:pPr>
              <w:spacing w:after="0"/>
              <w:rPr>
                <w:sz w:val="1"/>
                <w:szCs w:val="1"/>
                <w:color w:val="auto"/>
              </w:rPr>
            </w:pPr>
          </w:p>
        </w:tc>
      </w:tr>
      <w:tr>
        <w:trPr>
          <w:trHeight w:val="175"/>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Weighted average common shares outstanding - diluted</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124.9</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123.8</w:t>
            </w:r>
          </w:p>
        </w:tc>
        <w:tc>
          <w:tcPr>
            <w:tcW w:w="0" w:type="dxa"/>
            <w:vAlign w:val="bottom"/>
          </w:tcPr>
          <w:p>
            <w:pPr>
              <w:spacing w:after="0"/>
              <w:rPr>
                <w:sz w:val="1"/>
                <w:szCs w:val="1"/>
                <w:color w:val="auto"/>
              </w:rPr>
            </w:pPr>
          </w:p>
        </w:tc>
      </w:tr>
      <w:tr>
        <w:trPr>
          <w:trHeight w:val="185"/>
        </w:trPr>
        <w:tc>
          <w:tcPr>
            <w:tcW w:w="6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Basic earnings / (loss) per share from continuing operations (see Note 12)</w:t>
            </w:r>
          </w:p>
        </w:tc>
        <w:tc>
          <w:tcPr>
            <w:tcW w:w="96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w:t>
            </w:r>
          </w:p>
        </w:tc>
        <w:tc>
          <w:tcPr>
            <w:tcW w:w="0" w:type="dxa"/>
            <w:vAlign w:val="bottom"/>
          </w:tcPr>
          <w:p>
            <w:pPr>
              <w:spacing w:after="0"/>
              <w:rPr>
                <w:sz w:val="1"/>
                <w:szCs w:val="1"/>
                <w:color w:val="auto"/>
              </w:rPr>
            </w:pPr>
          </w:p>
        </w:tc>
      </w:tr>
      <w:tr>
        <w:trPr>
          <w:trHeight w:val="172"/>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Basic earnings per share from discontinued operations (see Note 12)</w:t>
            </w:r>
          </w:p>
        </w:tc>
        <w:tc>
          <w:tcPr>
            <w:tcW w:w="9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11.45</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0.59</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0.67</w:t>
            </w:r>
          </w:p>
        </w:tc>
        <w:tc>
          <w:tcPr>
            <w:tcW w:w="0" w:type="dxa"/>
            <w:vAlign w:val="bottom"/>
          </w:tcPr>
          <w:p>
            <w:pPr>
              <w:spacing w:after="0"/>
              <w:rPr>
                <w:sz w:val="1"/>
                <w:szCs w:val="1"/>
                <w:color w:val="auto"/>
              </w:rPr>
            </w:pPr>
          </w:p>
        </w:tc>
      </w:tr>
      <w:tr>
        <w:trPr>
          <w:trHeight w:val="192"/>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Basic earnings / (loss) per share (see Note 12)</w:t>
            </w:r>
          </w:p>
        </w:tc>
        <w:tc>
          <w:tcPr>
            <w:tcW w:w="960" w:type="dxa"/>
            <w:vAlign w:val="bottom"/>
            <w:tcBorders>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10.84</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0.71</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Diluted earnings / (loss) per share from continuing operations (see Note 12)</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580" w:type="dxa"/>
            <w:vAlign w:val="bottom"/>
            <w:vMerge w:val="continue"/>
          </w:tcPr>
          <w:p>
            <w:pPr>
              <w:spacing w:after="0"/>
              <w:rPr>
                <w:sz w:val="12"/>
                <w:szCs w:val="12"/>
                <w:color w:val="auto"/>
              </w:rPr>
            </w:pPr>
          </w:p>
        </w:tc>
        <w:tc>
          <w:tcPr>
            <w:tcW w:w="960" w:type="dxa"/>
            <w:vAlign w:val="bottom"/>
          </w:tcPr>
          <w:p>
            <w:pPr>
              <w:jc w:val="right"/>
              <w:ind w:right="814"/>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(0.61)</w:t>
            </w:r>
          </w:p>
        </w:tc>
        <w:tc>
          <w:tcPr>
            <w:tcW w:w="80" w:type="dxa"/>
            <w:vAlign w:val="bottom"/>
          </w:tcPr>
          <w:p>
            <w:pPr>
              <w:spacing w:after="0"/>
              <w:rPr>
                <w:sz w:val="12"/>
                <w:szCs w:val="12"/>
                <w:color w:val="auto"/>
              </w:rPr>
            </w:pPr>
          </w:p>
        </w:tc>
        <w:tc>
          <w:tcPr>
            <w:tcW w:w="360" w:type="dxa"/>
            <w:vAlign w:val="bottom"/>
          </w:tcPr>
          <w:p>
            <w:pPr>
              <w:ind w:left="20"/>
              <w:spacing w:after="0" w:line="139"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0.12</w:t>
            </w:r>
          </w:p>
        </w:tc>
        <w:tc>
          <w:tcPr>
            <w:tcW w:w="80" w:type="dxa"/>
            <w:vAlign w:val="bottom"/>
          </w:tcPr>
          <w:p>
            <w:pPr>
              <w:spacing w:after="0"/>
              <w:rPr>
                <w:sz w:val="12"/>
                <w:szCs w:val="12"/>
                <w:color w:val="auto"/>
              </w:rPr>
            </w:pPr>
          </w:p>
        </w:tc>
        <w:tc>
          <w:tcPr>
            <w:tcW w:w="340" w:type="dxa"/>
            <w:vAlign w:val="bottom"/>
          </w:tcPr>
          <w:p>
            <w:pPr>
              <w:jc w:val="right"/>
              <w:ind w:right="194"/>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(2.39)</w:t>
            </w:r>
          </w:p>
        </w:tc>
        <w:tc>
          <w:tcPr>
            <w:tcW w:w="0" w:type="dxa"/>
            <w:vAlign w:val="bottom"/>
          </w:tcPr>
          <w:p>
            <w:pPr>
              <w:spacing w:after="0"/>
              <w:rPr>
                <w:sz w:val="1"/>
                <w:szCs w:val="1"/>
                <w:color w:val="auto"/>
              </w:rPr>
            </w:pPr>
          </w:p>
        </w:tc>
      </w:tr>
      <w:tr>
        <w:trPr>
          <w:trHeight w:val="195"/>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Diluted earnings per share from discontinued operations (see Note 12)</w:t>
            </w:r>
          </w:p>
        </w:tc>
        <w:tc>
          <w:tcPr>
            <w:tcW w:w="96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11.45</w:t>
            </w:r>
          </w:p>
        </w:tc>
        <w:tc>
          <w:tcPr>
            <w:tcW w:w="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0.59</w:t>
            </w: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0.67</w:t>
            </w:r>
          </w:p>
        </w:tc>
        <w:tc>
          <w:tcPr>
            <w:tcW w:w="0" w:type="dxa"/>
            <w:vAlign w:val="bottom"/>
          </w:tcPr>
          <w:p>
            <w:pPr>
              <w:spacing w:after="0"/>
              <w:rPr>
                <w:sz w:val="1"/>
                <w:szCs w:val="1"/>
                <w:color w:val="auto"/>
              </w:rPr>
            </w:pPr>
          </w:p>
        </w:tc>
      </w:tr>
      <w:tr>
        <w:trPr>
          <w:trHeight w:val="168"/>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Diluted earnings / (loss) per share (see Note 12)</w:t>
            </w:r>
          </w:p>
        </w:tc>
        <w:tc>
          <w:tcPr>
            <w:tcW w:w="96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10.84</w:t>
            </w:r>
          </w:p>
        </w:tc>
        <w:tc>
          <w:tcPr>
            <w:tcW w:w="80" w:type="dxa"/>
            <w:vAlign w:val="bottom"/>
          </w:tcPr>
          <w:p>
            <w:pPr>
              <w:spacing w:after="0"/>
              <w:rPr>
                <w:sz w:val="14"/>
                <w:szCs w:val="14"/>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0.71</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i w:val="1"/>
          <w:iCs w:val="1"/>
          <w:color w:val="auto"/>
        </w:rPr>
        <w:t>See accompanying Notes to Consolidated Financial Statements.</w:t>
      </w: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121920</wp:posOffset>
            </wp:positionV>
            <wp:extent cx="7177405" cy="400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20"/>
          </w:cols>
          <w:pgMar w:left="340" w:top="1116" w:right="339" w:bottom="1440" w:gutter="0" w:footer="0" w:header="0"/>
        </w:sectPr>
      </w:pPr>
    </w:p>
    <w:bookmarkStart w:id="61" w:name="page62"/>
    <w:bookmarkEnd w:id="61"/>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CONSOLIDATED STATEMENTS OF COMPREHENSIVE INCOME / (LOSS)</w:t>
      </w:r>
    </w:p>
    <w:p>
      <w:pPr>
        <w:spacing w:after="0" w:line="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(In millions)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54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r>
      <w:tr>
        <w:trPr>
          <w:trHeight w:val="168"/>
        </w:trPr>
        <w:tc>
          <w:tcPr>
            <w:tcW w:w="654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2025</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D2F0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D2F0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Income / (Loss)</w:t>
            </w:r>
          </w:p>
        </w:tc>
        <w:tc>
          <w:tcPr>
            <w:tcW w:w="98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1,430.2</w:t>
            </w:r>
          </w:p>
        </w:tc>
        <w:tc>
          <w:tcPr>
            <w:tcW w:w="80" w:type="dxa"/>
            <w:vAlign w:val="bottom"/>
            <w:shd w:val="clear" w:color="auto" w:fill="D2F0FF"/>
          </w:tcPr>
          <w:p>
            <w:pPr>
              <w:spacing w:after="0"/>
              <w:rPr>
                <w:sz w:val="14"/>
                <w:szCs w:val="14"/>
                <w:color w:val="auto"/>
              </w:rPr>
            </w:pPr>
          </w:p>
        </w:tc>
        <w:tc>
          <w:tcPr>
            <w:tcW w:w="360" w:type="dxa"/>
            <w:vAlign w:val="bottom"/>
            <w:shd w:val="clear" w:color="auto" w:fill="D2F0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D2F0FF"/>
          </w:tcPr>
          <w:p>
            <w:pPr>
              <w:jc w:val="right"/>
              <w:spacing w:after="0"/>
              <w:rPr>
                <w:sz w:val="20"/>
                <w:szCs w:val="20"/>
                <w:color w:val="auto"/>
              </w:rPr>
            </w:pPr>
            <w:r>
              <w:rPr>
                <w:rFonts w:ascii="Times New Roman" w:cs="Times New Roman" w:eastAsia="Times New Roman" w:hAnsi="Times New Roman"/>
                <w:sz w:val="13"/>
                <w:szCs w:val="13"/>
                <w:color w:val="auto"/>
              </w:rPr>
              <w:t>107.1</w:t>
            </w:r>
          </w:p>
        </w:tc>
        <w:tc>
          <w:tcPr>
            <w:tcW w:w="80" w:type="dxa"/>
            <w:vAlign w:val="bottom"/>
            <w:shd w:val="clear" w:color="auto" w:fill="D2F0FF"/>
          </w:tcPr>
          <w:p>
            <w:pPr>
              <w:spacing w:after="0"/>
              <w:rPr>
                <w:sz w:val="14"/>
                <w:szCs w:val="14"/>
                <w:color w:val="auto"/>
              </w:rPr>
            </w:pPr>
          </w:p>
        </w:tc>
        <w:tc>
          <w:tcPr>
            <w:tcW w:w="360" w:type="dxa"/>
            <w:vAlign w:val="bottom"/>
            <w:shd w:val="clear" w:color="auto" w:fill="D2F0FF"/>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D2F0FF"/>
          </w:tcPr>
          <w:p>
            <w:pPr>
              <w:jc w:val="right"/>
              <w:spacing w:after="0"/>
              <w:rPr>
                <w:sz w:val="20"/>
                <w:szCs w:val="20"/>
                <w:color w:val="auto"/>
              </w:rPr>
            </w:pPr>
            <w:r>
              <w:rPr>
                <w:rFonts w:ascii="Times New Roman" w:cs="Times New Roman" w:eastAsia="Times New Roman" w:hAnsi="Times New Roman"/>
                <w:sz w:val="13"/>
                <w:szCs w:val="13"/>
                <w:color w:val="auto"/>
              </w:rPr>
              <w:t>(209.1)</w:t>
            </w:r>
          </w:p>
        </w:tc>
      </w:tr>
      <w:tr>
        <w:trPr>
          <w:trHeight w:val="172"/>
        </w:trPr>
        <w:tc>
          <w:tcPr>
            <w:tcW w:w="65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5"/>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Foreign currency translation gain / (loss) arising during period</w:t>
            </w:r>
          </w:p>
        </w:tc>
        <w:tc>
          <w:tcPr>
            <w:tcW w:w="9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52.9</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w:t>
            </w:r>
          </w:p>
        </w:tc>
      </w:tr>
      <w:tr>
        <w:trPr>
          <w:trHeight w:val="172"/>
        </w:trPr>
        <w:tc>
          <w:tcPr>
            <w:tcW w:w="65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3"/>
                <w:szCs w:val="13"/>
                <w:color w:val="auto"/>
              </w:rPr>
              <w:t>Adjustment for accumulated foreign currency translation loss reclassified into earnings</w:t>
            </w:r>
          </w:p>
        </w:tc>
        <w:tc>
          <w:tcPr>
            <w:tcW w:w="9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w:t>
            </w:r>
          </w:p>
        </w:tc>
      </w:tr>
      <w:tr>
        <w:trPr>
          <w:trHeight w:val="167"/>
        </w:trPr>
        <w:tc>
          <w:tcPr>
            <w:tcW w:w="6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Net foreign currency translation gain / (loss)</w:t>
            </w: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w:t>
            </w:r>
          </w:p>
        </w:tc>
      </w:tr>
      <w:tr>
        <w:trPr>
          <w:trHeight w:val="172"/>
        </w:trPr>
        <w:tc>
          <w:tcPr>
            <w:tcW w:w="65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Cash Flow Hedges:</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5"/>
        </w:trPr>
        <w:tc>
          <w:tcPr>
            <w:tcW w:w="6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Change in unrealized gain / (loss) on interest rate derivatives</w:t>
            </w:r>
          </w:p>
        </w:tc>
        <w:tc>
          <w:tcPr>
            <w:tcW w:w="9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r>
      <w:tr>
        <w:trPr>
          <w:trHeight w:val="172"/>
        </w:trPr>
        <w:tc>
          <w:tcPr>
            <w:tcW w:w="65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3"/>
                <w:szCs w:val="13"/>
                <w:color w:val="auto"/>
              </w:rPr>
              <w:t>Less: Interest rate derivative gain reclassified to earnings</w:t>
            </w:r>
          </w:p>
        </w:tc>
        <w:tc>
          <w:tcPr>
            <w:tcW w:w="9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(14.9)</w:t>
            </w:r>
          </w:p>
        </w:tc>
      </w:tr>
      <w:tr>
        <w:trPr>
          <w:trHeight w:val="167"/>
        </w:trPr>
        <w:tc>
          <w:tcPr>
            <w:tcW w:w="6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Net unrealized loss on interest rate derivatives</w:t>
            </w:r>
          </w:p>
        </w:tc>
        <w:tc>
          <w:tcPr>
            <w:tcW w:w="9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w:t>
            </w:r>
          </w:p>
        </w:tc>
      </w:tr>
      <w:tr>
        <w:trPr>
          <w:trHeight w:val="164"/>
        </w:trPr>
        <w:tc>
          <w:tcPr>
            <w:tcW w:w="65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Comprehensive Income / (Loss)</w:t>
            </w:r>
          </w:p>
        </w:tc>
        <w:tc>
          <w:tcPr>
            <w:tcW w:w="9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1,463.9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(187.2)</w:t>
            </w:r>
          </w:p>
        </w:tc>
      </w:tr>
      <w:tr>
        <w:trPr>
          <w:trHeight w:val="175"/>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Less: Comprehensive (income) / loss attributable to noncontrolling interests</w:t>
            </w:r>
          </w:p>
        </w:tc>
        <w:tc>
          <w:tcPr>
            <w:tcW w:w="9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(55.7)</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w:t>
            </w:r>
          </w:p>
        </w:tc>
      </w:tr>
      <w:tr>
        <w:trPr>
          <w:trHeight w:val="165"/>
        </w:trPr>
        <w:tc>
          <w:tcPr>
            <w:tcW w:w="65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Comprehensive Income / (Loss) Attributable to SUI</w:t>
            </w:r>
          </w:p>
        </w:tc>
        <w:tc>
          <w:tcPr>
            <w:tcW w:w="98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1,408.2</w:t>
            </w:r>
          </w:p>
        </w:tc>
        <w:tc>
          <w:tcPr>
            <w:tcW w:w="80" w:type="dxa"/>
            <w:vAlign w:val="bottom"/>
          </w:tcPr>
          <w:p>
            <w:pPr>
              <w:spacing w:after="0"/>
              <w:rPr>
                <w:sz w:val="14"/>
                <w:szCs w:val="14"/>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81.7</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(178.9)</w:t>
            </w:r>
          </w:p>
        </w:tc>
      </w:tr>
      <w:tr>
        <w:trPr>
          <w:trHeight w:val="20"/>
        </w:trPr>
        <w:tc>
          <w:tcPr>
            <w:tcW w:w="65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i w:val="1"/>
          <w:iCs w:val="1"/>
          <w:color w:val="auto"/>
        </w:rPr>
        <w:t>See accompanying Notes to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140" w:right="319" w:bottom="1440" w:gutter="0" w:footer="0" w:header="0"/>
        </w:sectPr>
      </w:pPr>
    </w:p>
    <w:bookmarkStart w:id="62" w:name="page63"/>
    <w:bookmarkEnd w:id="62"/>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CONSOLIDATED STATEMENTS OF SHAREHOLDERS' EQUITY</w:t>
      </w:r>
    </w:p>
    <w:p>
      <w:pPr>
        <w:spacing w:after="0" w:line="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(In millions)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3"/>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rPr>
              <w:t>Shareholders' Equity</w:t>
            </w: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3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jc w:val="center"/>
              <w:ind w:right="26"/>
              <w:spacing w:after="0" w:line="103" w:lineRule="exact"/>
              <w:rPr>
                <w:sz w:val="20"/>
                <w:szCs w:val="20"/>
                <w:color w:val="auto"/>
              </w:rPr>
            </w:pPr>
            <w:r>
              <w:rPr>
                <w:rFonts w:ascii="Times New Roman" w:cs="Times New Roman" w:eastAsia="Times New Roman" w:hAnsi="Times New Roman"/>
                <w:sz w:val="11"/>
                <w:szCs w:val="11"/>
                <w:b w:val="1"/>
                <w:bCs w:val="1"/>
                <w:color w:val="auto"/>
                <w:w w:val="97"/>
              </w:rPr>
              <w:t>Distributions in</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3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jc w:val="center"/>
              <w:ind w:right="46"/>
              <w:spacing w:after="0" w:line="104" w:lineRule="exact"/>
              <w:rPr>
                <w:sz w:val="20"/>
                <w:szCs w:val="20"/>
                <w:color w:val="auto"/>
              </w:rPr>
            </w:pPr>
            <w:r>
              <w:rPr>
                <w:rFonts w:ascii="Times New Roman" w:cs="Times New Roman" w:eastAsia="Times New Roman" w:hAnsi="Times New Roman"/>
                <w:sz w:val="11"/>
                <w:szCs w:val="11"/>
                <w:b w:val="1"/>
                <w:bCs w:val="1"/>
                <w:color w:val="auto"/>
                <w:w w:val="97"/>
              </w:rPr>
              <w:t>Excess of</w:t>
            </w:r>
          </w:p>
        </w:tc>
        <w:tc>
          <w:tcPr>
            <w:tcW w:w="10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3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220"/>
              <w:spacing w:after="0" w:line="116" w:lineRule="exact"/>
              <w:rPr>
                <w:sz w:val="20"/>
                <w:szCs w:val="20"/>
                <w:color w:val="auto"/>
              </w:rPr>
            </w:pPr>
            <w:r>
              <w:rPr>
                <w:rFonts w:ascii="Times New Roman" w:cs="Times New Roman" w:eastAsia="Times New Roman" w:hAnsi="Times New Roman"/>
                <w:sz w:val="11"/>
                <w:szCs w:val="11"/>
                <w:b w:val="1"/>
                <w:bCs w:val="1"/>
                <w:color w:val="auto"/>
                <w:w w:val="96"/>
              </w:rPr>
              <w:t>Temporary</w:t>
            </w:r>
          </w:p>
        </w:tc>
        <w:tc>
          <w:tcPr>
            <w:tcW w:w="860" w:type="dxa"/>
            <w:vAlign w:val="bottom"/>
            <w:gridSpan w:val="2"/>
          </w:tcPr>
          <w:p>
            <w:pPr>
              <w:ind w:left="140"/>
              <w:spacing w:after="0" w:line="116" w:lineRule="exact"/>
              <w:rPr>
                <w:sz w:val="20"/>
                <w:szCs w:val="20"/>
                <w:color w:val="auto"/>
              </w:rPr>
            </w:pPr>
            <w:r>
              <w:rPr>
                <w:rFonts w:ascii="Times New Roman" w:cs="Times New Roman" w:eastAsia="Times New Roman" w:hAnsi="Times New Roman"/>
                <w:sz w:val="11"/>
                <w:szCs w:val="11"/>
                <w:b w:val="1"/>
                <w:bCs w:val="1"/>
                <w:color w:val="auto"/>
              </w:rPr>
              <w:t>Common</w:t>
            </w:r>
          </w:p>
        </w:tc>
        <w:tc>
          <w:tcPr>
            <w:tcW w:w="100" w:type="dxa"/>
            <w:vAlign w:val="bottom"/>
          </w:tcPr>
          <w:p>
            <w:pPr>
              <w:spacing w:after="0"/>
              <w:rPr>
                <w:sz w:val="10"/>
                <w:szCs w:val="10"/>
                <w:color w:val="auto"/>
              </w:rPr>
            </w:pPr>
          </w:p>
        </w:tc>
        <w:tc>
          <w:tcPr>
            <w:tcW w:w="600" w:type="dxa"/>
            <w:vAlign w:val="bottom"/>
          </w:tcPr>
          <w:p>
            <w:pPr>
              <w:jc w:val="right"/>
              <w:ind w:right="86"/>
              <w:spacing w:after="0" w:line="116" w:lineRule="exact"/>
              <w:rPr>
                <w:sz w:val="20"/>
                <w:szCs w:val="20"/>
                <w:color w:val="auto"/>
              </w:rPr>
            </w:pPr>
            <w:r>
              <w:rPr>
                <w:rFonts w:ascii="Times New Roman" w:cs="Times New Roman" w:eastAsia="Times New Roman" w:hAnsi="Times New Roman"/>
                <w:sz w:val="11"/>
                <w:szCs w:val="11"/>
                <w:b w:val="1"/>
                <w:bCs w:val="1"/>
                <w:color w:val="auto"/>
              </w:rPr>
              <w:t>Common</w:t>
            </w:r>
          </w:p>
        </w:tc>
        <w:tc>
          <w:tcPr>
            <w:tcW w:w="120" w:type="dxa"/>
            <w:vAlign w:val="bottom"/>
          </w:tcPr>
          <w:p>
            <w:pPr>
              <w:spacing w:after="0"/>
              <w:rPr>
                <w:sz w:val="10"/>
                <w:szCs w:val="10"/>
                <w:color w:val="auto"/>
              </w:rPr>
            </w:pPr>
          </w:p>
        </w:tc>
        <w:tc>
          <w:tcPr>
            <w:tcW w:w="660" w:type="dxa"/>
            <w:vAlign w:val="bottom"/>
          </w:tcPr>
          <w:p>
            <w:pPr>
              <w:jc w:val="right"/>
              <w:ind w:right="86"/>
              <w:spacing w:after="0" w:line="116"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100" w:type="dxa"/>
            <w:vAlign w:val="bottom"/>
          </w:tcPr>
          <w:p>
            <w:pPr>
              <w:spacing w:after="0"/>
              <w:rPr>
                <w:sz w:val="10"/>
                <w:szCs w:val="10"/>
                <w:color w:val="auto"/>
              </w:rPr>
            </w:pPr>
          </w:p>
        </w:tc>
        <w:tc>
          <w:tcPr>
            <w:tcW w:w="840" w:type="dxa"/>
            <w:vAlign w:val="bottom"/>
          </w:tcPr>
          <w:p>
            <w:pPr>
              <w:jc w:val="center"/>
              <w:ind w:right="26"/>
              <w:spacing w:after="0" w:line="116"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120" w:type="dxa"/>
            <w:vAlign w:val="bottom"/>
          </w:tcPr>
          <w:p>
            <w:pPr>
              <w:spacing w:after="0"/>
              <w:rPr>
                <w:sz w:val="10"/>
                <w:szCs w:val="10"/>
                <w:color w:val="auto"/>
              </w:rPr>
            </w:pPr>
          </w:p>
        </w:tc>
        <w:tc>
          <w:tcPr>
            <w:tcW w:w="900" w:type="dxa"/>
            <w:vAlign w:val="bottom"/>
          </w:tcPr>
          <w:p>
            <w:pPr>
              <w:jc w:val="right"/>
              <w:ind w:right="86"/>
              <w:spacing w:after="0" w:line="116"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80" w:type="dxa"/>
            <w:vAlign w:val="bottom"/>
          </w:tcPr>
          <w:p>
            <w:pPr>
              <w:spacing w:after="0"/>
              <w:rPr>
                <w:sz w:val="10"/>
                <w:szCs w:val="10"/>
                <w:color w:val="auto"/>
              </w:rPr>
            </w:pPr>
          </w:p>
        </w:tc>
        <w:tc>
          <w:tcPr>
            <w:tcW w:w="780" w:type="dxa"/>
            <w:vAlign w:val="bottom"/>
          </w:tcPr>
          <w:p>
            <w:pPr>
              <w:jc w:val="right"/>
              <w:ind w:right="26"/>
              <w:spacing w:after="0" w:line="116" w:lineRule="exact"/>
              <w:rPr>
                <w:sz w:val="20"/>
                <w:szCs w:val="20"/>
                <w:color w:val="auto"/>
              </w:rPr>
            </w:pPr>
            <w:r>
              <w:rPr>
                <w:rFonts w:ascii="Times New Roman" w:cs="Times New Roman" w:eastAsia="Times New Roman" w:hAnsi="Times New Roman"/>
                <w:sz w:val="11"/>
                <w:szCs w:val="11"/>
                <w:b w:val="1"/>
                <w:bCs w:val="1"/>
                <w:color w:val="auto"/>
                <w:w w:val="95"/>
              </w:rPr>
              <w:t>Noncontrolling</w:t>
            </w:r>
          </w:p>
        </w:tc>
        <w:tc>
          <w:tcPr>
            <w:tcW w:w="80" w:type="dxa"/>
            <w:vAlign w:val="bottom"/>
          </w:tcPr>
          <w:p>
            <w:pPr>
              <w:spacing w:after="0"/>
              <w:rPr>
                <w:sz w:val="10"/>
                <w:szCs w:val="10"/>
                <w:color w:val="auto"/>
              </w:rPr>
            </w:pPr>
          </w:p>
        </w:tc>
        <w:tc>
          <w:tcPr>
            <w:tcW w:w="860" w:type="dxa"/>
            <w:vAlign w:val="bottom"/>
            <w:gridSpan w:val="2"/>
          </w:tcPr>
          <w:p>
            <w:pPr>
              <w:jc w:val="center"/>
              <w:ind w:right="220"/>
              <w:spacing w:after="0" w:line="116" w:lineRule="exact"/>
              <w:rPr>
                <w:sz w:val="20"/>
                <w:szCs w:val="20"/>
                <w:color w:val="auto"/>
              </w:rPr>
            </w:pPr>
            <w:r>
              <w:rPr>
                <w:rFonts w:ascii="Times New Roman" w:cs="Times New Roman" w:eastAsia="Times New Roman" w:hAnsi="Times New Roman"/>
                <w:sz w:val="11"/>
                <w:szCs w:val="11"/>
                <w:b w:val="1"/>
                <w:bCs w:val="1"/>
                <w:color w:val="auto"/>
                <w:w w:val="97"/>
              </w:rPr>
              <w:t>Shareholders'</w:t>
            </w:r>
          </w:p>
        </w:tc>
        <w:tc>
          <w:tcPr>
            <w:tcW w:w="80" w:type="dxa"/>
            <w:vAlign w:val="bottom"/>
          </w:tcPr>
          <w:p>
            <w:pPr>
              <w:spacing w:after="0"/>
              <w:rPr>
                <w:sz w:val="10"/>
                <w:szCs w:val="10"/>
                <w:color w:val="auto"/>
              </w:rPr>
            </w:pPr>
          </w:p>
        </w:tc>
        <w:tc>
          <w:tcPr>
            <w:tcW w:w="70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97"/>
              </w:rPr>
              <w:t>Total Equity</w:t>
            </w:r>
          </w:p>
        </w:tc>
        <w:tc>
          <w:tcPr>
            <w:tcW w:w="0" w:type="dxa"/>
            <w:vAlign w:val="bottom"/>
          </w:tcPr>
          <w:p>
            <w:pPr>
              <w:spacing w:after="0"/>
              <w:rPr>
                <w:sz w:val="1"/>
                <w:szCs w:val="1"/>
                <w:color w:val="auto"/>
              </w:rPr>
            </w:pPr>
          </w:p>
        </w:tc>
      </w:tr>
      <w:tr>
        <w:trPr>
          <w:trHeight w:val="146"/>
        </w:trPr>
        <w:tc>
          <w:tcPr>
            <w:tcW w:w="3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w w:val="96"/>
              </w:rPr>
              <w:t>Stock (Shares)</w:t>
            </w: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w w:val="95"/>
              </w:rPr>
              <w:t>Stock ($Value)</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Paid-in Capital</w:t>
            </w:r>
          </w:p>
        </w:tc>
        <w:tc>
          <w:tcPr>
            <w:tcW w:w="100" w:type="dxa"/>
            <w:vAlign w:val="bottom"/>
          </w:tcPr>
          <w:p>
            <w:pPr>
              <w:spacing w:after="0"/>
              <w:rPr>
                <w:sz w:val="12"/>
                <w:szCs w:val="12"/>
                <w:color w:val="auto"/>
              </w:rPr>
            </w:pPr>
          </w:p>
        </w:tc>
        <w:tc>
          <w:tcPr>
            <w:tcW w:w="84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8"/>
              </w:rPr>
              <w:t>Earnings</w:t>
            </w:r>
          </w:p>
        </w:tc>
        <w:tc>
          <w:tcPr>
            <w:tcW w:w="120" w:type="dxa"/>
            <w:vAlign w:val="bottom"/>
          </w:tcPr>
          <w:p>
            <w:pPr>
              <w:spacing w:after="0"/>
              <w:rPr>
                <w:sz w:val="12"/>
                <w:szCs w:val="12"/>
                <w:color w:val="auto"/>
              </w:rPr>
            </w:pPr>
          </w:p>
        </w:tc>
        <w:tc>
          <w:tcPr>
            <w:tcW w:w="90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Income / (Loss)</w:t>
            </w:r>
          </w:p>
        </w:tc>
        <w:tc>
          <w:tcPr>
            <w:tcW w:w="80" w:type="dxa"/>
            <w:vAlign w:val="bottom"/>
          </w:tcPr>
          <w:p>
            <w:pPr>
              <w:spacing w:after="0"/>
              <w:rPr>
                <w:sz w:val="12"/>
                <w:szCs w:val="12"/>
                <w:color w:val="auto"/>
              </w:rPr>
            </w:pPr>
          </w:p>
        </w:tc>
        <w:tc>
          <w:tcPr>
            <w:tcW w:w="78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Interests</w:t>
            </w:r>
          </w:p>
        </w:tc>
        <w:tc>
          <w:tcPr>
            <w:tcW w:w="80" w:type="dxa"/>
            <w:vAlign w:val="bottom"/>
          </w:tcPr>
          <w:p>
            <w:pPr>
              <w:spacing w:after="0"/>
              <w:rPr>
                <w:sz w:val="12"/>
                <w:szCs w:val="12"/>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 at December 31, 2022</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202.9</w:t>
            </w:r>
          </w:p>
        </w:tc>
        <w:tc>
          <w:tcPr>
            <w:tcW w:w="1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124.0</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9,549.7</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(1,731.2)</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78.7</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7,888.5</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8,091.4</w:t>
            </w:r>
          </w:p>
        </w:tc>
        <w:tc>
          <w:tcPr>
            <w:tcW w:w="0" w:type="dxa"/>
            <w:vAlign w:val="bottom"/>
          </w:tcPr>
          <w:p>
            <w:pPr>
              <w:spacing w:after="0"/>
              <w:rPr>
                <w:sz w:val="1"/>
                <w:szCs w:val="1"/>
                <w:color w:val="auto"/>
              </w:rPr>
            </w:pPr>
          </w:p>
        </w:tc>
      </w:tr>
      <w:tr>
        <w:trPr>
          <w:trHeight w:val="145"/>
        </w:trPr>
        <w:tc>
          <w:tcPr>
            <w:tcW w:w="3520" w:type="dxa"/>
            <w:vAlign w:val="bottom"/>
          </w:tcPr>
          <w:p>
            <w:pPr>
              <w:spacing w:after="0"/>
              <w:rPr>
                <w:sz w:val="20"/>
                <w:szCs w:val="20"/>
                <w:color w:val="auto"/>
              </w:rPr>
            </w:pPr>
            <w:r>
              <w:rPr>
                <w:rFonts w:ascii="Times New Roman" w:cs="Times New Roman" w:eastAsia="Times New Roman" w:hAnsi="Times New Roman"/>
                <w:sz w:val="11"/>
                <w:szCs w:val="11"/>
                <w:color w:val="auto"/>
              </w:rPr>
              <w:t>Issuance of common stock, common OP units, and other securities, net</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(0.6)</w:t>
            </w: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28.9</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28.3</w:t>
            </w:r>
          </w:p>
        </w:tc>
        <w:tc>
          <w:tcPr>
            <w:tcW w:w="0" w:type="dxa"/>
            <w:vAlign w:val="bottom"/>
          </w:tcPr>
          <w:p>
            <w:pPr>
              <w:spacing w:after="0"/>
              <w:rPr>
                <w:sz w:val="1"/>
                <w:szCs w:val="1"/>
                <w:color w:val="auto"/>
              </w:rPr>
            </w:pPr>
          </w:p>
        </w:tc>
      </w:tr>
      <w:tr>
        <w:trPr>
          <w:trHeight w:val="109"/>
        </w:trPr>
        <w:tc>
          <w:tcPr>
            <w:tcW w:w="352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1"/>
                <w:szCs w:val="11"/>
                <w:color w:val="auto"/>
              </w:rPr>
              <w:t>Common stock withheld to satisfy income tax obligations related to vesting of</w:t>
            </w: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restricted stock awards</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w:t>
            </w:r>
          </w:p>
        </w:tc>
        <w:tc>
          <w:tcPr>
            <w:tcW w:w="0" w:type="dxa"/>
            <w:vAlign w:val="bottom"/>
          </w:tcPr>
          <w:p>
            <w:pPr>
              <w:spacing w:after="0"/>
              <w:rPr>
                <w:sz w:val="1"/>
                <w:szCs w:val="1"/>
                <w:color w:val="auto"/>
              </w:rPr>
            </w:pPr>
          </w:p>
        </w:tc>
      </w:tr>
      <w:tr>
        <w:trPr>
          <w:trHeight w:val="145"/>
        </w:trPr>
        <w:tc>
          <w:tcPr>
            <w:tcW w:w="3520" w:type="dxa"/>
            <w:vAlign w:val="bottom"/>
          </w:tcPr>
          <w:p>
            <w:pPr>
              <w:spacing w:after="0"/>
              <w:rPr>
                <w:sz w:val="20"/>
                <w:szCs w:val="20"/>
                <w:color w:val="auto"/>
              </w:rPr>
            </w:pPr>
            <w:r>
              <w:rPr>
                <w:rFonts w:ascii="Times New Roman" w:cs="Times New Roman" w:eastAsia="Times New Roman" w:hAnsi="Times New Roman"/>
                <w:sz w:val="11"/>
                <w:szCs w:val="11"/>
                <w:color w:val="auto"/>
              </w:rPr>
              <w:t>Conversions</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w:t>
            </w: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(0.5)</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9.6</w:t>
            </w:r>
          </w:p>
        </w:tc>
        <w:tc>
          <w:tcPr>
            <w:tcW w:w="0" w:type="dxa"/>
            <w:vAlign w:val="bottom"/>
          </w:tcPr>
          <w:p>
            <w:pPr>
              <w:spacing w:after="0"/>
              <w:rPr>
                <w:sz w:val="1"/>
                <w:szCs w:val="1"/>
                <w:color w:val="auto"/>
              </w:rPr>
            </w:pPr>
          </w:p>
        </w:tc>
      </w:tr>
      <w:tr>
        <w:trPr>
          <w:trHeight w:val="15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Issuance of third-party equity interests in consolidated entities</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1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w:t>
            </w:r>
          </w:p>
        </w:tc>
        <w:tc>
          <w:tcPr>
            <w:tcW w:w="0" w:type="dxa"/>
            <w:vAlign w:val="bottom"/>
          </w:tcPr>
          <w:p>
            <w:pPr>
              <w:spacing w:after="0"/>
              <w:rPr>
                <w:sz w:val="1"/>
                <w:szCs w:val="1"/>
                <w:color w:val="auto"/>
              </w:rPr>
            </w:pPr>
          </w:p>
        </w:tc>
      </w:tr>
      <w:tr>
        <w:trPr>
          <w:trHeight w:val="145"/>
        </w:trPr>
        <w:tc>
          <w:tcPr>
            <w:tcW w:w="3520" w:type="dxa"/>
            <w:vAlign w:val="bottom"/>
          </w:tcPr>
          <w:p>
            <w:pPr>
              <w:spacing w:after="0"/>
              <w:rPr>
                <w:sz w:val="20"/>
                <w:szCs w:val="20"/>
                <w:color w:val="auto"/>
              </w:rPr>
            </w:pPr>
            <w:r>
              <w:rPr>
                <w:rFonts w:ascii="Times New Roman" w:cs="Times New Roman" w:eastAsia="Times New Roman" w:hAnsi="Times New Roman"/>
                <w:sz w:val="11"/>
                <w:szCs w:val="11"/>
                <w:color w:val="auto"/>
              </w:rPr>
              <w:t>Other redeemable noncontrolling interests</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16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Acquisition of third-party equity interest in consolidated entities</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(28.2)</w:t>
            </w:r>
          </w:p>
        </w:tc>
        <w:tc>
          <w:tcPr>
            <w:tcW w:w="1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(125.3)</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(125.3)</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(153.5)</w:t>
            </w:r>
          </w:p>
        </w:tc>
        <w:tc>
          <w:tcPr>
            <w:tcW w:w="0" w:type="dxa"/>
            <w:vAlign w:val="bottom"/>
          </w:tcPr>
          <w:p>
            <w:pPr>
              <w:spacing w:after="0"/>
              <w:rPr>
                <w:sz w:val="1"/>
                <w:szCs w:val="1"/>
                <w:color w:val="auto"/>
              </w:rPr>
            </w:pPr>
          </w:p>
        </w:tc>
      </w:tr>
      <w:tr>
        <w:trPr>
          <w:trHeight w:val="145"/>
        </w:trPr>
        <w:tc>
          <w:tcPr>
            <w:tcW w:w="3520" w:type="dxa"/>
            <w:vAlign w:val="bottom"/>
          </w:tcPr>
          <w:p>
            <w:pPr>
              <w:spacing w:after="0"/>
              <w:rPr>
                <w:sz w:val="20"/>
                <w:szCs w:val="20"/>
                <w:color w:val="auto"/>
              </w:rPr>
            </w:pPr>
            <w:r>
              <w:rPr>
                <w:rFonts w:ascii="Times New Roman" w:cs="Times New Roman" w:eastAsia="Times New Roman" w:hAnsi="Times New Roman"/>
                <w:sz w:val="11"/>
                <w:szCs w:val="11"/>
                <w:color w:val="auto"/>
              </w:rPr>
              <w:t>Sale of consolidated affiliates</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16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0" w:type="dxa"/>
            <w:vAlign w:val="bottom"/>
          </w:tcPr>
          <w:p>
            <w:pPr>
              <w:spacing w:after="0"/>
              <w:rPr>
                <w:sz w:val="1"/>
                <w:szCs w:val="1"/>
                <w:color w:val="auto"/>
              </w:rPr>
            </w:pPr>
          </w:p>
        </w:tc>
      </w:tr>
      <w:tr>
        <w:trPr>
          <w:trHeight w:val="15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Share-based compensation - amortization and forfeitures</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42.6</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42.9</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42.9</w:t>
            </w:r>
          </w:p>
        </w:tc>
        <w:tc>
          <w:tcPr>
            <w:tcW w:w="0" w:type="dxa"/>
            <w:vAlign w:val="bottom"/>
          </w:tcPr>
          <w:p>
            <w:pPr>
              <w:spacing w:after="0"/>
              <w:rPr>
                <w:sz w:val="1"/>
                <w:szCs w:val="1"/>
                <w:color w:val="auto"/>
              </w:rPr>
            </w:pPr>
          </w:p>
        </w:tc>
      </w:tr>
      <w:tr>
        <w:trPr>
          <w:trHeight w:val="145"/>
        </w:trPr>
        <w:tc>
          <w:tcPr>
            <w:tcW w:w="3520" w:type="dxa"/>
            <w:vAlign w:val="bottom"/>
          </w:tcPr>
          <w:p>
            <w:pPr>
              <w:spacing w:after="0"/>
              <w:rPr>
                <w:sz w:val="20"/>
                <w:szCs w:val="20"/>
                <w:color w:val="auto"/>
              </w:rPr>
            </w:pPr>
            <w:r>
              <w:rPr>
                <w:rFonts w:ascii="Times New Roman" w:cs="Times New Roman" w:eastAsia="Times New Roman" w:hAnsi="Times New Roman"/>
                <w:sz w:val="11"/>
                <w:szCs w:val="11"/>
                <w:color w:val="auto"/>
              </w:rPr>
              <w:t>Issuance of Series K preferred OP units</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100.6</w:t>
            </w:r>
          </w:p>
        </w:tc>
        <w:tc>
          <w:tcPr>
            <w:tcW w:w="16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100.6</w:t>
            </w:r>
          </w:p>
        </w:tc>
        <w:tc>
          <w:tcPr>
            <w:tcW w:w="0" w:type="dxa"/>
            <w:vAlign w:val="bottom"/>
          </w:tcPr>
          <w:p>
            <w:pPr>
              <w:spacing w:after="0"/>
              <w:rPr>
                <w:sz w:val="1"/>
                <w:szCs w:val="1"/>
                <w:color w:val="auto"/>
              </w:rPr>
            </w:pPr>
          </w:p>
        </w:tc>
      </w:tr>
      <w:tr>
        <w:trPr>
          <w:trHeight w:val="15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Issuance of Series L preferred OP units</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2.0</w:t>
            </w:r>
          </w:p>
        </w:tc>
        <w:tc>
          <w:tcPr>
            <w:tcW w:w="0" w:type="dxa"/>
            <w:vAlign w:val="bottom"/>
          </w:tcPr>
          <w:p>
            <w:pPr>
              <w:spacing w:after="0"/>
              <w:rPr>
                <w:sz w:val="1"/>
                <w:szCs w:val="1"/>
                <w:color w:val="auto"/>
              </w:rPr>
            </w:pPr>
          </w:p>
        </w:tc>
      </w:tr>
      <w:tr>
        <w:trPr>
          <w:trHeight w:val="145"/>
        </w:trPr>
        <w:tc>
          <w:tcPr>
            <w:tcW w:w="3520" w:type="dxa"/>
            <w:vAlign w:val="bottom"/>
          </w:tcPr>
          <w:p>
            <w:pPr>
              <w:spacing w:after="0"/>
              <w:rPr>
                <w:sz w:val="20"/>
                <w:szCs w:val="20"/>
                <w:color w:val="auto"/>
              </w:rPr>
            </w:pPr>
            <w:r>
              <w:rPr>
                <w:rFonts w:ascii="Times New Roman" w:cs="Times New Roman" w:eastAsia="Times New Roman" w:hAnsi="Times New Roman"/>
                <w:sz w:val="11"/>
                <w:szCs w:val="11"/>
                <w:color w:val="auto"/>
              </w:rPr>
              <w:t>Other comprehensive income / (loss)</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22.1</w:t>
            </w: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21.9</w:t>
            </w:r>
          </w:p>
        </w:tc>
        <w:tc>
          <w:tcPr>
            <w:tcW w:w="0" w:type="dxa"/>
            <w:vAlign w:val="bottom"/>
          </w:tcPr>
          <w:p>
            <w:pPr>
              <w:spacing w:after="0"/>
              <w:rPr>
                <w:sz w:val="1"/>
                <w:szCs w:val="1"/>
                <w:color w:val="auto"/>
              </w:rPr>
            </w:pPr>
          </w:p>
        </w:tc>
      </w:tr>
      <w:tr>
        <w:trPr>
          <w:trHeight w:val="15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loss</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1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(201.0)</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(206.9)</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(209.1)</w:t>
            </w:r>
          </w:p>
        </w:tc>
        <w:tc>
          <w:tcPr>
            <w:tcW w:w="0" w:type="dxa"/>
            <w:vAlign w:val="bottom"/>
          </w:tcPr>
          <w:p>
            <w:pPr>
              <w:spacing w:after="0"/>
              <w:rPr>
                <w:sz w:val="1"/>
                <w:szCs w:val="1"/>
                <w:color w:val="auto"/>
              </w:rPr>
            </w:pPr>
          </w:p>
        </w:tc>
      </w:tr>
      <w:tr>
        <w:trPr>
          <w:trHeight w:val="145"/>
        </w:trPr>
        <w:tc>
          <w:tcPr>
            <w:tcW w:w="3520" w:type="dxa"/>
            <w:vAlign w:val="bottom"/>
          </w:tcPr>
          <w:p>
            <w:pPr>
              <w:spacing w:after="0"/>
              <w:rPr>
                <w:sz w:val="20"/>
                <w:szCs w:val="20"/>
                <w:color w:val="auto"/>
              </w:rPr>
            </w:pPr>
            <w:r>
              <w:rPr>
                <w:rFonts w:ascii="Times New Roman" w:cs="Times New Roman" w:eastAsia="Times New Roman" w:hAnsi="Times New Roman"/>
                <w:sz w:val="11"/>
                <w:szCs w:val="11"/>
                <w:color w:val="auto"/>
              </w:rPr>
              <w:t>Distributions</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w:t>
            </w:r>
          </w:p>
        </w:tc>
        <w:tc>
          <w:tcPr>
            <w:tcW w:w="16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(462.9)</w:t>
            </w: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(475.7)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(484.3)</w:t>
            </w:r>
          </w:p>
        </w:tc>
        <w:tc>
          <w:tcPr>
            <w:tcW w:w="0" w:type="dxa"/>
            <w:vAlign w:val="bottom"/>
          </w:tcPr>
          <w:p>
            <w:pPr>
              <w:spacing w:after="0"/>
              <w:rPr>
                <w:sz w:val="1"/>
                <w:szCs w:val="1"/>
                <w:color w:val="auto"/>
              </w:rPr>
            </w:pPr>
          </w:p>
        </w:tc>
      </w:tr>
      <w:tr>
        <w:trPr>
          <w:trHeight w:val="15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OP Units accretion</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1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7"/>
        </w:trPr>
        <w:tc>
          <w:tcPr>
            <w:tcW w:w="35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Balance at December 31, 2023</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260.9</w:t>
            </w:r>
          </w:p>
        </w:tc>
        <w:tc>
          <w:tcPr>
            <w:tcW w:w="16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124.4</w:t>
            </w:r>
          </w:p>
        </w:tc>
        <w:tc>
          <w:tcPr>
            <w:tcW w:w="160" w:type="dxa"/>
            <w:vAlign w:val="bottom"/>
          </w:tcPr>
          <w:p>
            <w:pPr>
              <w:spacing w:after="0"/>
              <w:rPr>
                <w:sz w:val="11"/>
                <w:szCs w:val="11"/>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9,466.9</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(2,397.5)</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90.2</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7,173.0</w:t>
            </w:r>
          </w:p>
        </w:tc>
        <w:tc>
          <w:tcPr>
            <w:tcW w:w="1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7,433.9</w:t>
            </w:r>
          </w:p>
        </w:tc>
        <w:tc>
          <w:tcPr>
            <w:tcW w:w="0" w:type="dxa"/>
            <w:vAlign w:val="bottom"/>
          </w:tcPr>
          <w:p>
            <w:pPr>
              <w:spacing w:after="0"/>
              <w:rPr>
                <w:sz w:val="1"/>
                <w:szCs w:val="1"/>
                <w:color w:val="auto"/>
              </w:rPr>
            </w:pP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2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Issuance of common stock, common OP units, and other securities, net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361.0</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35.9</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397.0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397.0</w:t>
            </w:r>
          </w:p>
        </w:tc>
        <w:tc>
          <w:tcPr>
            <w:tcW w:w="0" w:type="dxa"/>
            <w:vAlign w:val="bottom"/>
          </w:tcPr>
          <w:p>
            <w:pPr>
              <w:spacing w:after="0"/>
              <w:rPr>
                <w:sz w:val="1"/>
                <w:szCs w:val="1"/>
                <w:color w:val="auto"/>
              </w:rPr>
            </w:pPr>
          </w:p>
        </w:tc>
      </w:tr>
      <w:tr>
        <w:trPr>
          <w:trHeight w:val="104"/>
        </w:trPr>
        <w:tc>
          <w:tcPr>
            <w:tcW w:w="3520" w:type="dxa"/>
            <w:vAlign w:val="bottom"/>
          </w:tcPr>
          <w:p>
            <w:pPr>
              <w:spacing w:after="0" w:line="104" w:lineRule="exact"/>
              <w:rPr>
                <w:sz w:val="20"/>
                <w:szCs w:val="20"/>
                <w:color w:val="auto"/>
              </w:rPr>
            </w:pPr>
            <w:r>
              <w:rPr>
                <w:rFonts w:ascii="Times New Roman" w:cs="Times New Roman" w:eastAsia="Times New Roman" w:hAnsi="Times New Roman"/>
                <w:sz w:val="11"/>
                <w:szCs w:val="11"/>
                <w:color w:val="auto"/>
              </w:rPr>
              <w:t>Common stock withheld to satisfy income tax obligations related to vesting of</w:t>
            </w: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520" w:type="dxa"/>
            <w:vAlign w:val="bottom"/>
          </w:tcPr>
          <w:p>
            <w:pPr>
              <w:spacing w:after="0"/>
              <w:rPr>
                <w:sz w:val="20"/>
                <w:szCs w:val="20"/>
                <w:color w:val="auto"/>
              </w:rPr>
            </w:pPr>
            <w:r>
              <w:rPr>
                <w:rFonts w:ascii="Times New Roman" w:cs="Times New Roman" w:eastAsia="Times New Roman" w:hAnsi="Times New Roman"/>
                <w:sz w:val="11"/>
                <w:szCs w:val="11"/>
                <w:color w:val="auto"/>
              </w:rPr>
              <w:t>restricted stock awards</w:t>
            </w:r>
          </w:p>
        </w:tc>
        <w:tc>
          <w:tcPr>
            <w:tcW w:w="80" w:type="dxa"/>
            <w:vAlign w:val="bottom"/>
          </w:tcPr>
          <w:p>
            <w:pPr>
              <w:spacing w:after="0"/>
              <w:rPr>
                <w:sz w:val="13"/>
                <w:szCs w:val="1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w:t>
            </w:r>
          </w:p>
        </w:tc>
        <w:tc>
          <w:tcPr>
            <w:tcW w:w="0" w:type="dxa"/>
            <w:vAlign w:val="bottom"/>
          </w:tcPr>
          <w:p>
            <w:pPr>
              <w:spacing w:after="0"/>
              <w:rPr>
                <w:sz w:val="1"/>
                <w:szCs w:val="1"/>
                <w:color w:val="auto"/>
              </w:rPr>
            </w:pPr>
          </w:p>
        </w:tc>
      </w:tr>
      <w:tr>
        <w:trPr>
          <w:trHeight w:val="158"/>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Conversions</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5"/>
        </w:trPr>
        <w:tc>
          <w:tcPr>
            <w:tcW w:w="3520" w:type="dxa"/>
            <w:vAlign w:val="bottom"/>
          </w:tcPr>
          <w:p>
            <w:pPr>
              <w:spacing w:after="0"/>
              <w:rPr>
                <w:sz w:val="20"/>
                <w:szCs w:val="20"/>
                <w:color w:val="auto"/>
              </w:rPr>
            </w:pPr>
            <w:r>
              <w:rPr>
                <w:rFonts w:ascii="Times New Roman" w:cs="Times New Roman" w:eastAsia="Times New Roman" w:hAnsi="Times New Roman"/>
                <w:sz w:val="11"/>
                <w:szCs w:val="11"/>
                <w:color w:val="auto"/>
              </w:rPr>
              <w:t>Sale of consolidated affiliates</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16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0" w:type="dxa"/>
            <w:vAlign w:val="bottom"/>
          </w:tcPr>
          <w:p>
            <w:pPr>
              <w:spacing w:after="0"/>
              <w:rPr>
                <w:sz w:val="1"/>
                <w:szCs w:val="1"/>
                <w:color w:val="auto"/>
              </w:rPr>
            </w:pPr>
          </w:p>
        </w:tc>
      </w:tr>
      <w:tr>
        <w:trPr>
          <w:trHeight w:val="15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Share-based compensation - amortization and forfeitures</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41.5</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0.4</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41.9</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41.9</w:t>
            </w:r>
          </w:p>
        </w:tc>
        <w:tc>
          <w:tcPr>
            <w:tcW w:w="0" w:type="dxa"/>
            <w:vAlign w:val="bottom"/>
          </w:tcPr>
          <w:p>
            <w:pPr>
              <w:spacing w:after="0"/>
              <w:rPr>
                <w:sz w:val="1"/>
                <w:szCs w:val="1"/>
                <w:color w:val="auto"/>
              </w:rPr>
            </w:pPr>
          </w:p>
        </w:tc>
      </w:tr>
      <w:tr>
        <w:trPr>
          <w:trHeight w:val="145"/>
        </w:trPr>
        <w:tc>
          <w:tcPr>
            <w:tcW w:w="3520" w:type="dxa"/>
            <w:vAlign w:val="bottom"/>
          </w:tcPr>
          <w:p>
            <w:pPr>
              <w:spacing w:after="0"/>
              <w:rPr>
                <w:sz w:val="20"/>
                <w:szCs w:val="20"/>
                <w:color w:val="auto"/>
              </w:rPr>
            </w:pPr>
            <w:r>
              <w:rPr>
                <w:rFonts w:ascii="Times New Roman" w:cs="Times New Roman" w:eastAsia="Times New Roman" w:hAnsi="Times New Roman"/>
                <w:sz w:val="11"/>
                <w:szCs w:val="11"/>
                <w:color w:val="auto"/>
              </w:rPr>
              <w:t>Other comprehensive loss</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w:t>
            </w: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w:t>
            </w:r>
          </w:p>
        </w:tc>
        <w:tc>
          <w:tcPr>
            <w:tcW w:w="0" w:type="dxa"/>
            <w:vAlign w:val="bottom"/>
          </w:tcPr>
          <w:p>
            <w:pPr>
              <w:spacing w:after="0"/>
              <w:rPr>
                <w:sz w:val="1"/>
                <w:szCs w:val="1"/>
                <w:color w:val="auto"/>
              </w:rPr>
            </w:pPr>
          </w:p>
        </w:tc>
      </w:tr>
      <w:tr>
        <w:trPr>
          <w:trHeight w:val="15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1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101.8</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103.6</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107.1</w:t>
            </w:r>
          </w:p>
        </w:tc>
        <w:tc>
          <w:tcPr>
            <w:tcW w:w="0" w:type="dxa"/>
            <w:vAlign w:val="bottom"/>
          </w:tcPr>
          <w:p>
            <w:pPr>
              <w:spacing w:after="0"/>
              <w:rPr>
                <w:sz w:val="1"/>
                <w:szCs w:val="1"/>
                <w:color w:val="auto"/>
              </w:rPr>
            </w:pPr>
          </w:p>
        </w:tc>
      </w:tr>
      <w:tr>
        <w:trPr>
          <w:trHeight w:val="145"/>
        </w:trPr>
        <w:tc>
          <w:tcPr>
            <w:tcW w:w="3520" w:type="dxa"/>
            <w:vAlign w:val="bottom"/>
          </w:tcPr>
          <w:p>
            <w:pPr>
              <w:spacing w:after="0"/>
              <w:rPr>
                <w:sz w:val="20"/>
                <w:szCs w:val="20"/>
                <w:color w:val="auto"/>
              </w:rPr>
            </w:pPr>
            <w:r>
              <w:rPr>
                <w:rFonts w:ascii="Times New Roman" w:cs="Times New Roman" w:eastAsia="Times New Roman" w:hAnsi="Times New Roman"/>
                <w:sz w:val="11"/>
                <w:szCs w:val="11"/>
                <w:color w:val="auto"/>
              </w:rPr>
              <w:t>Distributions</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w:t>
            </w:r>
          </w:p>
        </w:tc>
        <w:tc>
          <w:tcPr>
            <w:tcW w:w="16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(473.8)</w:t>
            </w: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(487.4)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(497.1)</w:t>
            </w:r>
          </w:p>
        </w:tc>
        <w:tc>
          <w:tcPr>
            <w:tcW w:w="0" w:type="dxa"/>
            <w:vAlign w:val="bottom"/>
          </w:tcPr>
          <w:p>
            <w:pPr>
              <w:spacing w:after="0"/>
              <w:rPr>
                <w:sz w:val="1"/>
                <w:szCs w:val="1"/>
                <w:color w:val="auto"/>
              </w:rPr>
            </w:pPr>
          </w:p>
        </w:tc>
      </w:tr>
      <w:tr>
        <w:trPr>
          <w:trHeight w:val="15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OP Units accretion</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w:t>
            </w:r>
          </w:p>
        </w:tc>
        <w:tc>
          <w:tcPr>
            <w:tcW w:w="1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7"/>
        </w:trPr>
        <w:tc>
          <w:tcPr>
            <w:tcW w:w="35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Balance at December 31, 2024</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259.8</w:t>
            </w:r>
          </w:p>
        </w:tc>
        <w:tc>
          <w:tcPr>
            <w:tcW w:w="16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127.4</w:t>
            </w:r>
          </w:p>
        </w:tc>
        <w:tc>
          <w:tcPr>
            <w:tcW w:w="160" w:type="dxa"/>
            <w:vAlign w:val="bottom"/>
          </w:tcPr>
          <w:p>
            <w:pPr>
              <w:spacing w:after="0"/>
              <w:rPr>
                <w:sz w:val="11"/>
                <w:szCs w:val="11"/>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9,864.2</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(2,775.9)</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(7.9)</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111.1</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7,192.8</w:t>
            </w:r>
          </w:p>
        </w:tc>
        <w:tc>
          <w:tcPr>
            <w:tcW w:w="1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7,452.6</w:t>
            </w:r>
          </w:p>
        </w:tc>
        <w:tc>
          <w:tcPr>
            <w:tcW w:w="0" w:type="dxa"/>
            <w:vAlign w:val="bottom"/>
          </w:tcPr>
          <w:p>
            <w:pPr>
              <w:spacing w:after="0"/>
              <w:rPr>
                <w:sz w:val="1"/>
                <w:szCs w:val="1"/>
                <w:color w:val="auto"/>
              </w:rPr>
            </w:pP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2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Issuance of common stock, common OP units, and other securities, net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4.5</w:t>
            </w:r>
          </w:p>
        </w:tc>
        <w:tc>
          <w:tcPr>
            <w:tcW w:w="0" w:type="dxa"/>
            <w:vAlign w:val="bottom"/>
          </w:tcPr>
          <w:p>
            <w:pPr>
              <w:spacing w:after="0"/>
              <w:rPr>
                <w:sz w:val="1"/>
                <w:szCs w:val="1"/>
                <w:color w:val="auto"/>
              </w:rPr>
            </w:pPr>
          </w:p>
        </w:tc>
      </w:tr>
      <w:tr>
        <w:trPr>
          <w:trHeight w:val="104"/>
        </w:trPr>
        <w:tc>
          <w:tcPr>
            <w:tcW w:w="3520" w:type="dxa"/>
            <w:vAlign w:val="bottom"/>
          </w:tcPr>
          <w:p>
            <w:pPr>
              <w:spacing w:after="0" w:line="104" w:lineRule="exact"/>
              <w:rPr>
                <w:sz w:val="20"/>
                <w:szCs w:val="20"/>
                <w:color w:val="auto"/>
              </w:rPr>
            </w:pPr>
            <w:r>
              <w:rPr>
                <w:rFonts w:ascii="Times New Roman" w:cs="Times New Roman" w:eastAsia="Times New Roman" w:hAnsi="Times New Roman"/>
                <w:sz w:val="11"/>
                <w:szCs w:val="11"/>
                <w:color w:val="auto"/>
              </w:rPr>
              <w:t>Common stock withheld to satisfy income tax obligations related to vesting of</w:t>
            </w: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520" w:type="dxa"/>
            <w:vAlign w:val="bottom"/>
          </w:tcPr>
          <w:p>
            <w:pPr>
              <w:spacing w:after="0"/>
              <w:rPr>
                <w:sz w:val="20"/>
                <w:szCs w:val="20"/>
                <w:color w:val="auto"/>
              </w:rPr>
            </w:pPr>
            <w:r>
              <w:rPr>
                <w:rFonts w:ascii="Times New Roman" w:cs="Times New Roman" w:eastAsia="Times New Roman" w:hAnsi="Times New Roman"/>
                <w:sz w:val="11"/>
                <w:szCs w:val="11"/>
                <w:color w:val="auto"/>
              </w:rPr>
              <w:t>restricted stock awards</w:t>
            </w:r>
          </w:p>
        </w:tc>
        <w:tc>
          <w:tcPr>
            <w:tcW w:w="80" w:type="dxa"/>
            <w:vAlign w:val="bottom"/>
          </w:tcPr>
          <w:p>
            <w:pPr>
              <w:spacing w:after="0"/>
              <w:rPr>
                <w:sz w:val="13"/>
                <w:szCs w:val="1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w:t>
            </w:r>
          </w:p>
        </w:tc>
        <w:tc>
          <w:tcPr>
            <w:tcW w:w="0" w:type="dxa"/>
            <w:vAlign w:val="bottom"/>
          </w:tcPr>
          <w:p>
            <w:pPr>
              <w:spacing w:after="0"/>
              <w:rPr>
                <w:sz w:val="1"/>
                <w:szCs w:val="1"/>
                <w:color w:val="auto"/>
              </w:rPr>
            </w:pPr>
          </w:p>
        </w:tc>
      </w:tr>
      <w:tr>
        <w:trPr>
          <w:trHeight w:val="158"/>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Common stock repurchased</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(332.4)</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(206.6)</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(539.1)</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(539.1)</w:t>
            </w:r>
          </w:p>
        </w:tc>
        <w:tc>
          <w:tcPr>
            <w:tcW w:w="0" w:type="dxa"/>
            <w:vAlign w:val="bottom"/>
          </w:tcPr>
          <w:p>
            <w:pPr>
              <w:spacing w:after="0"/>
              <w:rPr>
                <w:sz w:val="1"/>
                <w:szCs w:val="1"/>
                <w:color w:val="auto"/>
              </w:rPr>
            </w:pPr>
          </w:p>
        </w:tc>
      </w:tr>
      <w:tr>
        <w:trPr>
          <w:trHeight w:val="145"/>
        </w:trPr>
        <w:tc>
          <w:tcPr>
            <w:tcW w:w="3520" w:type="dxa"/>
            <w:vAlign w:val="bottom"/>
          </w:tcPr>
          <w:p>
            <w:pPr>
              <w:spacing w:after="0"/>
              <w:rPr>
                <w:sz w:val="20"/>
                <w:szCs w:val="20"/>
                <w:color w:val="auto"/>
              </w:rPr>
            </w:pPr>
            <w:r>
              <w:rPr>
                <w:rFonts w:ascii="Times New Roman" w:cs="Times New Roman" w:eastAsia="Times New Roman" w:hAnsi="Times New Roman"/>
                <w:sz w:val="11"/>
                <w:szCs w:val="11"/>
                <w:color w:val="auto"/>
              </w:rPr>
              <w:t>Conversions</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8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Share-based compensation - amortization and forfeitures</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36.7</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0.7</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37.4</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37.4</w:t>
            </w:r>
          </w:p>
        </w:tc>
        <w:tc>
          <w:tcPr>
            <w:tcW w:w="0" w:type="dxa"/>
            <w:vAlign w:val="bottom"/>
          </w:tcPr>
          <w:p>
            <w:pPr>
              <w:spacing w:after="0"/>
              <w:rPr>
                <w:sz w:val="1"/>
                <w:szCs w:val="1"/>
                <w:color w:val="auto"/>
              </w:rPr>
            </w:pPr>
          </w:p>
        </w:tc>
      </w:tr>
      <w:tr>
        <w:trPr>
          <w:trHeight w:val="145"/>
        </w:trPr>
        <w:tc>
          <w:tcPr>
            <w:tcW w:w="3520" w:type="dxa"/>
            <w:vAlign w:val="bottom"/>
          </w:tcPr>
          <w:p>
            <w:pPr>
              <w:spacing w:after="0"/>
              <w:rPr>
                <w:sz w:val="20"/>
                <w:szCs w:val="20"/>
                <w:color w:val="auto"/>
              </w:rPr>
            </w:pPr>
            <w:r>
              <w:rPr>
                <w:rFonts w:ascii="Times New Roman" w:cs="Times New Roman" w:eastAsia="Times New Roman" w:hAnsi="Times New Roman"/>
                <w:sz w:val="11"/>
                <w:szCs w:val="11"/>
                <w:color w:val="auto"/>
              </w:rPr>
              <w:t>Redemptions</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(23.5)</w:t>
            </w:r>
          </w:p>
        </w:tc>
        <w:tc>
          <w:tcPr>
            <w:tcW w:w="16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(25.9)</w:t>
            </w:r>
          </w:p>
        </w:tc>
        <w:tc>
          <w:tcPr>
            <w:tcW w:w="0" w:type="dxa"/>
            <w:vAlign w:val="bottom"/>
          </w:tcPr>
          <w:p>
            <w:pPr>
              <w:spacing w:after="0"/>
              <w:rPr>
                <w:sz w:val="1"/>
                <w:szCs w:val="1"/>
                <w:color w:val="auto"/>
              </w:rPr>
            </w:pPr>
          </w:p>
        </w:tc>
      </w:tr>
      <w:tr>
        <w:trPr>
          <w:trHeight w:val="15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comprehensive income / (loss)</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34.4</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(0.7)</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33.7</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33.7</w:t>
            </w:r>
          </w:p>
        </w:tc>
        <w:tc>
          <w:tcPr>
            <w:tcW w:w="0" w:type="dxa"/>
            <w:vAlign w:val="bottom"/>
          </w:tcPr>
          <w:p>
            <w:pPr>
              <w:spacing w:after="0"/>
              <w:rPr>
                <w:sz w:val="1"/>
                <w:szCs w:val="1"/>
                <w:color w:val="auto"/>
              </w:rPr>
            </w:pPr>
          </w:p>
        </w:tc>
      </w:tr>
      <w:tr>
        <w:trPr>
          <w:trHeight w:val="145"/>
        </w:trPr>
        <w:tc>
          <w:tcPr>
            <w:tcW w:w="3520" w:type="dxa"/>
            <w:vAlign w:val="bottom"/>
          </w:tcPr>
          <w:p>
            <w:pPr>
              <w:spacing w:after="0"/>
              <w:rPr>
                <w:sz w:val="20"/>
                <w:szCs w:val="20"/>
                <w:color w:val="auto"/>
              </w:rPr>
            </w:pPr>
            <w:r>
              <w:rPr>
                <w:rFonts w:ascii="Times New Roman" w:cs="Times New Roman" w:eastAsia="Times New Roman" w:hAnsi="Times New Roman"/>
                <w:sz w:val="11"/>
                <w:szCs w:val="11"/>
                <w:color w:val="auto"/>
              </w:rPr>
              <w:t>Net income</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16.3</w:t>
            </w:r>
          </w:p>
        </w:tc>
        <w:tc>
          <w:tcPr>
            <w:tcW w:w="16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1,373.9</w:t>
            </w: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1,413.9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1,430.2</w:t>
            </w:r>
          </w:p>
        </w:tc>
        <w:tc>
          <w:tcPr>
            <w:tcW w:w="0" w:type="dxa"/>
            <w:vAlign w:val="bottom"/>
          </w:tcPr>
          <w:p>
            <w:pPr>
              <w:spacing w:after="0"/>
              <w:rPr>
                <w:sz w:val="1"/>
                <w:szCs w:val="1"/>
                <w:color w:val="auto"/>
              </w:rPr>
            </w:pPr>
          </w:p>
        </w:tc>
      </w:tr>
      <w:tr>
        <w:trPr>
          <w:trHeight w:val="15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Distributions</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w:t>
            </w:r>
          </w:p>
        </w:tc>
        <w:tc>
          <w:tcPr>
            <w:tcW w:w="1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(1,017.8)</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(25.7)</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(1,043.5)</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(1,052.8)</w:t>
            </w:r>
          </w:p>
        </w:tc>
        <w:tc>
          <w:tcPr>
            <w:tcW w:w="0" w:type="dxa"/>
            <w:vAlign w:val="bottom"/>
          </w:tcPr>
          <w:p>
            <w:pPr>
              <w:spacing w:after="0"/>
              <w:rPr>
                <w:sz w:val="1"/>
                <w:szCs w:val="1"/>
                <w:color w:val="auto"/>
              </w:rPr>
            </w:pPr>
          </w:p>
        </w:tc>
      </w:tr>
      <w:tr>
        <w:trPr>
          <w:trHeight w:val="145"/>
        </w:trPr>
        <w:tc>
          <w:tcPr>
            <w:tcW w:w="3520" w:type="dxa"/>
            <w:vAlign w:val="bottom"/>
          </w:tcPr>
          <w:p>
            <w:pPr>
              <w:spacing w:after="0"/>
              <w:rPr>
                <w:sz w:val="20"/>
                <w:szCs w:val="20"/>
                <w:color w:val="auto"/>
              </w:rPr>
            </w:pPr>
            <w:r>
              <w:rPr>
                <w:rFonts w:ascii="Times New Roman" w:cs="Times New Roman" w:eastAsia="Times New Roman" w:hAnsi="Times New Roman"/>
                <w:sz w:val="11"/>
                <w:szCs w:val="11"/>
                <w:color w:val="auto"/>
              </w:rPr>
              <w:t>OP Units accretion</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w:t>
            </w:r>
          </w:p>
        </w:tc>
        <w:tc>
          <w:tcPr>
            <w:tcW w:w="16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w:t>
            </w: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7"/>
        </w:trPr>
        <w:tc>
          <w:tcPr>
            <w:tcW w:w="3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 at December 31, 2025</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255.7</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123.5</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9,563.1</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(2,634.7)</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26.5</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116.7</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7,072.8</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7,328.5</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i w:val="1"/>
          <w:iCs w:val="1"/>
          <w:color w:val="auto"/>
        </w:rPr>
        <w:t>See accompanying Notes to Consolidated Financial Statements.</w:t>
      </w: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862" w:right="31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2"/>
          <w:szCs w:val="12"/>
          <w:b w:val="1"/>
          <w:bCs w:val="1"/>
          <w:color w:val="auto"/>
        </w:rPr>
        <w:t>SUN COMMUNITIES,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STATEMENTS OF CASH FLOWS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millions)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40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r>
      <w:tr>
        <w:trPr>
          <w:trHeight w:val="151"/>
        </w:trPr>
        <w:tc>
          <w:tcPr>
            <w:tcW w:w="6400" w:type="dxa"/>
            <w:vAlign w:val="bottom"/>
          </w:tcPr>
          <w:p>
            <w:pPr>
              <w:spacing w:after="0"/>
              <w:rPr>
                <w:sz w:val="13"/>
                <w:szCs w:val="13"/>
                <w:color w:val="auto"/>
              </w:rPr>
            </w:pPr>
          </w:p>
        </w:tc>
        <w:tc>
          <w:tcPr>
            <w:tcW w:w="10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2025</w:t>
            </w:r>
          </w:p>
        </w:tc>
        <w:tc>
          <w:tcPr>
            <w:tcW w:w="5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44"/>
        </w:trPr>
        <w:tc>
          <w:tcPr>
            <w:tcW w:w="64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Operating Activities</w:t>
            </w: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68"/>
        </w:trPr>
        <w:tc>
          <w:tcPr>
            <w:tcW w:w="6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Income / (loss) from continuing operations</w:t>
            </w:r>
          </w:p>
        </w:tc>
        <w:tc>
          <w:tcPr>
            <w:tcW w:w="1000" w:type="dxa"/>
            <w:vAlign w:val="bottom"/>
            <w:shd w:val="clear" w:color="auto" w:fill="CCEEFF"/>
          </w:tcPr>
          <w:p>
            <w:pPr>
              <w:jc w:val="right"/>
              <w:ind w:right="862"/>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0.6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32.9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0"/>
                <w:szCs w:val="10"/>
                <w:color w:val="auto"/>
                <w:w w:val="7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(291.4)</w:t>
            </w:r>
          </w:p>
        </w:tc>
      </w:tr>
      <w:tr>
        <w:trPr>
          <w:trHeight w:val="156"/>
        </w:trPr>
        <w:tc>
          <w:tcPr>
            <w:tcW w:w="64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2"/>
                <w:szCs w:val="12"/>
                <w:color w:val="auto"/>
              </w:rPr>
              <w:t>Income from discontinued operations, net</w:t>
            </w:r>
          </w:p>
        </w:tc>
        <w:tc>
          <w:tcPr>
            <w:tcW w:w="10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1,429.6</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74.2</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82.3</w:t>
            </w:r>
          </w:p>
        </w:tc>
      </w:tr>
      <w:tr>
        <w:trPr>
          <w:trHeight w:val="160"/>
        </w:trPr>
        <w:tc>
          <w:tcPr>
            <w:tcW w:w="6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Net income / (loss)</w:t>
            </w:r>
          </w:p>
        </w:tc>
        <w:tc>
          <w:tcPr>
            <w:tcW w:w="10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1,430.2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107.1</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(209.1)</w:t>
            </w:r>
          </w:p>
        </w:tc>
      </w:tr>
      <w:tr>
        <w:trPr>
          <w:trHeight w:val="156"/>
        </w:trPr>
        <w:tc>
          <w:tcPr>
            <w:tcW w:w="6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Adjustments to reconcile net income / (loss) to net cash provided by operating activities:</w:t>
            </w: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68"/>
        </w:trPr>
        <w:tc>
          <w:tcPr>
            <w:tcW w:w="6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Gain on disposition of assets</w:t>
            </w: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w:t>
            </w:r>
          </w:p>
        </w:tc>
      </w:tr>
      <w:tr>
        <w:trPr>
          <w:trHeight w:val="156"/>
        </w:trPr>
        <w:tc>
          <w:tcPr>
            <w:tcW w:w="64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Gain on disposition of properties</w:t>
            </w:r>
          </w:p>
        </w:tc>
        <w:tc>
          <w:tcPr>
            <w:tcW w:w="10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(202.9)</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w:t>
            </w:r>
          </w:p>
        </w:tc>
      </w:tr>
      <w:tr>
        <w:trPr>
          <w:trHeight w:val="168"/>
        </w:trPr>
        <w:tc>
          <w:tcPr>
            <w:tcW w:w="6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(Gain) / loss on foreign currency exchanges</w:t>
            </w: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25.8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w:t>
            </w:r>
          </w:p>
        </w:tc>
      </w:tr>
      <w:tr>
        <w:trPr>
          <w:trHeight w:val="156"/>
        </w:trPr>
        <w:tc>
          <w:tcPr>
            <w:tcW w:w="64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Asset impairment charges</w:t>
            </w:r>
          </w:p>
        </w:tc>
        <w:tc>
          <w:tcPr>
            <w:tcW w:w="1000" w:type="dxa"/>
            <w:vAlign w:val="bottom"/>
          </w:tcPr>
          <w:p>
            <w:pPr>
              <w:spacing w:after="0"/>
              <w:rPr>
                <w:sz w:val="13"/>
                <w:szCs w:val="13"/>
                <w:color w:val="auto"/>
              </w:rPr>
            </w:pP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386.7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66.7</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w:t>
            </w:r>
          </w:p>
        </w:tc>
      </w:tr>
      <w:tr>
        <w:trPr>
          <w:trHeight w:val="168"/>
        </w:trPr>
        <w:tc>
          <w:tcPr>
            <w:tcW w:w="6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Catastrophic event-related impairment</w:t>
            </w: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23.6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w:t>
            </w:r>
          </w:p>
        </w:tc>
      </w:tr>
      <w:tr>
        <w:trPr>
          <w:trHeight w:val="156"/>
        </w:trPr>
        <w:tc>
          <w:tcPr>
            <w:tcW w:w="64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Goodwill impairment charges (See Note 5)</w:t>
            </w:r>
          </w:p>
        </w:tc>
        <w:tc>
          <w:tcPr>
            <w:tcW w:w="100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4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180.8</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369.9</w:t>
            </w:r>
          </w:p>
        </w:tc>
      </w:tr>
      <w:tr>
        <w:trPr>
          <w:trHeight w:val="168"/>
        </w:trPr>
        <w:tc>
          <w:tcPr>
            <w:tcW w:w="6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Share-based compensation</w:t>
            </w: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37.4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33.1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35.1</w:t>
            </w:r>
          </w:p>
        </w:tc>
      </w:tr>
      <w:tr>
        <w:trPr>
          <w:trHeight w:val="156"/>
        </w:trPr>
        <w:tc>
          <w:tcPr>
            <w:tcW w:w="64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000" w:type="dxa"/>
            <w:vAlign w:val="bottom"/>
          </w:tcPr>
          <w:p>
            <w:pPr>
              <w:spacing w:after="0"/>
              <w:rPr>
                <w:sz w:val="13"/>
                <w:szCs w:val="13"/>
                <w:color w:val="auto"/>
              </w:rPr>
            </w:pP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507.9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490.5</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494.1</w:t>
            </w:r>
          </w:p>
        </w:tc>
      </w:tr>
      <w:tr>
        <w:trPr>
          <w:trHeight w:val="168"/>
        </w:trPr>
        <w:tc>
          <w:tcPr>
            <w:tcW w:w="6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Deferred tax benefit (see Note 11)</w:t>
            </w: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(22.9)</w:t>
            </w:r>
          </w:p>
        </w:tc>
      </w:tr>
      <w:tr>
        <w:trPr>
          <w:trHeight w:val="156"/>
        </w:trPr>
        <w:tc>
          <w:tcPr>
            <w:tcW w:w="64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Loss on extinguishment of debt (see Note 7)</w:t>
            </w:r>
          </w:p>
        </w:tc>
        <w:tc>
          <w:tcPr>
            <w:tcW w:w="1000" w:type="dxa"/>
            <w:vAlign w:val="bottom"/>
          </w:tcPr>
          <w:p>
            <w:pPr>
              <w:spacing w:after="0"/>
              <w:rPr>
                <w:sz w:val="13"/>
                <w:szCs w:val="13"/>
                <w:color w:val="auto"/>
              </w:rPr>
            </w:pP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104.0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8"/>
        </w:trPr>
        <w:tc>
          <w:tcPr>
            <w:tcW w:w="6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Loss on remeasurement of notes receivable (see Note 4)</w:t>
            </w: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36.4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106.7</w:t>
            </w:r>
          </w:p>
        </w:tc>
      </w:tr>
      <w:tr>
        <w:trPr>
          <w:trHeight w:val="156"/>
        </w:trPr>
        <w:tc>
          <w:tcPr>
            <w:tcW w:w="64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Gain on insurance proceeds related to property damage</w:t>
            </w:r>
          </w:p>
        </w:tc>
        <w:tc>
          <w:tcPr>
            <w:tcW w:w="10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8"/>
        </w:trPr>
        <w:tc>
          <w:tcPr>
            <w:tcW w:w="6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Gain on early lease termination</w:t>
            </w: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w:t>
            </w:r>
          </w:p>
        </w:tc>
      </w:tr>
      <w:tr>
        <w:trPr>
          <w:trHeight w:val="156"/>
        </w:trPr>
        <w:tc>
          <w:tcPr>
            <w:tcW w:w="64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Other, net</w:t>
            </w:r>
          </w:p>
        </w:tc>
        <w:tc>
          <w:tcPr>
            <w:tcW w:w="10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(26.1)</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w:t>
            </w:r>
          </w:p>
        </w:tc>
      </w:tr>
      <w:tr>
        <w:trPr>
          <w:trHeight w:val="168"/>
        </w:trPr>
        <w:tc>
          <w:tcPr>
            <w:tcW w:w="6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Change in notes receivable from financed sales of inventory homes, net of repayments</w:t>
            </w: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w:t>
            </w:r>
          </w:p>
        </w:tc>
      </w:tr>
      <w:tr>
        <w:trPr>
          <w:trHeight w:val="156"/>
        </w:trPr>
        <w:tc>
          <w:tcPr>
            <w:tcW w:w="64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Change in inventory, other assets and other receivables, net</w:t>
            </w:r>
          </w:p>
        </w:tc>
        <w:tc>
          <w:tcPr>
            <w:tcW w:w="1000" w:type="dxa"/>
            <w:vAlign w:val="bottom"/>
          </w:tcPr>
          <w:p>
            <w:pPr>
              <w:spacing w:after="0"/>
              <w:rPr>
                <w:sz w:val="13"/>
                <w:szCs w:val="13"/>
                <w:color w:val="auto"/>
              </w:rPr>
            </w:pP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146.3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26.9</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(117.6)</w:t>
            </w:r>
          </w:p>
        </w:tc>
      </w:tr>
      <w:tr>
        <w:trPr>
          <w:trHeight w:val="168"/>
        </w:trPr>
        <w:tc>
          <w:tcPr>
            <w:tcW w:w="6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Change in other liabilities</w:t>
            </w:r>
          </w:p>
        </w:tc>
        <w:tc>
          <w:tcPr>
            <w:tcW w:w="10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(124.6)</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35.6</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w:t>
            </w:r>
          </w:p>
        </w:tc>
      </w:tr>
      <w:tr>
        <w:trPr>
          <w:trHeight w:val="147"/>
        </w:trPr>
        <w:tc>
          <w:tcPr>
            <w:tcW w:w="64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Net cash provided by operating activities - continuing operations</w:t>
            </w:r>
          </w:p>
        </w:tc>
        <w:tc>
          <w:tcPr>
            <w:tcW w:w="1000" w:type="dxa"/>
            <w:vAlign w:val="bottom"/>
          </w:tcPr>
          <w:p>
            <w:pPr>
              <w:spacing w:after="0"/>
              <w:rPr>
                <w:sz w:val="12"/>
                <w:szCs w:val="12"/>
                <w:color w:val="auto"/>
              </w:rPr>
            </w:pP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808.0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610.3</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549.9</w:t>
            </w:r>
          </w:p>
        </w:tc>
      </w:tr>
      <w:tr>
        <w:trPr>
          <w:trHeight w:val="168"/>
        </w:trPr>
        <w:tc>
          <w:tcPr>
            <w:tcW w:w="6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Net cash provided by operating activities - discontinued operations</w:t>
            </w:r>
          </w:p>
        </w:tc>
        <w:tc>
          <w:tcPr>
            <w:tcW w:w="10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56.2</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250.7</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240.6</w:t>
            </w:r>
          </w:p>
        </w:tc>
      </w:tr>
      <w:tr>
        <w:trPr>
          <w:trHeight w:val="147"/>
        </w:trPr>
        <w:tc>
          <w:tcPr>
            <w:tcW w:w="64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2"/>
                <w:szCs w:val="12"/>
                <w:b w:val="1"/>
                <w:bCs w:val="1"/>
                <w:color w:val="auto"/>
              </w:rPr>
              <w:t>Net Cash Provided By Operating Activities</w:t>
            </w:r>
          </w:p>
        </w:tc>
        <w:tc>
          <w:tcPr>
            <w:tcW w:w="10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864.2</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861.0</w:t>
            </w: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790.5</w:t>
            </w:r>
          </w:p>
        </w:tc>
      </w:tr>
      <w:tr>
        <w:trPr>
          <w:trHeight w:val="148"/>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Investing Activities</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56"/>
        </w:trPr>
        <w:tc>
          <w:tcPr>
            <w:tcW w:w="64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Investment in properties</w:t>
            </w:r>
          </w:p>
        </w:tc>
        <w:tc>
          <w:tcPr>
            <w:tcW w:w="10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(460.9)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(469.6)</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(786.4)</w:t>
            </w:r>
          </w:p>
        </w:tc>
      </w:tr>
      <w:tr>
        <w:trPr>
          <w:trHeight w:val="168"/>
        </w:trPr>
        <w:tc>
          <w:tcPr>
            <w:tcW w:w="6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Acquisitions, net of cash acquired</w:t>
            </w: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(461.7)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(47.2)</w:t>
            </w:r>
          </w:p>
        </w:tc>
      </w:tr>
      <w:tr>
        <w:trPr>
          <w:trHeight w:val="156"/>
        </w:trPr>
        <w:tc>
          <w:tcPr>
            <w:tcW w:w="64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Proceeds from insurance</w:t>
            </w:r>
          </w:p>
        </w:tc>
        <w:tc>
          <w:tcPr>
            <w:tcW w:w="1000" w:type="dxa"/>
            <w:vAlign w:val="bottom"/>
          </w:tcPr>
          <w:p>
            <w:pPr>
              <w:spacing w:after="0"/>
              <w:rPr>
                <w:sz w:val="13"/>
                <w:szCs w:val="13"/>
                <w:color w:val="auto"/>
              </w:rPr>
            </w:pP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43.7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2.4</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w:t>
            </w:r>
          </w:p>
        </w:tc>
      </w:tr>
      <w:tr>
        <w:trPr>
          <w:trHeight w:val="168"/>
        </w:trPr>
        <w:tc>
          <w:tcPr>
            <w:tcW w:w="6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Proceeds from disposition of assets and depreciated homes, net</w:t>
            </w: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21.1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59.7</w:t>
            </w:r>
          </w:p>
        </w:tc>
      </w:tr>
      <w:tr>
        <w:trPr>
          <w:trHeight w:val="156"/>
        </w:trPr>
        <w:tc>
          <w:tcPr>
            <w:tcW w:w="64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Proceeds related to disposition of properties</w:t>
            </w:r>
          </w:p>
        </w:tc>
        <w:tc>
          <w:tcPr>
            <w:tcW w:w="1000" w:type="dxa"/>
            <w:vAlign w:val="bottom"/>
          </w:tcPr>
          <w:p>
            <w:pPr>
              <w:spacing w:after="0"/>
              <w:rPr>
                <w:sz w:val="13"/>
                <w:szCs w:val="13"/>
                <w:color w:val="auto"/>
              </w:rPr>
            </w:pP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161.9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421.8</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w:t>
            </w:r>
          </w:p>
        </w:tc>
      </w:tr>
      <w:tr>
        <w:trPr>
          <w:trHeight w:val="168"/>
        </w:trPr>
        <w:tc>
          <w:tcPr>
            <w:tcW w:w="6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Repayments of notes and other receivables</w:t>
            </w: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86.6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w:t>
            </w:r>
          </w:p>
        </w:tc>
      </w:tr>
      <w:tr>
        <w:trPr>
          <w:trHeight w:val="156"/>
        </w:trPr>
        <w:tc>
          <w:tcPr>
            <w:tcW w:w="64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Proceeds from sale of marketable securities</w:t>
            </w:r>
          </w:p>
        </w:tc>
        <w:tc>
          <w:tcPr>
            <w:tcW w:w="100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103.6</w:t>
            </w:r>
          </w:p>
        </w:tc>
      </w:tr>
      <w:tr>
        <w:trPr>
          <w:trHeight w:val="168"/>
        </w:trPr>
        <w:tc>
          <w:tcPr>
            <w:tcW w:w="6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Investments in nonconsolidated affiliates</w:t>
            </w: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(39.5)</w:t>
            </w:r>
          </w:p>
        </w:tc>
      </w:tr>
      <w:tr>
        <w:trPr>
          <w:trHeight w:val="156"/>
        </w:trPr>
        <w:tc>
          <w:tcPr>
            <w:tcW w:w="64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2"/>
                <w:szCs w:val="12"/>
                <w:color w:val="auto"/>
              </w:rPr>
              <w:t>Other investing activities</w:t>
            </w:r>
          </w:p>
        </w:tc>
        <w:tc>
          <w:tcPr>
            <w:tcW w:w="10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11.5</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18.4</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(19.4)</w:t>
            </w:r>
          </w:p>
        </w:tc>
      </w:tr>
      <w:tr>
        <w:trPr>
          <w:trHeight w:val="160"/>
        </w:trPr>
        <w:tc>
          <w:tcPr>
            <w:tcW w:w="6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Net cash used for investing activities - continuing operations</w:t>
            </w:r>
          </w:p>
        </w:tc>
        <w:tc>
          <w:tcPr>
            <w:tcW w:w="10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(602.9)</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(42.6)</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(700.5)</w:t>
            </w:r>
          </w:p>
        </w:tc>
      </w:tr>
      <w:tr>
        <w:trPr>
          <w:trHeight w:val="156"/>
        </w:trPr>
        <w:tc>
          <w:tcPr>
            <w:tcW w:w="64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2"/>
                <w:szCs w:val="12"/>
                <w:color w:val="auto"/>
              </w:rPr>
              <w:t>Net cash provided by / (used for) investing activities - discontinued operations</w:t>
            </w:r>
          </w:p>
        </w:tc>
        <w:tc>
          <w:tcPr>
            <w:tcW w:w="10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5,528.7</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(224.8)</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(219.0)</w:t>
            </w:r>
          </w:p>
        </w:tc>
      </w:tr>
      <w:tr>
        <w:trPr>
          <w:trHeight w:val="160"/>
        </w:trPr>
        <w:tc>
          <w:tcPr>
            <w:tcW w:w="6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b w:val="1"/>
                <w:bCs w:val="1"/>
                <w:color w:val="auto"/>
              </w:rPr>
              <w:t>Net Cash Provided By / (Used For) Investing Activities</w:t>
            </w:r>
          </w:p>
        </w:tc>
        <w:tc>
          <w:tcPr>
            <w:tcW w:w="10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4,925.8</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(267.4)</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(919.5)</w:t>
            </w:r>
          </w:p>
        </w:tc>
      </w:tr>
      <w:tr>
        <w:trPr>
          <w:trHeight w:val="137"/>
        </w:trPr>
        <w:tc>
          <w:tcPr>
            <w:tcW w:w="6400" w:type="dxa"/>
            <w:vAlign w:val="bottom"/>
          </w:tcPr>
          <w:p>
            <w:pPr>
              <w:ind w:left="20"/>
              <w:spacing w:after="0" w:line="132" w:lineRule="exact"/>
              <w:rPr>
                <w:sz w:val="20"/>
                <w:szCs w:val="20"/>
                <w:color w:val="auto"/>
              </w:rPr>
            </w:pPr>
            <w:r>
              <w:rPr>
                <w:rFonts w:ascii="Times New Roman" w:cs="Times New Roman" w:eastAsia="Times New Roman" w:hAnsi="Times New Roman"/>
                <w:sz w:val="12"/>
                <w:szCs w:val="12"/>
                <w:b w:val="1"/>
                <w:bCs w:val="1"/>
                <w:color w:val="auto"/>
              </w:rPr>
              <w:t>Financing Activities</w:t>
            </w: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168"/>
        </w:trPr>
        <w:tc>
          <w:tcPr>
            <w:tcW w:w="6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Issuance and costs of common stock, OP units and preferred OP units, net</w:t>
            </w: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361.1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w:t>
            </w:r>
          </w:p>
        </w:tc>
      </w:tr>
      <w:tr>
        <w:trPr>
          <w:trHeight w:val="156"/>
        </w:trPr>
        <w:tc>
          <w:tcPr>
            <w:tcW w:w="64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Common stock withheld to satisfy income tax obligations related to vesting of restricted stock</w:t>
            </w:r>
          </w:p>
        </w:tc>
        <w:tc>
          <w:tcPr>
            <w:tcW w:w="10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w:t>
            </w:r>
          </w:p>
        </w:tc>
      </w:tr>
      <w:tr>
        <w:trPr>
          <w:trHeight w:val="168"/>
        </w:trPr>
        <w:tc>
          <w:tcPr>
            <w:tcW w:w="6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Repurchases of common stock</w:t>
            </w: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(539.1)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6"/>
        </w:trPr>
        <w:tc>
          <w:tcPr>
            <w:tcW w:w="64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Borrowings on lines of credit</w:t>
            </w:r>
          </w:p>
        </w:tc>
        <w:tc>
          <w:tcPr>
            <w:tcW w:w="1000" w:type="dxa"/>
            <w:vAlign w:val="bottom"/>
          </w:tcPr>
          <w:p>
            <w:pPr>
              <w:spacing w:after="0"/>
              <w:rPr>
                <w:sz w:val="13"/>
                <w:szCs w:val="13"/>
                <w:color w:val="auto"/>
              </w:rPr>
            </w:pP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624.5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2,630.7</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1,635.0</w:t>
            </w:r>
          </w:p>
        </w:tc>
      </w:tr>
      <w:tr>
        <w:trPr>
          <w:trHeight w:val="168"/>
        </w:trPr>
        <w:tc>
          <w:tcPr>
            <w:tcW w:w="6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Payments on lines of credit</w:t>
            </w: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(2,106.5)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(3,286.3)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(1,775.6)</w:t>
            </w:r>
          </w:p>
        </w:tc>
      </w:tr>
      <w:tr>
        <w:trPr>
          <w:trHeight w:val="156"/>
        </w:trPr>
        <w:tc>
          <w:tcPr>
            <w:tcW w:w="64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Proceeds from secured borrowing</w:t>
            </w:r>
          </w:p>
        </w:tc>
        <w:tc>
          <w:tcPr>
            <w:tcW w:w="100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53.4</w:t>
            </w:r>
          </w:p>
        </w:tc>
      </w:tr>
      <w:tr>
        <w:trPr>
          <w:trHeight w:val="168"/>
        </w:trPr>
        <w:tc>
          <w:tcPr>
            <w:tcW w:w="6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Proceeds from issuance of other debt</w:t>
            </w:r>
          </w:p>
        </w:tc>
        <w:tc>
          <w:tcPr>
            <w:tcW w:w="10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499.8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835.7</w:t>
            </w:r>
          </w:p>
        </w:tc>
      </w:tr>
      <w:tr>
        <w:trPr>
          <w:trHeight w:val="156"/>
        </w:trPr>
        <w:tc>
          <w:tcPr>
            <w:tcW w:w="64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Payments on other debt</w:t>
            </w:r>
          </w:p>
        </w:tc>
        <w:tc>
          <w:tcPr>
            <w:tcW w:w="10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(2,093.3)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(269.2)</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(174.2)</w:t>
            </w:r>
          </w:p>
        </w:tc>
      </w:tr>
      <w:tr>
        <w:trPr>
          <w:trHeight w:val="168"/>
        </w:trPr>
        <w:tc>
          <w:tcPr>
            <w:tcW w:w="6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Distributions</w:t>
            </w: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(1,044.3)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(491.4)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(475.2)</w:t>
            </w:r>
          </w:p>
        </w:tc>
      </w:tr>
      <w:tr>
        <w:trPr>
          <w:trHeight w:val="156"/>
        </w:trPr>
        <w:tc>
          <w:tcPr>
            <w:tcW w:w="64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Net capital transfer from consolidated affiliates</w:t>
            </w:r>
          </w:p>
        </w:tc>
        <w:tc>
          <w:tcPr>
            <w:tcW w:w="1000" w:type="dxa"/>
            <w:vAlign w:val="bottom"/>
          </w:tcPr>
          <w:p>
            <w:pPr>
              <w:spacing w:after="0"/>
              <w:rPr>
                <w:sz w:val="13"/>
                <w:szCs w:val="13"/>
                <w:color w:val="auto"/>
              </w:rPr>
            </w:pP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5,557.2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21.0</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20.4</w:t>
            </w:r>
          </w:p>
        </w:tc>
      </w:tr>
      <w:tr>
        <w:trPr>
          <w:trHeight w:val="168"/>
        </w:trPr>
        <w:tc>
          <w:tcPr>
            <w:tcW w:w="6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Other Financing Activities</w:t>
            </w:r>
          </w:p>
        </w:tc>
        <w:tc>
          <w:tcPr>
            <w:tcW w:w="10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w:t>
            </w:r>
          </w:p>
        </w:tc>
      </w:tr>
      <w:tr>
        <w:trPr>
          <w:trHeight w:val="147"/>
        </w:trPr>
        <w:tc>
          <w:tcPr>
            <w:tcW w:w="64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Net cash provided by / (used for) financing activities - continuing operations</w:t>
            </w:r>
          </w:p>
        </w:tc>
        <w:tc>
          <w:tcPr>
            <w:tcW w:w="1000" w:type="dxa"/>
            <w:vAlign w:val="bottom"/>
          </w:tcPr>
          <w:p>
            <w:pPr>
              <w:spacing w:after="0"/>
              <w:rPr>
                <w:sz w:val="12"/>
                <w:szCs w:val="12"/>
                <w:color w:val="auto"/>
              </w:rPr>
            </w:pP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372.2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(547.3)</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103.5</w:t>
            </w:r>
          </w:p>
        </w:tc>
      </w:tr>
      <w:tr>
        <w:trPr>
          <w:trHeight w:val="168"/>
        </w:trPr>
        <w:tc>
          <w:tcPr>
            <w:tcW w:w="6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Net cash used for financing activities - discontinued operations</w:t>
            </w:r>
          </w:p>
        </w:tc>
        <w:tc>
          <w:tcPr>
            <w:tcW w:w="10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(5,591.6)</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(24.3)</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(23.2)</w:t>
            </w:r>
          </w:p>
        </w:tc>
      </w:tr>
      <w:tr>
        <w:trPr>
          <w:trHeight w:val="147"/>
        </w:trPr>
        <w:tc>
          <w:tcPr>
            <w:tcW w:w="64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2"/>
                <w:szCs w:val="12"/>
                <w:b w:val="1"/>
                <w:bCs w:val="1"/>
                <w:color w:val="auto"/>
              </w:rPr>
              <w:t>Net Cash Provided By / (Used For) Financing Activities</w:t>
            </w:r>
          </w:p>
        </w:tc>
        <w:tc>
          <w:tcPr>
            <w:tcW w:w="10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(5,219.4)</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(571.6)</w:t>
            </w: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80.3</w:t>
            </w:r>
          </w:p>
        </w:tc>
      </w:tr>
      <w:tr>
        <w:trPr>
          <w:trHeight w:val="16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Effect of exchange rate changes on cash, cash equivalents and restricted cash</w:t>
            </w:r>
          </w:p>
        </w:tc>
        <w:tc>
          <w:tcPr>
            <w:tcW w:w="10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r>
      <w:tr>
        <w:trPr>
          <w:trHeight w:val="147"/>
        </w:trPr>
        <w:tc>
          <w:tcPr>
            <w:tcW w:w="6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change in cash, cash equivalents and restricted cash</w:t>
            </w:r>
          </w:p>
        </w:tc>
        <w:tc>
          <w:tcPr>
            <w:tcW w:w="1000" w:type="dxa"/>
            <w:vAlign w:val="bottom"/>
          </w:tcPr>
          <w:p>
            <w:pPr>
              <w:spacing w:after="0"/>
              <w:rPr>
                <w:sz w:val="12"/>
                <w:szCs w:val="12"/>
                <w:color w:val="auto"/>
              </w:rPr>
            </w:pP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572.2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21.2</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(47.7)</w:t>
            </w:r>
          </w:p>
        </w:tc>
      </w:tr>
      <w:tr>
        <w:trPr>
          <w:trHeight w:val="168"/>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Cash, cash equivalents and restricted cash, beginning of period</w:t>
            </w:r>
          </w:p>
        </w:tc>
        <w:tc>
          <w:tcPr>
            <w:tcW w:w="10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63.9</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42.7</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90.4</w:t>
            </w:r>
          </w:p>
        </w:tc>
      </w:tr>
      <w:tr>
        <w:trPr>
          <w:trHeight w:val="147"/>
        </w:trPr>
        <w:tc>
          <w:tcPr>
            <w:tcW w:w="6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Cash, cash equivalents and restricted cash, end of period</w:t>
            </w:r>
          </w:p>
        </w:tc>
        <w:tc>
          <w:tcPr>
            <w:tcW w:w="1000" w:type="dxa"/>
            <w:vAlign w:val="bottom"/>
          </w:tcPr>
          <w:p>
            <w:pPr>
              <w:spacing w:after="0"/>
              <w:rPr>
                <w:sz w:val="12"/>
                <w:szCs w:val="12"/>
                <w:color w:val="auto"/>
              </w:rPr>
            </w:pP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636.1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63.9</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42.7</w:t>
            </w:r>
          </w:p>
        </w:tc>
      </w:tr>
      <w:tr>
        <w:trPr>
          <w:trHeight w:val="162"/>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Less: Cash, cash equivalents and restricted cash - discontinued operations</w:t>
            </w:r>
          </w:p>
        </w:tc>
        <w:tc>
          <w:tcPr>
            <w:tcW w:w="10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w:t>
            </w:r>
          </w:p>
        </w:tc>
      </w:tr>
      <w:tr>
        <w:trPr>
          <w:trHeight w:val="160"/>
        </w:trPr>
        <w:tc>
          <w:tcPr>
            <w:tcW w:w="64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Cash, Cash Equivalents and Restricted Cash - Continuing Operations</w:t>
            </w:r>
          </w:p>
        </w:tc>
        <w:tc>
          <w:tcPr>
            <w:tcW w:w="1000" w:type="dxa"/>
            <w:vAlign w:val="bottom"/>
            <w:tcBorders>
              <w:top w:val="single" w:sz="8" w:color="auto"/>
              <w:bottom w:val="single" w:sz="8" w:color="auto"/>
            </w:tcBorders>
          </w:tcPr>
          <w:p>
            <w:pPr>
              <w:jc w:val="right"/>
              <w:ind w:right="862"/>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636.1</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57.1</w:t>
            </w:r>
          </w:p>
        </w:tc>
        <w:tc>
          <w:tcPr>
            <w:tcW w:w="10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0"/>
                <w:szCs w:val="10"/>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36.3</w:t>
            </w:r>
          </w:p>
        </w:tc>
      </w:tr>
      <w:tr>
        <w:trPr>
          <w:trHeight w:val="20"/>
        </w:trPr>
        <w:tc>
          <w:tcPr>
            <w:tcW w:w="6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928"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57"/>
        </w:trPr>
        <w:tc>
          <w:tcPr>
            <w:tcW w:w="64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r>
      <w:tr>
        <w:trPr>
          <w:trHeight w:val="151"/>
        </w:trPr>
        <w:tc>
          <w:tcPr>
            <w:tcW w:w="64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44"/>
        </w:trPr>
        <w:tc>
          <w:tcPr>
            <w:tcW w:w="64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Supplemental Information</w:t>
            </w: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68"/>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Cash paid for interest (net of capitalized interest of $3.5, $8.6, and $12.9, respectively)</w:t>
            </w:r>
          </w:p>
        </w:tc>
        <w:tc>
          <w:tcPr>
            <w:tcW w:w="380" w:type="dxa"/>
            <w:vAlign w:val="bottom"/>
            <w:shd w:val="clear" w:color="auto" w:fill="CCEEFF"/>
          </w:tcPr>
          <w:p>
            <w:pPr>
              <w:jc w:val="right"/>
              <w:ind w:right="242"/>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245.9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342.2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0"/>
                <w:szCs w:val="10"/>
                <w:color w:val="auto"/>
                <w:w w:val="7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326.7</w:t>
            </w:r>
          </w:p>
        </w:tc>
      </w:tr>
      <w:tr>
        <w:trPr>
          <w:trHeight w:val="157"/>
        </w:trPr>
        <w:tc>
          <w:tcPr>
            <w:tcW w:w="64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Noncash Investing and Financing Activities</w:t>
            </w: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68"/>
        </w:trPr>
        <w:tc>
          <w:tcPr>
            <w:tcW w:w="6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Change in distributions declared and outstanding</w:t>
            </w:r>
          </w:p>
        </w:tc>
        <w:tc>
          <w:tcPr>
            <w:tcW w:w="380" w:type="dxa"/>
            <w:vAlign w:val="bottom"/>
            <w:shd w:val="clear" w:color="auto" w:fill="CCEEFF"/>
          </w:tcPr>
          <w:p>
            <w:pPr>
              <w:jc w:val="right"/>
              <w:ind w:right="242"/>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0"/>
                <w:szCs w:val="10"/>
                <w:color w:val="auto"/>
                <w:w w:val="7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w:t>
            </w:r>
          </w:p>
        </w:tc>
      </w:tr>
      <w:tr>
        <w:trPr>
          <w:trHeight w:val="156"/>
        </w:trPr>
        <w:tc>
          <w:tcPr>
            <w:tcW w:w="64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Reduction in note receivable balance in exchange for redemption of preferred OP units</w:t>
            </w:r>
          </w:p>
        </w:tc>
        <w:tc>
          <w:tcPr>
            <w:tcW w:w="380" w:type="dxa"/>
            <w:vAlign w:val="bottom"/>
          </w:tcPr>
          <w:p>
            <w:pPr>
              <w:jc w:val="right"/>
              <w:ind w:right="242"/>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23.8</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jc w:val="right"/>
              <w:ind w:right="248"/>
              <w:spacing w:after="0"/>
              <w:rPr>
                <w:sz w:val="20"/>
                <w:szCs w:val="20"/>
                <w:color w:val="auto"/>
              </w:rPr>
            </w:pPr>
            <w:r>
              <w:rPr>
                <w:rFonts w:ascii="Times New Roman" w:cs="Times New Roman" w:eastAsia="Times New Roman" w:hAnsi="Times New Roman"/>
                <w:sz w:val="10"/>
                <w:szCs w:val="10"/>
                <w:color w:val="auto"/>
                <w:w w:val="7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8"/>
        </w:trPr>
        <w:tc>
          <w:tcPr>
            <w:tcW w:w="6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Release of note receivable and accrued interest in relation to acquisition of real estate collateral</w:t>
            </w:r>
          </w:p>
        </w:tc>
        <w:tc>
          <w:tcPr>
            <w:tcW w:w="380" w:type="dxa"/>
            <w:vAlign w:val="bottom"/>
            <w:shd w:val="clear" w:color="auto" w:fill="CCEEFF"/>
          </w:tcPr>
          <w:p>
            <w:pPr>
              <w:jc w:val="right"/>
              <w:ind w:right="242"/>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0"/>
                <w:szCs w:val="10"/>
                <w:color w:val="auto"/>
                <w:w w:val="7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263.8</w:t>
            </w:r>
          </w:p>
        </w:tc>
      </w:tr>
      <w:tr>
        <w:trPr>
          <w:trHeight w:val="156"/>
        </w:trPr>
        <w:tc>
          <w:tcPr>
            <w:tcW w:w="64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Issuance of notes and other receivables in relation to disposition of properties</w:t>
            </w:r>
          </w:p>
        </w:tc>
        <w:tc>
          <w:tcPr>
            <w:tcW w:w="380" w:type="dxa"/>
            <w:vAlign w:val="bottom"/>
          </w:tcPr>
          <w:p>
            <w:pPr>
              <w:jc w:val="right"/>
              <w:ind w:right="242"/>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42.4</w:t>
            </w:r>
          </w:p>
        </w:tc>
        <w:tc>
          <w:tcPr>
            <w:tcW w:w="100" w:type="dxa"/>
            <w:vAlign w:val="bottom"/>
          </w:tcPr>
          <w:p>
            <w:pPr>
              <w:spacing w:after="0"/>
              <w:rPr>
                <w:sz w:val="13"/>
                <w:szCs w:val="13"/>
                <w:color w:val="auto"/>
              </w:rPr>
            </w:pPr>
          </w:p>
        </w:tc>
        <w:tc>
          <w:tcPr>
            <w:tcW w:w="360" w:type="dxa"/>
            <w:vAlign w:val="bottom"/>
          </w:tcPr>
          <w:p>
            <w:pPr>
              <w:jc w:val="right"/>
              <w:ind w:right="248"/>
              <w:spacing w:after="0"/>
              <w:rPr>
                <w:sz w:val="20"/>
                <w:szCs w:val="20"/>
                <w:color w:val="auto"/>
              </w:rPr>
            </w:pPr>
            <w:r>
              <w:rPr>
                <w:rFonts w:ascii="Times New Roman" w:cs="Times New Roman" w:eastAsia="Times New Roman" w:hAnsi="Times New Roman"/>
                <w:sz w:val="10"/>
                <w:szCs w:val="10"/>
                <w:color w:val="auto"/>
                <w:w w:val="7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111.2</w:t>
            </w:r>
          </w:p>
        </w:tc>
      </w:tr>
      <w:tr>
        <w:trPr>
          <w:trHeight w:val="168"/>
        </w:trPr>
        <w:tc>
          <w:tcPr>
            <w:tcW w:w="6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Properties transferred in exchange for noncontrolling interests</w:t>
            </w:r>
          </w:p>
        </w:tc>
        <w:tc>
          <w:tcPr>
            <w:tcW w:w="380" w:type="dxa"/>
            <w:vAlign w:val="bottom"/>
            <w:shd w:val="clear" w:color="auto" w:fill="CCEEFF"/>
          </w:tcPr>
          <w:p>
            <w:pPr>
              <w:jc w:val="right"/>
              <w:ind w:right="242"/>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0"/>
                <w:szCs w:val="10"/>
                <w:color w:val="auto"/>
                <w:w w:val="7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159.2</w:t>
            </w:r>
          </w:p>
        </w:tc>
      </w:tr>
      <w:tr>
        <w:trPr>
          <w:trHeight w:val="156"/>
        </w:trPr>
        <w:tc>
          <w:tcPr>
            <w:tcW w:w="64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Equity interest and note receivable transferred in exchange for noncontrolling interests</w:t>
            </w:r>
          </w:p>
        </w:tc>
        <w:tc>
          <w:tcPr>
            <w:tcW w:w="380" w:type="dxa"/>
            <w:vAlign w:val="bottom"/>
          </w:tcPr>
          <w:p>
            <w:pPr>
              <w:jc w:val="right"/>
              <w:ind w:right="242"/>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jc w:val="right"/>
              <w:ind w:right="248"/>
              <w:spacing w:after="0"/>
              <w:rPr>
                <w:sz w:val="20"/>
                <w:szCs w:val="20"/>
                <w:color w:val="auto"/>
              </w:rPr>
            </w:pPr>
            <w:r>
              <w:rPr>
                <w:rFonts w:ascii="Times New Roman" w:cs="Times New Roman" w:eastAsia="Times New Roman" w:hAnsi="Times New Roman"/>
                <w:sz w:val="10"/>
                <w:szCs w:val="10"/>
                <w:color w:val="auto"/>
                <w:w w:val="7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27.5</w:t>
            </w:r>
          </w:p>
        </w:tc>
      </w:tr>
      <w:tr>
        <w:trPr>
          <w:trHeight w:val="168"/>
        </w:trPr>
        <w:tc>
          <w:tcPr>
            <w:tcW w:w="6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Settlement of preferred equity interests in connection with exchange for noncontrolling interests</w:t>
            </w:r>
          </w:p>
        </w:tc>
        <w:tc>
          <w:tcPr>
            <w:tcW w:w="380" w:type="dxa"/>
            <w:vAlign w:val="bottom"/>
            <w:shd w:val="clear" w:color="auto" w:fill="CCEEFF"/>
          </w:tcPr>
          <w:p>
            <w:pPr>
              <w:jc w:val="right"/>
              <w:ind w:right="242"/>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0"/>
                <w:szCs w:val="10"/>
                <w:color w:val="auto"/>
                <w:w w:val="7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39.1</w:t>
            </w:r>
          </w:p>
        </w:tc>
      </w:tr>
      <w:tr>
        <w:trPr>
          <w:trHeight w:val="157"/>
        </w:trPr>
        <w:tc>
          <w:tcPr>
            <w:tcW w:w="64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Noncash Investing and Financing Activities at the Date of Acquisition</w:t>
            </w: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68"/>
        </w:trPr>
        <w:tc>
          <w:tcPr>
            <w:tcW w:w="6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Acquisitions - Common stock and OP units issued</w:t>
            </w:r>
          </w:p>
        </w:tc>
        <w:tc>
          <w:tcPr>
            <w:tcW w:w="380" w:type="dxa"/>
            <w:vAlign w:val="bottom"/>
            <w:shd w:val="clear" w:color="auto" w:fill="CCEEFF"/>
          </w:tcPr>
          <w:p>
            <w:pPr>
              <w:jc w:val="right"/>
              <w:ind w:right="242"/>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35.9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0"/>
                <w:szCs w:val="10"/>
                <w:color w:val="auto"/>
                <w:w w:val="7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w:t>
            </w:r>
          </w:p>
        </w:tc>
      </w:tr>
      <w:tr>
        <w:trPr>
          <w:trHeight w:val="150"/>
        </w:trPr>
        <w:tc>
          <w:tcPr>
            <w:tcW w:w="64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Acquisitions - Series K preferred interest</w:t>
            </w:r>
          </w:p>
        </w:tc>
        <w:tc>
          <w:tcPr>
            <w:tcW w:w="380" w:type="dxa"/>
            <w:vAlign w:val="bottom"/>
          </w:tcPr>
          <w:p>
            <w:pPr>
              <w:jc w:val="right"/>
              <w:ind w:right="242"/>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jc w:val="right"/>
              <w:ind w:right="248"/>
              <w:spacing w:after="0"/>
              <w:rPr>
                <w:sz w:val="20"/>
                <w:szCs w:val="20"/>
                <w:color w:val="auto"/>
              </w:rPr>
            </w:pPr>
            <w:r>
              <w:rPr>
                <w:rFonts w:ascii="Times New Roman" w:cs="Times New Roman" w:eastAsia="Times New Roman" w:hAnsi="Times New Roman"/>
                <w:sz w:val="10"/>
                <w:szCs w:val="10"/>
                <w:color w:val="auto"/>
                <w:w w:val="7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100.6</w:t>
            </w:r>
          </w:p>
        </w:tc>
      </w:tr>
    </w:tbl>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See accompanying Notes to Consolidated Financial Statements.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 Significant Accounting Policies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Business</w:t>
      </w:r>
    </w:p>
    <w:p>
      <w:pPr>
        <w:spacing w:after="0" w:line="10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Sun Communities, Inc., a Maryland corporation, and all wholly-owned or majority-owned and controlled subsidiaries, including Sun Communities Operating Limited Partnership, a Michigan limited partnership (the "Operating Partnership"), Sun Home Services, Inc., a Michigan corporation ("SHS"), and our Park Holidays subsidiaries and the other entities through which we operate our business in the UK are referred to herein as the "Company," "SUI," "us," "we," or "our."</w:t>
      </w:r>
    </w:p>
    <w:p>
      <w:pPr>
        <w:spacing w:after="0" w:line="5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5"/>
          <w:szCs w:val="15"/>
          <w:color w:val="auto"/>
        </w:rPr>
        <w:t>We are a fully integrated, self-administered, and self-managed REIT. As of December 31, 2025, we owned and operated, directly or indirectly, or had an interest in, a portfolio of 513 MH and RV properties located in the U.S., Canada, and the UK, including 294 MH communities, 166 RV communities, and 53 UK communities.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Principles of Consolidation</w:t>
      </w:r>
    </w:p>
    <w:p>
      <w:pPr>
        <w:spacing w:after="0" w:line="10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We consolidate our majority-owned and controlled subsidiaries and all variable interest entities with respect to which we are the primary beneficiary. We also consolidate entities in which we have a direct or indirect controlling or voting interest. All significant intercompany transactions have been eliminated in consolidation. Any subsidiaries in which we have an ownership percentage equal to or greater than 50%, but less than 100%, or are considered to be a consolidated variable interest entity ("VIE"), represent subsidiaries with a non-controlling interest. The noncontrolling interests in our subsidiaries are allocated their proportionate share of the subsidiaries' financial results. Certain reclassifications have been made to prior period financial statements and related notes in order to conform to current period presentation.</w:t>
      </w:r>
    </w:p>
    <w:p>
      <w:pPr>
        <w:spacing w:after="0" w:line="5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We consolidate the Operating Partnership under the guidance set forth in ASC 810, "</w:t>
      </w:r>
      <w:r>
        <w:rPr>
          <w:rFonts w:ascii="Times New Roman" w:cs="Times New Roman" w:eastAsia="Times New Roman" w:hAnsi="Times New Roman"/>
          <w:sz w:val="15"/>
          <w:szCs w:val="15"/>
          <w:i w:val="1"/>
          <w:iCs w:val="1"/>
          <w:color w:val="auto"/>
        </w:rPr>
        <w:t>Consolidation</w:t>
      </w:r>
      <w:r>
        <w:rPr>
          <w:rFonts w:ascii="Times New Roman" w:cs="Times New Roman" w:eastAsia="Times New Roman" w:hAnsi="Times New Roman"/>
          <w:sz w:val="15"/>
          <w:szCs w:val="15"/>
          <w:color w:val="auto"/>
        </w:rPr>
        <w:t>." We evaluated whether the Operating Partnership met the criteria for classification as a VIE or, alternatively, as a voting interest entity, and concluded that the Operating Partnership met the criteria of a VIE. Our significant asset is our investment in the Operating Partnership, and consequently, substantially all of our assets and liabilities represent those assets and liabilities of the Operating Partnership. We are the sole general partner and controlling owner of the Operating Partnership, with an ownership percentage of 95.7% as of December 31, 2025. Additionally, we have the power to direct the Operating Partnership's activities and the obligation to absorb its losses or the right to receive its benefits. Accordingly, we are the primary beneficiary, and we have continued to consolidate the Operating Partnership. Total assets, liabilities, and equity related to consolidated VIEs, with the exception of the Operating Partnership, were immaterial at December 31, 2025 and 2024, respectively.</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Use of Estimates</w:t>
      </w:r>
    </w:p>
    <w:p>
      <w:pPr>
        <w:spacing w:after="0" w:line="109"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color w:val="auto"/>
        </w:rPr>
        <w:t>The preparation of financial statements in conformity with GAAP requires management to make estimates and assumptions related to the reported amounts included in our Consolidated Financial Statements and accompanying footnotes thereto. Actual results could differ from those estimates.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Safe Harbor Sale and Discontinued Operations Presentation</w:t>
      </w:r>
    </w:p>
    <w:p>
      <w:pPr>
        <w:spacing w:after="0" w:line="10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In February 2025, we entered into the Safe Harbor Sale. During the year ended December 31, 2025, we completed the closing of the Safe Harbor Sale for total net cash proceeds of $5.5 billion and recorded a gain on sale of $1.5 billion. As a result, the results of the marina business and assets and liabilities included in the disposition are presented as held for sale and as discontinued operations through the final transaction closing date. Unless otherwise noted, the information disclosed in Note 3 through Note 19 refers only to our continuing operations and do not include discussion of balances or activity related to Safe Harbor, which is included within discontinued operations. Refer to Note 2, "Assets Held for Sale and Discontinued Operations," for additional information related to Safe Harbor and the Safe Harbor Sale.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Investment Property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Investment property is recorded at cost, less accumulated depreciation.</w:t>
      </w:r>
    </w:p>
    <w:p>
      <w:pPr>
        <w:spacing w:after="0" w:line="10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i w:val="1"/>
          <w:iCs w:val="1"/>
          <w:color w:val="auto"/>
        </w:rPr>
        <w:t xml:space="preserve">Impairment of long-lived assets </w:t>
      </w:r>
      <w:r>
        <w:rPr>
          <w:rFonts w:ascii="Times New Roman" w:cs="Times New Roman" w:eastAsia="Times New Roman" w:hAnsi="Times New Roman"/>
          <w:sz w:val="15"/>
          <w:szCs w:val="15"/>
          <w:color w:val="auto"/>
        </w:rPr>
        <w:t>- we review the carrying value of long-lived assets to be held for use for impairment quarterly or whenever events or changes in circumstances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indicate a possible impairment. Future events could occur which would cause us to conclude that impairment indicators exist, and significant adverse changes in national, regional, or local market conditions or trends may cause us to change the estimates and assumptions used in our impairment analysis. The results of an impairment analysis could be material to our financial statements. Our primary indicators for potential impairment include a reduction in projected future cash flows and deteriorating NOI trends period over period. Circumstances that may prompt a test of recoverability may include a significant decrease in the anticipated market price, an adverse change to the extent or manner in which an asset may be used or in its physical condition, or other events that may significantly change the value of the long-lived asset. Any adverse change in these factors could cause an impairment in our assets, including our investment in real estate.</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An impairment loss is recognized when a long-lived asset's carrying value is not recoverable and exceeds estimated fair value. We estimate the fair value of our long-lived assets based on discounted future cash flows and any potential disposition proceeds for a given asset. Forecasting cash flows requires management to make estimates and assumptions about such variables as the estimated holding period, rental rates, occupancy, development and operating expenses during the holding period, as well as capitalization rates. Management uses its best judgment when developing these estimates and assumptions.</w:t>
      </w:r>
    </w:p>
    <w:p>
      <w:pPr>
        <w:spacing w:after="0" w:line="57"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color w:val="auto"/>
        </w:rPr>
        <w:t>During the years ended December 31, 2025 and 2024, we recognized long-lived asset impairment charges of $386.7 million and $66.7 million, respectively. Refer to Note 14, "Fair Value Measurements," for additional information.</w:t>
      </w:r>
    </w:p>
    <w:p>
      <w:pPr>
        <w:spacing w:after="0" w:line="35"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15"/>
          <w:szCs w:val="15"/>
          <w:i w:val="1"/>
          <w:iCs w:val="1"/>
          <w:color w:val="auto"/>
        </w:rPr>
        <w:t xml:space="preserve">Real estate held for sale - </w:t>
      </w:r>
      <w:r>
        <w:rPr>
          <w:rFonts w:ascii="Times New Roman" w:cs="Times New Roman" w:eastAsia="Times New Roman" w:hAnsi="Times New Roman"/>
          <w:sz w:val="15"/>
          <w:szCs w:val="15"/>
          <w:color w:val="auto"/>
        </w:rPr>
        <w:t>we periodically classify real estate as held for sale. An asset is classified as held for sale after an active program to sell an asset has commenced and when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sale is probable. Subsequent to the classification of assets as held for sale, no further depreciation expense is recorded.</w:t>
      </w:r>
    </w:p>
    <w:p>
      <w:pPr>
        <w:spacing w:after="0" w:line="32"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5"/>
          <w:szCs w:val="15"/>
          <w:i w:val="1"/>
          <w:iCs w:val="1"/>
          <w:color w:val="auto"/>
        </w:rPr>
        <w:t xml:space="preserve">Acquisitions </w:t>
      </w:r>
      <w:r>
        <w:rPr>
          <w:rFonts w:ascii="Times New Roman" w:cs="Times New Roman" w:eastAsia="Times New Roman" w:hAnsi="Times New Roman"/>
          <w:sz w:val="15"/>
          <w:szCs w:val="15"/>
          <w:color w:val="auto"/>
        </w:rPr>
        <w:t>- we evaluate acquisitions pursuant to ASC 805, "</w:t>
      </w:r>
      <w:r>
        <w:rPr>
          <w:rFonts w:ascii="Times New Roman" w:cs="Times New Roman" w:eastAsia="Times New Roman" w:hAnsi="Times New Roman"/>
          <w:sz w:val="15"/>
          <w:szCs w:val="15"/>
          <w:i w:val="1"/>
          <w:iCs w:val="1"/>
          <w:color w:val="auto"/>
        </w:rPr>
        <w:t>Business Combinations</w:t>
      </w:r>
      <w:r>
        <w:rPr>
          <w:rFonts w:ascii="Times New Roman" w:cs="Times New Roman" w:eastAsia="Times New Roman" w:hAnsi="Times New Roman"/>
          <w:sz w:val="15"/>
          <w:szCs w:val="15"/>
          <w:color w:val="auto"/>
        </w:rPr>
        <w:t>," to determine whether the acquisition should be classified as either an asset acquisition or 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business combination.</w:t>
      </w:r>
    </w:p>
    <w:p>
      <w:pPr>
        <w:spacing w:after="0" w:line="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Acquisitions for which substantially all of the fair value of the gross assets acquired are concentrated in a single identifiable asset or a group of similar identifiable assets are accounted for as an asset acquisition. The majority of our property acquisitions are accounted for as asset acquisitions. For asset acquisitions, we allocate the purchase price of these properties on a relative fair value basis and capitalize direct acquisition related costs as part of the purchase price. Acquisition costs that do not meet the criteria to be capitalized are expensed as incurred and presented as General and administrative costs in our Consolidated Statements of Operations.</w:t>
      </w:r>
    </w:p>
    <w:p>
      <w:pPr>
        <w:spacing w:after="0" w:line="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Acquisitions that meet the definition of a business combination are recorded at fair value using a fair value model under which the assets and liabilities are generally recognized at their fair values and the difference between the consideration transferred, excluding transaction costs, and the fair values of the assets and liabilities is recognized as goodwill. For acquisitions that meet the definition of a business combination, we allocate the purchase price of those properties on a fair value basis and expense the acquisition related transaction costs as incurred. Transaction costs are presented as Business combinations expense in our Consolidated Statements of Operations.</w:t>
      </w:r>
    </w:p>
    <w:p>
      <w:pPr>
        <w:spacing w:after="0" w:line="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For asset acquisitions and business combinations, we allocate the purchase price to net tangible and identified intangible assets acquired based on their fair values. In making estimates of fair values for purposes of allocating the purchase price, we utilize an independent third party to value the net tangible and identified intangible assets in connection with the acquisition of the respective property. We provide historical and pro forma financial information obtained about each property, as well as any other information needed in order for the third party to ascertain the fair value of the tangible and intangible assets acquired.</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Capitalized Costs</w:t>
      </w:r>
    </w:p>
    <w:p>
      <w:pPr>
        <w:spacing w:after="0" w:line="10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5"/>
          <w:szCs w:val="15"/>
          <w:color w:val="auto"/>
        </w:rPr>
        <w:t>We capitalize certain costs incurred in connection with the development, redevelopment, capital enhancement and leasing of our properties. Management is required to use professional judgment in determining whether such costs meet the criteria for capitalization or immediate expense. The amounts are dependent on costs, volume, and timing of such activities:</w:t>
      </w:r>
    </w:p>
    <w:p>
      <w:pPr>
        <w:spacing w:after="0" w:line="234" w:lineRule="exact"/>
        <w:rPr>
          <w:sz w:val="20"/>
          <w:szCs w:val="20"/>
          <w:color w:val="auto"/>
        </w:rPr>
      </w:pPr>
    </w:p>
    <w:p>
      <w:pPr>
        <w:ind w:left="540" w:hanging="270"/>
        <w:spacing w:after="0"/>
        <w:tabs>
          <w:tab w:leader="none" w:pos="54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Maintenance, repairs, and minor improvements to properties are expensed when incurred.</w:t>
      </w:r>
    </w:p>
    <w:p>
      <w:pPr>
        <w:spacing w:after="0" w:line="26" w:lineRule="exact"/>
        <w:rPr>
          <w:rFonts w:ascii="Times New Roman" w:cs="Times New Roman" w:eastAsia="Times New Roman" w:hAnsi="Times New Roman"/>
          <w:sz w:val="15"/>
          <w:szCs w:val="15"/>
          <w:color w:val="auto"/>
        </w:rPr>
      </w:pPr>
    </w:p>
    <w:p>
      <w:pPr>
        <w:ind w:left="540" w:right="20" w:hanging="270"/>
        <w:spacing w:after="0" w:line="257" w:lineRule="auto"/>
        <w:tabs>
          <w:tab w:leader="none" w:pos="536"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Renovations and improvements to our properties are capitalized and depreciated over their estimated useful lives, and real estate project costs related to the development of new community or expansion sites are capitalized until the property is substantially complete and available for occupancy.</w:t>
      </w:r>
    </w:p>
    <w:p>
      <w:pPr>
        <w:ind w:left="540" w:right="20" w:hanging="270"/>
        <w:spacing w:after="0" w:line="257" w:lineRule="auto"/>
        <w:tabs>
          <w:tab w:leader="none" w:pos="536"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Costs incurred to initially renovate pre-owned and repossessed homes that we acquire for our Rental Program are capitalized, and the majority of costs incurred to refurbish the homes at turnover and repair the homes while occupied, are expensed unless they extend the life of the home.</w:t>
      </w:r>
    </w:p>
    <w:p>
      <w:pPr>
        <w:ind w:left="540" w:hanging="270"/>
        <w:spacing w:after="0"/>
        <w:tabs>
          <w:tab w:leader="none" w:pos="54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Improvements made to buildings, systems, equipment, and site improvements are capitalized until the project is substantially complete and available for use.</w:t>
      </w:r>
    </w:p>
    <w:p>
      <w:pPr>
        <w:spacing w:after="0" w:line="12" w:lineRule="exact"/>
        <w:rPr>
          <w:rFonts w:ascii="Times New Roman" w:cs="Times New Roman" w:eastAsia="Times New Roman" w:hAnsi="Times New Roman"/>
          <w:sz w:val="15"/>
          <w:szCs w:val="15"/>
          <w:color w:val="auto"/>
        </w:rPr>
      </w:pPr>
    </w:p>
    <w:p>
      <w:pPr>
        <w:ind w:left="540" w:right="20" w:hanging="270"/>
        <w:spacing w:after="0" w:line="257" w:lineRule="auto"/>
        <w:tabs>
          <w:tab w:leader="none" w:pos="536"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expenditures to dealers and residents related to obtaining lessees in our communities are capitalized and amortized based on the anticipated term of occupancy of a resident.</w:t>
      </w:r>
    </w:p>
    <w:p>
      <w:pPr>
        <w:ind w:left="540" w:right="20" w:hanging="270"/>
        <w:spacing w:after="0" w:line="257" w:lineRule="auto"/>
        <w:tabs>
          <w:tab w:leader="none" w:pos="536"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Costs incurred to develop internal-use software, including certain implementation costs in hosting arrangements accounted for as service contracts, are capitalized and amortized on a straight-line basis over the estimated useful life of the related software (typically four years).</w:t>
      </w:r>
    </w:p>
    <w:p>
      <w:pPr>
        <w:ind w:left="540" w:hanging="270"/>
        <w:spacing w:after="0" w:line="275" w:lineRule="auto"/>
        <w:tabs>
          <w:tab w:leader="none" w:pos="536"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Costs associated with purchases of furniture, fixtures and equipment, major replacements, and improvements are capitalized and subsequently depreciated over their respective underlying assets estimated useful lives.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Deferred Financing Costs</w:t>
      </w:r>
    </w:p>
    <w:p>
      <w:pPr>
        <w:spacing w:after="0" w:line="1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Costs incurred to obtain new debt financing are amortized over the term of the underlying loan agreement using the effective interest method for senior unsecured notes and the straight-line method (which approximates the effective interest method) for other financing. Unamortized deferred financing costs are written off when debt is retired before the maturity date. Upon amendment of the line of credit or refinancing of mortgage debt, unamortized deferred financing costs and any related discounts or premiums are accounted for in accordance with ASC 470-50-40, "</w:t>
      </w:r>
      <w:r>
        <w:rPr>
          <w:rFonts w:ascii="Times New Roman" w:cs="Times New Roman" w:eastAsia="Times New Roman" w:hAnsi="Times New Roman"/>
          <w:sz w:val="15"/>
          <w:szCs w:val="15"/>
          <w:i w:val="1"/>
          <w:iCs w:val="1"/>
          <w:color w:val="auto"/>
        </w:rPr>
        <w:t>Modifications and Extinguishments</w:t>
      </w:r>
      <w:r>
        <w:rPr>
          <w:rFonts w:ascii="Times New Roman" w:cs="Times New Roman" w:eastAsia="Times New Roman" w:hAnsi="Times New Roman"/>
          <w:sz w:val="15"/>
          <w:szCs w:val="15"/>
          <w:color w:val="auto"/>
        </w:rPr>
        <w:t>."</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Cash and Cash Equivalents</w:t>
      </w:r>
    </w:p>
    <w:p>
      <w:pPr>
        <w:spacing w:after="0" w:line="10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We consider all highly liquid investments with a maturity of three months or less from the date of purchase to be cash and cash equivalents. At December 31, 2025 and 2024, $569.6 million and $47.9 million of cash and cash equivalents, respectively, was included as a component of Cash, cash equivalents and restricted cash on the Consolidated Balance Sheets. The maximum amount of credit risk arising from cash deposits in excess of federally insured amounts was approximately $523.7 million and $46.4 million as of December 31, 2025 and 2024, respectively. The maximum amount of credit risk arising from cash deposits in the UK in excess of insured amounts through the Financial Services Compensation Scheme ("FSCS") was approximately £14.3 million ($19.3 million) and £0.8 million ($1.0 million) as of December 31, 2025 and 2024, respectively.</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Restricted Cash</w:t>
      </w:r>
    </w:p>
    <w:p>
      <w:pPr>
        <w:spacing w:after="0" w:line="10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Restricted cash includes amounts generated from the Safe Harbor Sale and other dispositions and held in escrow accounts that have been designated to fund potential future MH and RV acquisitions in accordance with Section 1031 of the Code ("1031 exchange transactions"). Restricted cash also includes utility deposits and amounts held in deposit for tax, insurance, and repair escrows held by lenders in accordance with certain debt agreements. At December 31, 2025 and 2024, $66.5 million and $9.2 million of restricted cash, respectively, was included as a component of Cash, cash equivalents and restricted cash on the Consolidated Balance Sheets, including $57.2 million and $0.0 million, respectively, held in escrow accounts for 1031 exchange transactions. Changes in the restricted cash are reported in our Consolidated Statements of Cash Flows as operating, investing, or financing activities based on the nature of the underlying activity. Restricted cash and restricted cash equivalents are included with cash and cash equivalents in the reconciliation of the beginning of period and the end of period cash balance on the Consolidated Statements of Cash Flows.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Inventory</w:t>
      </w:r>
    </w:p>
    <w:p>
      <w:pPr>
        <w:spacing w:after="0" w:line="1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Inventory of manufactured homes is stated at lower of specific cost or net realizable value based on the specific identification method and the balance is separately disclosed on our Consolidated Balance Sheets. Other inventory at our MH and RV properties consists primarily of service and merchandise related items, grocery, food, and beverage products and are stated at the lower of cost or net realizable value. Physical inventory counts are performed where inventory exists. Inventory records are adjusted accordingly to reflect actual inventory counts and any resulting shortage is recognized. The other inventory balance is included in Other assets, net on our Consolidated Balance Sheet.</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Investments in Nonconsolidated Affiliates</w:t>
      </w:r>
    </w:p>
    <w:p>
      <w:pPr>
        <w:spacing w:after="0" w:line="10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Investments in joint ventures that are not consolidated are accounted for using the equity method of accounting as prescribed in ASC Topic 323, "</w:t>
      </w:r>
      <w:r>
        <w:rPr>
          <w:rFonts w:ascii="Times New Roman" w:cs="Times New Roman" w:eastAsia="Times New Roman" w:hAnsi="Times New Roman"/>
          <w:sz w:val="15"/>
          <w:szCs w:val="15"/>
          <w:i w:val="1"/>
          <w:iCs w:val="1"/>
          <w:color w:val="auto"/>
        </w:rPr>
        <w:t>Investments - Equity Method and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Joint Ventures</w:t>
      </w:r>
      <w:r>
        <w:rPr>
          <w:rFonts w:ascii="Times New Roman" w:cs="Times New Roman" w:eastAsia="Times New Roman" w:hAnsi="Times New Roman"/>
          <w:sz w:val="15"/>
          <w:szCs w:val="15"/>
          <w:color w:val="auto"/>
        </w:rPr>
        <w:t>." Investments in nonconsolidated affiliates are recorded within Other assets, net on the Consolidated Balance Sheets. Equity income and loss are recorded in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Income from nonconsolidated affiliates on the Consolidated Statements of Operations. The allocation provisions in these agreements may differ from the ownership interests held by each investor. Our exposure to losses associated with nonconsolidated affiliates is primarily limited to the carrying value of these investments. Accordingly, distributions from a nonconsolidated affiliate in excess of our carrying value are recognized in earnings. We review the carrying value of our investments in nonconsolidated affiliates for other than temporary impairment whenever events or changes in circumstances indicate a possible impairment. Financial condition, operational performance, and other economic trends are among the factors we consider when we evaluate the existence of impairment indicators. Refer to Note 6, "Investments in Nonconsolidated Affiliates," for additional information.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Notes and Other Receivables</w:t>
      </w:r>
    </w:p>
    <w:p>
      <w:pPr>
        <w:spacing w:after="0" w:line="105"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5"/>
          <w:szCs w:val="15"/>
          <w:i w:val="1"/>
          <w:iCs w:val="1"/>
          <w:color w:val="auto"/>
        </w:rPr>
        <w:t xml:space="preserve">Installment notes receivable on manufactured homes </w:t>
      </w:r>
      <w:r>
        <w:rPr>
          <w:rFonts w:ascii="Times New Roman" w:cs="Times New Roman" w:eastAsia="Times New Roman" w:hAnsi="Times New Roman"/>
          <w:sz w:val="15"/>
          <w:szCs w:val="15"/>
          <w:color w:val="auto"/>
        </w:rPr>
        <w:t>- represent notes receivable for the purchase of manufactured homes located in our communities, which are secured by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underlying manufactured home sold. Interest income is accrued based on the unpaid principal balance of the loans. Past due status of our notes receivable is determined based on the contractual terms of the note. When a note receivable becomes 60 days delinquent, we stop accruing interest on the note receivable. The interest on nonaccrual loans is accounted for on the cash basis until qualifying for return to accrual.</w:t>
      </w:r>
    </w:p>
    <w:p>
      <w:pPr>
        <w:spacing w:after="0" w:line="51"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5"/>
          <w:szCs w:val="15"/>
          <w:i w:val="1"/>
          <w:iCs w:val="1"/>
          <w:color w:val="auto"/>
        </w:rPr>
        <w:t xml:space="preserve">Notes receivable from real estate developers and operators </w:t>
      </w:r>
      <w:r>
        <w:rPr>
          <w:rFonts w:ascii="Times New Roman" w:cs="Times New Roman" w:eastAsia="Times New Roman" w:hAnsi="Times New Roman"/>
          <w:sz w:val="15"/>
          <w:szCs w:val="15"/>
          <w:color w:val="auto"/>
        </w:rPr>
        <w:t>- represent construction loans provided to real estate developers and loans provided to a real estate operator to finance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acquisition and development costs.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5"/>
          <w:szCs w:val="15"/>
          <w:color w:val="auto"/>
        </w:rPr>
        <w:t>We elected to apply the fair value option to our installment notes receivable on manufactured homes and notes receivable from real estate developers and operators in accordance with ASC 820, "</w:t>
      </w:r>
      <w:r>
        <w:rPr>
          <w:rFonts w:ascii="Times New Roman" w:cs="Times New Roman" w:eastAsia="Times New Roman" w:hAnsi="Times New Roman"/>
          <w:sz w:val="15"/>
          <w:szCs w:val="15"/>
          <w:i w:val="1"/>
          <w:iCs w:val="1"/>
          <w:color w:val="auto"/>
        </w:rPr>
        <w:t>Fair Value Measurements and Disclosures</w:t>
      </w:r>
      <w:r>
        <w:rPr>
          <w:rFonts w:ascii="Times New Roman" w:cs="Times New Roman" w:eastAsia="Times New Roman" w:hAnsi="Times New Roman"/>
          <w:sz w:val="15"/>
          <w:szCs w:val="15"/>
          <w:color w:val="auto"/>
        </w:rPr>
        <w:t>." The fair value is evaluated quarterly, and any fair value adjustments are recorded in Loss on remeasurement of notes receivable on the Consolidated Statement of Operations. Refer to Note 14, "Fair Value Measurements," for additional information regarding the estimates and assumptions used to estimate the fair value of each financial instrument class.</w:t>
      </w:r>
    </w:p>
    <w:p>
      <w:pPr>
        <w:spacing w:after="0" w:line="5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5"/>
          <w:szCs w:val="15"/>
          <w:i w:val="1"/>
          <w:iCs w:val="1"/>
          <w:color w:val="auto"/>
        </w:rPr>
        <w:t xml:space="preserve">Other receivables </w:t>
      </w:r>
      <w:r>
        <w:rPr>
          <w:rFonts w:ascii="Times New Roman" w:cs="Times New Roman" w:eastAsia="Times New Roman" w:hAnsi="Times New Roman"/>
          <w:sz w:val="15"/>
          <w:szCs w:val="15"/>
          <w:color w:val="auto"/>
        </w:rPr>
        <w:t>- are generally comprised of home sale proceeds receivable, amounts due from MH, annual RV, and UK residents for rent, and related charges (utility charges, fees,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and other pass-through charges), insurance receivables and various other miscellaneous receivables. Accounts outstanding longer than the contractual payment terms are considered past due.</w:t>
      </w:r>
    </w:p>
    <w:p>
      <w:pPr>
        <w:spacing w:after="0" w:line="23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Accounts receivable from residents are typically due within 30 days and stated at amounts due from residents net of an allowance for credit losses. We evaluate the recoverability of our receivables whenever events occur or there are changes in circumstances such that management believes it is probable that it will be unable to collect all amounts due according to the contractual terms. Receivables related to MH community rents are reserved when we believe that collection is less than probable, which is generally after a resident balance reaches 60 to 90 days past due. In the UK, annual rents are noticed in full during the fourth quarter and due by January 31st of the following year. Payment can be made upfront or in monthly installments. Accounts receivables are reviewed regularly for collectability, with related reserves set quarterly for outstanding receivables. Refer to Note 4, "Notes and Other Receivables," for additional detail on receivables.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Collateralized Receivables</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We account for transferred loans that have not met the requirements for sale accounting as collateralized receivables under ASC 860, "</w:t>
      </w:r>
      <w:r>
        <w:rPr>
          <w:rFonts w:ascii="Times New Roman" w:cs="Times New Roman" w:eastAsia="Times New Roman" w:hAnsi="Times New Roman"/>
          <w:sz w:val="15"/>
          <w:szCs w:val="15"/>
          <w:i w:val="1"/>
          <w:iCs w:val="1"/>
          <w:color w:val="auto"/>
        </w:rPr>
        <w:t>Transfers and Servicing</w:t>
      </w:r>
      <w:r>
        <w:rPr>
          <w:rFonts w:ascii="Times New Roman" w:cs="Times New Roman" w:eastAsia="Times New Roman" w:hAnsi="Times New Roman"/>
          <w:sz w:val="15"/>
          <w:szCs w:val="15"/>
          <w:color w:val="auto"/>
        </w:rPr>
        <w:t>." We are subject to certain recourse provisions related to previously transferred loans requiring us to purchase the underlying manufactured homes collateralizing such notes at a price calculated based on the agreed upon terms, in the event of a note default and subsequent repossession of the home by the unrelated entity. The transferred assets are classified as Collateralized receivables, net and the cash proceeds received from the transaction are classified as Secured borrowings on collateralized receivables within the Consolidated Balance Sheets. We have elected to apply the fair value option to the collateralized receivables and related secured borrowings under ASC 820, "</w:t>
      </w:r>
      <w:r>
        <w:rPr>
          <w:rFonts w:ascii="Times New Roman" w:cs="Times New Roman" w:eastAsia="Times New Roman" w:hAnsi="Times New Roman"/>
          <w:sz w:val="15"/>
          <w:szCs w:val="15"/>
          <w:i w:val="1"/>
          <w:iCs w:val="1"/>
          <w:color w:val="auto"/>
        </w:rPr>
        <w:t>Fair Value Measurements and Disclosures</w:t>
      </w:r>
      <w:r>
        <w:rPr>
          <w:rFonts w:ascii="Times New Roman" w:cs="Times New Roman" w:eastAsia="Times New Roman" w:hAnsi="Times New Roman"/>
          <w:sz w:val="15"/>
          <w:szCs w:val="15"/>
          <w:color w:val="auto"/>
        </w:rPr>
        <w:t>." Refer to Note 7, "Debt and Line of Credit" and Note 14, "Fair Value Measurements" for additional information.</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Goodwill</w:t>
      </w:r>
    </w:p>
    <w:p>
      <w:pPr>
        <w:spacing w:after="0" w:line="10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5"/>
          <w:szCs w:val="15"/>
          <w:color w:val="auto"/>
        </w:rPr>
        <w:t>We account for goodwill pursuant to ASC 350, "</w:t>
      </w:r>
      <w:r>
        <w:rPr>
          <w:rFonts w:ascii="Times New Roman" w:cs="Times New Roman" w:eastAsia="Times New Roman" w:hAnsi="Times New Roman"/>
          <w:sz w:val="15"/>
          <w:szCs w:val="15"/>
          <w:i w:val="1"/>
          <w:iCs w:val="1"/>
          <w:color w:val="auto"/>
        </w:rPr>
        <w:t>Intangibles—Goodwill and Other</w:t>
      </w:r>
      <w:r>
        <w:rPr>
          <w:rFonts w:ascii="Times New Roman" w:cs="Times New Roman" w:eastAsia="Times New Roman" w:hAnsi="Times New Roman"/>
          <w:sz w:val="15"/>
          <w:szCs w:val="15"/>
          <w:color w:val="auto"/>
        </w:rPr>
        <w:t>." Goodwill is not amortized but rather is tested for impairment on an annual basis, or more frequently if events or changes in circumstances indicate that it is more likely than not that an impairment exists. We perform our annual goodwill assessment at the reporting unit level on October 31st. An impairment exists if quantitative testing indicates that the carrying amount of a reporting unit exceeds its fair value.</w:t>
      </w:r>
    </w:p>
    <w:p>
      <w:pPr>
        <w:spacing w:after="0" w:line="5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Goodwill is deductible for income tax purposes. As such, the goodwill portion allocated to our U.S. taxable REIT subsidiaries will reduce their taxable income. However, the resulting tax benefits will be offset by a valuation allowance. Given that REITs do not customarily report any taxable income (due to the dividends paid deduction), we do not expect any significant tax benefits arising from the goodwill allocable to the REIT.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Other Intangible Assets</w:t>
      </w:r>
    </w:p>
    <w:p>
      <w:pPr>
        <w:spacing w:after="0" w:line="10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Other intangible assets primarily comprise in-place leases, trademarks and trade names, customer relationships, and franchise agreements. We amortize finite-lived intangible assets on a straight-line basis over the period the assets are expected to contribute directly or indirectly to the future cash flows of the property or business. We evaluate the recoverability of intangible assets on an annual basis, or more frequently if indicators of impairment are identified, by reviewing events or circumstances that may warrant revised estimates of useful lives or that indicate that the asset may be impaired. The carrying amounts of other intangible assets are included in Other intangible assets, net on our Consolidated Balance Sheets. Refer to Note 5, "Goodwill and Other Intangible Assets," for additional information.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Deferred Taxes</w:t>
      </w:r>
    </w:p>
    <w:p>
      <w:pPr>
        <w:spacing w:after="0" w:line="10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We are subject to certain state and foreign income taxes and have certain subsidiaries that are taxed as regular corporations for U.S. and non-U.S. income tax purposes. Deferred tax assets or liabilities are recognized for temporary differences between the tax basis of assets and liabilities and their carrying amounts in the financial statements and net operating loss carryforwards in certain subsidiaries, including those domiciled in foreign jurisdictions, which may be realized in future periods if the respective subsidiary generates sufficient taxable income. Deferred tax assets and liabilities are measured using currently enacted tax rates. A valuation allowance is established if, based on the available evidence, it is considered more likely than not that some portion or all of the deferred tax assets will not be realized. Refer to Note 11, "Income Taxes," for additional information.</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Temporary Equity and Noncontrolling Interests</w:t>
      </w:r>
    </w:p>
    <w:p>
      <w:pPr>
        <w:spacing w:after="0" w:line="10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Temporary equity includes preferred securities and other equity interests that are redeemable for cash at the holder's option or upon the occurrence of an event that is not solely within our control based on a fixed or determinable price. These securities are not mandatorily redeemable for cash nor do they contain a fixed maturity date. Temporary equity is classified between Liabilities and Shareholders' Equity on the Consolidated Balance Sheets.</w:t>
      </w:r>
    </w:p>
    <w:p>
      <w:pPr>
        <w:spacing w:after="0" w:line="5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Our noncontrolling interest primarily consists of common and preferred OP units that are owned by limited partners of the Operating Partnership. The common and preferred OP units are exchangeable for shares of our common stock based on the exchange ratio for each OP unit class outstanding. Each exchange is treated as a capital transaction, which results in an allocation between Stockholders' equity, temporary equity, and noncontrolling interest to account for the change in the respective ownership of the underlying equity of the Operating Partnership. We allocate Net income (after allocating to preferred returns) between our common stock and the noncontrolling interests based on the respective ownership interests in the Operating Partnership. The noncontrolling interest allocation is adjusted for issuances, conversions, and any other applicable equity activity.</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Share-Based Compensation</w:t>
      </w:r>
    </w:p>
    <w:p>
      <w:pPr>
        <w:spacing w:after="0" w:line="10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We account for restricted stock awards ("RSAs"), which include time based RSAs and performance-based RSAs subject to a market condition, in accordance with ASC 718, "</w:t>
      </w:r>
      <w:r>
        <w:rPr>
          <w:rFonts w:ascii="Times New Roman" w:cs="Times New Roman" w:eastAsia="Times New Roman" w:hAnsi="Times New Roman"/>
          <w:sz w:val="15"/>
          <w:szCs w:val="15"/>
          <w:i w:val="1"/>
          <w:iCs w:val="1"/>
          <w:color w:val="auto"/>
        </w:rPr>
        <w:t>Compensation-Stock Compensation</w:t>
      </w:r>
      <w:r>
        <w:rPr>
          <w:rFonts w:ascii="Times New Roman" w:cs="Times New Roman" w:eastAsia="Times New Roman" w:hAnsi="Times New Roman"/>
          <w:sz w:val="15"/>
          <w:szCs w:val="15"/>
          <w:color w:val="auto"/>
        </w:rPr>
        <w:t>." Compensation cost is measured at the fair value on the grant date and recognized as expense, net of estimated forfeitures, on a straight-line basis over the service or performance period. The fair value of time based RSAs is measured based on the quoted price of our common stock on the grant date. The fair value of performance-based RSAs subject to a market condition is measured using a Monte Carlo valuation model. We estimate forfeitures at the time of grant based on the historical turnover rate of employees and non-employees that are recipients of an award. We update our assumptions annually, or sooner, if subsequent information indicates that the actual number of instruments subject to forfeiture is likely to differ from previous estimates. Refer to Note 9, "Share-Based Compensation," for additional information.</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Fair Value Measurements</w:t>
      </w:r>
    </w:p>
    <w:p>
      <w:pPr>
        <w:spacing w:after="0" w:line="109"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color w:val="auto"/>
        </w:rPr>
        <w:t>Our financial instruments consist primarily of cash, cash equivalents and restricted cash, notes and other receivables, debt and other liabilities. We utilize fair value measurements to record fair value adjustments to certain assets and liabilities and to determine fair value disclosures, pursuant to ASC 820, "</w:t>
      </w:r>
      <w:r>
        <w:rPr>
          <w:rFonts w:ascii="Times New Roman" w:cs="Times New Roman" w:eastAsia="Times New Roman" w:hAnsi="Times New Roman"/>
          <w:sz w:val="15"/>
          <w:szCs w:val="15"/>
          <w:i w:val="1"/>
          <w:iCs w:val="1"/>
          <w:color w:val="auto"/>
        </w:rPr>
        <w:t>Fair Value Measurements and Disclosures</w:t>
      </w:r>
      <w:r>
        <w:rPr>
          <w:rFonts w:ascii="Times New Roman" w:cs="Times New Roman" w:eastAsia="Times New Roman" w:hAnsi="Times New Roman"/>
          <w:sz w:val="15"/>
          <w:szCs w:val="15"/>
          <w:color w:val="auto"/>
        </w:rPr>
        <w:t>."</w:t>
      </w:r>
    </w:p>
    <w:p>
      <w:pPr>
        <w:spacing w:after="0" w:line="3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color w:val="auto"/>
        </w:rPr>
        <w:t>ASC 820, "</w:t>
      </w:r>
      <w:r>
        <w:rPr>
          <w:rFonts w:ascii="Times New Roman" w:cs="Times New Roman" w:eastAsia="Times New Roman" w:hAnsi="Times New Roman"/>
          <w:sz w:val="15"/>
          <w:szCs w:val="15"/>
          <w:i w:val="1"/>
          <w:iCs w:val="1"/>
          <w:color w:val="auto"/>
        </w:rPr>
        <w:t>Fair Value Measurements and Disclosures</w:t>
      </w:r>
      <w:r>
        <w:rPr>
          <w:rFonts w:ascii="Times New Roman" w:cs="Times New Roman" w:eastAsia="Times New Roman" w:hAnsi="Times New Roman"/>
          <w:sz w:val="15"/>
          <w:szCs w:val="15"/>
          <w:color w:val="auto"/>
        </w:rPr>
        <w:t>," requires disclosure regarding the determination of fair value for assets and liabilities and establishes a hierarchy under which these assets and liabilities must be grouped, based on significant levels of observable or unobservable inputs. Observable inputs reflect market data obtained from independent sources, while unobservable inputs reflect our market assumptions. This hierarchy requires the use of observable market data when available. These two types of inputs have created the following fair value hierarchy:</w:t>
      </w:r>
    </w:p>
    <w:p>
      <w:pPr>
        <w:spacing w:after="0" w:line="5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Level 1 - Quoted unadjusted prices for identical instruments in active markets that we have the ability to access;</w:t>
      </w:r>
    </w:p>
    <w:p>
      <w:pPr>
        <w:spacing w:after="0" w:line="105" w:lineRule="exact"/>
        <w:rPr>
          <w:sz w:val="20"/>
          <w:szCs w:val="20"/>
          <w:color w:val="auto"/>
        </w:rPr>
      </w:pPr>
    </w:p>
    <w:p>
      <w:pPr>
        <w:ind w:left="540" w:right="20"/>
        <w:spacing w:after="0" w:line="295" w:lineRule="auto"/>
        <w:rPr>
          <w:sz w:val="20"/>
          <w:szCs w:val="20"/>
          <w:color w:val="auto"/>
        </w:rPr>
      </w:pPr>
      <w:r>
        <w:rPr>
          <w:rFonts w:ascii="Times New Roman" w:cs="Times New Roman" w:eastAsia="Times New Roman" w:hAnsi="Times New Roman"/>
          <w:sz w:val="15"/>
          <w:szCs w:val="15"/>
          <w:color w:val="auto"/>
        </w:rPr>
        <w:t>Level 2 - Quoted prices for similar instruments in active markets, quoted prices for identical or similar instruments in markets that are not active, and model-derived valuations in which all significant inputs and significant value drivers are observable in active markets or can be corroborated by observable market data; and</w:t>
      </w:r>
    </w:p>
    <w:p>
      <w:pPr>
        <w:spacing w:after="0" w:line="39" w:lineRule="exact"/>
        <w:rPr>
          <w:sz w:val="20"/>
          <w:szCs w:val="20"/>
          <w:color w:val="auto"/>
        </w:rPr>
      </w:pPr>
    </w:p>
    <w:p>
      <w:pPr>
        <w:ind w:left="540"/>
        <w:spacing w:after="0" w:line="295" w:lineRule="auto"/>
        <w:rPr>
          <w:sz w:val="20"/>
          <w:szCs w:val="20"/>
          <w:color w:val="auto"/>
        </w:rPr>
      </w:pPr>
      <w:r>
        <w:rPr>
          <w:rFonts w:ascii="Times New Roman" w:cs="Times New Roman" w:eastAsia="Times New Roman" w:hAnsi="Times New Roman"/>
          <w:sz w:val="15"/>
          <w:szCs w:val="15"/>
          <w:color w:val="auto"/>
        </w:rPr>
        <w:t>Level 3 - Valuations derived from valuation techniques in which one or more significant inputs or significant value drivers are unobservable. The unobservable inputs reflect our assumptions about the assumptions that market participants would use.</w:t>
      </w:r>
    </w:p>
    <w:p>
      <w:pPr>
        <w:spacing w:after="0" w:line="39" w:lineRule="exact"/>
        <w:rPr>
          <w:sz w:val="20"/>
          <w:szCs w:val="20"/>
          <w:color w:val="auto"/>
        </w:rPr>
      </w:pPr>
    </w:p>
    <w:p>
      <w:pPr>
        <w:ind w:right="940"/>
        <w:spacing w:after="0" w:line="386" w:lineRule="auto"/>
        <w:rPr>
          <w:sz w:val="20"/>
          <w:szCs w:val="20"/>
          <w:color w:val="auto"/>
        </w:rPr>
      </w:pPr>
      <w:r>
        <w:rPr>
          <w:rFonts w:ascii="Times New Roman" w:cs="Times New Roman" w:eastAsia="Times New Roman" w:hAnsi="Times New Roman"/>
          <w:sz w:val="15"/>
          <w:szCs w:val="15"/>
          <w:color w:val="auto"/>
        </w:rPr>
        <w:t xml:space="preserve">Refer to Note 14, "Fair Value Measurements," for additional information on methods and assumptions used to estimate the fair value of each financial instrument class. </w:t>
      </w:r>
      <w:r>
        <w:rPr>
          <w:rFonts w:ascii="Times New Roman" w:cs="Times New Roman" w:eastAsia="Times New Roman" w:hAnsi="Times New Roman"/>
          <w:sz w:val="15"/>
          <w:szCs w:val="15"/>
          <w:b w:val="1"/>
          <w:bCs w:val="1"/>
          <w:i w:val="1"/>
          <w:iCs w:val="1"/>
          <w:color w:val="auto"/>
        </w:rPr>
        <w:t>Revenue Recognition</w:t>
      </w:r>
    </w:p>
    <w:p>
      <w:pPr>
        <w:spacing w:after="0" w:line="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As a real estate owner and operator, the majority of our revenue consists of Income from real property from site and home leases that are accounted for pursuant to ASC 842, "</w:t>
      </w:r>
      <w:r>
        <w:rPr>
          <w:rFonts w:ascii="Times New Roman" w:cs="Times New Roman" w:eastAsia="Times New Roman" w:hAnsi="Times New Roman"/>
          <w:sz w:val="15"/>
          <w:szCs w:val="15"/>
          <w:i w:val="1"/>
          <w:iCs w:val="1"/>
          <w:color w:val="auto"/>
        </w:rPr>
        <w:t>Leases</w:t>
      </w:r>
      <w:r>
        <w:rPr>
          <w:rFonts w:ascii="Times New Roman" w:cs="Times New Roman" w:eastAsia="Times New Roman" w:hAnsi="Times New Roman"/>
          <w:sz w:val="15"/>
          <w:szCs w:val="15"/>
          <w:color w:val="auto"/>
        </w:rPr>
        <w:t>." Other revenue streams, such as those generated from home sales and ancillary activities, are accounted for pursuant to ASC 606, "</w:t>
      </w:r>
      <w:r>
        <w:rPr>
          <w:rFonts w:ascii="Times New Roman" w:cs="Times New Roman" w:eastAsia="Times New Roman" w:hAnsi="Times New Roman"/>
          <w:sz w:val="15"/>
          <w:szCs w:val="15"/>
          <w:i w:val="1"/>
          <w:iCs w:val="1"/>
          <w:color w:val="auto"/>
        </w:rPr>
        <w:t>Revenue from Contracts with Customers</w:t>
      </w:r>
      <w:r>
        <w:rPr>
          <w:rFonts w:ascii="Times New Roman" w:cs="Times New Roman" w:eastAsia="Times New Roman" w:hAnsi="Times New Roman"/>
          <w:sz w:val="15"/>
          <w:szCs w:val="15"/>
          <w:color w:val="auto"/>
        </w:rPr>
        <w:t>," except for those that are within the scope of other topics in the FASB ASC. For transactions in the scope of ASC 606, we recognize revenue when control of goods or services transfers to the customer, in the amount that we expect to receive for the transfer of goods or provision of services. Due to the nature and timing of our identified revenue streams, there were no material outstanding performance obligations as of December 31, 2025.</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200" w:lineRule="exact"/>
        <w:rPr>
          <w:sz w:val="20"/>
          <w:szCs w:val="20"/>
          <w:color w:val="auto"/>
        </w:rPr>
      </w:pPr>
    </w:p>
    <w:p>
      <w:pPr>
        <w:spacing w:after="0" w:line="3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i w:val="1"/>
          <w:iCs w:val="1"/>
          <w:color w:val="auto"/>
        </w:rPr>
        <w:t xml:space="preserve">Income from real property - </w:t>
      </w:r>
      <w:r>
        <w:rPr>
          <w:rFonts w:ascii="Times New Roman" w:cs="Times New Roman" w:eastAsia="Times New Roman" w:hAnsi="Times New Roman"/>
          <w:sz w:val="15"/>
          <w:szCs w:val="15"/>
          <w:color w:val="auto"/>
        </w:rPr>
        <w:t>includes revenue from residents and guests in our communities, who lease the site on which their home or RV is located and either own or lease their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home or RV, rental home revenue, and short-term vacation home and site rentals. Resident leases are generally for a time period not to exceed one year or month to month and are renewable by mutual agreement between the parties, or in some cases, as provided by statute. Revenues from site and home leases fall under the scope of ASC 842, and are accounted for as operating leases with straight-line recognition. We combine fixed lease and non-lease components and account for them as a single lease component per ASC 842. The non-lease components primarily consist of reimbursement for utility services at our communities. In accordance with the practical expedient criteria, we noted that the timing and pattern of transfer for the lease and non-lease components are the same, and the leases qualify as operating leases. Accordingly, we present rental revenues and utility recoveries as a single lease component within Income from real property in the Consolidated Statement of Operations. Additionally, we include collections of real estate taxes from residents and guests within Income from real property. As a lessor, we also receive variable lease payments, usually from revenue derived from percentage-based leases. The revenue from these leases is accounted for on an as earned basis. We also have a number of short-term leases that are accounted for on an as earned basis. All our revenues are recognized net of taxes collected from customers and submitted to taxing authorities. Real estate taxes are recorded as a liability when collected and released when payments are remitted to tax authorities.</w:t>
      </w:r>
    </w:p>
    <w:p>
      <w:pPr>
        <w:spacing w:after="0" w:line="6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i w:val="1"/>
          <w:iCs w:val="1"/>
          <w:color w:val="auto"/>
        </w:rPr>
        <w:t xml:space="preserve">Revenue from home sales </w:t>
      </w:r>
      <w:r>
        <w:rPr>
          <w:rFonts w:ascii="Times New Roman" w:cs="Times New Roman" w:eastAsia="Times New Roman" w:hAnsi="Times New Roman"/>
          <w:sz w:val="15"/>
          <w:szCs w:val="15"/>
          <w:color w:val="auto"/>
        </w:rPr>
        <w:t>- SHS, our U.S. taxable REIT subsidiary, and Park Holidays sell manufactured homes to current and prospective residents in our communities. We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recognize revenue from home sales pursuant to ASC 606. Manufactured homes are not permanent fixtures or improvements to the underlying real estate and we therefore do not consider them to be subject to the guidance in ASC 360-20, "</w:t>
      </w:r>
      <w:r>
        <w:rPr>
          <w:rFonts w:ascii="Times New Roman" w:cs="Times New Roman" w:eastAsia="Times New Roman" w:hAnsi="Times New Roman"/>
          <w:sz w:val="15"/>
          <w:szCs w:val="15"/>
          <w:i w:val="1"/>
          <w:iCs w:val="1"/>
          <w:color w:val="auto"/>
        </w:rPr>
        <w:t>Real Estate Sales</w:t>
      </w:r>
      <w:r>
        <w:rPr>
          <w:rFonts w:ascii="Times New Roman" w:cs="Times New Roman" w:eastAsia="Times New Roman" w:hAnsi="Times New Roman"/>
          <w:sz w:val="15"/>
          <w:szCs w:val="15"/>
          <w:color w:val="auto"/>
        </w:rPr>
        <w:t>." In accordance with ASC 606, we recognize revenue from home sales at the time of closing when control of the home transfers to the customer. After closing of the sale transaction, we have no remaining performance obligation. As of December 31, 2025 and 2024, we had $15.6 million and $24.5 million, respectively, of receivables from contracts with customers, which consists of home sales proceeds, and are presented as a component of Notes and other receivables, net on our Consolidated Balance Sheets. These receivables represent balances owed to us for previously completed performance obligations for sales of manufactured homes.</w:t>
      </w:r>
    </w:p>
    <w:p>
      <w:pPr>
        <w:spacing w:after="0" w:line="246"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5"/>
          <w:szCs w:val="15"/>
          <w:i w:val="1"/>
          <w:iCs w:val="1"/>
          <w:color w:val="auto"/>
        </w:rPr>
        <w:t xml:space="preserve">Ancillary </w:t>
      </w:r>
      <w:r>
        <w:rPr>
          <w:rFonts w:ascii="Times New Roman" w:cs="Times New Roman" w:eastAsia="Times New Roman" w:hAnsi="Times New Roman"/>
          <w:sz w:val="15"/>
          <w:szCs w:val="15"/>
          <w:color w:val="auto"/>
        </w:rPr>
        <w:t>- ancillary revenues are primarily composed of proceeds from restaurant, golf, merchandise, retail, service, and other activities at our MH and RV communities. Revenues at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communities in the UK are recognized at the point of sale when control of the good or service transfers to the customer and our performance obligation has been satisfied.</w:t>
      </w:r>
    </w:p>
    <w:p>
      <w:pPr>
        <w:spacing w:after="0" w:line="32"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5"/>
          <w:szCs w:val="15"/>
          <w:i w:val="1"/>
          <w:iCs w:val="1"/>
          <w:color w:val="auto"/>
        </w:rPr>
        <w:t xml:space="preserve">Interest income </w:t>
      </w:r>
      <w:r>
        <w:rPr>
          <w:rFonts w:ascii="Times New Roman" w:cs="Times New Roman" w:eastAsia="Times New Roman" w:hAnsi="Times New Roman"/>
          <w:sz w:val="15"/>
          <w:szCs w:val="15"/>
          <w:color w:val="auto"/>
        </w:rPr>
        <w:t>- is earned primarily on our cash balances and notes receivable. For our notes receivable, interest income is accrued based on the unpaid principal balances of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underlying loans on a contractual yield basis over the life of the loan. Refer to Note 4, "Notes and Other Receivables," for additional information.</w:t>
      </w:r>
    </w:p>
    <w:p>
      <w:pPr>
        <w:spacing w:after="0" w:line="3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i w:val="1"/>
          <w:iCs w:val="1"/>
          <w:color w:val="auto"/>
        </w:rPr>
        <w:t xml:space="preserve">Brokerage commissions and other, net </w:t>
      </w:r>
      <w:r>
        <w:rPr>
          <w:rFonts w:ascii="Times New Roman" w:cs="Times New Roman" w:eastAsia="Times New Roman" w:hAnsi="Times New Roman"/>
          <w:sz w:val="15"/>
          <w:szCs w:val="15"/>
          <w:color w:val="auto"/>
        </w:rPr>
        <w:t>- comprise brokerage commissions for sales of manufactured homes at our communities, where we act as agent and arrange for a third party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transfer a manufactured home or a park model to a customer within one of our properties. Brokerage commission revenues are accounted for in accordance with ASC 606, and are recognized on a net basis at closing when the transaction is completed and our performance obligations have been fulfilled. Other revenues primarily include prepaid rent adjustments, proceeds from business interruption insurance, dividend income, and management fees earned from managing third-party-owned holiday parks.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Advertising Costs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Advertising costs are expensed as incurred. As of December 31, 2025, 2024, and 2023, we had advertising costs of $28.8 million, $34.1 million, and $33.8 million, respectively.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Depreciation and Amortization</w:t>
      </w:r>
    </w:p>
    <w:p>
      <w:pPr>
        <w:spacing w:after="0" w:line="109"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color w:val="auto"/>
        </w:rPr>
        <w:t>Depreciation and amortization are computed on a straight-line basis over the estimated useful lives of the assets, ranging from four years to 30 years depending upon the asset classification.</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60" w:type="dxa"/>
            <w:vAlign w:val="bottom"/>
            <w:gridSpan w:val="2"/>
          </w:tcPr>
          <w:p>
            <w:pPr>
              <w:ind w:left="2460"/>
              <w:spacing w:after="0"/>
              <w:rPr>
                <w:sz w:val="20"/>
                <w:szCs w:val="20"/>
                <w:color w:val="auto"/>
              </w:rPr>
            </w:pPr>
            <w:r>
              <w:rPr>
                <w:rFonts w:ascii="Times New Roman" w:cs="Times New Roman" w:eastAsia="Times New Roman" w:hAnsi="Times New Roman"/>
                <w:sz w:val="13"/>
                <w:szCs w:val="13"/>
                <w:b w:val="1"/>
                <w:bCs w:val="1"/>
                <w:color w:val="auto"/>
              </w:rPr>
              <w:t>Asset Class</w:t>
            </w:r>
          </w:p>
        </w:tc>
        <w:tc>
          <w:tcPr>
            <w:tcW w:w="560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Useful Life</w:t>
            </w:r>
          </w:p>
        </w:tc>
      </w:tr>
      <w:tr>
        <w:trPr>
          <w:trHeight w:val="168"/>
        </w:trPr>
        <w:tc>
          <w:tcPr>
            <w:tcW w:w="558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Land improvements and buildings</w:t>
            </w:r>
          </w:p>
        </w:tc>
        <w:tc>
          <w:tcPr>
            <w:tcW w:w="80" w:type="dxa"/>
            <w:vAlign w:val="bottom"/>
            <w:tcBorders>
              <w:top w:val="single" w:sz="8" w:color="CCEEFF"/>
            </w:tcBorders>
            <w:shd w:val="clear" w:color="auto" w:fill="CCEEFF"/>
          </w:tcPr>
          <w:p>
            <w:pPr>
              <w:spacing w:after="0"/>
              <w:rPr>
                <w:sz w:val="14"/>
                <w:szCs w:val="14"/>
                <w:color w:val="auto"/>
              </w:rPr>
            </w:pPr>
          </w:p>
        </w:tc>
        <w:tc>
          <w:tcPr>
            <w:tcW w:w="2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 years</w:t>
            </w:r>
          </w:p>
        </w:tc>
        <w:tc>
          <w:tcPr>
            <w:tcW w:w="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27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30 years</w:t>
            </w:r>
          </w:p>
        </w:tc>
      </w:tr>
      <w:tr>
        <w:trPr>
          <w:trHeight w:val="172"/>
        </w:trPr>
        <w:tc>
          <w:tcPr>
            <w:tcW w:w="56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Rental homes and improvements</w:t>
            </w:r>
          </w:p>
        </w:tc>
        <w:tc>
          <w:tcPr>
            <w:tcW w:w="560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auto"/>
              </w:rPr>
              <w:t>10 years</w:t>
            </w:r>
          </w:p>
        </w:tc>
      </w:tr>
      <w:tr>
        <w:trPr>
          <w:trHeight w:val="175"/>
        </w:trPr>
        <w:tc>
          <w:tcPr>
            <w:tcW w:w="5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Furniture, fixtures, and equipment</w:t>
            </w: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 years</w:t>
            </w: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2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30 years</w:t>
            </w:r>
          </w:p>
        </w:tc>
      </w:tr>
      <w:tr>
        <w:trPr>
          <w:trHeight w:val="172"/>
        </w:trPr>
        <w:tc>
          <w:tcPr>
            <w:tcW w:w="56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Computer hardware and software</w:t>
            </w:r>
          </w:p>
        </w:tc>
        <w:tc>
          <w:tcPr>
            <w:tcW w:w="560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auto"/>
                <w:w w:val="96"/>
              </w:rPr>
              <w:t>4 years</w:t>
            </w:r>
          </w:p>
        </w:tc>
      </w:tr>
      <w:tr>
        <w:trPr>
          <w:trHeight w:val="175"/>
        </w:trPr>
        <w:tc>
          <w:tcPr>
            <w:tcW w:w="5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Site improvements</w:t>
            </w: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 years</w:t>
            </w: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2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30 years</w:t>
            </w:r>
          </w:p>
        </w:tc>
      </w:tr>
      <w:tr>
        <w:trPr>
          <w:trHeight w:val="172"/>
        </w:trPr>
        <w:tc>
          <w:tcPr>
            <w:tcW w:w="56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Leasehold improvements</w:t>
            </w:r>
          </w:p>
        </w:tc>
        <w:tc>
          <w:tcPr>
            <w:tcW w:w="560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auto"/>
              </w:rPr>
              <w:t>Lesser of lease term or useful life of assets</w:t>
            </w:r>
          </w:p>
        </w:tc>
      </w:tr>
      <w:tr>
        <w:trPr>
          <w:trHeight w:val="175"/>
        </w:trPr>
        <w:tc>
          <w:tcPr>
            <w:tcW w:w="5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In-place leases</w:t>
            </w:r>
          </w:p>
        </w:tc>
        <w:tc>
          <w:tcPr>
            <w:tcW w:w="56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7 years</w:t>
            </w:r>
          </w:p>
        </w:tc>
      </w:tr>
      <w:tr>
        <w:trPr>
          <w:trHeight w:val="172"/>
        </w:trPr>
        <w:tc>
          <w:tcPr>
            <w:tcW w:w="56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Trademarks and trade names</w:t>
            </w:r>
          </w:p>
        </w:tc>
        <w:tc>
          <w:tcPr>
            <w:tcW w:w="560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auto"/>
              </w:rPr>
              <w:t>15 years</w:t>
            </w:r>
          </w:p>
        </w:tc>
      </w:tr>
      <w:tr>
        <w:trPr>
          <w:trHeight w:val="175"/>
        </w:trPr>
        <w:tc>
          <w:tcPr>
            <w:tcW w:w="5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Customer relationships</w:t>
            </w:r>
          </w:p>
        </w:tc>
        <w:tc>
          <w:tcPr>
            <w:tcW w:w="56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4 years</w:t>
            </w:r>
          </w:p>
        </w:tc>
      </w:tr>
      <w:tr>
        <w:trPr>
          <w:trHeight w:val="171"/>
        </w:trPr>
        <w:tc>
          <w:tcPr>
            <w:tcW w:w="56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Franchise agreements and other intangible assets</w:t>
            </w:r>
          </w:p>
        </w:tc>
        <w:tc>
          <w:tcPr>
            <w:tcW w:w="2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 years</w:t>
            </w:r>
          </w:p>
        </w:tc>
        <w:tc>
          <w:tcPr>
            <w:tcW w:w="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2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27 years</w:t>
            </w:r>
          </w:p>
        </w:tc>
      </w:tr>
    </w:tbl>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Foreign Currency</w:t>
      </w:r>
    </w:p>
    <w:p>
      <w:pPr>
        <w:spacing w:after="0" w:line="10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The assets and liabilities of our operations in the UK, Canada, and Australia, where the functional currency is the British pound sterling, Canadian dollar, and Australian dollar, respectively, are translated into U.S. dollars using the exchange rate in effect as of the balance sheet date. Income statement amounts are translated at the average exchange rate prevailing during the period. The resulting translation adjustments are recorded as a component of Accumulated other comprehensive income / (loss) ("AOCI"). Foreign currency exchange gains and losses arising from fluctuations in currency exchange rates on transactions and the effects of remeasurement of monetary balances denominated in currencies other than the functional currency are recorded in earnings within Gain / (loss) on foreign currency exchanges on the Consolidated Statements of Operations.</w:t>
      </w:r>
    </w:p>
    <w:p>
      <w:pPr>
        <w:spacing w:after="0" w:line="59"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color w:val="auto"/>
        </w:rPr>
        <w:t>For the years ended December 31, 2025, 2024, and 2023, we recorded a foreign currency exchange gain of $26.7 million, a loss of $25.8 million, and a loss of $0.3 million, respectively, on our Consolidated Statements of Operations.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Derivative Instruments and Hedging Activities</w:t>
      </w:r>
    </w:p>
    <w:p>
      <w:pPr>
        <w:spacing w:after="0" w:line="1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We enter into derivative instruments for risk management purposes to minimize the effect of interest rate changes on future cash outflows related to outstanding floating rate debt and forecasted issuances of long-term debt, and the benchmark interest rates used are the SOFR and the SONIA Rates. Treasury rate lock contracts, interest rate swaps, and forward swaps are used to accomplish this objective. We do not enter into derivative instruments for speculative purposes. At December 31, 2025, we did not have any outstanding derivative contracts. Refer to Note 13, "Derivative Financial Instruments," for additional information regarding derivative activity.</w:t>
      </w:r>
    </w:p>
    <w:p>
      <w:pPr>
        <w:spacing w:after="0" w:line="57"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5"/>
          <w:szCs w:val="15"/>
          <w:color w:val="auto"/>
        </w:rPr>
        <w:t>We recognize derivative instruments at fair value on a recurring basis on the Consolidated Balance Sheets and classify the derivatives within Level 2 of the fair value hierarchy. We adjust our Consolidated Balance Sheets on a quarterly basis to reflect the current fair market value of the derivative instruments. Refer to Note 14, "Fair Value Measurements," for additional information related to the fair value methodology used for derivative financial instruments.</w:t>
      </w:r>
    </w:p>
    <w:p>
      <w:pPr>
        <w:spacing w:after="0" w:line="5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We assess the effectiveness of the derivative instruments in hedging the underlying interest rate exposure both at inception and on an ongoing basis. The unrealized gains or losses on the derivative instruments are recorded in AOCI and are reclassified to Interest expense on the Consolidated Statements of Operations during the same period in which the hedged transaction affects earnings. We estimate that $3.5 million will be reclassified as a reduction to Interest expense, net over the next 12 months for all of our settled cash flow hedges. Cash flow from these derivative instruments is classified in the same category as the cash flow items being hedged on the Consolidated Statements of Cash Flows.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Accounting for Leases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Lessee Accounting</w:t>
      </w:r>
    </w:p>
    <w:p>
      <w:pPr>
        <w:spacing w:after="0" w:line="10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Our operating lease agreements are primarily for land under non-cancelable operating leases at certain properties, executive office spaces, and certain equipment leases. Pursuant to ASC Topic 842, "</w:t>
      </w:r>
      <w:r>
        <w:rPr>
          <w:rFonts w:ascii="Times New Roman" w:cs="Times New Roman" w:eastAsia="Times New Roman" w:hAnsi="Times New Roman"/>
          <w:sz w:val="15"/>
          <w:szCs w:val="15"/>
          <w:i w:val="1"/>
          <w:iCs w:val="1"/>
          <w:color w:val="auto"/>
        </w:rPr>
        <w:t>Leases</w:t>
      </w:r>
      <w:r>
        <w:rPr>
          <w:rFonts w:ascii="Times New Roman" w:cs="Times New Roman" w:eastAsia="Times New Roman" w:hAnsi="Times New Roman"/>
          <w:sz w:val="15"/>
          <w:szCs w:val="15"/>
          <w:color w:val="auto"/>
        </w:rPr>
        <w:t>," we determine if an arrangement contains a lease at inception and most of our leases contain lease and non-lease components. We combine fixed lease and non-lease components and account for them as a single lease component.</w:t>
      </w:r>
    </w:p>
    <w:p>
      <w:pPr>
        <w:spacing w:after="0" w:line="5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For operating leases with a term greater than 12 months, ROU assets and lease liabilities are recognized at the commencement date within Other assets, net and Other liabilities on the Consolidated Balance Sheets. The lease liabilities are measured at the present value of the fixed lease payments at the lease commencement date. The ROU asset is initially measured at cost, which comprises the initial amount of the lease liability adjusted for lease payments made at or before the lease commencement date, plus any initial direct costs incurred, less any lease incentives received, and any adjustments to reflect favorable or unfavorable terms of the lease when compared with market terms. Operating lease costs are recognized on a straight-line basis over the lease term.</w:t>
      </w:r>
    </w:p>
    <w:p>
      <w:pPr>
        <w:spacing w:after="0" w:line="5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Variable lease payments, except for payments that depend on an index or rate, are excluded from the calculation of the ROU assets and lease liabilities and are expensed as incurred. As most of our leases do not provide an implicit rate, we use our incremental borrowing rate based on the information available at commencement date in determining the present value of lease payments. Many of our lessee agreements include options to extend the lease, which we do not include in our minimum lease terms unless the extension is reasonably certain of being exercised. For operating leases with a term of 12 months or less, we elected the practical expedient to recognize lease expense on a straight-line basis over the term of the lease, with no asset or liability recognized on the Consolidated Balance Sheets.</w:t>
      </w:r>
    </w:p>
    <w:p>
      <w:pPr>
        <w:spacing w:after="0" w:line="5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Finance leases where we are the lessee primarily relate to ground leases for land and are included in Investment property, net and Other liabilities on our Consolidated Balance Sheets. The lease liabilities are initially measured in the same manner as operating leases and are subsequently measured at amortized cost using the effective interest method. Refer to Note 16, "Leases," for information regarding leasing activities.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Lessor Accounting</w:t>
      </w:r>
    </w:p>
    <w:p>
      <w:pPr>
        <w:spacing w:after="0" w:line="109"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color w:val="auto"/>
        </w:rPr>
        <w:t>As detailed in the Revenue Recognition section, our income from real property at our communities is derived from rental agreements with our residents and customers where we are the lessor, which we classify as operating leases under ASC Topic 842, "</w:t>
      </w:r>
      <w:r>
        <w:rPr>
          <w:rFonts w:ascii="Times New Roman" w:cs="Times New Roman" w:eastAsia="Times New Roman" w:hAnsi="Times New Roman"/>
          <w:sz w:val="15"/>
          <w:szCs w:val="15"/>
          <w:i w:val="1"/>
          <w:iCs w:val="1"/>
          <w:color w:val="auto"/>
        </w:rPr>
        <w:t>Leases</w:t>
      </w:r>
      <w:r>
        <w:rPr>
          <w:rFonts w:ascii="Times New Roman" w:cs="Times New Roman" w:eastAsia="Times New Roman" w:hAnsi="Times New Roman"/>
          <w:sz w:val="15"/>
          <w:szCs w:val="15"/>
          <w:color w:val="auto"/>
        </w:rPr>
        <w:t>." Nearly all of our operating leases are for a time period not to exceed one year or month-to-month.</w:t>
      </w:r>
    </w:p>
    <w:p>
      <w:pPr>
        <w:spacing w:after="0" w:line="3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Fixed lease income from customers is recognized on a straight-line basis over the term of the relevant lease agreement and is included within Income from real property and Brokerage commissions and other revenue, net on the Consolidated Statements of Operations. When collectability is not reasonably assured, the resident is placed on non-accrual status and revenue is recognized when cash payments are received.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2. Assets Held for Sale and Discontinued Operations</w:t>
      </w:r>
    </w:p>
    <w:p>
      <w:pPr>
        <w:spacing w:after="0" w:line="10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In February 2025, we entered into the Safe Harbor Sale, which represented a strategic shift in operations. Accordingly, the results of the marina business and assets and liabilities included in the Safe Harbor Sale have been presented as discontinued operations through the final closing date of August 29, 2025 under ASC 205-20, "</w:t>
      </w:r>
      <w:r>
        <w:rPr>
          <w:rFonts w:ascii="Times New Roman" w:cs="Times New Roman" w:eastAsia="Times New Roman" w:hAnsi="Times New Roman"/>
          <w:sz w:val="15"/>
          <w:szCs w:val="15"/>
          <w:i w:val="1"/>
          <w:iCs w:val="1"/>
          <w:color w:val="auto"/>
        </w:rPr>
        <w:t>Presentation of Financial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Statements: Discontinued Operations</w:t>
      </w:r>
      <w:r>
        <w:rPr>
          <w:rFonts w:ascii="Times New Roman" w:cs="Times New Roman" w:eastAsia="Times New Roman" w:hAnsi="Times New Roman"/>
          <w:sz w:val="15"/>
          <w:szCs w:val="15"/>
          <w:color w:val="auto"/>
        </w:rPr>
        <w:t>."</w:t>
      </w:r>
    </w:p>
    <w:p>
      <w:pPr>
        <w:spacing w:after="0" w:line="5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During the three months ended June 30, 2025, we completed the initial closing of the Safe Harbor Sale, which generated approximately $5.25 billion of pre-tax cash proceeds, net of transaction costs. The subsequent closing of the transfer of subsidiaries owning 15 of Safe Harbor's properties (the "Delayed Consent Subsidiaries") with an aggregate agreed value of approximately $250.0 million was further subject to the receipt of certain third-party consents. Subsequent to the initial closing through June 30, 2025, we completed the sale of six Delayed Consent Subsidiaries for $136.7 million. On August 29, 2025, we completed the closing of the final nine Delayed Consent Subsidiaries for $117.5 million and fully divested our investment in the Safe Harbor business. In connection with the Safe Harbor Sale, we recorded a gain of $1.5 billion during the year ended December 31, 2025</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sets forth a summary of assets and liabilities attributable to discontinued operations related to Safe Harbor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86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168"/>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Land</w:t>
            </w:r>
          </w:p>
        </w:tc>
        <w:tc>
          <w:tcPr>
            <w:tcW w:w="1380" w:type="dxa"/>
            <w:vAlign w:val="bottom"/>
          </w:tcPr>
          <w:p>
            <w:pPr>
              <w:jc w:val="right"/>
              <w:ind w:right="1234"/>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1,049.5</w:t>
            </w:r>
          </w:p>
        </w:tc>
        <w:tc>
          <w:tcPr>
            <w:tcW w:w="0" w:type="dxa"/>
            <w:vAlign w:val="bottom"/>
          </w:tcPr>
          <w:p>
            <w:pPr>
              <w:spacing w:after="0"/>
              <w:rPr>
                <w:sz w:val="1"/>
                <w:szCs w:val="1"/>
                <w:color w:val="auto"/>
              </w:rPr>
            </w:pPr>
          </w:p>
        </w:tc>
      </w:tr>
      <w:tr>
        <w:trPr>
          <w:trHeight w:val="175"/>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Land improvements and buildings</w:t>
            </w:r>
          </w:p>
        </w:tc>
        <w:tc>
          <w:tcPr>
            <w:tcW w:w="138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2,401.9</w:t>
            </w:r>
          </w:p>
        </w:tc>
        <w:tc>
          <w:tcPr>
            <w:tcW w:w="0" w:type="dxa"/>
            <w:vAlign w:val="bottom"/>
          </w:tcPr>
          <w:p>
            <w:pPr>
              <w:spacing w:after="0"/>
              <w:rPr>
                <w:sz w:val="1"/>
                <w:szCs w:val="1"/>
                <w:color w:val="auto"/>
              </w:rPr>
            </w:pPr>
          </w:p>
        </w:tc>
      </w:tr>
      <w:tr>
        <w:trPr>
          <w:trHeight w:val="172"/>
        </w:trPr>
        <w:tc>
          <w:tcPr>
            <w:tcW w:w="7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Furniture, fixtures and equipment</w:t>
            </w:r>
          </w:p>
        </w:tc>
        <w:tc>
          <w:tcPr>
            <w:tcW w:w="1380" w:type="dxa"/>
            <w:vAlign w:val="bottom"/>
          </w:tcPr>
          <w:p>
            <w:pPr>
              <w:spacing w:after="0"/>
              <w:rPr>
                <w:sz w:val="14"/>
                <w:szCs w:val="14"/>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369.2</w:t>
            </w:r>
          </w:p>
        </w:tc>
        <w:tc>
          <w:tcPr>
            <w:tcW w:w="0" w:type="dxa"/>
            <w:vAlign w:val="bottom"/>
          </w:tcPr>
          <w:p>
            <w:pPr>
              <w:spacing w:after="0"/>
              <w:rPr>
                <w:sz w:val="1"/>
                <w:szCs w:val="1"/>
                <w:color w:val="auto"/>
              </w:rPr>
            </w:pPr>
          </w:p>
        </w:tc>
      </w:tr>
      <w:tr>
        <w:trPr>
          <w:trHeight w:val="167"/>
        </w:trPr>
        <w:tc>
          <w:tcPr>
            <w:tcW w:w="78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Investment property</w:t>
            </w:r>
          </w:p>
        </w:tc>
        <w:tc>
          <w:tcPr>
            <w:tcW w:w="13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3,820.6</w:t>
            </w:r>
          </w:p>
        </w:tc>
        <w:tc>
          <w:tcPr>
            <w:tcW w:w="0" w:type="dxa"/>
            <w:vAlign w:val="bottom"/>
          </w:tcPr>
          <w:p>
            <w:pPr>
              <w:spacing w:after="0"/>
              <w:rPr>
                <w:sz w:val="1"/>
                <w:szCs w:val="1"/>
                <w:color w:val="auto"/>
              </w:rPr>
            </w:pPr>
          </w:p>
        </w:tc>
      </w:tr>
      <w:tr>
        <w:trPr>
          <w:trHeight w:val="172"/>
        </w:trPr>
        <w:tc>
          <w:tcPr>
            <w:tcW w:w="7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Accumulated depreciation</w:t>
            </w:r>
          </w:p>
        </w:tc>
        <w:tc>
          <w:tcPr>
            <w:tcW w:w="1380" w:type="dxa"/>
            <w:vAlign w:val="bottom"/>
          </w:tcPr>
          <w:p>
            <w:pPr>
              <w:spacing w:after="0"/>
              <w:rPr>
                <w:sz w:val="14"/>
                <w:szCs w:val="14"/>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(512.6)</w:t>
            </w:r>
          </w:p>
        </w:tc>
        <w:tc>
          <w:tcPr>
            <w:tcW w:w="0" w:type="dxa"/>
            <w:vAlign w:val="bottom"/>
          </w:tcPr>
          <w:p>
            <w:pPr>
              <w:spacing w:after="0"/>
              <w:rPr>
                <w:sz w:val="1"/>
                <w:szCs w:val="1"/>
                <w:color w:val="auto"/>
              </w:rPr>
            </w:pPr>
          </w:p>
        </w:tc>
      </w:tr>
      <w:tr>
        <w:trPr>
          <w:trHeight w:val="167"/>
        </w:trPr>
        <w:tc>
          <w:tcPr>
            <w:tcW w:w="78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Investment property, net</w:t>
            </w:r>
          </w:p>
        </w:tc>
        <w:tc>
          <w:tcPr>
            <w:tcW w:w="13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3,308.0</w:t>
            </w:r>
          </w:p>
        </w:tc>
        <w:tc>
          <w:tcPr>
            <w:tcW w:w="0" w:type="dxa"/>
            <w:vAlign w:val="bottom"/>
          </w:tcPr>
          <w:p>
            <w:pPr>
              <w:spacing w:after="0"/>
              <w:rPr>
                <w:sz w:val="1"/>
                <w:szCs w:val="1"/>
                <w:color w:val="auto"/>
              </w:rPr>
            </w:pPr>
          </w:p>
        </w:tc>
      </w:tr>
      <w:tr>
        <w:trPr>
          <w:trHeight w:val="172"/>
        </w:trPr>
        <w:tc>
          <w:tcPr>
            <w:tcW w:w="7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Cash, cash equivalents and restricted cash</w:t>
            </w:r>
          </w:p>
        </w:tc>
        <w:tc>
          <w:tcPr>
            <w:tcW w:w="1380" w:type="dxa"/>
            <w:vAlign w:val="bottom"/>
          </w:tcPr>
          <w:p>
            <w:pPr>
              <w:spacing w:after="0"/>
              <w:rPr>
                <w:sz w:val="14"/>
                <w:szCs w:val="14"/>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0" w:type="dxa"/>
            <w:vAlign w:val="bottom"/>
          </w:tcPr>
          <w:p>
            <w:pPr>
              <w:spacing w:after="0"/>
              <w:rPr>
                <w:sz w:val="1"/>
                <w:szCs w:val="1"/>
                <w:color w:val="auto"/>
              </w:rPr>
            </w:pPr>
          </w:p>
        </w:tc>
      </w:tr>
      <w:tr>
        <w:trPr>
          <w:trHeight w:val="175"/>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Notes and other receivables, net</w:t>
            </w:r>
          </w:p>
        </w:tc>
        <w:tc>
          <w:tcPr>
            <w:tcW w:w="138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53.9</w:t>
            </w:r>
          </w:p>
        </w:tc>
        <w:tc>
          <w:tcPr>
            <w:tcW w:w="0" w:type="dxa"/>
            <w:vAlign w:val="bottom"/>
          </w:tcPr>
          <w:p>
            <w:pPr>
              <w:spacing w:after="0"/>
              <w:rPr>
                <w:sz w:val="1"/>
                <w:szCs w:val="1"/>
                <w:color w:val="auto"/>
              </w:rPr>
            </w:pPr>
          </w:p>
        </w:tc>
      </w:tr>
      <w:tr>
        <w:trPr>
          <w:trHeight w:val="172"/>
        </w:trPr>
        <w:tc>
          <w:tcPr>
            <w:tcW w:w="7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Goodwill</w:t>
            </w:r>
          </w:p>
        </w:tc>
        <w:tc>
          <w:tcPr>
            <w:tcW w:w="1380" w:type="dxa"/>
            <w:vAlign w:val="bottom"/>
          </w:tcPr>
          <w:p>
            <w:pPr>
              <w:spacing w:after="0"/>
              <w:rPr>
                <w:sz w:val="14"/>
                <w:szCs w:val="14"/>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541.7</w:t>
            </w:r>
          </w:p>
        </w:tc>
        <w:tc>
          <w:tcPr>
            <w:tcW w:w="0" w:type="dxa"/>
            <w:vAlign w:val="bottom"/>
          </w:tcPr>
          <w:p>
            <w:pPr>
              <w:spacing w:after="0"/>
              <w:rPr>
                <w:sz w:val="1"/>
                <w:szCs w:val="1"/>
                <w:color w:val="auto"/>
              </w:rPr>
            </w:pPr>
          </w:p>
        </w:tc>
      </w:tr>
      <w:tr>
        <w:trPr>
          <w:trHeight w:val="175"/>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intangible assets, net</w:t>
            </w:r>
          </w:p>
        </w:tc>
        <w:tc>
          <w:tcPr>
            <w:tcW w:w="138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236.4</w:t>
            </w:r>
          </w:p>
        </w:tc>
        <w:tc>
          <w:tcPr>
            <w:tcW w:w="0" w:type="dxa"/>
            <w:vAlign w:val="bottom"/>
          </w:tcPr>
          <w:p>
            <w:pPr>
              <w:spacing w:after="0"/>
              <w:rPr>
                <w:sz w:val="1"/>
                <w:szCs w:val="1"/>
                <w:color w:val="auto"/>
              </w:rPr>
            </w:pPr>
          </w:p>
        </w:tc>
      </w:tr>
      <w:tr>
        <w:trPr>
          <w:trHeight w:val="172"/>
        </w:trPr>
        <w:tc>
          <w:tcPr>
            <w:tcW w:w="7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assets, net</w:t>
            </w:r>
          </w:p>
        </w:tc>
        <w:tc>
          <w:tcPr>
            <w:tcW w:w="1380" w:type="dxa"/>
            <w:vAlign w:val="bottom"/>
          </w:tcPr>
          <w:p>
            <w:pPr>
              <w:spacing w:after="0"/>
              <w:rPr>
                <w:sz w:val="14"/>
                <w:szCs w:val="14"/>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267.7</w:t>
            </w:r>
          </w:p>
        </w:tc>
        <w:tc>
          <w:tcPr>
            <w:tcW w:w="0" w:type="dxa"/>
            <w:vAlign w:val="bottom"/>
          </w:tcPr>
          <w:p>
            <w:pPr>
              <w:spacing w:after="0"/>
              <w:rPr>
                <w:sz w:val="1"/>
                <w:szCs w:val="1"/>
                <w:color w:val="auto"/>
              </w:rPr>
            </w:pPr>
          </w:p>
        </w:tc>
      </w:tr>
      <w:tr>
        <w:trPr>
          <w:trHeight w:val="192"/>
        </w:trPr>
        <w:tc>
          <w:tcPr>
            <w:tcW w:w="786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380" w:type="dxa"/>
            <w:vAlign w:val="bottom"/>
            <w:tcBorders>
              <w:top w:val="single" w:sz="8" w:color="auto"/>
              <w:bottom w:val="single" w:sz="8" w:color="auto"/>
            </w:tcBorders>
            <w:shd w:val="clear" w:color="auto" w:fill="CCEEFF"/>
          </w:tcPr>
          <w:p>
            <w:pPr>
              <w:jc w:val="right"/>
              <w:ind w:right="1234"/>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4,414.5</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7860" w:type="dxa"/>
            <w:vAlign w:val="bottom"/>
            <w:vMerge w:val="continue"/>
          </w:tcPr>
          <w:p>
            <w:pPr>
              <w:spacing w:after="0"/>
              <w:rPr>
                <w:sz w:val="11"/>
                <w:szCs w:val="11"/>
                <w:color w:val="auto"/>
              </w:rPr>
            </w:pPr>
          </w:p>
        </w:tc>
        <w:tc>
          <w:tcPr>
            <w:tcW w:w="1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Advanced reservation deposits and rent</w:t>
            </w:r>
          </w:p>
        </w:tc>
        <w:tc>
          <w:tcPr>
            <w:tcW w:w="1380" w:type="dxa"/>
            <w:vAlign w:val="bottom"/>
            <w:shd w:val="clear" w:color="auto" w:fill="CCEEFF"/>
          </w:tcPr>
          <w:p>
            <w:pPr>
              <w:jc w:val="right"/>
              <w:ind w:right="1234"/>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81.6</w:t>
            </w:r>
          </w:p>
        </w:tc>
        <w:tc>
          <w:tcPr>
            <w:tcW w:w="0" w:type="dxa"/>
            <w:vAlign w:val="bottom"/>
          </w:tcPr>
          <w:p>
            <w:pPr>
              <w:spacing w:after="0"/>
              <w:rPr>
                <w:sz w:val="1"/>
                <w:szCs w:val="1"/>
                <w:color w:val="auto"/>
              </w:rPr>
            </w:pPr>
          </w:p>
        </w:tc>
      </w:tr>
      <w:tr>
        <w:trPr>
          <w:trHeight w:val="172"/>
        </w:trPr>
        <w:tc>
          <w:tcPr>
            <w:tcW w:w="7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Accrued expenses and accounts payable</w:t>
            </w:r>
          </w:p>
        </w:tc>
        <w:tc>
          <w:tcPr>
            <w:tcW w:w="1380" w:type="dxa"/>
            <w:vAlign w:val="bottom"/>
          </w:tcPr>
          <w:p>
            <w:pPr>
              <w:spacing w:after="0"/>
              <w:rPr>
                <w:sz w:val="14"/>
                <w:szCs w:val="14"/>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44.3</w:t>
            </w:r>
          </w:p>
        </w:tc>
        <w:tc>
          <w:tcPr>
            <w:tcW w:w="0" w:type="dxa"/>
            <w:vAlign w:val="bottom"/>
          </w:tcPr>
          <w:p>
            <w:pPr>
              <w:spacing w:after="0"/>
              <w:rPr>
                <w:sz w:val="1"/>
                <w:szCs w:val="1"/>
                <w:color w:val="auto"/>
              </w:rPr>
            </w:pPr>
          </w:p>
        </w:tc>
      </w:tr>
      <w:tr>
        <w:trPr>
          <w:trHeight w:val="175"/>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liabilities</w:t>
            </w:r>
          </w:p>
        </w:tc>
        <w:tc>
          <w:tcPr>
            <w:tcW w:w="138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161.0</w:t>
            </w:r>
          </w:p>
        </w:tc>
        <w:tc>
          <w:tcPr>
            <w:tcW w:w="0" w:type="dxa"/>
            <w:vAlign w:val="bottom"/>
          </w:tcPr>
          <w:p>
            <w:pPr>
              <w:spacing w:after="0"/>
              <w:rPr>
                <w:sz w:val="1"/>
                <w:szCs w:val="1"/>
                <w:color w:val="auto"/>
              </w:rPr>
            </w:pPr>
          </w:p>
        </w:tc>
      </w:tr>
      <w:tr>
        <w:trPr>
          <w:trHeight w:val="165"/>
        </w:trPr>
        <w:tc>
          <w:tcPr>
            <w:tcW w:w="7860" w:type="dxa"/>
            <w:vAlign w:val="bottom"/>
          </w:tcPr>
          <w:p>
            <w:pPr>
              <w:ind w:left="40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1380" w:type="dxa"/>
            <w:vAlign w:val="bottom"/>
            <w:tcBorders>
              <w:top w:val="single" w:sz="8" w:color="auto"/>
              <w:bottom w:val="single" w:sz="8" w:color="auto"/>
            </w:tcBorders>
          </w:tcPr>
          <w:p>
            <w:pPr>
              <w:jc w:val="right"/>
              <w:ind w:right="1234"/>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286.9</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73" w:name="page74"/>
    <w:bookmarkEnd w:id="73"/>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The following table sets forth a summary of the operating results included within Income from discontinued operations, net (in millions):</w:t>
      </w:r>
    </w:p>
    <w:p>
      <w:pPr>
        <w:spacing w:after="0" w:line="138" w:lineRule="exact"/>
        <w:rPr>
          <w:sz w:val="20"/>
          <w:szCs w:val="20"/>
          <w:color w:val="auto"/>
        </w:rPr>
      </w:pPr>
    </w:p>
    <w:tbl>
      <w:tblPr>
        <w:tblLayout w:type="fixed"/>
        <w:tblInd w:w="7" w:type="dxa"/>
        <w:tblCellMar>
          <w:top w:w="0" w:type="dxa"/>
          <w:left w:w="0" w:type="dxa"/>
          <w:bottom w:w="0" w:type="dxa"/>
          <w:right w:w="0" w:type="dxa"/>
        </w:tblCellMar>
      </w:tblPr>
      <w:tr>
        <w:trPr>
          <w:trHeight w:val="176"/>
        </w:trPr>
        <w:tc>
          <w:tcPr>
            <w:tcW w:w="68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168"/>
        </w:trPr>
        <w:tc>
          <w:tcPr>
            <w:tcW w:w="684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2025</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4"/>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9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172"/>
        </w:trPr>
        <w:tc>
          <w:tcPr>
            <w:tcW w:w="6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Real property</w:t>
            </w:r>
          </w:p>
        </w:tc>
        <w:tc>
          <w:tcPr>
            <w:tcW w:w="940" w:type="dxa"/>
            <w:vAlign w:val="bottom"/>
          </w:tcPr>
          <w:p>
            <w:pPr>
              <w:jc w:val="right"/>
              <w:ind w:right="794"/>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145.9</w:t>
            </w:r>
          </w:p>
        </w:tc>
        <w:tc>
          <w:tcPr>
            <w:tcW w:w="400" w:type="dxa"/>
            <w:vAlign w:val="bottom"/>
            <w:gridSpan w:val="2"/>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460.3</w:t>
            </w:r>
          </w:p>
        </w:tc>
        <w:tc>
          <w:tcPr>
            <w:tcW w:w="80" w:type="dxa"/>
            <w:vAlign w:val="bottom"/>
          </w:tcPr>
          <w:p>
            <w:pPr>
              <w:spacing w:after="0"/>
              <w:rPr>
                <w:sz w:val="14"/>
                <w:szCs w:val="14"/>
                <w:color w:val="auto"/>
              </w:rPr>
            </w:pPr>
          </w:p>
        </w:tc>
        <w:tc>
          <w:tcPr>
            <w:tcW w:w="32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431.6</w:t>
            </w:r>
          </w:p>
        </w:tc>
      </w:tr>
      <w:tr>
        <w:trPr>
          <w:trHeight w:val="175"/>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Service, retail, dining and entertainment revenue</w:t>
            </w: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164.7</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494.4</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501.3</w:t>
            </w:r>
          </w:p>
        </w:tc>
      </w:tr>
      <w:tr>
        <w:trPr>
          <w:trHeight w:val="172"/>
        </w:trPr>
        <w:tc>
          <w:tcPr>
            <w:tcW w:w="6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Interest, brokerage commissions and other, net</w:t>
            </w:r>
          </w:p>
        </w:tc>
        <w:tc>
          <w:tcPr>
            <w:tcW w:w="9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w:t>
            </w:r>
          </w:p>
        </w:tc>
      </w:tr>
      <w:tr>
        <w:trPr>
          <w:trHeight w:val="167"/>
        </w:trPr>
        <w:tc>
          <w:tcPr>
            <w:tcW w:w="6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b w:val="1"/>
                <w:bCs w:val="1"/>
                <w:color w:val="auto"/>
              </w:rPr>
              <w:t>Total Revenues</w:t>
            </w:r>
          </w:p>
        </w:tc>
        <w:tc>
          <w:tcPr>
            <w:tcW w:w="9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312.2</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960.6</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940.5</w:t>
            </w:r>
          </w:p>
        </w:tc>
      </w:tr>
      <w:tr>
        <w:trPr>
          <w:trHeight w:val="162"/>
        </w:trPr>
        <w:tc>
          <w:tcPr>
            <w:tcW w:w="68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7"/>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Property operating and maintenance</w:t>
            </w: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53.6</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137.1</w:t>
            </w:r>
          </w:p>
        </w:tc>
      </w:tr>
      <w:tr>
        <w:trPr>
          <w:trHeight w:val="172"/>
        </w:trPr>
        <w:tc>
          <w:tcPr>
            <w:tcW w:w="6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Real estate tax</w:t>
            </w:r>
          </w:p>
        </w:tc>
        <w:tc>
          <w:tcPr>
            <w:tcW w:w="9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w:t>
            </w:r>
          </w:p>
        </w:tc>
      </w:tr>
      <w:tr>
        <w:trPr>
          <w:trHeight w:val="175"/>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Service, retail, dining and entertainment expenses</w:t>
            </w: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155.4</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461.8</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462.1</w:t>
            </w:r>
          </w:p>
        </w:tc>
      </w:tr>
      <w:tr>
        <w:trPr>
          <w:trHeight w:val="174"/>
        </w:trPr>
        <w:tc>
          <w:tcPr>
            <w:tcW w:w="6840" w:type="dxa"/>
            <w:vAlign w:val="bottom"/>
          </w:tcPr>
          <w:p>
            <w:pPr>
              <w:ind w:left="180"/>
              <w:spacing w:after="0" w:line="174" w:lineRule="exact"/>
              <w:rPr>
                <w:sz w:val="20"/>
                <w:szCs w:val="20"/>
                <w:color w:val="auto"/>
              </w:rPr>
            </w:pPr>
            <w:r>
              <w:rPr>
                <w:rFonts w:ascii="Times New Roman" w:cs="Times New Roman" w:eastAsia="Times New Roman" w:hAnsi="Times New Roman"/>
                <w:sz w:val="13"/>
                <w:szCs w:val="13"/>
                <w:color w:val="auto"/>
              </w:rPr>
              <w:t>General and administrative</w:t>
            </w:r>
            <w:r>
              <w:rPr>
                <w:rFonts w:ascii="Times New Roman" w:cs="Times New Roman" w:eastAsia="Times New Roman" w:hAnsi="Times New Roman"/>
                <w:sz w:val="17"/>
                <w:szCs w:val="17"/>
                <w:color w:val="auto"/>
                <w:vertAlign w:val="superscript"/>
              </w:rPr>
              <w:t>(1)</w:t>
            </w:r>
          </w:p>
        </w:tc>
        <w:tc>
          <w:tcPr>
            <w:tcW w:w="9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58.6</w:t>
            </w:r>
          </w:p>
        </w:tc>
      </w:tr>
      <w:tr>
        <w:trPr>
          <w:trHeight w:val="174"/>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Interest expense</w:t>
            </w: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r>
      <w:tr>
        <w:trPr>
          <w:trHeight w:val="172"/>
        </w:trPr>
        <w:tc>
          <w:tcPr>
            <w:tcW w:w="6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Catastrophic event-related charges, net</w:t>
            </w:r>
          </w:p>
        </w:tc>
        <w:tc>
          <w:tcPr>
            <w:tcW w:w="9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r>
      <w:tr>
        <w:trPr>
          <w:trHeight w:val="175"/>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Business combination costs</w:t>
            </w: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6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Depreciation, amortization, and loss on disposal of assets</w:t>
            </w:r>
          </w:p>
        </w:tc>
        <w:tc>
          <w:tcPr>
            <w:tcW w:w="9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165.9</w:t>
            </w:r>
          </w:p>
        </w:tc>
      </w:tr>
      <w:tr>
        <w:trPr>
          <w:trHeight w:val="175"/>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Asset impairments</w:t>
            </w:r>
          </w:p>
        </w:tc>
        <w:tc>
          <w:tcPr>
            <w:tcW w:w="9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164"/>
        </w:trPr>
        <w:tc>
          <w:tcPr>
            <w:tcW w:w="68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b w:val="1"/>
                <w:bCs w:val="1"/>
                <w:color w:val="auto"/>
              </w:rPr>
              <w:t>Total Expenses</w:t>
            </w:r>
          </w:p>
        </w:tc>
        <w:tc>
          <w:tcPr>
            <w:tcW w:w="9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336.9</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895.7</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857.2</w:t>
            </w:r>
          </w:p>
        </w:tc>
      </w:tr>
      <w:tr>
        <w:trPr>
          <w:trHeight w:val="167"/>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Income / (Loss) Before Other Items</w:t>
            </w:r>
          </w:p>
        </w:tc>
        <w:tc>
          <w:tcPr>
            <w:tcW w:w="9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64.9</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83.3</w:t>
            </w:r>
          </w:p>
        </w:tc>
      </w:tr>
      <w:tr>
        <w:trPr>
          <w:trHeight w:val="172"/>
        </w:trPr>
        <w:tc>
          <w:tcPr>
            <w:tcW w:w="6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Gain on disposition of properties, net</w:t>
            </w:r>
          </w:p>
        </w:tc>
        <w:tc>
          <w:tcPr>
            <w:tcW w:w="9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1,463.2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6840" w:type="dxa"/>
            <w:vAlign w:val="bottom"/>
            <w:shd w:val="clear" w:color="auto" w:fill="CCEEFF"/>
          </w:tcPr>
          <w:p>
            <w:pPr>
              <w:ind w:left="180"/>
              <w:spacing w:after="0" w:line="175" w:lineRule="exact"/>
              <w:rPr>
                <w:sz w:val="20"/>
                <w:szCs w:val="20"/>
                <w:color w:val="auto"/>
              </w:rPr>
            </w:pPr>
            <w:r>
              <w:rPr>
                <w:rFonts w:ascii="Times New Roman" w:cs="Times New Roman" w:eastAsia="Times New Roman" w:hAnsi="Times New Roman"/>
                <w:sz w:val="13"/>
                <w:szCs w:val="13"/>
                <w:color w:val="auto"/>
              </w:rPr>
              <w:t>Other income / (expense), net</w:t>
            </w:r>
            <w:r>
              <w:rPr>
                <w:rFonts w:ascii="Times New Roman" w:cs="Times New Roman" w:eastAsia="Times New Roman" w:hAnsi="Times New Roman"/>
                <w:sz w:val="16"/>
                <w:szCs w:val="16"/>
                <w:color w:val="auto"/>
                <w:vertAlign w:val="superscript"/>
              </w:rPr>
              <w:t>(2)</w:t>
            </w:r>
          </w:p>
        </w:tc>
        <w:tc>
          <w:tcPr>
            <w:tcW w:w="9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r>
      <w:tr>
        <w:trPr>
          <w:trHeight w:val="164"/>
        </w:trPr>
        <w:tc>
          <w:tcPr>
            <w:tcW w:w="68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Income from Discontinued Operations, Before Income Taxes</w:t>
            </w:r>
          </w:p>
        </w:tc>
        <w:tc>
          <w:tcPr>
            <w:tcW w:w="9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1,433.1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83.1</w:t>
            </w:r>
          </w:p>
        </w:tc>
      </w:tr>
      <w:tr>
        <w:trPr>
          <w:trHeight w:val="175"/>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Current tax expense (see Note 11)</w:t>
            </w:r>
          </w:p>
        </w:tc>
        <w:tc>
          <w:tcPr>
            <w:tcW w:w="9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w:t>
            </w:r>
          </w:p>
        </w:tc>
      </w:tr>
      <w:tr>
        <w:trPr>
          <w:trHeight w:val="165"/>
        </w:trPr>
        <w:tc>
          <w:tcPr>
            <w:tcW w:w="68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Income from Discontinued Operations, net</w:t>
            </w:r>
          </w:p>
        </w:tc>
        <w:tc>
          <w:tcPr>
            <w:tcW w:w="94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1,429.6</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74.2</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82.3</w:t>
            </w:r>
          </w:p>
        </w:tc>
      </w:tr>
      <w:tr>
        <w:trPr>
          <w:trHeight w:val="20"/>
        </w:trPr>
        <w:tc>
          <w:tcPr>
            <w:tcW w:w="68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ind w:left="147" w:right="20" w:hanging="147"/>
        <w:spacing w:after="0" w:line="231" w:lineRule="auto"/>
        <w:tabs>
          <w:tab w:leader="none" w:pos="136" w:val="left"/>
        </w:tabs>
        <w:numPr>
          <w:ilvl w:val="0"/>
          <w:numId w:val="4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transaction costs of $63.1 million recognized during the year ended December 31, 2025 that were directly attributable to the Safe Harbor Sale, including legal and advisory fees, employee separation costs, and other expenses.</w:t>
      </w:r>
    </w:p>
    <w:p>
      <w:pPr>
        <w:jc w:val="both"/>
        <w:ind w:left="147" w:hanging="147"/>
        <w:spacing w:after="0" w:line="242" w:lineRule="auto"/>
        <w:tabs>
          <w:tab w:leader="none" w:pos="122" w:val="left"/>
        </w:tabs>
        <w:numPr>
          <w:ilvl w:val="0"/>
          <w:numId w:val="41"/>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During the three months ended March 31, 2025, we recorded a contingent consideration expense of $14.6 million related to a tax protection agreement that we entered into with former owners of certain marina properties at the time of acquisition. The tax protection agreement stipulates that we indemnify those owners for certain tax obligations incurred related to the sale of certain marina properties. As a result of the Safe Harbor Sale, we concluded that our tax liability to the former owners was probable of being realized and estimable. During the three months ended December 31, 2025, we recorded a benefit of $9.4 million after completing our 1031 exchange transactions using proceeds from the Safe Harbor Sale and remeasuring the remaining tax liability to a fair value of $0.2 million. Refer to Note 14, "Fair Value Measurements," for additional information.</w:t>
      </w:r>
    </w:p>
    <w:p>
      <w:pPr>
        <w:spacing w:after="0" w:line="8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The following table presents depreciation, amortization, and capital expenditures attributable to discontinued operations related to Safe Harbor (in millions):</w:t>
      </w:r>
    </w:p>
    <w:p>
      <w:pPr>
        <w:spacing w:after="0" w:line="138" w:lineRule="exact"/>
        <w:rPr>
          <w:sz w:val="20"/>
          <w:szCs w:val="20"/>
          <w:color w:val="auto"/>
        </w:rPr>
      </w:pPr>
    </w:p>
    <w:tbl>
      <w:tblPr>
        <w:tblLayout w:type="fixed"/>
        <w:tblInd w:w="7" w:type="dxa"/>
        <w:tblCellMar>
          <w:top w:w="0" w:type="dxa"/>
          <w:left w:w="0" w:type="dxa"/>
          <w:bottom w:w="0" w:type="dxa"/>
          <w:right w:w="0" w:type="dxa"/>
        </w:tblCellMar>
      </w:tblPr>
      <w:tr>
        <w:trPr>
          <w:trHeight w:val="176"/>
        </w:trPr>
        <w:tc>
          <w:tcPr>
            <w:tcW w:w="7960" w:type="dxa"/>
            <w:vAlign w:val="bottom"/>
          </w:tcPr>
          <w:p>
            <w:pPr>
              <w:spacing w:after="0"/>
              <w:rPr>
                <w:sz w:val="15"/>
                <w:szCs w:val="15"/>
                <w:color w:val="auto"/>
              </w:rPr>
            </w:pPr>
          </w:p>
        </w:tc>
        <w:tc>
          <w:tcPr>
            <w:tcW w:w="2780" w:type="dxa"/>
            <w:vAlign w:val="bottom"/>
            <w:tcBorders>
              <w:bottom w:val="single" w:sz="8" w:color="auto"/>
            </w:tcBorders>
            <w:gridSpan w:val="4"/>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520" w:type="dxa"/>
            <w:vAlign w:val="bottom"/>
            <w:tcBorders>
              <w:bottom w:val="single" w:sz="8" w:color="auto"/>
            </w:tcBorders>
          </w:tcPr>
          <w:p>
            <w:pPr>
              <w:spacing w:after="0"/>
              <w:rPr>
                <w:sz w:val="15"/>
                <w:szCs w:val="15"/>
                <w:color w:val="auto"/>
              </w:rPr>
            </w:pPr>
          </w:p>
        </w:tc>
      </w:tr>
      <w:tr>
        <w:trPr>
          <w:trHeight w:val="168"/>
        </w:trPr>
        <w:tc>
          <w:tcPr>
            <w:tcW w:w="796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2025</w:t>
            </w: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2024</w:t>
            </w:r>
          </w:p>
        </w:tc>
        <w:tc>
          <w:tcPr>
            <w:tcW w:w="520" w:type="dxa"/>
            <w:vAlign w:val="bottom"/>
            <w:tcBorders>
              <w:bottom w:val="single" w:sz="8" w:color="auto"/>
            </w:tcBorders>
          </w:tcPr>
          <w:p>
            <w:pPr>
              <w:spacing w:after="0"/>
              <w:rPr>
                <w:sz w:val="14"/>
                <w:szCs w:val="14"/>
                <w:color w:val="auto"/>
              </w:rPr>
            </w:pPr>
          </w:p>
        </w:tc>
      </w:tr>
      <w:tr>
        <w:trPr>
          <w:trHeight w:val="166"/>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Depreciation</w:t>
            </w:r>
          </w:p>
        </w:tc>
        <w:tc>
          <w:tcPr>
            <w:tcW w:w="112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954"/>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168.1</w:t>
            </w:r>
          </w:p>
        </w:tc>
      </w:tr>
      <w:tr>
        <w:trPr>
          <w:trHeight w:val="172"/>
        </w:trPr>
        <w:tc>
          <w:tcPr>
            <w:tcW w:w="7960" w:type="dxa"/>
            <w:vAlign w:val="bottom"/>
          </w:tcPr>
          <w:p>
            <w:pPr>
              <w:spacing w:after="0"/>
              <w:rPr>
                <w:sz w:val="20"/>
                <w:szCs w:val="20"/>
                <w:color w:val="auto"/>
              </w:rPr>
            </w:pPr>
            <w:r>
              <w:rPr>
                <w:rFonts w:ascii="Times New Roman" w:cs="Times New Roman" w:eastAsia="Times New Roman" w:hAnsi="Times New Roman"/>
                <w:sz w:val="13"/>
                <w:szCs w:val="13"/>
                <w:color w:val="auto"/>
              </w:rPr>
              <w:t>Amortization</w:t>
            </w:r>
          </w:p>
        </w:tc>
        <w:tc>
          <w:tcPr>
            <w:tcW w:w="1120" w:type="dxa"/>
            <w:vAlign w:val="bottom"/>
          </w:tcPr>
          <w:p>
            <w:pPr>
              <w:jc w:val="right"/>
              <w:ind w:right="974"/>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80" w:type="dxa"/>
            <w:vAlign w:val="bottom"/>
          </w:tcPr>
          <w:p>
            <w:pPr>
              <w:spacing w:after="0"/>
              <w:rPr>
                <w:sz w:val="14"/>
                <w:szCs w:val="14"/>
                <w:color w:val="auto"/>
              </w:rPr>
            </w:pPr>
          </w:p>
        </w:tc>
        <w:tc>
          <w:tcPr>
            <w:tcW w:w="1100" w:type="dxa"/>
            <w:vAlign w:val="bottom"/>
          </w:tcPr>
          <w:p>
            <w:pPr>
              <w:jc w:val="right"/>
              <w:ind w:right="954"/>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w:t>
            </w:r>
          </w:p>
        </w:tc>
      </w:tr>
      <w:tr>
        <w:trPr>
          <w:trHeight w:val="175"/>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Capital Expenditures</w:t>
            </w:r>
          </w:p>
        </w:tc>
        <w:tc>
          <w:tcPr>
            <w:tcW w:w="112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73.3</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954"/>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183.3</w:t>
            </w:r>
          </w:p>
        </w:tc>
      </w:tr>
    </w:tbl>
    <w:p>
      <w:pPr>
        <w:spacing w:after="0" w:line="14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3. Real Estate Acquisitions and Dispositions</w:t>
      </w:r>
    </w:p>
    <w:p>
      <w:pPr>
        <w:spacing w:after="0" w:line="10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i w:val="1"/>
          <w:iCs w:val="1"/>
          <w:color w:val="auto"/>
        </w:rPr>
        <w:t>2025 Acquisitions and Dispositions</w:t>
      </w:r>
    </w:p>
    <w:p>
      <w:pPr>
        <w:spacing w:after="0" w:line="10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The following acquisitions of real estate properties occurred during the year ended December 31, 2025:</w:t>
      </w:r>
    </w:p>
    <w:p>
      <w:pPr>
        <w:spacing w:after="0" w:line="138" w:lineRule="exact"/>
        <w:rPr>
          <w:sz w:val="20"/>
          <w:szCs w:val="20"/>
          <w:color w:val="auto"/>
        </w:rPr>
      </w:pPr>
    </w:p>
    <w:tbl>
      <w:tblPr>
        <w:tblLayout w:type="fixed"/>
        <w:tblInd w:w="7" w:type="dxa"/>
        <w:tblCellMar>
          <w:top w:w="0" w:type="dxa"/>
          <w:left w:w="0" w:type="dxa"/>
          <w:bottom w:w="0" w:type="dxa"/>
          <w:right w:w="0" w:type="dxa"/>
        </w:tblCellMar>
      </w:tblPr>
      <w:tr>
        <w:trPr>
          <w:trHeight w:val="176"/>
        </w:trPr>
        <w:tc>
          <w:tcPr>
            <w:tcW w:w="5580" w:type="dxa"/>
            <w:vAlign w:val="bottom"/>
            <w:gridSpan w:val="2"/>
          </w:tcPr>
          <w:p>
            <w:pPr>
              <w:ind w:left="2320"/>
              <w:spacing w:after="0"/>
              <w:rPr>
                <w:sz w:val="20"/>
                <w:szCs w:val="20"/>
                <w:color w:val="auto"/>
              </w:rPr>
            </w:pPr>
            <w:r>
              <w:rPr>
                <w:rFonts w:ascii="Times New Roman" w:cs="Times New Roman" w:eastAsia="Times New Roman" w:hAnsi="Times New Roman"/>
                <w:sz w:val="13"/>
                <w:szCs w:val="13"/>
                <w:b w:val="1"/>
                <w:bCs w:val="1"/>
                <w:color w:val="auto"/>
              </w:rPr>
              <w:t>Property Name</w:t>
            </w: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Type</w:t>
            </w:r>
          </w:p>
        </w:tc>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State, Province or Country</w:t>
            </w:r>
          </w:p>
        </w:tc>
        <w:tc>
          <w:tcPr>
            <w:tcW w:w="1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Month Acquired</w:t>
            </w:r>
          </w:p>
        </w:tc>
      </w:tr>
      <w:tr>
        <w:trPr>
          <w:trHeight w:val="168"/>
        </w:trPr>
        <w:tc>
          <w:tcPr>
            <w:tcW w:w="5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Five MH / Two RV Portfolio</w:t>
            </w:r>
          </w:p>
        </w:tc>
        <w:tc>
          <w:tcPr>
            <w:tcW w:w="80" w:type="dxa"/>
            <w:vAlign w:val="bottom"/>
            <w:tcBorders>
              <w:top w:val="single" w:sz="8" w:color="CCEEFF"/>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MH / RV</w:t>
            </w:r>
          </w:p>
        </w:tc>
        <w:tc>
          <w:tcPr>
            <w:tcW w:w="80" w:type="dxa"/>
            <w:vAlign w:val="bottom"/>
            <w:tcBorders>
              <w:top w:val="single" w:sz="8" w:color="CCEEFF"/>
            </w:tcBorders>
            <w:shd w:val="clear" w:color="auto" w:fill="CCEEFF"/>
          </w:tcPr>
          <w:p>
            <w:pPr>
              <w:spacing w:after="0"/>
              <w:rPr>
                <w:sz w:val="14"/>
                <w:szCs w:val="14"/>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Various</w:t>
            </w:r>
          </w:p>
        </w:tc>
        <w:tc>
          <w:tcPr>
            <w:tcW w:w="80" w:type="dxa"/>
            <w:vAlign w:val="bottom"/>
            <w:tcBorders>
              <w:top w:val="single" w:sz="8" w:color="CCEEFF"/>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October</w:t>
            </w:r>
          </w:p>
        </w:tc>
      </w:tr>
      <w:tr>
        <w:trPr>
          <w:trHeight w:val="172"/>
        </w:trPr>
        <w:tc>
          <w:tcPr>
            <w:tcW w:w="5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Marysville Farm</w:t>
            </w: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5"/>
              </w:rPr>
              <w:t>MH</w:t>
            </w:r>
          </w:p>
        </w:tc>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MI</w:t>
            </w:r>
          </w:p>
        </w:tc>
        <w:tc>
          <w:tcPr>
            <w:tcW w:w="16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October</w:t>
            </w:r>
          </w:p>
        </w:tc>
      </w:tr>
      <w:tr>
        <w:trPr>
          <w:trHeight w:val="175"/>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Three MH Portfolio</w:t>
            </w:r>
          </w:p>
        </w:tc>
        <w:tc>
          <w:tcPr>
            <w:tcW w:w="17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5"/>
              </w:rPr>
              <w:t>MH</w:t>
            </w:r>
          </w:p>
        </w:tc>
        <w:tc>
          <w:tcPr>
            <w:tcW w:w="22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rPr>
              <w:t>MI</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October</w:t>
            </w:r>
          </w:p>
        </w:tc>
      </w:tr>
      <w:tr>
        <w:trPr>
          <w:trHeight w:val="172"/>
        </w:trPr>
        <w:tc>
          <w:tcPr>
            <w:tcW w:w="5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Reflections on Silver Lake</w:t>
            </w: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7"/>
              </w:rPr>
              <w:t>MH / RV</w:t>
            </w:r>
          </w:p>
        </w:tc>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FL</w:t>
            </w:r>
          </w:p>
        </w:tc>
        <w:tc>
          <w:tcPr>
            <w:tcW w:w="16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October</w:t>
            </w:r>
          </w:p>
        </w:tc>
      </w:tr>
      <w:tr>
        <w:trPr>
          <w:trHeight w:val="175"/>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The Preserve</w:t>
            </w:r>
          </w:p>
        </w:tc>
        <w:tc>
          <w:tcPr>
            <w:tcW w:w="17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5"/>
              </w:rPr>
              <w:t>MH</w:t>
            </w:r>
          </w:p>
        </w:tc>
        <w:tc>
          <w:tcPr>
            <w:tcW w:w="22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rPr>
              <w:t>FL</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October</w:t>
            </w:r>
          </w:p>
        </w:tc>
      </w:tr>
      <w:tr>
        <w:trPr>
          <w:trHeight w:val="171"/>
        </w:trPr>
        <w:tc>
          <w:tcPr>
            <w:tcW w:w="5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Lakeridge of Eugene</w:t>
            </w: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5"/>
              </w:rPr>
              <w:t>MH</w:t>
            </w:r>
          </w:p>
        </w:tc>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October</w:t>
            </w:r>
          </w:p>
        </w:tc>
      </w:tr>
    </w:tbl>
    <w:p>
      <w:pPr>
        <w:spacing w:after="0" w:line="200" w:lineRule="exact"/>
        <w:rPr>
          <w:sz w:val="20"/>
          <w:szCs w:val="20"/>
          <w:color w:val="auto"/>
        </w:rPr>
      </w:pPr>
    </w:p>
    <w:p>
      <w:pPr>
        <w:spacing w:after="0" w:line="37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F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121920</wp:posOffset>
            </wp:positionV>
            <wp:extent cx="7177405" cy="400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121" w:right="319" w:bottom="1440" w:gutter="0" w:footer="0" w:header="0"/>
        </w:sectPr>
      </w:pPr>
    </w:p>
    <w:bookmarkStart w:id="74" w:name="page75"/>
    <w:bookmarkEnd w:id="74"/>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ind w:left="7"/>
        <w:spacing w:after="0" w:line="295" w:lineRule="auto"/>
        <w:rPr>
          <w:sz w:val="20"/>
          <w:szCs w:val="20"/>
          <w:color w:val="auto"/>
        </w:rPr>
      </w:pPr>
      <w:r>
        <w:rPr>
          <w:rFonts w:ascii="Times New Roman" w:cs="Times New Roman" w:eastAsia="Times New Roman" w:hAnsi="Times New Roman"/>
          <w:sz w:val="15"/>
          <w:szCs w:val="15"/>
          <w:color w:val="auto"/>
        </w:rPr>
        <w:t>The following table summarizes the amount of assets acquired, net of liabilities assumed, at the acquisition date and the consideration paid for the acquisitions completed during the years ended December 31, 2025 and 2024 (in millions):</w:t>
      </w:r>
    </w:p>
    <w:p>
      <w:pPr>
        <w:spacing w:after="0" w:line="71" w:lineRule="exact"/>
        <w:rPr>
          <w:sz w:val="20"/>
          <w:szCs w:val="20"/>
          <w:color w:val="auto"/>
        </w:rPr>
      </w:pPr>
    </w:p>
    <w:tbl>
      <w:tblPr>
        <w:tblLayout w:type="fixed"/>
        <w:tblInd w:w="7" w:type="dxa"/>
        <w:tblCellMar>
          <w:top w:w="0" w:type="dxa"/>
          <w:left w:w="0" w:type="dxa"/>
          <w:bottom w:w="0" w:type="dxa"/>
          <w:right w:w="0" w:type="dxa"/>
        </w:tblCellMar>
      </w:tblPr>
      <w:tr>
        <w:trPr>
          <w:trHeight w:val="176"/>
        </w:trPr>
        <w:tc>
          <w:tcPr>
            <w:tcW w:w="2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At Acquisition Date</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w w:val="96"/>
              </w:rPr>
              <w:t>Consideration</w:t>
            </w:r>
          </w:p>
        </w:tc>
        <w:tc>
          <w:tcPr>
            <w:tcW w:w="4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3"/>
                <w:szCs w:val="13"/>
                <w:color w:val="auto"/>
              </w:rPr>
              <w:t>Inventory of</w:t>
            </w: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8"/>
              </w:rPr>
              <w:t>Total identifiable</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rPr>
              <w:t>Temporary and</w:t>
            </w: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tcPr>
          <w:p>
            <w:pPr>
              <w:jc w:val="center"/>
              <w:ind w:right="80"/>
              <w:spacing w:after="0" w:line="128" w:lineRule="exact"/>
              <w:rPr>
                <w:sz w:val="20"/>
                <w:szCs w:val="20"/>
                <w:color w:val="auto"/>
              </w:rPr>
            </w:pPr>
            <w:r>
              <w:rPr>
                <w:rFonts w:ascii="Times New Roman" w:cs="Times New Roman" w:eastAsia="Times New Roman" w:hAnsi="Times New Roman"/>
                <w:sz w:val="13"/>
                <w:szCs w:val="13"/>
                <w:color w:val="auto"/>
              </w:rPr>
              <w:t>manufactured homes</w:t>
            </w: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4"/>
            <w:vMerge w:val="continue"/>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39" w:lineRule="exact"/>
              <w:rPr>
                <w:sz w:val="20"/>
                <w:szCs w:val="20"/>
                <w:color w:val="auto"/>
              </w:rPr>
            </w:pPr>
            <w:r>
              <w:rPr>
                <w:rFonts w:ascii="Times New Roman" w:cs="Times New Roman" w:eastAsia="Times New Roman" w:hAnsi="Times New Roman"/>
                <w:sz w:val="13"/>
                <w:szCs w:val="13"/>
                <w:color w:val="auto"/>
              </w:rPr>
              <w:t>Investment in</w:t>
            </w:r>
          </w:p>
        </w:tc>
        <w:tc>
          <w:tcPr>
            <w:tcW w:w="180" w:type="dxa"/>
            <w:vAlign w:val="bottom"/>
          </w:tcPr>
          <w:p>
            <w:pPr>
              <w:spacing w:after="0"/>
              <w:rPr>
                <w:sz w:val="12"/>
                <w:szCs w:val="12"/>
                <w:color w:val="auto"/>
              </w:rPr>
            </w:pPr>
          </w:p>
        </w:tc>
        <w:tc>
          <w:tcPr>
            <w:tcW w:w="1120" w:type="dxa"/>
            <w:vAlign w:val="bottom"/>
            <w:gridSpan w:val="2"/>
          </w:tcPr>
          <w:p>
            <w:pPr>
              <w:jc w:val="center"/>
              <w:ind w:right="260"/>
              <w:spacing w:after="0" w:line="139" w:lineRule="exact"/>
              <w:rPr>
                <w:sz w:val="20"/>
                <w:szCs w:val="20"/>
                <w:color w:val="auto"/>
              </w:rPr>
            </w:pPr>
            <w:r>
              <w:rPr>
                <w:rFonts w:ascii="Times New Roman" w:cs="Times New Roman" w:eastAsia="Times New Roman" w:hAnsi="Times New Roman"/>
                <w:sz w:val="13"/>
                <w:szCs w:val="13"/>
                <w:color w:val="auto"/>
              </w:rPr>
              <w:t>and retail</w:t>
            </w:r>
          </w:p>
        </w:tc>
        <w:tc>
          <w:tcPr>
            <w:tcW w:w="100" w:type="dxa"/>
            <w:vAlign w:val="bottom"/>
          </w:tcPr>
          <w:p>
            <w:pPr>
              <w:spacing w:after="0"/>
              <w:rPr>
                <w:sz w:val="12"/>
                <w:szCs w:val="12"/>
                <w:color w:val="auto"/>
              </w:rPr>
            </w:pPr>
          </w:p>
        </w:tc>
        <w:tc>
          <w:tcPr>
            <w:tcW w:w="1200" w:type="dxa"/>
            <w:vAlign w:val="bottom"/>
            <w:gridSpan w:val="2"/>
          </w:tcPr>
          <w:p>
            <w:pPr>
              <w:jc w:val="center"/>
              <w:ind w:right="180"/>
              <w:spacing w:after="0" w:line="139" w:lineRule="exact"/>
              <w:rPr>
                <w:sz w:val="20"/>
                <w:szCs w:val="20"/>
                <w:color w:val="auto"/>
              </w:rPr>
            </w:pPr>
            <w:r>
              <w:rPr>
                <w:rFonts w:ascii="Times New Roman" w:cs="Times New Roman" w:eastAsia="Times New Roman" w:hAnsi="Times New Roman"/>
                <w:sz w:val="13"/>
                <w:szCs w:val="13"/>
                <w:color w:val="auto"/>
              </w:rPr>
              <w:t>Other intangible</w:t>
            </w: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39" w:lineRule="exact"/>
              <w:rPr>
                <w:sz w:val="20"/>
                <w:szCs w:val="20"/>
                <w:color w:val="auto"/>
              </w:rPr>
            </w:pPr>
            <w:r>
              <w:rPr>
                <w:rFonts w:ascii="Times New Roman" w:cs="Times New Roman" w:eastAsia="Times New Roman" w:hAnsi="Times New Roman"/>
                <w:sz w:val="13"/>
                <w:szCs w:val="13"/>
                <w:color w:val="auto"/>
                <w:w w:val="99"/>
              </w:rPr>
              <w:t>Other assets /</w:t>
            </w:r>
          </w:p>
        </w:tc>
        <w:tc>
          <w:tcPr>
            <w:tcW w:w="1480" w:type="dxa"/>
            <w:vAlign w:val="bottom"/>
            <w:gridSpan w:val="3"/>
          </w:tcPr>
          <w:p>
            <w:pPr>
              <w:jc w:val="center"/>
              <w:ind w:right="180"/>
              <w:spacing w:after="0" w:line="139" w:lineRule="exact"/>
              <w:rPr>
                <w:sz w:val="20"/>
                <w:szCs w:val="20"/>
                <w:color w:val="auto"/>
              </w:rPr>
            </w:pPr>
            <w:r>
              <w:rPr>
                <w:rFonts w:ascii="Times New Roman" w:cs="Times New Roman" w:eastAsia="Times New Roman" w:hAnsi="Times New Roman"/>
                <w:sz w:val="13"/>
                <w:szCs w:val="13"/>
                <w:b w:val="1"/>
                <w:bCs w:val="1"/>
                <w:color w:val="auto"/>
                <w:w w:val="99"/>
              </w:rPr>
              <w:t>assets acquired net of</w:t>
            </w:r>
          </w:p>
        </w:tc>
        <w:tc>
          <w:tcPr>
            <w:tcW w:w="120" w:type="dxa"/>
            <w:vAlign w:val="bottom"/>
          </w:tcPr>
          <w:p>
            <w:pPr>
              <w:spacing w:after="0"/>
              <w:rPr>
                <w:sz w:val="12"/>
                <w:szCs w:val="12"/>
                <w:color w:val="auto"/>
              </w:rPr>
            </w:pPr>
          </w:p>
        </w:tc>
        <w:tc>
          <w:tcPr>
            <w:tcW w:w="780" w:type="dxa"/>
            <w:vAlign w:val="bottom"/>
            <w:gridSpan w:val="2"/>
          </w:tcPr>
          <w:p>
            <w:pPr>
              <w:jc w:val="center"/>
              <w:ind w:right="200"/>
              <w:spacing w:after="0" w:line="139" w:lineRule="exact"/>
              <w:rPr>
                <w:sz w:val="20"/>
                <w:szCs w:val="20"/>
                <w:color w:val="auto"/>
              </w:rPr>
            </w:pPr>
            <w:r>
              <w:rPr>
                <w:rFonts w:ascii="Times New Roman" w:cs="Times New Roman" w:eastAsia="Times New Roman" w:hAnsi="Times New Roman"/>
                <w:sz w:val="13"/>
                <w:szCs w:val="13"/>
                <w:color w:val="auto"/>
              </w:rPr>
              <w:t>Cash and</w:t>
            </w:r>
          </w:p>
        </w:tc>
        <w:tc>
          <w:tcPr>
            <w:tcW w:w="140" w:type="dxa"/>
            <w:vAlign w:val="bottom"/>
          </w:tcPr>
          <w:p>
            <w:pPr>
              <w:spacing w:after="0"/>
              <w:rPr>
                <w:sz w:val="12"/>
                <w:szCs w:val="12"/>
                <w:color w:val="auto"/>
              </w:rPr>
            </w:pPr>
          </w:p>
        </w:tc>
        <w:tc>
          <w:tcPr>
            <w:tcW w:w="880" w:type="dxa"/>
            <w:vAlign w:val="bottom"/>
            <w:gridSpan w:val="3"/>
          </w:tcPr>
          <w:p>
            <w:pPr>
              <w:jc w:val="center"/>
              <w:ind w:right="240"/>
              <w:spacing w:after="0" w:line="139" w:lineRule="exact"/>
              <w:rPr>
                <w:sz w:val="20"/>
                <w:szCs w:val="20"/>
                <w:color w:val="auto"/>
              </w:rPr>
            </w:pPr>
            <w:r>
              <w:rPr>
                <w:rFonts w:ascii="Times New Roman" w:cs="Times New Roman" w:eastAsia="Times New Roman" w:hAnsi="Times New Roman"/>
                <w:sz w:val="13"/>
                <w:szCs w:val="13"/>
                <w:color w:val="auto"/>
              </w:rPr>
              <w:t>permanent</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Total consideration</w:t>
            </w:r>
          </w:p>
        </w:tc>
        <w:tc>
          <w:tcPr>
            <w:tcW w:w="0" w:type="dxa"/>
            <w:vAlign w:val="bottom"/>
          </w:tcPr>
          <w:p>
            <w:pPr>
              <w:spacing w:after="0"/>
              <w:rPr>
                <w:sz w:val="1"/>
                <w:szCs w:val="1"/>
                <w:color w:val="auto"/>
              </w:rPr>
            </w:pPr>
          </w:p>
        </w:tc>
      </w:tr>
      <w:tr>
        <w:trPr>
          <w:trHeight w:val="174"/>
        </w:trPr>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rPr>
              <w:t>property</w:t>
            </w:r>
          </w:p>
        </w:tc>
        <w:tc>
          <w:tcPr>
            <w:tcW w:w="18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color w:val="auto"/>
                <w:w w:val="98"/>
              </w:rPr>
              <w:t>related items</w:t>
            </w:r>
          </w:p>
        </w:tc>
        <w:tc>
          <w:tcPr>
            <w:tcW w:w="100" w:type="dxa"/>
            <w:vAlign w:val="bottom"/>
          </w:tcPr>
          <w:p>
            <w:pPr>
              <w:spacing w:after="0"/>
              <w:rPr>
                <w:sz w:val="15"/>
                <w:szCs w:val="15"/>
                <w:color w:val="auto"/>
              </w:rPr>
            </w:pPr>
          </w:p>
        </w:tc>
        <w:tc>
          <w:tcPr>
            <w:tcW w:w="1200" w:type="dxa"/>
            <w:vAlign w:val="bottom"/>
            <w:gridSpan w:val="2"/>
          </w:tcPr>
          <w:p>
            <w:pPr>
              <w:jc w:val="center"/>
              <w:ind w:right="200"/>
              <w:spacing w:after="0" w:line="174" w:lineRule="exact"/>
              <w:rPr>
                <w:sz w:val="20"/>
                <w:szCs w:val="20"/>
                <w:color w:val="auto"/>
              </w:rPr>
            </w:pPr>
            <w:r>
              <w:rPr>
                <w:rFonts w:ascii="Times New Roman" w:cs="Times New Roman" w:eastAsia="Times New Roman" w:hAnsi="Times New Roman"/>
                <w:sz w:val="13"/>
                <w:szCs w:val="13"/>
                <w:color w:val="auto"/>
                <w:w w:val="91"/>
              </w:rPr>
              <w:t>assets</w:t>
            </w:r>
            <w:r>
              <w:rPr>
                <w:rFonts w:ascii="Times New Roman" w:cs="Times New Roman" w:eastAsia="Times New Roman" w:hAnsi="Times New Roman"/>
                <w:sz w:val="17"/>
                <w:szCs w:val="17"/>
                <w:color w:val="auto"/>
                <w:w w:val="91"/>
                <w:vertAlign w:val="superscript"/>
              </w:rPr>
              <w:t>(1)</w:t>
            </w:r>
          </w:p>
        </w:tc>
        <w:tc>
          <w:tcPr>
            <w:tcW w:w="102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color w:val="auto"/>
              </w:rPr>
              <w:t>(liabilities), net</w:t>
            </w:r>
          </w:p>
        </w:tc>
        <w:tc>
          <w:tcPr>
            <w:tcW w:w="120" w:type="dxa"/>
            <w:vAlign w:val="bottom"/>
          </w:tcPr>
          <w:p>
            <w:pPr>
              <w:spacing w:after="0"/>
              <w:rPr>
                <w:sz w:val="15"/>
                <w:szCs w:val="15"/>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liabilities assumed</w:t>
            </w:r>
          </w:p>
        </w:tc>
        <w:tc>
          <w:tcPr>
            <w:tcW w:w="12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rPr>
              <w:t>escrow</w:t>
            </w:r>
          </w:p>
        </w:tc>
        <w:tc>
          <w:tcPr>
            <w:tcW w:w="140" w:type="dxa"/>
            <w:vAlign w:val="bottom"/>
          </w:tcPr>
          <w:p>
            <w:pPr>
              <w:spacing w:after="0"/>
              <w:rPr>
                <w:sz w:val="15"/>
                <w:szCs w:val="15"/>
                <w:color w:val="auto"/>
              </w:rPr>
            </w:pPr>
          </w:p>
        </w:tc>
        <w:tc>
          <w:tcPr>
            <w:tcW w:w="880" w:type="dxa"/>
            <w:vAlign w:val="bottom"/>
            <w:gridSpan w:val="3"/>
          </w:tcPr>
          <w:p>
            <w:pPr>
              <w:jc w:val="center"/>
              <w:ind w:right="220"/>
              <w:spacing w:after="0" w:line="174" w:lineRule="exact"/>
              <w:rPr>
                <w:sz w:val="20"/>
                <w:szCs w:val="20"/>
                <w:color w:val="auto"/>
              </w:rPr>
            </w:pPr>
            <w:r>
              <w:rPr>
                <w:rFonts w:ascii="Times New Roman" w:cs="Times New Roman" w:eastAsia="Times New Roman" w:hAnsi="Times New Roman"/>
                <w:sz w:val="13"/>
                <w:szCs w:val="13"/>
                <w:color w:val="auto"/>
                <w:w w:val="91"/>
              </w:rPr>
              <w:t>equity</w:t>
            </w:r>
            <w:r>
              <w:rPr>
                <w:rFonts w:ascii="Times New Roman" w:cs="Times New Roman" w:eastAsia="Times New Roman" w:hAnsi="Times New Roman"/>
                <w:sz w:val="17"/>
                <w:szCs w:val="17"/>
                <w:color w:val="auto"/>
                <w:w w:val="91"/>
                <w:vertAlign w:val="superscript"/>
              </w:rPr>
              <w:t>(2)</w:t>
            </w: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Asset Acquisitions</w:t>
            </w:r>
          </w:p>
        </w:tc>
        <w:tc>
          <w:tcPr>
            <w:tcW w:w="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120" w:type="dxa"/>
            <w:vAlign w:val="bottom"/>
          </w:tcPr>
          <w:p>
            <w:pPr>
              <w:spacing w:after="0"/>
              <w:rPr>
                <w:sz w:val="20"/>
                <w:szCs w:val="20"/>
                <w:color w:val="auto"/>
              </w:rPr>
            </w:pPr>
            <w:r>
              <w:rPr>
                <w:rFonts w:ascii="Times New Roman" w:cs="Times New Roman" w:eastAsia="Times New Roman" w:hAnsi="Times New Roman"/>
                <w:sz w:val="13"/>
                <w:szCs w:val="13"/>
                <w:color w:val="auto"/>
              </w:rPr>
              <w:t>Five MH / Two RV Portfolio</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175.7</w:t>
            </w:r>
          </w:p>
        </w:tc>
        <w:tc>
          <w:tcPr>
            <w:tcW w:w="80" w:type="dxa"/>
            <w:vAlign w:val="bottom"/>
          </w:tcPr>
          <w:p>
            <w:pPr>
              <w:spacing w:after="0"/>
              <w:rPr>
                <w:sz w:val="14"/>
                <w:szCs w:val="14"/>
                <w:color w:val="auto"/>
              </w:rPr>
            </w:pP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177.3</w:t>
            </w: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177.3</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177.3</w:t>
            </w:r>
          </w:p>
        </w:tc>
        <w:tc>
          <w:tcPr>
            <w:tcW w:w="0" w:type="dxa"/>
            <w:vAlign w:val="bottom"/>
          </w:tcPr>
          <w:p>
            <w:pPr>
              <w:spacing w:after="0"/>
              <w:rPr>
                <w:sz w:val="1"/>
                <w:szCs w:val="1"/>
                <w:color w:val="auto"/>
              </w:rPr>
            </w:pPr>
          </w:p>
        </w:tc>
      </w:tr>
      <w:tr>
        <w:trPr>
          <w:trHeight w:val="175"/>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Marysville Farm</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0" w:type="dxa"/>
            <w:vAlign w:val="bottom"/>
          </w:tcPr>
          <w:p>
            <w:pPr>
              <w:spacing w:after="0"/>
              <w:rPr>
                <w:sz w:val="1"/>
                <w:szCs w:val="1"/>
                <w:color w:val="auto"/>
              </w:rPr>
            </w:pPr>
          </w:p>
        </w:tc>
      </w:tr>
      <w:tr>
        <w:trPr>
          <w:trHeight w:val="172"/>
        </w:trPr>
        <w:tc>
          <w:tcPr>
            <w:tcW w:w="2120" w:type="dxa"/>
            <w:vAlign w:val="bottom"/>
          </w:tcPr>
          <w:p>
            <w:pPr>
              <w:spacing w:after="0"/>
              <w:rPr>
                <w:sz w:val="20"/>
                <w:szCs w:val="20"/>
                <w:color w:val="auto"/>
              </w:rPr>
            </w:pPr>
            <w:r>
              <w:rPr>
                <w:rFonts w:ascii="Times New Roman" w:cs="Times New Roman" w:eastAsia="Times New Roman" w:hAnsi="Times New Roman"/>
                <w:sz w:val="13"/>
                <w:szCs w:val="13"/>
                <w:color w:val="auto"/>
              </w:rPr>
              <w:t>Three MH Portfolio</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98.7</w:t>
            </w:r>
          </w:p>
        </w:tc>
        <w:tc>
          <w:tcPr>
            <w:tcW w:w="0" w:type="dxa"/>
            <w:vAlign w:val="bottom"/>
          </w:tcPr>
          <w:p>
            <w:pPr>
              <w:spacing w:after="0"/>
              <w:rPr>
                <w:sz w:val="1"/>
                <w:szCs w:val="1"/>
                <w:color w:val="auto"/>
              </w:rPr>
            </w:pPr>
          </w:p>
        </w:tc>
      </w:tr>
      <w:tr>
        <w:trPr>
          <w:trHeight w:val="175"/>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Reflections on Silver Lake</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70.3</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70.3</w:t>
            </w:r>
          </w:p>
        </w:tc>
        <w:tc>
          <w:tcPr>
            <w:tcW w:w="0" w:type="dxa"/>
            <w:vAlign w:val="bottom"/>
          </w:tcPr>
          <w:p>
            <w:pPr>
              <w:spacing w:after="0"/>
              <w:rPr>
                <w:sz w:val="1"/>
                <w:szCs w:val="1"/>
                <w:color w:val="auto"/>
              </w:rPr>
            </w:pPr>
          </w:p>
        </w:tc>
      </w:tr>
      <w:tr>
        <w:trPr>
          <w:trHeight w:val="174"/>
        </w:trPr>
        <w:tc>
          <w:tcPr>
            <w:tcW w:w="2120" w:type="dxa"/>
            <w:vAlign w:val="bottom"/>
          </w:tcPr>
          <w:p>
            <w:pPr>
              <w:spacing w:after="0" w:line="174" w:lineRule="exact"/>
              <w:rPr>
                <w:sz w:val="20"/>
                <w:szCs w:val="20"/>
                <w:color w:val="auto"/>
              </w:rPr>
            </w:pPr>
            <w:r>
              <w:rPr>
                <w:rFonts w:ascii="Times New Roman" w:cs="Times New Roman" w:eastAsia="Times New Roman" w:hAnsi="Times New Roman"/>
                <w:sz w:val="13"/>
                <w:szCs w:val="13"/>
                <w:color w:val="auto"/>
              </w:rPr>
              <w:t>The Preserve</w:t>
            </w:r>
            <w:r>
              <w:rPr>
                <w:rFonts w:ascii="Times New Roman" w:cs="Times New Roman" w:eastAsia="Times New Roman" w:hAnsi="Times New Roman"/>
                <w:sz w:val="17"/>
                <w:szCs w:val="17"/>
                <w:color w:val="auto"/>
                <w:vertAlign w:val="superscript"/>
              </w:rPr>
              <w:t>(3)</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57.6</w:t>
            </w:r>
          </w:p>
        </w:tc>
        <w:tc>
          <w:tcPr>
            <w:tcW w:w="0" w:type="dxa"/>
            <w:vAlign w:val="bottom"/>
          </w:tcPr>
          <w:p>
            <w:pPr>
              <w:spacing w:after="0"/>
              <w:rPr>
                <w:sz w:val="1"/>
                <w:szCs w:val="1"/>
                <w:color w:val="auto"/>
              </w:rPr>
            </w:pPr>
          </w:p>
        </w:tc>
      </w:tr>
      <w:tr>
        <w:trPr>
          <w:trHeight w:val="174"/>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Lakeridge of Eugene</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w:t>
            </w:r>
          </w:p>
        </w:tc>
        <w:tc>
          <w:tcPr>
            <w:tcW w:w="0" w:type="dxa"/>
            <w:vAlign w:val="bottom"/>
          </w:tcPr>
          <w:p>
            <w:pPr>
              <w:spacing w:after="0"/>
              <w:rPr>
                <w:sz w:val="1"/>
                <w:szCs w:val="1"/>
                <w:color w:val="auto"/>
              </w:rPr>
            </w:pPr>
          </w:p>
        </w:tc>
      </w:tr>
      <w:tr>
        <w:trPr>
          <w:trHeight w:val="165"/>
        </w:trPr>
        <w:tc>
          <w:tcPr>
            <w:tcW w:w="2120" w:type="dxa"/>
            <w:vAlign w:val="bottom"/>
          </w:tcPr>
          <w:p>
            <w:pPr>
              <w:spacing w:after="0"/>
              <w:rPr>
                <w:sz w:val="20"/>
                <w:szCs w:val="20"/>
                <w:color w:val="auto"/>
              </w:rPr>
            </w:pPr>
            <w:r>
              <w:rPr>
                <w:rFonts w:ascii="Times New Roman" w:cs="Times New Roman" w:eastAsia="Times New Roman" w:hAnsi="Times New Roman"/>
                <w:sz w:val="13"/>
                <w:szCs w:val="13"/>
                <w:color w:val="auto"/>
              </w:rPr>
              <w:t>Total 2025 Acquisitions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449.5</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457.0</w:t>
            </w:r>
          </w:p>
        </w:tc>
        <w:tc>
          <w:tcPr>
            <w:tcW w:w="1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457.0</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457.0</w:t>
            </w:r>
          </w:p>
        </w:tc>
        <w:tc>
          <w:tcPr>
            <w:tcW w:w="0" w:type="dxa"/>
            <w:vAlign w:val="bottom"/>
          </w:tcPr>
          <w:p>
            <w:pPr>
              <w:spacing w:after="0"/>
              <w:rPr>
                <w:sz w:val="1"/>
                <w:szCs w:val="1"/>
                <w:color w:val="auto"/>
              </w:rPr>
            </w:pPr>
          </w:p>
        </w:tc>
      </w:tr>
      <w:tr>
        <w:trPr>
          <w:trHeight w:val="20"/>
        </w:trPr>
        <w:tc>
          <w:tcPr>
            <w:tcW w:w="2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12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820" w:type="dxa"/>
            <w:vAlign w:val="bottom"/>
            <w:tcBorders>
              <w:bottom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1040" w:type="dxa"/>
            <w:vAlign w:val="bottom"/>
            <w:tcBorders>
              <w:bottom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1120" w:type="dxa"/>
            <w:vAlign w:val="bottom"/>
            <w:tcBorders>
              <w:bottom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840" w:type="dxa"/>
            <w:vAlign w:val="bottom"/>
            <w:tcBorders>
              <w:bottom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1180" w:type="dxa"/>
            <w:vAlign w:val="bottom"/>
            <w:tcBorders>
              <w:bottom w:val="single" w:sz="8" w:color="auto"/>
            </w:tcBorders>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700" w:type="dxa"/>
            <w:vAlign w:val="bottom"/>
            <w:tcBorders>
              <w:bottom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780" w:type="dxa"/>
            <w:vAlign w:val="bottom"/>
            <w:tcBorders>
              <w:bottom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tcBorders>
              <w:bottom w:val="single" w:sz="8" w:color="auto"/>
            </w:tcBorders>
            <w:shd w:val="clear" w:color="auto" w:fill="CCEEFF"/>
          </w:tcPr>
          <w:p>
            <w:pPr>
              <w:spacing w:after="0"/>
              <w:rPr>
                <w:sz w:val="8"/>
                <w:szCs w:val="8"/>
                <w:color w:val="auto"/>
              </w:rPr>
            </w:pPr>
          </w:p>
        </w:tc>
        <w:tc>
          <w:tcPr>
            <w:tcW w:w="420" w:type="dxa"/>
            <w:vAlign w:val="bottom"/>
            <w:tcBorders>
              <w:bottom w:val="single" w:sz="8" w:color="auto"/>
            </w:tcBorders>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2120" w:type="dxa"/>
            <w:vAlign w:val="bottom"/>
          </w:tcPr>
          <w:p>
            <w:pPr>
              <w:spacing w:after="0"/>
              <w:rPr>
                <w:sz w:val="20"/>
                <w:szCs w:val="20"/>
                <w:color w:val="auto"/>
              </w:rPr>
            </w:pPr>
            <w:r>
              <w:rPr>
                <w:rFonts w:ascii="Times New Roman" w:cs="Times New Roman" w:eastAsia="Times New Roman" w:hAnsi="Times New Roman"/>
                <w:sz w:val="13"/>
                <w:szCs w:val="13"/>
                <w:color w:val="auto"/>
              </w:rPr>
              <w:t>Total 2024 Acquisitions</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63.4</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65.6</w:t>
            </w:r>
          </w:p>
        </w:tc>
        <w:tc>
          <w:tcPr>
            <w:tcW w:w="1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30.2</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35.4</w:t>
            </w: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65.6</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 w:lineRule="exact"/>
        <w:rPr>
          <w:sz w:val="20"/>
          <w:szCs w:val="20"/>
          <w:color w:val="auto"/>
        </w:rPr>
      </w:pPr>
    </w:p>
    <w:p>
      <w:pPr>
        <w:ind w:left="127" w:hanging="127"/>
        <w:spacing w:after="0"/>
        <w:tabs>
          <w:tab w:leader="none" w:pos="127" w:val="left"/>
        </w:tabs>
        <w:numPr>
          <w:ilvl w:val="0"/>
          <w:numId w:val="4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acquired intangible assets subject to amortization of $8.0 million with a weighted average amortization period of seven years, primarily consisting of in-place leases.</w:t>
      </w:r>
    </w:p>
    <w:p>
      <w:pPr>
        <w:ind w:left="107" w:hanging="107"/>
        <w:spacing w:after="0"/>
        <w:tabs>
          <w:tab w:leader="none" w:pos="107" w:val="left"/>
        </w:tabs>
        <w:numPr>
          <w:ilvl w:val="0"/>
          <w:numId w:val="42"/>
        </w:numPr>
        <w:rPr>
          <w:rFonts w:ascii="Times New Roman" w:cs="Times New Roman" w:eastAsia="Times New Roman" w:hAnsi="Times New Roman"/>
          <w:sz w:val="8"/>
          <w:szCs w:val="8"/>
          <w:color w:val="auto"/>
        </w:rPr>
      </w:pPr>
      <w:r>
        <w:rPr>
          <w:rFonts w:ascii="Times New Roman" w:cs="Times New Roman" w:eastAsia="Times New Roman" w:hAnsi="Times New Roman"/>
          <w:sz w:val="12"/>
          <w:szCs w:val="12"/>
          <w:color w:val="auto"/>
        </w:rPr>
        <w:t>Refer to Note 8, "Equity and Temporary Equity," for additional detail.</w:t>
      </w:r>
    </w:p>
    <w:p>
      <w:pPr>
        <w:spacing w:after="0" w:line="7" w:lineRule="exact"/>
        <w:rPr>
          <w:rFonts w:ascii="Times New Roman" w:cs="Times New Roman" w:eastAsia="Times New Roman" w:hAnsi="Times New Roman"/>
          <w:sz w:val="8"/>
          <w:szCs w:val="8"/>
          <w:color w:val="auto"/>
        </w:rPr>
      </w:pPr>
    </w:p>
    <w:p>
      <w:pPr>
        <w:ind w:left="147" w:hanging="147"/>
        <w:spacing w:after="0" w:line="283" w:lineRule="auto"/>
        <w:tabs>
          <w:tab w:leader="none" w:pos="122" w:val="left"/>
        </w:tabs>
        <w:numPr>
          <w:ilvl w:val="0"/>
          <w:numId w:val="42"/>
        </w:numPr>
        <w:rPr>
          <w:rFonts w:ascii="Times New Roman" w:cs="Times New Roman" w:eastAsia="Times New Roman" w:hAnsi="Times New Roman"/>
          <w:sz w:val="8"/>
          <w:szCs w:val="8"/>
          <w:color w:val="auto"/>
        </w:rPr>
      </w:pPr>
      <w:r>
        <w:rPr>
          <w:rFonts w:ascii="Times New Roman" w:cs="Times New Roman" w:eastAsia="Times New Roman" w:hAnsi="Times New Roman"/>
          <w:sz w:val="12"/>
          <w:szCs w:val="12"/>
          <w:color w:val="auto"/>
        </w:rPr>
        <w:t>In conjunction with the acquisition, we entered into a leaseback transaction with the counterparty as a buyer-lessor. We concluded that both the purchase and lease were distinct and accounted for the lease in accordance with ASC 842, "</w:t>
      </w:r>
      <w:r>
        <w:rPr>
          <w:rFonts w:ascii="Times New Roman" w:cs="Times New Roman" w:eastAsia="Times New Roman" w:hAnsi="Times New Roman"/>
          <w:sz w:val="12"/>
          <w:szCs w:val="12"/>
          <w:i w:val="1"/>
          <w:iCs w:val="1"/>
          <w:color w:val="auto"/>
        </w:rPr>
        <w:t>Leases</w:t>
      </w:r>
      <w:r>
        <w:rPr>
          <w:rFonts w:ascii="Times New Roman" w:cs="Times New Roman" w:eastAsia="Times New Roman" w:hAnsi="Times New Roman"/>
          <w:sz w:val="12"/>
          <w:szCs w:val="12"/>
          <w:color w:val="auto"/>
        </w:rPr>
        <w:t>." Refer to Note 16, "Leases," for additional information.</w:t>
      </w:r>
    </w:p>
    <w:p>
      <w:pPr>
        <w:spacing w:after="0" w:line="64" w:lineRule="exact"/>
        <w:rPr>
          <w:sz w:val="20"/>
          <w:szCs w:val="20"/>
          <w:color w:val="auto"/>
        </w:rPr>
      </w:pPr>
    </w:p>
    <w:p>
      <w:pPr>
        <w:ind w:left="7" w:right="20"/>
        <w:spacing w:after="0" w:line="295" w:lineRule="auto"/>
        <w:rPr>
          <w:sz w:val="20"/>
          <w:szCs w:val="20"/>
          <w:color w:val="auto"/>
        </w:rPr>
      </w:pPr>
      <w:r>
        <w:rPr>
          <w:rFonts w:ascii="Times New Roman" w:cs="Times New Roman" w:eastAsia="Times New Roman" w:hAnsi="Times New Roman"/>
          <w:sz w:val="15"/>
          <w:szCs w:val="15"/>
          <w:color w:val="auto"/>
        </w:rPr>
        <w:t>During the year ended December 31, 2025, we incurred and capitalized $6.5 million of transaction costs, which have been allocated among various Investment property and other asset classes for purchases that meet the asset acquisition criteria.</w:t>
      </w:r>
    </w:p>
    <w:p>
      <w:pPr>
        <w:spacing w:after="0" w:line="3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During the year ended December 31, 2025, we also acquired one operating asset in the UK adjacent to an existing property for $2.6 million.</w:t>
      </w:r>
    </w:p>
    <w:p>
      <w:pPr>
        <w:spacing w:after="0" w:line="10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i w:val="1"/>
          <w:iCs w:val="1"/>
          <w:color w:val="auto"/>
        </w:rPr>
        <w:t>2025 Disposition Activity</w:t>
      </w:r>
    </w:p>
    <w:p>
      <w:pPr>
        <w:spacing w:after="0" w:line="10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The following dispositions of real estate properties for our continuing operations occurred during the year ended December 31, 2025:</w:t>
      </w:r>
    </w:p>
    <w:p>
      <w:pPr>
        <w:spacing w:after="0" w:line="121" w:lineRule="exact"/>
        <w:rPr>
          <w:sz w:val="20"/>
          <w:szCs w:val="20"/>
          <w:color w:val="auto"/>
        </w:rPr>
      </w:pPr>
    </w:p>
    <w:tbl>
      <w:tblPr>
        <w:tblLayout w:type="fixed"/>
        <w:tblInd w:w="7" w:type="dxa"/>
        <w:tblCellMar>
          <w:top w:w="0" w:type="dxa"/>
          <w:left w:w="0" w:type="dxa"/>
          <w:bottom w:w="0" w:type="dxa"/>
          <w:right w:w="0" w:type="dxa"/>
        </w:tblCellMar>
      </w:tblPr>
      <w:tr>
        <w:trPr>
          <w:trHeight w:val="149"/>
        </w:trPr>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State, Province or</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Gross Sales</w:t>
            </w: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rPr>
              <w:t>Gain / (Loss) on</w:t>
            </w:r>
          </w:p>
        </w:tc>
      </w:tr>
      <w:tr>
        <w:trPr>
          <w:trHeight w:val="185"/>
        </w:trPr>
        <w:tc>
          <w:tcPr>
            <w:tcW w:w="2540" w:type="dxa"/>
            <w:vAlign w:val="bottom"/>
            <w:gridSpan w:val="2"/>
          </w:tcPr>
          <w:p>
            <w:pPr>
              <w:ind w:left="800"/>
              <w:spacing w:after="0"/>
              <w:rPr>
                <w:sz w:val="20"/>
                <w:szCs w:val="20"/>
                <w:color w:val="auto"/>
              </w:rPr>
            </w:pPr>
            <w:r>
              <w:rPr>
                <w:rFonts w:ascii="Times New Roman" w:cs="Times New Roman" w:eastAsia="Times New Roman" w:hAnsi="Times New Roman"/>
                <w:sz w:val="13"/>
                <w:szCs w:val="13"/>
                <w:b w:val="1"/>
                <w:bCs w:val="1"/>
                <w:color w:val="auto"/>
              </w:rPr>
              <w:t>Property Name</w:t>
            </w: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Segment</w:t>
            </w:r>
          </w:p>
        </w:tc>
        <w:tc>
          <w:tcPr>
            <w:tcW w:w="86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Properties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Country</w:t>
            </w: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Month Disposed</w:t>
            </w:r>
          </w:p>
        </w:tc>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Proceeds</w:t>
            </w:r>
          </w:p>
        </w:tc>
        <w:tc>
          <w:tcPr>
            <w:tcW w:w="80" w:type="dxa"/>
            <w:vAlign w:val="bottom"/>
          </w:tcPr>
          <w:p>
            <w:pPr>
              <w:spacing w:after="0"/>
              <w:rPr>
                <w:sz w:val="16"/>
                <w:szCs w:val="16"/>
                <w:color w:val="auto"/>
              </w:rPr>
            </w:pPr>
          </w:p>
        </w:tc>
        <w:tc>
          <w:tcPr>
            <w:tcW w:w="1620" w:type="dxa"/>
            <w:vAlign w:val="bottom"/>
            <w:gridSpan w:val="2"/>
          </w:tcPr>
          <w:p>
            <w:pPr>
              <w:spacing w:after="0" w:line="185" w:lineRule="exact"/>
              <w:rPr>
                <w:sz w:val="20"/>
                <w:szCs w:val="20"/>
                <w:color w:val="auto"/>
              </w:rPr>
            </w:pPr>
            <w:r>
              <w:rPr>
                <w:rFonts w:ascii="Times New Roman" w:cs="Times New Roman" w:eastAsia="Times New Roman" w:hAnsi="Times New Roman"/>
                <w:sz w:val="13"/>
                <w:szCs w:val="13"/>
                <w:b w:val="1"/>
                <w:bCs w:val="1"/>
                <w:color w:val="auto"/>
              </w:rPr>
              <w:t>Cash Consideration, net</w:t>
            </w:r>
            <w:r>
              <w:rPr>
                <w:rFonts w:ascii="Times New Roman" w:cs="Times New Roman" w:eastAsia="Times New Roman" w:hAnsi="Times New Roman"/>
                <w:sz w:val="17"/>
                <w:szCs w:val="17"/>
                <w:b w:val="1"/>
                <w:bCs w:val="1"/>
                <w:color w:val="auto"/>
                <w:vertAlign w:val="superscript"/>
              </w:rPr>
              <w:t>(1)</w:t>
            </w:r>
          </w:p>
        </w:tc>
        <w:tc>
          <w:tcPr>
            <w:tcW w:w="160" w:type="dxa"/>
            <w:vAlign w:val="bottom"/>
          </w:tcPr>
          <w:p>
            <w:pPr>
              <w:spacing w:after="0"/>
              <w:rPr>
                <w:sz w:val="16"/>
                <w:szCs w:val="16"/>
                <w:color w:val="auto"/>
              </w:rPr>
            </w:pPr>
          </w:p>
        </w:tc>
        <w:tc>
          <w:tcPr>
            <w:tcW w:w="1180" w:type="dxa"/>
            <w:vAlign w:val="bottom"/>
          </w:tcPr>
          <w:p>
            <w:pPr>
              <w:jc w:val="center"/>
              <w:ind w:right="94"/>
              <w:spacing w:after="0" w:line="185" w:lineRule="exact"/>
              <w:rPr>
                <w:sz w:val="20"/>
                <w:szCs w:val="20"/>
                <w:color w:val="auto"/>
              </w:rPr>
            </w:pPr>
            <w:r>
              <w:rPr>
                <w:rFonts w:ascii="Times New Roman" w:cs="Times New Roman" w:eastAsia="Times New Roman" w:hAnsi="Times New Roman"/>
                <w:sz w:val="13"/>
                <w:szCs w:val="13"/>
                <w:b w:val="1"/>
                <w:bCs w:val="1"/>
                <w:color w:val="auto"/>
                <w:w w:val="98"/>
              </w:rPr>
              <w:t>Disposition</w:t>
            </w:r>
            <w:r>
              <w:rPr>
                <w:rFonts w:ascii="Times New Roman" w:cs="Times New Roman" w:eastAsia="Times New Roman" w:hAnsi="Times New Roman"/>
                <w:sz w:val="17"/>
                <w:szCs w:val="17"/>
                <w:b w:val="1"/>
                <w:bCs w:val="1"/>
                <w:color w:val="auto"/>
                <w:w w:val="98"/>
                <w:vertAlign w:val="superscript"/>
              </w:rPr>
              <w:t>(2)</w:t>
            </w:r>
          </w:p>
        </w:tc>
      </w:tr>
      <w:tr>
        <w:trPr>
          <w:trHeight w:val="165"/>
        </w:trPr>
        <w:tc>
          <w:tcPr>
            <w:tcW w:w="2460" w:type="dxa"/>
            <w:vAlign w:val="bottom"/>
            <w:tcBorders>
              <w:top w:val="single" w:sz="8" w:color="auto"/>
            </w:tcBorders>
            <w:shd w:val="clear" w:color="auto" w:fill="CCEEFF"/>
          </w:tcPr>
          <w:p>
            <w:pPr>
              <w:spacing w:after="0" w:line="165" w:lineRule="exact"/>
              <w:rPr>
                <w:sz w:val="20"/>
                <w:szCs w:val="20"/>
                <w:color w:val="auto"/>
              </w:rPr>
            </w:pPr>
            <w:r>
              <w:rPr>
                <w:rFonts w:ascii="Times New Roman" w:cs="Times New Roman" w:eastAsia="Times New Roman" w:hAnsi="Times New Roman"/>
                <w:sz w:val="13"/>
                <w:szCs w:val="13"/>
                <w:color w:val="auto"/>
              </w:rPr>
              <w:t>RV Portfolio</w:t>
            </w:r>
            <w:r>
              <w:rPr>
                <w:rFonts w:ascii="Times New Roman" w:cs="Times New Roman" w:eastAsia="Times New Roman" w:hAnsi="Times New Roman"/>
                <w:sz w:val="17"/>
                <w:szCs w:val="17"/>
                <w:color w:val="auto"/>
                <w:vertAlign w:val="superscript"/>
              </w:rPr>
              <w:t>(3)</w:t>
            </w:r>
          </w:p>
        </w:tc>
        <w:tc>
          <w:tcPr>
            <w:tcW w:w="8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RV</w:t>
            </w:r>
          </w:p>
        </w:tc>
        <w:tc>
          <w:tcPr>
            <w:tcW w:w="8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Various</w:t>
            </w:r>
          </w:p>
        </w:tc>
        <w:tc>
          <w:tcPr>
            <w:tcW w:w="8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January</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92.9</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92.6</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tcBorders>
            <w:shd w:val="clear" w:color="auto" w:fill="CCEEFF"/>
          </w:tcPr>
          <w:p>
            <w:pPr>
              <w:jc w:val="center"/>
              <w:ind w:left="814"/>
              <w:spacing w:after="0"/>
              <w:rPr>
                <w:sz w:val="20"/>
                <w:szCs w:val="20"/>
                <w:color w:val="auto"/>
              </w:rPr>
            </w:pPr>
            <w:r>
              <w:rPr>
                <w:rFonts w:ascii="Times New Roman" w:cs="Times New Roman" w:eastAsia="Times New Roman" w:hAnsi="Times New Roman"/>
                <w:sz w:val="13"/>
                <w:szCs w:val="13"/>
                <w:color w:val="auto"/>
              </w:rPr>
              <w:t>(0.2)</w:t>
            </w:r>
          </w:p>
        </w:tc>
      </w:tr>
      <w:tr>
        <w:trPr>
          <w:trHeight w:val="172"/>
        </w:trPr>
        <w:tc>
          <w:tcPr>
            <w:tcW w:w="25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MH Portfolio</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MH</w:t>
            </w:r>
          </w:p>
        </w:tc>
        <w:tc>
          <w:tcPr>
            <w:tcW w:w="8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FL</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March</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w:t>
            </w:r>
          </w:p>
        </w:tc>
        <w:tc>
          <w:tcPr>
            <w:tcW w:w="80" w:type="dxa"/>
            <w:vAlign w:val="bottom"/>
          </w:tcPr>
          <w:p>
            <w:pPr>
              <w:spacing w:after="0"/>
              <w:rPr>
                <w:sz w:val="14"/>
                <w:szCs w:val="14"/>
                <w:color w:val="auto"/>
              </w:rPr>
            </w:pP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center"/>
              <w:ind w:left="814"/>
              <w:spacing w:after="0"/>
              <w:rPr>
                <w:sz w:val="20"/>
                <w:szCs w:val="20"/>
                <w:color w:val="auto"/>
              </w:rPr>
            </w:pPr>
            <w:r>
              <w:rPr>
                <w:rFonts w:ascii="Times New Roman" w:cs="Times New Roman" w:eastAsia="Times New Roman" w:hAnsi="Times New Roman"/>
                <w:sz w:val="13"/>
                <w:szCs w:val="13"/>
                <w:color w:val="auto"/>
              </w:rPr>
              <w:t>(2.8)</w:t>
            </w:r>
          </w:p>
        </w:tc>
      </w:tr>
      <w:tr>
        <w:trPr>
          <w:trHeight w:val="175"/>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Sun Retreats Millbrook</w:t>
            </w:r>
          </w:p>
        </w:tc>
        <w:tc>
          <w:tcPr>
            <w:tcW w:w="9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9"/>
              </w:rPr>
              <w:t>RV</w:t>
            </w: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7"/>
              </w:rPr>
              <w:t>IL</w:t>
            </w:r>
          </w:p>
        </w:tc>
        <w:tc>
          <w:tcPr>
            <w:tcW w:w="10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rPr>
              <w:t>April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center"/>
              <w:ind w:left="814"/>
              <w:spacing w:after="0"/>
              <w:rPr>
                <w:sz w:val="20"/>
                <w:szCs w:val="20"/>
                <w:color w:val="auto"/>
              </w:rPr>
            </w:pPr>
            <w:r>
              <w:rPr>
                <w:rFonts w:ascii="Times New Roman" w:cs="Times New Roman" w:eastAsia="Times New Roman" w:hAnsi="Times New Roman"/>
                <w:sz w:val="13"/>
                <w:szCs w:val="13"/>
                <w:color w:val="auto"/>
              </w:rPr>
              <w:t>(3.8)</w:t>
            </w:r>
          </w:p>
        </w:tc>
      </w:tr>
      <w:tr>
        <w:trPr>
          <w:trHeight w:val="171"/>
        </w:trPr>
        <w:tc>
          <w:tcPr>
            <w:tcW w:w="25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Pine Hills</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MH</w:t>
            </w:r>
          </w:p>
        </w:tc>
        <w:tc>
          <w:tcPr>
            <w:tcW w:w="8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IN</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December</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80" w:type="dxa"/>
            <w:vAlign w:val="bottom"/>
          </w:tcPr>
          <w:p>
            <w:pPr>
              <w:spacing w:after="0"/>
              <w:rPr>
                <w:sz w:val="14"/>
                <w:szCs w:val="14"/>
                <w:color w:val="auto"/>
              </w:rPr>
            </w:pP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center"/>
              <w:ind w:left="834"/>
              <w:spacing w:after="0"/>
              <w:rPr>
                <w:sz w:val="20"/>
                <w:szCs w:val="20"/>
                <w:color w:val="auto"/>
              </w:rPr>
            </w:pPr>
            <w:r>
              <w:rPr>
                <w:rFonts w:ascii="Times New Roman" w:cs="Times New Roman" w:eastAsia="Times New Roman" w:hAnsi="Times New Roman"/>
                <w:sz w:val="13"/>
                <w:szCs w:val="13"/>
                <w:color w:val="auto"/>
                <w:w w:val="98"/>
              </w:rPr>
              <w:t>4.8</w:t>
            </w:r>
          </w:p>
        </w:tc>
      </w:tr>
    </w:tbl>
    <w:p>
      <w:pPr>
        <w:spacing w:after="0" w:line="76" w:lineRule="exact"/>
        <w:rPr>
          <w:sz w:val="20"/>
          <w:szCs w:val="20"/>
          <w:color w:val="auto"/>
        </w:rPr>
      </w:pPr>
    </w:p>
    <w:p>
      <w:pPr>
        <w:ind w:left="107" w:hanging="107"/>
        <w:spacing w:after="0"/>
        <w:tabs>
          <w:tab w:leader="none" w:pos="107" w:val="left"/>
        </w:tabs>
        <w:numPr>
          <w:ilvl w:val="0"/>
          <w:numId w:val="43"/>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Cash consideration, net of settlement of the associated mortgage debt, when applicable, and other closing adjustments. Refer to Note 7, "Debt and Line of Credit," for additional detail.</w:t>
      </w:r>
    </w:p>
    <w:p>
      <w:pPr>
        <w:spacing w:after="0" w:line="14" w:lineRule="exact"/>
        <w:rPr>
          <w:rFonts w:ascii="Times New Roman" w:cs="Times New Roman" w:eastAsia="Times New Roman" w:hAnsi="Times New Roman"/>
          <w:sz w:val="13"/>
          <w:szCs w:val="13"/>
          <w:color w:val="auto"/>
          <w:vertAlign w:val="superscript"/>
        </w:rPr>
      </w:pPr>
    </w:p>
    <w:p>
      <w:pPr>
        <w:ind w:left="127" w:hanging="127"/>
        <w:spacing w:after="0" w:line="181" w:lineRule="auto"/>
        <w:tabs>
          <w:tab w:leader="none" w:pos="127" w:val="left"/>
        </w:tabs>
        <w:numPr>
          <w:ilvl w:val="0"/>
          <w:numId w:val="4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Recorded in Gain on dispositions of properties, net on the Consolidated Statements of Operations.</w:t>
      </w:r>
    </w:p>
    <w:p>
      <w:pPr>
        <w:jc w:val="both"/>
        <w:ind w:left="147" w:right="20" w:hanging="147"/>
        <w:spacing w:after="0" w:line="268" w:lineRule="auto"/>
        <w:tabs>
          <w:tab w:leader="none" w:pos="138" w:val="left"/>
        </w:tabs>
        <w:numPr>
          <w:ilvl w:val="0"/>
          <w:numId w:val="43"/>
        </w:numPr>
        <w:rPr>
          <w:rFonts w:ascii="Times New Roman" w:cs="Times New Roman" w:eastAsia="Times New Roman" w:hAnsi="Times New Roman"/>
          <w:sz w:val="8"/>
          <w:szCs w:val="8"/>
          <w:color w:val="auto"/>
        </w:rPr>
      </w:pPr>
      <w:r>
        <w:rPr>
          <w:rFonts w:ascii="Times New Roman" w:cs="Times New Roman" w:eastAsia="Times New Roman" w:hAnsi="Times New Roman"/>
          <w:sz w:val="12"/>
          <w:szCs w:val="12"/>
          <w:color w:val="auto"/>
        </w:rPr>
        <w:t>Total sales proceeds include the disposition of two operating properties and two development properties that we owned along with the settlement of a developer note receivable of $36.5 million pertaining to three additional properties in which we had provided financing to the developer that were classified as held for sale as of December 31, 2024. During the year ended December 31, 2024, we recognized asset impairment charges of $12.1 million to reduce the carrying value of the four owned RV properties to an aggregate fair value of $47.5 million.</w:t>
      </w:r>
    </w:p>
    <w:p>
      <w:pPr>
        <w:spacing w:after="0" w:line="73" w:lineRule="exact"/>
        <w:rPr>
          <w:sz w:val="20"/>
          <w:szCs w:val="20"/>
          <w:color w:val="auto"/>
        </w:rPr>
      </w:pPr>
    </w:p>
    <w:p>
      <w:pPr>
        <w:jc w:val="both"/>
        <w:ind w:left="7"/>
        <w:spacing w:after="0" w:line="276" w:lineRule="auto"/>
        <w:rPr>
          <w:sz w:val="20"/>
          <w:szCs w:val="20"/>
          <w:color w:val="auto"/>
        </w:rPr>
      </w:pPr>
      <w:r>
        <w:rPr>
          <w:rFonts w:ascii="Times New Roman" w:cs="Times New Roman" w:eastAsia="Times New Roman" w:hAnsi="Times New Roman"/>
          <w:sz w:val="15"/>
          <w:szCs w:val="15"/>
          <w:color w:val="auto"/>
        </w:rPr>
        <w:t>During the year ended December 31, 2025, we sold three developmental land parcels in the U.S. and UK for total consideration of $68.1 million and recorded a total gain on sale of $6.5 million. We previously recorded asset impairment charges of $97.4 million related to one of the development land parcels in the UK during the three months ended June 30, 2025. Refer to Note 14, "Fair Value Measurements," for additional information.</w:t>
      </w:r>
    </w:p>
    <w:p>
      <w:pPr>
        <w:spacing w:after="0" w:line="200" w:lineRule="exact"/>
        <w:rPr>
          <w:sz w:val="20"/>
          <w:szCs w:val="20"/>
          <w:color w:val="auto"/>
        </w:rPr>
      </w:pPr>
    </w:p>
    <w:p>
      <w:pPr>
        <w:spacing w:after="0" w:line="27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F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121920</wp:posOffset>
            </wp:positionV>
            <wp:extent cx="7177405" cy="400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121" w:right="319" w:bottom="1440" w:gutter="0" w:footer="0" w:header="0"/>
        </w:sectPr>
      </w:pPr>
    </w:p>
    <w:bookmarkStart w:id="75" w:name="page76"/>
    <w:bookmarkEnd w:id="75"/>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200" w:lineRule="exact"/>
        <w:rPr>
          <w:sz w:val="20"/>
          <w:szCs w:val="20"/>
          <w:color w:val="auto"/>
        </w:rPr>
      </w:pPr>
    </w:p>
    <w:p>
      <w:pPr>
        <w:spacing w:after="0" w:line="35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i w:val="1"/>
          <w:iCs w:val="1"/>
          <w:color w:val="auto"/>
        </w:rPr>
        <w:t>2024 Dispositions Activity</w:t>
      </w:r>
    </w:p>
    <w:p>
      <w:pPr>
        <w:spacing w:after="0" w:line="10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The following dispositions of real estate properties for our continuing operations occurred during the year ended December 31, 2024 (in millions, except for property and site count):</w:t>
      </w:r>
    </w:p>
    <w:p>
      <w:pPr>
        <w:spacing w:after="0" w:line="121" w:lineRule="exact"/>
        <w:rPr>
          <w:sz w:val="20"/>
          <w:szCs w:val="20"/>
          <w:color w:val="auto"/>
        </w:rPr>
      </w:pPr>
    </w:p>
    <w:tbl>
      <w:tblPr>
        <w:tblLayout w:type="fixed"/>
        <w:tblInd w:w="7" w:type="dxa"/>
        <w:tblCellMar>
          <w:top w:w="0" w:type="dxa"/>
          <w:left w:w="0" w:type="dxa"/>
          <w:bottom w:w="0" w:type="dxa"/>
          <w:right w:w="0" w:type="dxa"/>
        </w:tblCellMar>
      </w:tblPr>
      <w:tr>
        <w:trPr>
          <w:trHeight w:val="149"/>
        </w:trPr>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w w:val="99"/>
              </w:rPr>
              <w:t>Number of</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State, Province or</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Gross Sales</w:t>
            </w: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Gain / (Loss) on</w:t>
            </w:r>
          </w:p>
        </w:tc>
      </w:tr>
      <w:tr>
        <w:trPr>
          <w:trHeight w:val="185"/>
        </w:trPr>
        <w:tc>
          <w:tcPr>
            <w:tcW w:w="2540" w:type="dxa"/>
            <w:vAlign w:val="bottom"/>
            <w:gridSpan w:val="2"/>
          </w:tcPr>
          <w:p>
            <w:pPr>
              <w:ind w:left="800"/>
              <w:spacing w:after="0"/>
              <w:rPr>
                <w:sz w:val="20"/>
                <w:szCs w:val="20"/>
                <w:color w:val="auto"/>
              </w:rPr>
            </w:pPr>
            <w:r>
              <w:rPr>
                <w:rFonts w:ascii="Times New Roman" w:cs="Times New Roman" w:eastAsia="Times New Roman" w:hAnsi="Times New Roman"/>
                <w:sz w:val="13"/>
                <w:szCs w:val="13"/>
                <w:b w:val="1"/>
                <w:bCs w:val="1"/>
                <w:color w:val="auto"/>
              </w:rPr>
              <w:t>Property Name</w:t>
            </w: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Segment</w:t>
            </w:r>
          </w:p>
        </w:tc>
        <w:tc>
          <w:tcPr>
            <w:tcW w:w="82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Properties</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Country</w:t>
            </w: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Month Disposed</w:t>
            </w:r>
          </w:p>
        </w:tc>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Proceeds</w:t>
            </w:r>
          </w:p>
        </w:tc>
        <w:tc>
          <w:tcPr>
            <w:tcW w:w="80" w:type="dxa"/>
            <w:vAlign w:val="bottom"/>
          </w:tcPr>
          <w:p>
            <w:pPr>
              <w:spacing w:after="0"/>
              <w:rPr>
                <w:sz w:val="16"/>
                <w:szCs w:val="16"/>
                <w:color w:val="auto"/>
              </w:rPr>
            </w:pPr>
          </w:p>
        </w:tc>
        <w:tc>
          <w:tcPr>
            <w:tcW w:w="1620" w:type="dxa"/>
            <w:vAlign w:val="bottom"/>
            <w:gridSpan w:val="2"/>
          </w:tcPr>
          <w:p>
            <w:pPr>
              <w:spacing w:after="0" w:line="185" w:lineRule="exact"/>
              <w:rPr>
                <w:sz w:val="20"/>
                <w:szCs w:val="20"/>
                <w:color w:val="auto"/>
              </w:rPr>
            </w:pPr>
            <w:r>
              <w:rPr>
                <w:rFonts w:ascii="Times New Roman" w:cs="Times New Roman" w:eastAsia="Times New Roman" w:hAnsi="Times New Roman"/>
                <w:sz w:val="13"/>
                <w:szCs w:val="13"/>
                <w:b w:val="1"/>
                <w:bCs w:val="1"/>
                <w:color w:val="auto"/>
              </w:rPr>
              <w:t>Cash Consideration, net</w:t>
            </w:r>
            <w:r>
              <w:rPr>
                <w:rFonts w:ascii="Times New Roman" w:cs="Times New Roman" w:eastAsia="Times New Roman" w:hAnsi="Times New Roman"/>
                <w:sz w:val="17"/>
                <w:szCs w:val="17"/>
                <w:b w:val="1"/>
                <w:bCs w:val="1"/>
                <w:color w:val="auto"/>
                <w:vertAlign w:val="superscript"/>
              </w:rPr>
              <w:t>(1)</w:t>
            </w:r>
          </w:p>
        </w:tc>
        <w:tc>
          <w:tcPr>
            <w:tcW w:w="160" w:type="dxa"/>
            <w:vAlign w:val="bottom"/>
          </w:tcPr>
          <w:p>
            <w:pPr>
              <w:spacing w:after="0"/>
              <w:rPr>
                <w:sz w:val="16"/>
                <w:szCs w:val="16"/>
                <w:color w:val="auto"/>
              </w:rPr>
            </w:pPr>
          </w:p>
        </w:tc>
        <w:tc>
          <w:tcPr>
            <w:tcW w:w="1180" w:type="dxa"/>
            <w:vAlign w:val="bottom"/>
          </w:tcPr>
          <w:p>
            <w:pPr>
              <w:jc w:val="right"/>
              <w:ind w:right="234"/>
              <w:spacing w:after="0" w:line="185" w:lineRule="exact"/>
              <w:rPr>
                <w:sz w:val="20"/>
                <w:szCs w:val="20"/>
                <w:color w:val="auto"/>
              </w:rPr>
            </w:pPr>
            <w:r>
              <w:rPr>
                <w:rFonts w:ascii="Times New Roman" w:cs="Times New Roman" w:eastAsia="Times New Roman" w:hAnsi="Times New Roman"/>
                <w:sz w:val="13"/>
                <w:szCs w:val="13"/>
                <w:b w:val="1"/>
                <w:bCs w:val="1"/>
                <w:color w:val="auto"/>
              </w:rPr>
              <w:t>Disposition</w:t>
            </w:r>
            <w:r>
              <w:rPr>
                <w:rFonts w:ascii="Times New Roman" w:cs="Times New Roman" w:eastAsia="Times New Roman" w:hAnsi="Times New Roman"/>
                <w:sz w:val="17"/>
                <w:szCs w:val="17"/>
                <w:b w:val="1"/>
                <w:bCs w:val="1"/>
                <w:color w:val="auto"/>
                <w:vertAlign w:val="superscript"/>
              </w:rPr>
              <w:t>(2)</w:t>
            </w:r>
          </w:p>
        </w:tc>
      </w:tr>
      <w:tr>
        <w:trPr>
          <w:trHeight w:val="165"/>
        </w:trPr>
        <w:tc>
          <w:tcPr>
            <w:tcW w:w="2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Spanish Trails and Sundance</w:t>
            </w:r>
          </w:p>
        </w:tc>
        <w:tc>
          <w:tcPr>
            <w:tcW w:w="8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MH</w:t>
            </w:r>
          </w:p>
        </w:tc>
        <w:tc>
          <w:tcPr>
            <w:tcW w:w="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AZ &amp; FL</w:t>
            </w:r>
          </w:p>
        </w:tc>
        <w:tc>
          <w:tcPr>
            <w:tcW w:w="8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February</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48.5</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r>
      <w:tr>
        <w:trPr>
          <w:trHeight w:val="172"/>
        </w:trPr>
        <w:tc>
          <w:tcPr>
            <w:tcW w:w="25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Littondale</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5"/>
              </w:rPr>
              <w:t>UK</w:t>
            </w:r>
          </w:p>
        </w:tc>
        <w:tc>
          <w:tcPr>
            <w:tcW w:w="8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UK</w:t>
            </w: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rPr>
              <w:t>May</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80" w:type="dxa"/>
            <w:vAlign w:val="bottom"/>
          </w:tcPr>
          <w:p>
            <w:pPr>
              <w:spacing w:after="0"/>
              <w:rPr>
                <w:sz w:val="14"/>
                <w:szCs w:val="14"/>
                <w:color w:val="auto"/>
              </w:rPr>
            </w:pP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75"/>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Six Community MH Portfolio</w:t>
            </w:r>
          </w:p>
        </w:tc>
        <w:tc>
          <w:tcPr>
            <w:tcW w:w="9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rPr>
              <w:t>MH</w:t>
            </w: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7"/>
              </w:rPr>
              <w:t>Various</w:t>
            </w:r>
          </w:p>
        </w:tc>
        <w:tc>
          <w:tcPr>
            <w:tcW w:w="10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rPr>
              <w:t>July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142.0</w:t>
            </w:r>
          </w:p>
        </w:tc>
      </w:tr>
      <w:tr>
        <w:trPr>
          <w:trHeight w:val="172"/>
        </w:trPr>
        <w:tc>
          <w:tcPr>
            <w:tcW w:w="25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Lake Pointe Village</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MH</w:t>
            </w:r>
          </w:p>
        </w:tc>
        <w:tc>
          <w:tcPr>
            <w:tcW w:w="8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FL</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July</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w:t>
            </w:r>
          </w:p>
        </w:tc>
        <w:tc>
          <w:tcPr>
            <w:tcW w:w="80" w:type="dxa"/>
            <w:vAlign w:val="bottom"/>
          </w:tcPr>
          <w:p>
            <w:pPr>
              <w:spacing w:after="0"/>
              <w:rPr>
                <w:sz w:val="14"/>
                <w:szCs w:val="14"/>
                <w:color w:val="auto"/>
              </w:rPr>
            </w:pP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w:t>
            </w:r>
          </w:p>
        </w:tc>
      </w:tr>
      <w:tr>
        <w:trPr>
          <w:trHeight w:val="175"/>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Reserve at Fox Creek</w:t>
            </w:r>
          </w:p>
        </w:tc>
        <w:tc>
          <w:tcPr>
            <w:tcW w:w="9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rPr>
              <w:t>MH</w:t>
            </w: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rPr>
              <w:t>AZ</w:t>
            </w:r>
          </w:p>
        </w:tc>
        <w:tc>
          <w:tcPr>
            <w:tcW w:w="10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rPr>
              <w:t>September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w:t>
            </w:r>
          </w:p>
        </w:tc>
      </w:tr>
      <w:tr>
        <w:trPr>
          <w:trHeight w:val="172"/>
        </w:trPr>
        <w:tc>
          <w:tcPr>
            <w:tcW w:w="25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Turnberry</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5"/>
              </w:rPr>
              <w:t>UK</w:t>
            </w:r>
          </w:p>
        </w:tc>
        <w:tc>
          <w:tcPr>
            <w:tcW w:w="8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UK</w:t>
            </w: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rPr>
              <w:t>November</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80" w:type="dxa"/>
            <w:vAlign w:val="bottom"/>
          </w:tcPr>
          <w:p>
            <w:pPr>
              <w:spacing w:after="0"/>
              <w:rPr>
                <w:sz w:val="14"/>
                <w:szCs w:val="14"/>
                <w:color w:val="auto"/>
              </w:rPr>
            </w:pP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75"/>
        </w:trPr>
        <w:tc>
          <w:tcPr>
            <w:tcW w:w="254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3"/>
                <w:szCs w:val="13"/>
                <w:color w:val="auto"/>
              </w:rPr>
              <w:t>Canadian RV Portfolio</w:t>
            </w:r>
            <w:r>
              <w:rPr>
                <w:rFonts w:ascii="Times New Roman" w:cs="Times New Roman" w:eastAsia="Times New Roman" w:hAnsi="Times New Roman"/>
                <w:sz w:val="17"/>
                <w:szCs w:val="17"/>
                <w:color w:val="auto"/>
                <w:vertAlign w:val="superscript"/>
              </w:rPr>
              <w:t>(3)(4)</w:t>
            </w:r>
          </w:p>
        </w:tc>
        <w:tc>
          <w:tcPr>
            <w:tcW w:w="9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9"/>
              </w:rPr>
              <w:t>RV</w:t>
            </w: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rPr>
              <w:t>ON</w:t>
            </w:r>
          </w:p>
        </w:tc>
        <w:tc>
          <w:tcPr>
            <w:tcW w:w="10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rPr>
              <w:t>December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r>
    </w:tbl>
    <w:p>
      <w:pPr>
        <w:spacing w:after="0" w:line="49" w:lineRule="exact"/>
        <w:rPr>
          <w:sz w:val="20"/>
          <w:szCs w:val="20"/>
          <w:color w:val="auto"/>
        </w:rPr>
      </w:pPr>
    </w:p>
    <w:p>
      <w:pPr>
        <w:ind w:left="127" w:hanging="127"/>
        <w:spacing w:after="0"/>
        <w:tabs>
          <w:tab w:leader="none" w:pos="127" w:val="left"/>
        </w:tabs>
        <w:numPr>
          <w:ilvl w:val="0"/>
          <w:numId w:val="4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Cash consideration, net of settlement of the associated mortgage debt and other closing adjustments.</w:t>
      </w:r>
    </w:p>
    <w:p>
      <w:pPr>
        <w:spacing w:after="0" w:line="4" w:lineRule="exact"/>
        <w:rPr>
          <w:rFonts w:ascii="Times New Roman" w:cs="Times New Roman" w:eastAsia="Times New Roman" w:hAnsi="Times New Roman"/>
          <w:sz w:val="16"/>
          <w:szCs w:val="16"/>
          <w:color w:val="auto"/>
          <w:vertAlign w:val="superscript"/>
        </w:rPr>
      </w:pPr>
    </w:p>
    <w:p>
      <w:pPr>
        <w:ind w:left="127" w:hanging="127"/>
        <w:spacing w:after="0" w:line="190" w:lineRule="auto"/>
        <w:tabs>
          <w:tab w:leader="none" w:pos="127" w:val="left"/>
        </w:tabs>
        <w:numPr>
          <w:ilvl w:val="0"/>
          <w:numId w:val="4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Recorded in Gain on dispositions of properties, net on the Consolidated Statements of Operations.</w:t>
      </w:r>
    </w:p>
    <w:p>
      <w:pPr>
        <w:spacing w:after="0" w:line="4" w:lineRule="exact"/>
        <w:rPr>
          <w:rFonts w:ascii="Times New Roman" w:cs="Times New Roman" w:eastAsia="Times New Roman" w:hAnsi="Times New Roman"/>
          <w:sz w:val="16"/>
          <w:szCs w:val="16"/>
          <w:color w:val="auto"/>
          <w:vertAlign w:val="superscript"/>
        </w:rPr>
      </w:pPr>
    </w:p>
    <w:p>
      <w:pPr>
        <w:ind w:left="127" w:hanging="127"/>
        <w:spacing w:after="0" w:line="181" w:lineRule="auto"/>
        <w:tabs>
          <w:tab w:leader="none" w:pos="127" w:val="left"/>
        </w:tabs>
        <w:numPr>
          <w:ilvl w:val="0"/>
          <w:numId w:val="4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As part of the terms of the disposition, we provided financing to the counterparty in the form a note receivable of $42.4 million. Refer to Note 4, "Notes and Other Receivables," for additional details.</w:t>
      </w:r>
    </w:p>
    <w:p>
      <w:pPr>
        <w:ind w:left="127" w:hanging="127"/>
        <w:spacing w:after="0"/>
        <w:tabs>
          <w:tab w:leader="none" w:pos="127" w:val="left"/>
        </w:tabs>
        <w:numPr>
          <w:ilvl w:val="0"/>
          <w:numId w:val="44"/>
        </w:numPr>
        <w:rPr>
          <w:rFonts w:ascii="Times New Roman" w:cs="Times New Roman" w:eastAsia="Times New Roman" w:hAnsi="Times New Roman"/>
          <w:sz w:val="8"/>
          <w:szCs w:val="8"/>
          <w:color w:val="auto"/>
        </w:rPr>
      </w:pPr>
      <w:r>
        <w:rPr>
          <w:rFonts w:ascii="Times New Roman" w:cs="Times New Roman" w:eastAsia="Times New Roman" w:hAnsi="Times New Roman"/>
          <w:sz w:val="12"/>
          <w:szCs w:val="12"/>
          <w:color w:val="auto"/>
        </w:rPr>
        <w:t>Gain on disposition is net of the release of foreign currency translation losses from AOCI of $2.3 million.</w:t>
      </w:r>
    </w:p>
    <w:p>
      <w:pPr>
        <w:spacing w:after="0" w:line="96" w:lineRule="exact"/>
        <w:rPr>
          <w:sz w:val="20"/>
          <w:szCs w:val="20"/>
          <w:color w:val="auto"/>
        </w:rPr>
      </w:pPr>
    </w:p>
    <w:p>
      <w:pPr>
        <w:jc w:val="both"/>
        <w:ind w:left="7" w:right="20"/>
        <w:spacing w:after="0" w:line="295" w:lineRule="auto"/>
        <w:rPr>
          <w:sz w:val="20"/>
          <w:szCs w:val="20"/>
          <w:color w:val="auto"/>
        </w:rPr>
      </w:pPr>
      <w:r>
        <w:rPr>
          <w:rFonts w:ascii="Times New Roman" w:cs="Times New Roman" w:eastAsia="Times New Roman" w:hAnsi="Times New Roman"/>
          <w:sz w:val="15"/>
          <w:szCs w:val="15"/>
          <w:color w:val="auto"/>
        </w:rPr>
        <w:t>In addition, during the year ended December 31, 2024, we sold three development land parcels in the U.S. for total consideration of $50.2 million and recorded a total gain on sale of $11.5 million.</w:t>
      </w:r>
    </w:p>
    <w:p>
      <w:pPr>
        <w:spacing w:after="0" w:line="3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4. Notes and Other Receivables</w:t>
      </w:r>
    </w:p>
    <w:p>
      <w:pPr>
        <w:spacing w:after="0" w:line="10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The following table sets forth certain information regarding notes and other receivables (in millions):</w:t>
      </w:r>
    </w:p>
    <w:p>
      <w:pPr>
        <w:spacing w:after="0" w:line="138" w:lineRule="exact"/>
        <w:rPr>
          <w:sz w:val="20"/>
          <w:szCs w:val="20"/>
          <w:color w:val="auto"/>
        </w:rPr>
      </w:pPr>
    </w:p>
    <w:tbl>
      <w:tblPr>
        <w:tblLayout w:type="fixed"/>
        <w:tblInd w:w="7" w:type="dxa"/>
        <w:tblCellMar>
          <w:top w:w="0" w:type="dxa"/>
          <w:left w:w="0" w:type="dxa"/>
          <w:bottom w:w="0" w:type="dxa"/>
          <w:right w:w="0" w:type="dxa"/>
        </w:tblCellMar>
      </w:tblPr>
      <w:tr>
        <w:trPr>
          <w:trHeight w:val="176"/>
        </w:trPr>
        <w:tc>
          <w:tcPr>
            <w:tcW w:w="734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36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68"/>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Installment notes receivable on manufactured homes, net</w:t>
            </w:r>
          </w:p>
        </w:tc>
        <w:tc>
          <w:tcPr>
            <w:tcW w:w="1500" w:type="dxa"/>
            <w:vAlign w:val="bottom"/>
            <w:shd w:val="clear" w:color="auto" w:fill="CCEEFF"/>
          </w:tcPr>
          <w:p>
            <w:pPr>
              <w:jc w:val="right"/>
              <w:ind w:right="1354"/>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139.2</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93.9</w:t>
            </w:r>
          </w:p>
        </w:tc>
      </w:tr>
      <w:tr>
        <w:trPr>
          <w:trHeight w:val="172"/>
        </w:trPr>
        <w:tc>
          <w:tcPr>
            <w:tcW w:w="7340" w:type="dxa"/>
            <w:vAlign w:val="bottom"/>
          </w:tcPr>
          <w:p>
            <w:pPr>
              <w:spacing w:after="0"/>
              <w:rPr>
                <w:sz w:val="20"/>
                <w:szCs w:val="20"/>
                <w:color w:val="auto"/>
              </w:rPr>
            </w:pPr>
            <w:r>
              <w:rPr>
                <w:rFonts w:ascii="Times New Roman" w:cs="Times New Roman" w:eastAsia="Times New Roman" w:hAnsi="Times New Roman"/>
                <w:sz w:val="13"/>
                <w:szCs w:val="13"/>
                <w:color w:val="auto"/>
              </w:rPr>
              <w:t>Notes receivable from real estate developers and operators</w:t>
            </w:r>
          </w:p>
        </w:tc>
        <w:tc>
          <w:tcPr>
            <w:tcW w:w="15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44.5</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148.5</w:t>
            </w:r>
          </w:p>
        </w:tc>
      </w:tr>
      <w:tr>
        <w:trPr>
          <w:trHeight w:val="17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receivables, net</w:t>
            </w:r>
          </w:p>
        </w:tc>
        <w:tc>
          <w:tcPr>
            <w:tcW w:w="150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148.4</w:t>
            </w:r>
          </w:p>
        </w:tc>
        <w:tc>
          <w:tcPr>
            <w:tcW w:w="2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187.7</w:t>
            </w:r>
          </w:p>
        </w:tc>
      </w:tr>
      <w:tr>
        <w:trPr>
          <w:trHeight w:val="167"/>
        </w:trPr>
        <w:tc>
          <w:tcPr>
            <w:tcW w:w="734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Total Notes and Other Receivables, net</w:t>
            </w:r>
          </w:p>
        </w:tc>
        <w:tc>
          <w:tcPr>
            <w:tcW w:w="1500" w:type="dxa"/>
            <w:vAlign w:val="bottom"/>
            <w:tcBorders>
              <w:bottom w:val="single" w:sz="8" w:color="auto"/>
            </w:tcBorders>
          </w:tcPr>
          <w:p>
            <w:pPr>
              <w:jc w:val="right"/>
              <w:ind w:right="1354"/>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332.1</w:t>
            </w:r>
          </w:p>
        </w:tc>
        <w:tc>
          <w:tcPr>
            <w:tcW w:w="200" w:type="dxa"/>
            <w:vAlign w:val="bottom"/>
          </w:tcPr>
          <w:p>
            <w:pPr>
              <w:spacing w:after="0"/>
              <w:rPr>
                <w:sz w:val="14"/>
                <w:szCs w:val="14"/>
                <w:color w:val="auto"/>
              </w:rPr>
            </w:pPr>
          </w:p>
        </w:tc>
        <w:tc>
          <w:tcPr>
            <w:tcW w:w="2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430.1</w:t>
            </w:r>
          </w:p>
        </w:tc>
      </w:tr>
      <w:tr>
        <w:trPr>
          <w:trHeight w:val="20"/>
        </w:trPr>
        <w:tc>
          <w:tcPr>
            <w:tcW w:w="7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i w:val="1"/>
          <w:iCs w:val="1"/>
          <w:color w:val="auto"/>
        </w:rPr>
        <w:t>Installment Notes Receivable on Manufactured Homes</w:t>
      </w:r>
    </w:p>
    <w:p>
      <w:pPr>
        <w:spacing w:after="0" w:line="105" w:lineRule="exact"/>
        <w:rPr>
          <w:sz w:val="20"/>
          <w:szCs w:val="20"/>
          <w:color w:val="auto"/>
        </w:rPr>
      </w:pPr>
    </w:p>
    <w:p>
      <w:pPr>
        <w:jc w:val="both"/>
        <w:ind w:left="7" w:right="20"/>
        <w:spacing w:after="0" w:line="268" w:lineRule="auto"/>
        <w:rPr>
          <w:sz w:val="20"/>
          <w:szCs w:val="20"/>
          <w:color w:val="auto"/>
        </w:rPr>
      </w:pPr>
      <w:r>
        <w:rPr>
          <w:rFonts w:ascii="Times New Roman" w:cs="Times New Roman" w:eastAsia="Times New Roman" w:hAnsi="Times New Roman"/>
          <w:sz w:val="15"/>
          <w:szCs w:val="15"/>
          <w:color w:val="auto"/>
        </w:rPr>
        <w:t>Installment notes receivable are measured at fair value, using indicative pricing models from third-party valuation specialists, in accordance with ASC 820, "</w:t>
      </w:r>
      <w:r>
        <w:rPr>
          <w:rFonts w:ascii="Times New Roman" w:cs="Times New Roman" w:eastAsia="Times New Roman" w:hAnsi="Times New Roman"/>
          <w:sz w:val="15"/>
          <w:szCs w:val="15"/>
          <w:i w:val="1"/>
          <w:iCs w:val="1"/>
          <w:color w:val="auto"/>
        </w:rPr>
        <w:t>Fair Value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Measurements and Disclosures</w:t>
      </w:r>
      <w:r>
        <w:rPr>
          <w:rFonts w:ascii="Times New Roman" w:cs="Times New Roman" w:eastAsia="Times New Roman" w:hAnsi="Times New Roman"/>
          <w:sz w:val="15"/>
          <w:szCs w:val="15"/>
          <w:color w:val="auto"/>
        </w:rPr>
        <w:t>." The balances of installment notes receivable of $139.2 million (principal of installment notes receivable of $142.1 million less fair value adjustment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 $2.9 million) and $93.9 million (principal of installment notes receivable of $95.2 million less fair value adjustment of $1.3 million) as of December 31, 2025 and 2024, respectively, are secured by manufactured homes. The notes had a net weighted average interest rate (net of servicing costs) and maturity of 7.5% and 17.3 years as of December 31, 2025, and 6.4% and 18.6 years as of December 31, 2024, respectively. Refer to Note 14, "Fair Value Measurements," for additional details.</w:t>
      </w:r>
    </w:p>
    <w:p>
      <w:pPr>
        <w:spacing w:after="0" w:line="5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i w:val="1"/>
          <w:iCs w:val="1"/>
          <w:color w:val="auto"/>
        </w:rPr>
        <w:t>Notes Receivable from Real Estate Developers and Operators</w:t>
      </w:r>
    </w:p>
    <w:p>
      <w:pPr>
        <w:spacing w:after="0" w:line="109" w:lineRule="exact"/>
        <w:rPr>
          <w:sz w:val="20"/>
          <w:szCs w:val="20"/>
          <w:color w:val="auto"/>
        </w:rPr>
      </w:pPr>
    </w:p>
    <w:p>
      <w:pPr>
        <w:jc w:val="both"/>
        <w:ind w:left="7"/>
        <w:spacing w:after="0" w:line="276" w:lineRule="auto"/>
        <w:rPr>
          <w:sz w:val="20"/>
          <w:szCs w:val="20"/>
          <w:color w:val="auto"/>
        </w:rPr>
      </w:pPr>
      <w:r>
        <w:rPr>
          <w:rFonts w:ascii="Times New Roman" w:cs="Times New Roman" w:eastAsia="Times New Roman" w:hAnsi="Times New Roman"/>
          <w:sz w:val="15"/>
          <w:szCs w:val="15"/>
          <w:color w:val="auto"/>
        </w:rPr>
        <w:t>The note receivable from a real estate operator consists of a loan provided to a real estate operator to fund the Canadian RV Portfolio disposition (the "Canadian RV Note"). The balance on the Canadian RV Note was $44.5 million with a net weighted average interest rate and maturity of 5.0% and one year as of December 31, 2025, and was $42.4 million with a net weighted average interest rate and maturity of 5.0% and two years as of December 31, 2024. Refer to Note 14, "Fair Value Measurements," for additional information.</w:t>
      </w:r>
    </w:p>
    <w:p>
      <w:pPr>
        <w:spacing w:after="0" w:line="53" w:lineRule="exact"/>
        <w:rPr>
          <w:sz w:val="20"/>
          <w:szCs w:val="20"/>
          <w:color w:val="auto"/>
        </w:rPr>
      </w:pPr>
    </w:p>
    <w:p>
      <w:pPr>
        <w:jc w:val="both"/>
        <w:ind w:left="7" w:right="20"/>
        <w:spacing w:after="0" w:line="295" w:lineRule="auto"/>
        <w:rPr>
          <w:sz w:val="20"/>
          <w:szCs w:val="20"/>
          <w:color w:val="auto"/>
        </w:rPr>
      </w:pPr>
      <w:r>
        <w:rPr>
          <w:rFonts w:ascii="Times New Roman" w:cs="Times New Roman" w:eastAsia="Times New Roman" w:hAnsi="Times New Roman"/>
          <w:sz w:val="15"/>
          <w:szCs w:val="15"/>
          <w:color w:val="auto"/>
        </w:rPr>
        <w:t>As of December 31, 2025, we did not have any outstanding acquisition and construction loans provided to real estate developers. As of December 31, 2024, acquisition and construction loans provided to real estate developers totaled $106.1 million with a net weighted average interest rate and maturity of 8.0% and 1.9 years.</w:t>
      </w:r>
    </w:p>
    <w:p>
      <w:pPr>
        <w:spacing w:after="0" w:line="3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During the three months ended December 31, 2025, we settled a note receivable from a real estate developer of $48.7 million as part of the acquisition of one MH property in Florida.</w:t>
      </w:r>
    </w:p>
    <w:p>
      <w:pPr>
        <w:spacing w:after="0" w:line="2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Refer to Note 3, "Real Estate Acquisitions and Dispositions," for additional information.</w:t>
      </w:r>
    </w:p>
    <w:p>
      <w:pPr>
        <w:spacing w:after="0" w:line="91" w:lineRule="exact"/>
        <w:rPr>
          <w:sz w:val="20"/>
          <w:szCs w:val="20"/>
          <w:color w:val="auto"/>
        </w:rPr>
      </w:pPr>
    </w:p>
    <w:p>
      <w:pPr>
        <w:jc w:val="both"/>
        <w:ind w:left="7" w:right="20"/>
        <w:spacing w:after="0" w:line="276" w:lineRule="auto"/>
        <w:rPr>
          <w:sz w:val="20"/>
          <w:szCs w:val="20"/>
          <w:color w:val="auto"/>
        </w:rPr>
      </w:pPr>
      <w:r>
        <w:rPr>
          <w:rFonts w:ascii="Times New Roman" w:cs="Times New Roman" w:eastAsia="Times New Roman" w:hAnsi="Times New Roman"/>
          <w:sz w:val="15"/>
          <w:szCs w:val="15"/>
          <w:color w:val="auto"/>
        </w:rPr>
        <w:t>During the three months ended March 31, 2025, we settled a note receivable from a real estate developer of $36.5 million as part of a sale of a portfolio of RV communities. We also entered into a non-monetary transaction with a real estate developer to settle a note receivable of $23.8 million in conjunction with one RV property in California. Refer to Note 3, "Real Estate Acquisitions and Dispositions," and Note 8, "Equity and Temporary Equity," respectively, for additional information.</w:t>
      </w:r>
    </w:p>
    <w:p>
      <w:pPr>
        <w:spacing w:after="0" w:line="200" w:lineRule="exact"/>
        <w:rPr>
          <w:sz w:val="20"/>
          <w:szCs w:val="20"/>
          <w:color w:val="auto"/>
        </w:rPr>
      </w:pPr>
    </w:p>
    <w:p>
      <w:pPr>
        <w:spacing w:after="0" w:line="27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F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121920</wp:posOffset>
            </wp:positionV>
            <wp:extent cx="7177405" cy="400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121" w:right="319" w:bottom="1440" w:gutter="0" w:footer="0" w:header="0"/>
        </w:sectPr>
      </w:pPr>
    </w:p>
    <w:bookmarkStart w:id="76" w:name="page77"/>
    <w:bookmarkEnd w:id="76"/>
    <w:p>
      <w:pPr>
        <w:jc w:val="center"/>
        <w:ind w:right="13"/>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31"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200" w:lineRule="exact"/>
        <w:rPr>
          <w:sz w:val="20"/>
          <w:szCs w:val="20"/>
          <w:color w:val="auto"/>
        </w:rPr>
      </w:pPr>
    </w:p>
    <w:p>
      <w:pPr>
        <w:spacing w:after="0" w:line="35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i w:val="1"/>
          <w:iCs w:val="1"/>
          <w:color w:val="auto"/>
        </w:rPr>
        <w:t>Other Receivables, net</w:t>
      </w:r>
    </w:p>
    <w:p>
      <w:pPr>
        <w:sectPr>
          <w:pgSz w:w="11900" w:h="16838" w:orient="portrait"/>
          <w:cols w:equalWidth="0" w:num="1">
            <w:col w:w="11267"/>
          </w:cols>
          <w:pgMar w:left="313" w:top="121" w:right="319" w:bottom="1440" w:gutter="0" w:footer="0" w:header="0"/>
        </w:sectPr>
      </w:pPr>
    </w:p>
    <w:p>
      <w:pPr>
        <w:spacing w:after="0" w:line="10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Other receivables, net were comprised of amounts due from the following categories (in millions):</w:t>
      </w:r>
    </w:p>
    <w:p>
      <w:pPr>
        <w:spacing w:after="0" w:line="31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3"/>
          <w:szCs w:val="13"/>
          <w:color w:val="auto"/>
        </w:rPr>
        <w:t>Receivables from residents and customers</w:t>
      </w:r>
      <w:r>
        <w:rPr>
          <w:rFonts w:ascii="Times New Roman" w:cs="Times New Roman" w:eastAsia="Times New Roman" w:hAnsi="Times New Roman"/>
          <w:sz w:val="17"/>
          <w:szCs w:val="17"/>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7152005" cy="1174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1">
                      <a:extLst>
                        <a:ext uri="{28A0092B-C50C-407E-A947-70E740481C1C}"/>
                      </a:extLst>
                    </a:blip>
                    <a:srcRect/>
                    <a:stretch>
                      <a:fillRect/>
                    </a:stretch>
                  </pic:blipFill>
                  <pic:spPr bwMode="auto">
                    <a:xfrm>
                      <a:off x="0" y="0"/>
                      <a:ext cx="7152005" cy="117475"/>
                    </a:xfrm>
                    <a:prstGeom prst="rect">
                      <a:avLst/>
                    </a:prstGeom>
                    <a:noFill/>
                  </pic:spPr>
                </pic:pic>
              </a:graphicData>
            </a:graphic>
          </wp:anchor>
        </w:drawing>
      </w:r>
    </w:p>
    <w:p>
      <w:pPr>
        <w:ind w:left="7"/>
        <w:spacing w:after="0" w:line="219" w:lineRule="auto"/>
        <w:rPr>
          <w:sz w:val="20"/>
          <w:szCs w:val="20"/>
          <w:color w:val="auto"/>
        </w:rPr>
      </w:pPr>
      <w:r>
        <w:rPr>
          <w:rFonts w:ascii="Times New Roman" w:cs="Times New Roman" w:eastAsia="Times New Roman" w:hAnsi="Times New Roman"/>
          <w:sz w:val="13"/>
          <w:szCs w:val="13"/>
          <w:color w:val="auto"/>
        </w:rPr>
        <w:t>Insurance receivables</w:t>
      </w:r>
      <w:r>
        <w:rPr>
          <w:rFonts w:ascii="Times New Roman" w:cs="Times New Roman" w:eastAsia="Times New Roman" w:hAnsi="Times New Roman"/>
          <w:sz w:val="17"/>
          <w:szCs w:val="17"/>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52005" cy="1104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2">
                      <a:extLst>
                        <a:ext uri="{28A0092B-C50C-407E-A947-70E740481C1C}"/>
                      </a:extLst>
                    </a:blip>
                    <a:srcRect/>
                    <a:stretch>
                      <a:fillRect/>
                    </a:stretch>
                  </pic:blipFill>
                  <pic:spPr bwMode="auto">
                    <a:xfrm>
                      <a:off x="0" y="0"/>
                      <a:ext cx="7152005" cy="110490"/>
                    </a:xfrm>
                    <a:prstGeom prst="rect">
                      <a:avLst/>
                    </a:prstGeom>
                    <a:noFill/>
                  </pic:spPr>
                </pic:pic>
              </a:graphicData>
            </a:graphic>
          </wp:anchor>
        </w:drawing>
      </w:r>
    </w:p>
    <w:p>
      <w:pPr>
        <w:ind w:left="7"/>
        <w:spacing w:after="0"/>
        <w:rPr>
          <w:sz w:val="20"/>
          <w:szCs w:val="20"/>
          <w:color w:val="auto"/>
        </w:rPr>
      </w:pPr>
      <w:r>
        <w:rPr>
          <w:rFonts w:ascii="Times New Roman" w:cs="Times New Roman" w:eastAsia="Times New Roman" w:hAnsi="Times New Roman"/>
          <w:sz w:val="13"/>
          <w:szCs w:val="13"/>
          <w:color w:val="auto"/>
        </w:rPr>
        <w:t>Home sale proceeds</w:t>
      </w:r>
    </w:p>
    <w:p>
      <w:pPr>
        <w:spacing w:after="0" w:line="1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3"/>
          <w:szCs w:val="13"/>
          <w:color w:val="auto"/>
        </w:rPr>
        <w:t>Other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52005" cy="1320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3">
                      <a:extLst>
                        <a:ext uri="{28A0092B-C50C-407E-A947-70E740481C1C}"/>
                      </a:extLst>
                    </a:blip>
                    <a:srcRect/>
                    <a:stretch>
                      <a:fillRect/>
                    </a:stretch>
                  </pic:blipFill>
                  <pic:spPr bwMode="auto">
                    <a:xfrm>
                      <a:off x="0" y="0"/>
                      <a:ext cx="7152005" cy="132080"/>
                    </a:xfrm>
                    <a:prstGeom prst="rect">
                      <a:avLst/>
                    </a:prstGeom>
                    <a:noFill/>
                  </pic:spPr>
                </pic:pic>
              </a:graphicData>
            </a:graphic>
          </wp:anchor>
        </w:drawing>
      </w:r>
    </w:p>
    <w:p>
      <w:pPr>
        <w:spacing w:after="0" w:line="37" w:lineRule="exact"/>
        <w:rPr>
          <w:sz w:val="20"/>
          <w:szCs w:val="20"/>
          <w:color w:val="auto"/>
        </w:rPr>
      </w:pPr>
    </w:p>
    <w:p>
      <w:pPr>
        <w:ind w:left="207"/>
        <w:spacing w:after="0"/>
        <w:rPr>
          <w:sz w:val="20"/>
          <w:szCs w:val="20"/>
          <w:color w:val="auto"/>
        </w:rPr>
      </w:pPr>
      <w:r>
        <w:rPr>
          <w:rFonts w:ascii="Times New Roman" w:cs="Times New Roman" w:eastAsia="Times New Roman" w:hAnsi="Times New Roman"/>
          <w:sz w:val="13"/>
          <w:szCs w:val="13"/>
          <w:b w:val="1"/>
          <w:bCs w:val="1"/>
          <w:color w:val="auto"/>
        </w:rPr>
        <w:t>Total Other Receivables, net</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240" w:type="dxa"/>
            <w:vAlign w:val="bottom"/>
          </w:tcPr>
          <w:p>
            <w:pPr>
              <w:spacing w:after="0"/>
              <w:rPr>
                <w:sz w:val="15"/>
                <w:szCs w:val="15"/>
                <w:color w:val="auto"/>
              </w:rPr>
            </w:pPr>
          </w:p>
        </w:tc>
        <w:tc>
          <w:tcPr>
            <w:tcW w:w="182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240" w:type="dxa"/>
            <w:vAlign w:val="bottom"/>
          </w:tcPr>
          <w:p>
            <w:pPr>
              <w:spacing w:after="0"/>
              <w:rPr>
                <w:sz w:val="15"/>
                <w:szCs w:val="15"/>
                <w:color w:val="auto"/>
              </w:rPr>
            </w:pPr>
          </w:p>
        </w:tc>
        <w:tc>
          <w:tcPr>
            <w:tcW w:w="162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65"/>
        </w:trPr>
        <w:tc>
          <w:tcPr>
            <w:tcW w:w="24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80.6</w:t>
            </w:r>
          </w:p>
        </w:tc>
        <w:tc>
          <w:tcPr>
            <w:tcW w:w="200" w:type="dxa"/>
            <w:vAlign w:val="bottom"/>
          </w:tcPr>
          <w:p>
            <w:pPr>
              <w:spacing w:after="0"/>
              <w:rPr>
                <w:sz w:val="14"/>
                <w:szCs w:val="14"/>
                <w:color w:val="auto"/>
              </w:rPr>
            </w:pPr>
          </w:p>
        </w:tc>
        <w:tc>
          <w:tcPr>
            <w:tcW w:w="24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62.2</w:t>
            </w:r>
          </w:p>
        </w:tc>
      </w:tr>
      <w:tr>
        <w:trPr>
          <w:trHeight w:val="171"/>
        </w:trPr>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42.4</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67.2</w:t>
            </w:r>
          </w:p>
        </w:tc>
      </w:tr>
      <w:tr>
        <w:trPr>
          <w:trHeight w:val="174"/>
        </w:trPr>
        <w:tc>
          <w:tcPr>
            <w:tcW w:w="2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w:t>
            </w:r>
          </w:p>
        </w:tc>
      </w:tr>
      <w:tr>
        <w:trPr>
          <w:trHeight w:val="177"/>
        </w:trPr>
        <w:tc>
          <w:tcPr>
            <w:tcW w:w="2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33.8</w:t>
            </w:r>
          </w:p>
        </w:tc>
      </w:tr>
      <w:tr>
        <w:trPr>
          <w:trHeight w:val="167"/>
        </w:trPr>
        <w:tc>
          <w:tcPr>
            <w:tcW w:w="2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148.4</w:t>
            </w:r>
          </w:p>
        </w:tc>
        <w:tc>
          <w:tcPr>
            <w:tcW w:w="200" w:type="dxa"/>
            <w:vAlign w:val="bottom"/>
          </w:tcPr>
          <w:p>
            <w:pPr>
              <w:spacing w:after="0"/>
              <w:rPr>
                <w:sz w:val="14"/>
                <w:szCs w:val="14"/>
                <w:color w:val="auto"/>
              </w:rPr>
            </w:pPr>
          </w:p>
        </w:tc>
        <w:tc>
          <w:tcPr>
            <w:tcW w:w="2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187.7</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ectPr>
          <w:pgSz w:w="11900" w:h="16838" w:orient="portrait"/>
          <w:cols w:equalWidth="0" w:num="2">
            <w:col w:w="6627" w:space="720"/>
            <w:col w:w="3920"/>
          </w:cols>
          <w:pgMar w:left="313" w:top="121" w:right="319" w:bottom="1440" w:gutter="0" w:footer="0" w:header="0"/>
          <w:type w:val="continuous"/>
        </w:sectPr>
      </w:pPr>
    </w:p>
    <w:p>
      <w:pPr>
        <w:ind w:left="127" w:hanging="127"/>
        <w:spacing w:after="0"/>
        <w:tabs>
          <w:tab w:leader="none" w:pos="127" w:val="left"/>
        </w:tabs>
        <w:numPr>
          <w:ilvl w:val="0"/>
          <w:numId w:val="4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Net of allowance for credit losses of $5.0 million and $5.6 million as of December 31, 2025 and 2024, respectively.</w:t>
      </w:r>
    </w:p>
    <w:p>
      <w:pPr>
        <w:spacing w:after="0" w:line="4" w:lineRule="exact"/>
        <w:rPr>
          <w:rFonts w:ascii="Times New Roman" w:cs="Times New Roman" w:eastAsia="Times New Roman" w:hAnsi="Times New Roman"/>
          <w:sz w:val="16"/>
          <w:szCs w:val="16"/>
          <w:color w:val="auto"/>
          <w:vertAlign w:val="superscript"/>
        </w:rPr>
      </w:pPr>
    </w:p>
    <w:p>
      <w:pPr>
        <w:ind w:left="127" w:hanging="127"/>
        <w:spacing w:after="0" w:line="190" w:lineRule="auto"/>
        <w:tabs>
          <w:tab w:leader="none" w:pos="127" w:val="left"/>
        </w:tabs>
        <w:numPr>
          <w:ilvl w:val="0"/>
          <w:numId w:val="4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Primarily consists of receivables from insurance providers related to Hurricanes Helene, Milton, and Ian. Refer to Note 15, "Commitments and Contingencies," for additional details.</w:t>
      </w:r>
    </w:p>
    <w:p>
      <w:pPr>
        <w:spacing w:after="0" w:line="8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5. Goodwill and Other Intangible Assets</w:t>
      </w:r>
    </w:p>
    <w:p>
      <w:pPr>
        <w:spacing w:after="0" w:line="10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Our intangible assets include goodwill, in-place leases, trademarks and trade names, customer relationships, franchise agreements, and other intangible assets.</w:t>
      </w:r>
    </w:p>
    <w:p>
      <w:pPr>
        <w:spacing w:after="0" w:line="10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i w:val="1"/>
          <w:iCs w:val="1"/>
          <w:color w:val="auto"/>
        </w:rPr>
        <w:t>Goodwill</w:t>
      </w:r>
    </w:p>
    <w:p>
      <w:pPr>
        <w:spacing w:after="0" w:line="109" w:lineRule="exact"/>
        <w:rPr>
          <w:sz w:val="20"/>
          <w:szCs w:val="20"/>
          <w:color w:val="auto"/>
        </w:rPr>
      </w:pPr>
    </w:p>
    <w:p>
      <w:pPr>
        <w:jc w:val="both"/>
        <w:ind w:left="7"/>
        <w:spacing w:after="0" w:line="276" w:lineRule="auto"/>
        <w:rPr>
          <w:sz w:val="20"/>
          <w:szCs w:val="20"/>
          <w:color w:val="auto"/>
        </w:rPr>
      </w:pPr>
      <w:r>
        <w:rPr>
          <w:rFonts w:ascii="Times New Roman" w:cs="Times New Roman" w:eastAsia="Times New Roman" w:hAnsi="Times New Roman"/>
          <w:sz w:val="15"/>
          <w:szCs w:val="15"/>
          <w:color w:val="auto"/>
        </w:rPr>
        <w:t>The measurement periods for the valuation of assets acquired and liabilities assumed in a business combination end as soon as information on the facts and circumstances that existed as of the acquisition dates becomes available on the earlier of (i) the dates of acquisition, or (ii) 12 months after the acquisition dates. Adjustments in purchase price allocations may require a change in the amounts allocated to goodwill during the periods in which the adjustments are determined.</w:t>
      </w:r>
    </w:p>
    <w:p>
      <w:pPr>
        <w:spacing w:after="0" w:line="53" w:lineRule="exact"/>
        <w:rPr>
          <w:sz w:val="20"/>
          <w:szCs w:val="20"/>
          <w:color w:val="auto"/>
        </w:rPr>
      </w:pPr>
    </w:p>
    <w:p>
      <w:pPr>
        <w:jc w:val="both"/>
        <w:ind w:left="7" w:right="20"/>
        <w:spacing w:after="0" w:line="276" w:lineRule="auto"/>
        <w:rPr>
          <w:sz w:val="20"/>
          <w:szCs w:val="20"/>
          <w:color w:val="auto"/>
        </w:rPr>
      </w:pPr>
      <w:r>
        <w:rPr>
          <w:rFonts w:ascii="Times New Roman" w:cs="Times New Roman" w:eastAsia="Times New Roman" w:hAnsi="Times New Roman"/>
          <w:sz w:val="15"/>
          <w:szCs w:val="15"/>
          <w:color w:val="auto"/>
        </w:rPr>
        <w:t>Our entire goodwill balance of $9.5 million at December 31, 2025 is attributable to the RV segment. During the year ended December 31, 2025, goodwill of $541.7 million associated with the Safe Harbor subsidiary was allocated to discontinued operations and derecognized in conjunction with the closing of the Safe Harbor Sale. There were no other changes in our goodwill balance during the year ended December 31, 2025.</w:t>
      </w:r>
    </w:p>
    <w:p>
      <w:pPr>
        <w:spacing w:after="0" w:line="53" w:lineRule="exact"/>
        <w:rPr>
          <w:sz w:val="20"/>
          <w:szCs w:val="20"/>
          <w:color w:val="auto"/>
        </w:rPr>
      </w:pPr>
    </w:p>
    <w:p>
      <w:pPr>
        <w:jc w:val="both"/>
        <w:ind w:left="7"/>
        <w:spacing w:after="0" w:line="270" w:lineRule="auto"/>
        <w:rPr>
          <w:sz w:val="20"/>
          <w:szCs w:val="20"/>
          <w:color w:val="auto"/>
        </w:rPr>
      </w:pPr>
      <w:r>
        <w:rPr>
          <w:rFonts w:ascii="Times New Roman" w:cs="Times New Roman" w:eastAsia="Times New Roman" w:hAnsi="Times New Roman"/>
          <w:sz w:val="15"/>
          <w:szCs w:val="15"/>
          <w:color w:val="auto"/>
        </w:rPr>
        <w:t>At October 31, 2025, we performed our annual goodwill impairment test for the RV segment and no impairment of goodwill was identified. During the years ended December 31, 2024 and 2023, we incurred impairment charges of $180.8 million and $369.9 million, respectively, related to the UK segment, primarily driven by a deterioration in the macroeconomic environment in the region, causing a decline in projected future cash flows for our Park Holidays business, bringing the balance associated with the UK segment to zero. As of December 31, 2025 and 2024, the accumulated impairment losses were $550.7 million.</w:t>
      </w:r>
    </w:p>
    <w:p>
      <w:pPr>
        <w:spacing w:after="0" w:line="5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i w:val="1"/>
          <w:iCs w:val="1"/>
          <w:color w:val="auto"/>
        </w:rPr>
        <w:t>Other Intangible Assets, net</w:t>
      </w:r>
    </w:p>
    <w:p>
      <w:pPr>
        <w:spacing w:after="0" w:line="10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The gross carrying amounts and accumulated amortization of our intangible assets were as follows (in millions):</w:t>
      </w:r>
    </w:p>
    <w:p>
      <w:pPr>
        <w:spacing w:after="0" w:line="138" w:lineRule="exact"/>
        <w:rPr>
          <w:sz w:val="20"/>
          <w:szCs w:val="20"/>
          <w:color w:val="auto"/>
        </w:rPr>
      </w:pPr>
    </w:p>
    <w:tbl>
      <w:tblPr>
        <w:tblLayout w:type="fixed"/>
        <w:tblInd w:w="7" w:type="dxa"/>
        <w:tblCellMar>
          <w:top w:w="0" w:type="dxa"/>
          <w:left w:w="0" w:type="dxa"/>
          <w:bottom w:w="0" w:type="dxa"/>
          <w:right w:w="0" w:type="dxa"/>
        </w:tblCellMar>
      </w:tblPr>
      <w:tr>
        <w:trPr>
          <w:trHeight w:val="176"/>
        </w:trPr>
        <w:tc>
          <w:tcPr>
            <w:tcW w:w="4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20" w:type="dxa"/>
            <w:vAlign w:val="bottom"/>
            <w:gridSpan w:val="5"/>
          </w:tcPr>
          <w:p>
            <w:pPr>
              <w:ind w:left="66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40" w:type="dxa"/>
            <w:vAlign w:val="bottom"/>
          </w:tcPr>
          <w:p>
            <w:pPr>
              <w:spacing w:after="0"/>
              <w:rPr>
                <w:sz w:val="15"/>
                <w:szCs w:val="15"/>
                <w:color w:val="auto"/>
              </w:rPr>
            </w:pPr>
          </w:p>
        </w:tc>
        <w:tc>
          <w:tcPr>
            <w:tcW w:w="2540" w:type="dxa"/>
            <w:vAlign w:val="bottom"/>
            <w:gridSpan w:val="4"/>
          </w:tcPr>
          <w:p>
            <w:pPr>
              <w:jc w:val="right"/>
              <w:ind w:right="754"/>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22"/>
        </w:trPr>
        <w:tc>
          <w:tcPr>
            <w:tcW w:w="4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8"/>
              </w:rPr>
              <w:t>Gross Carrying</w:t>
            </w:r>
          </w:p>
        </w:tc>
        <w:tc>
          <w:tcPr>
            <w:tcW w:w="1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214"/>
              <w:spacing w:after="0" w:line="12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8"/>
              </w:rPr>
              <w:t>Gross Carrying</w:t>
            </w:r>
          </w:p>
        </w:tc>
        <w:tc>
          <w:tcPr>
            <w:tcW w:w="1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214"/>
              <w:spacing w:after="0" w:line="122" w:lineRule="exact"/>
              <w:rPr>
                <w:sz w:val="20"/>
                <w:szCs w:val="20"/>
                <w:color w:val="auto"/>
              </w:rPr>
            </w:pPr>
            <w:r>
              <w:rPr>
                <w:rFonts w:ascii="Times New Roman" w:cs="Times New Roman" w:eastAsia="Times New Roman" w:hAnsi="Times New Roman"/>
                <w:sz w:val="13"/>
                <w:szCs w:val="13"/>
                <w:b w:val="1"/>
                <w:bCs w:val="1"/>
                <w:color w:val="auto"/>
              </w:rPr>
              <w:t>Accumulated</w:t>
            </w:r>
          </w:p>
        </w:tc>
      </w:tr>
      <w:tr>
        <w:trPr>
          <w:trHeight w:val="182"/>
        </w:trPr>
        <w:tc>
          <w:tcPr>
            <w:tcW w:w="45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Other Intangible Asset</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Useful Life</w:t>
            </w:r>
          </w:p>
        </w:tc>
        <w:tc>
          <w:tcPr>
            <w:tcW w:w="14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15"/>
                <w:szCs w:val="15"/>
                <w:color w:val="auto"/>
              </w:rPr>
            </w:pP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14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15"/>
                <w:szCs w:val="15"/>
                <w:color w:val="auto"/>
              </w:rPr>
            </w:pPr>
          </w:p>
        </w:tc>
        <w:tc>
          <w:tcPr>
            <w:tcW w:w="1120" w:type="dxa"/>
            <w:vAlign w:val="bottom"/>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Amortization</w:t>
            </w:r>
          </w:p>
        </w:tc>
      </w:tr>
      <w:tr>
        <w:trPr>
          <w:trHeight w:val="168"/>
        </w:trPr>
        <w:tc>
          <w:tcPr>
            <w:tcW w:w="442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In-place leases</w:t>
            </w:r>
          </w:p>
        </w:tc>
        <w:tc>
          <w:tcPr>
            <w:tcW w:w="8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 years</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146.5</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(132.1)</w:t>
            </w: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138.8</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(126.4)</w:t>
            </w:r>
          </w:p>
        </w:tc>
      </w:tr>
      <w:tr>
        <w:trPr>
          <w:trHeight w:val="172"/>
        </w:trPr>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Trademarks and trade names</w:t>
            </w:r>
          </w:p>
        </w:tc>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rPr>
              <w:t>15 years</w:t>
            </w: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w:t>
            </w:r>
          </w:p>
        </w:tc>
      </w:tr>
      <w:tr>
        <w:trPr>
          <w:trHeight w:val="175"/>
        </w:trPr>
        <w:tc>
          <w:tcPr>
            <w:tcW w:w="4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Customer relationships</w:t>
            </w:r>
          </w:p>
        </w:tc>
        <w:tc>
          <w:tcPr>
            <w:tcW w:w="12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rPr>
              <w:t>4 years</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72"/>
        </w:trPr>
        <w:tc>
          <w:tcPr>
            <w:tcW w:w="45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3"/>
                <w:szCs w:val="13"/>
                <w:color w:val="auto"/>
              </w:rPr>
              <w:t>Franchise agreements and other intangible assets</w:t>
            </w:r>
          </w:p>
        </w:tc>
        <w:tc>
          <w:tcPr>
            <w:tcW w:w="1220" w:type="dxa"/>
            <w:vAlign w:val="bottom"/>
            <w:tcBorders>
              <w:bottom w:val="single" w:sz="8" w:color="CCEEFF"/>
            </w:tcBorders>
            <w:gridSpan w:val="2"/>
          </w:tcPr>
          <w:p>
            <w:pPr>
              <w:jc w:val="center"/>
              <w:ind w:right="60"/>
              <w:spacing w:after="0"/>
              <w:rPr>
                <w:sz w:val="20"/>
                <w:szCs w:val="20"/>
                <w:color w:val="auto"/>
              </w:rPr>
            </w:pPr>
            <w:r>
              <w:rPr>
                <w:rFonts w:ascii="Times New Roman" w:cs="Times New Roman" w:eastAsia="Times New Roman" w:hAnsi="Times New Roman"/>
                <w:sz w:val="13"/>
                <w:szCs w:val="13"/>
                <w:color w:val="auto"/>
              </w:rPr>
              <w:t>10 - 27 years</w:t>
            </w: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32.9</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32.7</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w:t>
            </w:r>
          </w:p>
        </w:tc>
      </w:tr>
      <w:tr>
        <w:trPr>
          <w:trHeight w:val="167"/>
        </w:trPr>
        <w:tc>
          <w:tcPr>
            <w:tcW w:w="4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b w:val="1"/>
                <w:bCs w:val="1"/>
                <w:color w:val="auto"/>
              </w:rPr>
              <w:t>Total finite-lived assets</w:t>
            </w: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(167.9)</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(153.1)</w:t>
            </w:r>
          </w:p>
        </w:tc>
      </w:tr>
      <w:tr>
        <w:trPr>
          <w:trHeight w:val="172"/>
        </w:trPr>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Indefinite-lived assets - Trademarks, trade names, and other</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N/A</w:t>
            </w: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5"/>
        </w:trPr>
        <w:tc>
          <w:tcPr>
            <w:tcW w:w="4500" w:type="dxa"/>
            <w:vAlign w:val="bottom"/>
            <w:tcBorders>
              <w:top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b w:val="1"/>
                <w:bCs w:val="1"/>
                <w:color w:val="auto"/>
              </w:rPr>
              <w:t>Total indefinite-lived assets</w:t>
            </w:r>
          </w:p>
        </w:tc>
        <w:tc>
          <w:tcPr>
            <w:tcW w:w="1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7"/>
        </w:trPr>
        <w:tc>
          <w:tcPr>
            <w:tcW w:w="450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269.4</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(167.9)</w:t>
            </w:r>
          </w:p>
        </w:tc>
        <w:tc>
          <w:tcPr>
            <w:tcW w:w="1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255.6</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(153.1)</w:t>
            </w:r>
          </w:p>
        </w:tc>
      </w:tr>
      <w:tr>
        <w:trPr>
          <w:trHeight w:val="20"/>
        </w:trPr>
        <w:tc>
          <w:tcPr>
            <w:tcW w:w="4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Amortization expenses related to our Other intangible assets were as follows (in millions):</w:t>
      </w:r>
    </w:p>
    <w:p>
      <w:pPr>
        <w:spacing w:after="0" w:line="138" w:lineRule="exact"/>
        <w:rPr>
          <w:sz w:val="20"/>
          <w:szCs w:val="20"/>
          <w:color w:val="auto"/>
        </w:rPr>
      </w:pPr>
    </w:p>
    <w:tbl>
      <w:tblPr>
        <w:tblLayout w:type="fixed"/>
        <w:tblInd w:w="7" w:type="dxa"/>
        <w:tblCellMar>
          <w:top w:w="0" w:type="dxa"/>
          <w:left w:w="0" w:type="dxa"/>
          <w:bottom w:w="0" w:type="dxa"/>
          <w:right w:w="0" w:type="dxa"/>
        </w:tblCellMar>
      </w:tblPr>
      <w:tr>
        <w:trPr>
          <w:trHeight w:val="173"/>
        </w:trPr>
        <w:tc>
          <w:tcPr>
            <w:tcW w:w="6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80"/>
        </w:trPr>
        <w:tc>
          <w:tcPr>
            <w:tcW w:w="64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Other Intangible Asset Amortization Expense</w:t>
            </w:r>
          </w:p>
        </w:tc>
        <w:tc>
          <w:tcPr>
            <w:tcW w:w="380" w:type="dxa"/>
            <w:vAlign w:val="bottom"/>
          </w:tcPr>
          <w:p>
            <w:pPr>
              <w:spacing w:after="0"/>
              <w:rPr>
                <w:sz w:val="15"/>
                <w:szCs w:val="15"/>
                <w:color w:val="auto"/>
              </w:rPr>
            </w:pPr>
          </w:p>
        </w:tc>
        <w:tc>
          <w:tcPr>
            <w:tcW w:w="1180" w:type="dxa"/>
            <w:vAlign w:val="bottom"/>
          </w:tcPr>
          <w:p>
            <w:pPr>
              <w:jc w:val="right"/>
              <w:ind w:right="57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9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94"/>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8"/>
        </w:trPr>
        <w:tc>
          <w:tcPr>
            <w:tcW w:w="632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In-place leases</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w:t>
            </w:r>
          </w:p>
        </w:tc>
      </w:tr>
      <w:tr>
        <w:trPr>
          <w:trHeight w:val="172"/>
        </w:trPr>
        <w:tc>
          <w:tcPr>
            <w:tcW w:w="64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Trademarks and trade names</w:t>
            </w: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r>
      <w:tr>
        <w:trPr>
          <w:trHeight w:val="175"/>
        </w:trPr>
        <w:tc>
          <w:tcPr>
            <w:tcW w:w="6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Customer relationships</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w:t>
            </w:r>
          </w:p>
        </w:tc>
      </w:tr>
      <w:tr>
        <w:trPr>
          <w:trHeight w:val="172"/>
        </w:trPr>
        <w:tc>
          <w:tcPr>
            <w:tcW w:w="64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3"/>
                <w:szCs w:val="13"/>
                <w:color w:val="auto"/>
              </w:rPr>
              <w:t>Franchise fees and other intangible assets</w:t>
            </w: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92"/>
        </w:trPr>
        <w:tc>
          <w:tcPr>
            <w:tcW w:w="64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38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F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121920</wp:posOffset>
            </wp:positionV>
            <wp:extent cx="7177405" cy="400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121" w:right="319" w:bottom="1440" w:gutter="0" w:footer="0" w:header="0"/>
          <w:type w:val="continuous"/>
        </w:sectPr>
      </w:pPr>
    </w:p>
    <w:bookmarkStart w:id="77" w:name="page78"/>
    <w:bookmarkEnd w:id="77"/>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We anticipate amortization expense for Other intangible assets to be as follows for the next five years (in millions):</w:t>
      </w:r>
    </w:p>
    <w:p>
      <w:pPr>
        <w:spacing w:after="0" w:line="138" w:lineRule="exact"/>
        <w:rPr>
          <w:sz w:val="20"/>
          <w:szCs w:val="20"/>
          <w:color w:val="auto"/>
        </w:rPr>
      </w:pPr>
    </w:p>
    <w:tbl>
      <w:tblPr>
        <w:tblLayout w:type="fixed"/>
        <w:tblInd w:w="7" w:type="dxa"/>
        <w:tblCellMar>
          <w:top w:w="0" w:type="dxa"/>
          <w:left w:w="0" w:type="dxa"/>
          <w:bottom w:w="0" w:type="dxa"/>
          <w:right w:w="0" w:type="dxa"/>
        </w:tblCellMar>
      </w:tblPr>
      <w:tr>
        <w:trPr>
          <w:trHeight w:val="176"/>
        </w:trPr>
        <w:tc>
          <w:tcPr>
            <w:tcW w:w="43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Other Intangible Asset Future Amortization Expense</w:t>
            </w:r>
          </w:p>
        </w:tc>
        <w:tc>
          <w:tcPr>
            <w:tcW w:w="300" w:type="dxa"/>
            <w:vAlign w:val="bottom"/>
          </w:tcPr>
          <w:p>
            <w:pPr>
              <w:spacing w:after="0"/>
              <w:rPr>
                <w:sz w:val="15"/>
                <w:szCs w:val="15"/>
                <w:color w:val="auto"/>
              </w:rPr>
            </w:pPr>
          </w:p>
        </w:tc>
        <w:tc>
          <w:tcPr>
            <w:tcW w:w="1020" w:type="dxa"/>
            <w:vAlign w:val="bottom"/>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rPr>
              <w:t>2026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rPr>
              <w:t>2027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rPr>
              <w:t>2028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rPr>
              <w:t>2029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2030</w:t>
            </w:r>
          </w:p>
        </w:tc>
      </w:tr>
      <w:tr>
        <w:trPr>
          <w:trHeight w:val="168"/>
        </w:trPr>
        <w:tc>
          <w:tcPr>
            <w:tcW w:w="42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In-place leases</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72"/>
        </w:trPr>
        <w:tc>
          <w:tcPr>
            <w:tcW w:w="43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Trademarks and trade names</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r>
      <w:tr>
        <w:trPr>
          <w:trHeight w:val="175"/>
        </w:trPr>
        <w:tc>
          <w:tcPr>
            <w:tcW w:w="4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Customer relationships</w:t>
            </w:r>
          </w:p>
        </w:tc>
        <w:tc>
          <w:tcPr>
            <w:tcW w:w="3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43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3"/>
                <w:szCs w:val="13"/>
                <w:color w:val="auto"/>
              </w:rPr>
              <w:t>Franchise agreements and other intangible assets</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92"/>
        </w:trPr>
        <w:tc>
          <w:tcPr>
            <w:tcW w:w="43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30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6. Investments in Nonconsolidated Affiliates</w:t>
      </w:r>
    </w:p>
    <w:p>
      <w:pPr>
        <w:spacing w:after="0" w:line="10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Our investments in joint ventures that are accounted for using the equity method of accounting are as follows:</w:t>
      </w:r>
    </w:p>
    <w:p>
      <w:pPr>
        <w:spacing w:after="0" w:line="10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i w:val="1"/>
          <w:iCs w:val="1"/>
          <w:color w:val="auto"/>
        </w:rPr>
        <w:t>Sungenia joint venture ("Sungenia JV")</w:t>
      </w:r>
    </w:p>
    <w:p>
      <w:pPr>
        <w:spacing w:after="0" w:line="109" w:lineRule="exact"/>
        <w:rPr>
          <w:sz w:val="20"/>
          <w:szCs w:val="20"/>
          <w:color w:val="auto"/>
        </w:rPr>
      </w:pPr>
    </w:p>
    <w:p>
      <w:pPr>
        <w:jc w:val="both"/>
        <w:ind w:left="7"/>
        <w:spacing w:after="0" w:line="295" w:lineRule="auto"/>
        <w:rPr>
          <w:sz w:val="20"/>
          <w:szCs w:val="20"/>
          <w:color w:val="auto"/>
        </w:rPr>
      </w:pPr>
      <w:r>
        <w:rPr>
          <w:rFonts w:ascii="Times New Roman" w:cs="Times New Roman" w:eastAsia="Times New Roman" w:hAnsi="Times New Roman"/>
          <w:sz w:val="15"/>
          <w:szCs w:val="15"/>
          <w:color w:val="auto"/>
        </w:rPr>
        <w:t>At December 31, 2025 and 2024, we had a 50% ownership interest in Sungenia JV, a joint venture formed between us and Ingenia Communities Group (ASX:INA) to establish and operate a MH community development program in Australia.</w:t>
      </w:r>
    </w:p>
    <w:p>
      <w:pPr>
        <w:spacing w:after="0" w:line="3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i w:val="1"/>
          <w:iCs w:val="1"/>
          <w:color w:val="auto"/>
        </w:rPr>
        <w:t>GTSC LLC ("GTSC")</w:t>
      </w:r>
    </w:p>
    <w:p>
      <w:pPr>
        <w:spacing w:after="0" w:line="109" w:lineRule="exact"/>
        <w:rPr>
          <w:sz w:val="20"/>
          <w:szCs w:val="20"/>
          <w:color w:val="auto"/>
        </w:rPr>
      </w:pPr>
    </w:p>
    <w:p>
      <w:pPr>
        <w:jc w:val="both"/>
        <w:ind w:left="7" w:right="20"/>
        <w:spacing w:after="0" w:line="295" w:lineRule="auto"/>
        <w:rPr>
          <w:sz w:val="20"/>
          <w:szCs w:val="20"/>
          <w:color w:val="auto"/>
        </w:rPr>
      </w:pPr>
      <w:r>
        <w:rPr>
          <w:rFonts w:ascii="Times New Roman" w:cs="Times New Roman" w:eastAsia="Times New Roman" w:hAnsi="Times New Roman"/>
          <w:sz w:val="15"/>
          <w:szCs w:val="15"/>
          <w:color w:val="auto"/>
        </w:rPr>
        <w:t>At December 31, 2025 and 2024, we had a 40% ownership interest in GTSC, which engages in acquiring, holding and selling loans secured, directly or indirectly, by manufactured homes located in our communities.</w:t>
      </w:r>
    </w:p>
    <w:p>
      <w:pPr>
        <w:spacing w:after="0" w:line="3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i w:val="1"/>
          <w:iCs w:val="1"/>
          <w:color w:val="auto"/>
        </w:rPr>
        <w:t>SV Lift, LLC ("SV Lift")</w:t>
      </w:r>
    </w:p>
    <w:p>
      <w:pPr>
        <w:spacing w:after="0" w:line="109" w:lineRule="exact"/>
        <w:rPr>
          <w:sz w:val="20"/>
          <w:szCs w:val="20"/>
          <w:color w:val="auto"/>
        </w:rPr>
      </w:pPr>
    </w:p>
    <w:p>
      <w:pPr>
        <w:jc w:val="both"/>
        <w:ind w:left="7" w:right="20"/>
        <w:spacing w:after="0" w:line="295" w:lineRule="auto"/>
        <w:rPr>
          <w:sz w:val="20"/>
          <w:szCs w:val="20"/>
          <w:color w:val="auto"/>
        </w:rPr>
      </w:pPr>
      <w:r>
        <w:rPr>
          <w:rFonts w:ascii="Times New Roman" w:cs="Times New Roman" w:eastAsia="Times New Roman" w:hAnsi="Times New Roman"/>
          <w:sz w:val="15"/>
          <w:szCs w:val="15"/>
          <w:color w:val="auto"/>
        </w:rPr>
        <w:t>During the year ended December 31, 2025 we disposed of the primary asset held by SV Lift, a 50% owned joint venture which owned, operated and leased an aircraft. The disposition did not result in material activity on the Consolidated Statements of Operations, and we expect to dissolve the joint venture in 2026.</w:t>
      </w:r>
    </w:p>
    <w:p>
      <w:pPr>
        <w:spacing w:after="0" w:line="3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Our investment balances in nonconsolidated affiliates are as follows (in millions):</w:t>
      </w:r>
    </w:p>
    <w:p>
      <w:pPr>
        <w:spacing w:after="0" w:line="138" w:lineRule="exact"/>
        <w:rPr>
          <w:sz w:val="20"/>
          <w:szCs w:val="20"/>
          <w:color w:val="auto"/>
        </w:rPr>
      </w:pPr>
    </w:p>
    <w:tbl>
      <w:tblPr>
        <w:tblLayout w:type="fixed"/>
        <w:tblInd w:w="7" w:type="dxa"/>
        <w:tblCellMar>
          <w:top w:w="0" w:type="dxa"/>
          <w:left w:w="0" w:type="dxa"/>
          <w:bottom w:w="0" w:type="dxa"/>
          <w:right w:w="0" w:type="dxa"/>
        </w:tblCellMar>
      </w:tblPr>
      <w:tr>
        <w:trPr>
          <w:trHeight w:val="176"/>
        </w:trPr>
        <w:tc>
          <w:tcPr>
            <w:tcW w:w="78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200" w:type="dxa"/>
            <w:vAlign w:val="bottom"/>
          </w:tcPr>
          <w:p>
            <w:pPr>
              <w:spacing w:after="0"/>
              <w:rPr>
                <w:sz w:val="15"/>
                <w:szCs w:val="15"/>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200" w:type="dxa"/>
            <w:vAlign w:val="bottom"/>
          </w:tcPr>
          <w:p>
            <w:pPr>
              <w:spacing w:after="0"/>
              <w:rPr>
                <w:sz w:val="15"/>
                <w:szCs w:val="15"/>
                <w:color w:val="auto"/>
              </w:rPr>
            </w:pPr>
          </w:p>
        </w:tc>
        <w:tc>
          <w:tcPr>
            <w:tcW w:w="148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68"/>
        </w:trPr>
        <w:tc>
          <w:tcPr>
            <w:tcW w:w="7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Investment in Sungenia JV</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91.1</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75.1</w:t>
            </w:r>
          </w:p>
        </w:tc>
      </w:tr>
      <w:tr>
        <w:trPr>
          <w:trHeight w:val="174"/>
        </w:trPr>
        <w:tc>
          <w:tcPr>
            <w:tcW w:w="7840" w:type="dxa"/>
            <w:vAlign w:val="bottom"/>
            <w:gridSpan w:val="2"/>
          </w:tcPr>
          <w:p>
            <w:pPr>
              <w:spacing w:after="0" w:line="174" w:lineRule="exact"/>
              <w:rPr>
                <w:sz w:val="20"/>
                <w:szCs w:val="20"/>
                <w:color w:val="auto"/>
              </w:rPr>
            </w:pPr>
            <w:r>
              <w:rPr>
                <w:rFonts w:ascii="Times New Roman" w:cs="Times New Roman" w:eastAsia="Times New Roman" w:hAnsi="Times New Roman"/>
                <w:sz w:val="13"/>
                <w:szCs w:val="13"/>
                <w:color w:val="auto"/>
              </w:rPr>
              <w:t>Investment in GTSC</w:t>
            </w:r>
            <w:r>
              <w:rPr>
                <w:rFonts w:ascii="Times New Roman" w:cs="Times New Roman" w:eastAsia="Times New Roman" w:hAnsi="Times New Roman"/>
                <w:sz w:val="17"/>
                <w:szCs w:val="17"/>
                <w:color w:val="auto"/>
                <w:vertAlign w:val="superscript"/>
              </w:rPr>
              <w:t>(1)</w:t>
            </w:r>
          </w:p>
        </w:tc>
        <w:tc>
          <w:tcPr>
            <w:tcW w:w="2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48.9</w:t>
            </w:r>
          </w:p>
        </w:tc>
      </w:tr>
      <w:tr>
        <w:trPr>
          <w:trHeight w:val="172"/>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Investment in SV Lift</w:t>
            </w:r>
          </w:p>
        </w:tc>
        <w:tc>
          <w:tcPr>
            <w:tcW w:w="20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67"/>
        </w:trPr>
        <w:tc>
          <w:tcPr>
            <w:tcW w:w="784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129.0</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125.1</w:t>
            </w:r>
          </w:p>
        </w:tc>
      </w:tr>
      <w:tr>
        <w:trPr>
          <w:trHeight w:val="20"/>
        </w:trPr>
        <w:tc>
          <w:tcPr>
            <w:tcW w:w="7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ind w:left="107" w:hanging="107"/>
        <w:spacing w:after="0"/>
        <w:tabs>
          <w:tab w:leader="none" w:pos="107" w:val="left"/>
        </w:tabs>
        <w:numPr>
          <w:ilvl w:val="0"/>
          <w:numId w:val="46"/>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Balances are net of fair value adjustment gains / (losses) of $(0.9) million and $6.6 million during the years ended December 31, 2025 and 2024.</w:t>
      </w:r>
    </w:p>
    <w:p>
      <w:pPr>
        <w:spacing w:after="0" w:line="8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The income / (loss) from nonconsolidated affiliates is as follows (in millions):</w:t>
      </w:r>
    </w:p>
    <w:p>
      <w:pPr>
        <w:spacing w:after="0" w:line="138" w:lineRule="exact"/>
        <w:rPr>
          <w:sz w:val="20"/>
          <w:szCs w:val="20"/>
          <w:color w:val="auto"/>
        </w:rPr>
      </w:pPr>
    </w:p>
    <w:tbl>
      <w:tblPr>
        <w:tblLayout w:type="fixed"/>
        <w:tblInd w:w="7" w:type="dxa"/>
        <w:tblCellMar>
          <w:top w:w="0" w:type="dxa"/>
          <w:left w:w="0" w:type="dxa"/>
          <w:bottom w:w="0" w:type="dxa"/>
          <w:right w:w="0" w:type="dxa"/>
        </w:tblCellMar>
      </w:tblPr>
      <w:tr>
        <w:trPr>
          <w:trHeight w:val="173"/>
        </w:trPr>
        <w:tc>
          <w:tcPr>
            <w:tcW w:w="6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71"/>
        </w:trPr>
        <w:tc>
          <w:tcPr>
            <w:tcW w:w="64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Income / (Loss) from Nonconsolidated Affiliates</w:t>
            </w:r>
          </w:p>
        </w:tc>
        <w:tc>
          <w:tcPr>
            <w:tcW w:w="380" w:type="dxa"/>
            <w:vAlign w:val="bottom"/>
          </w:tcPr>
          <w:p>
            <w:pPr>
              <w:spacing w:after="0"/>
              <w:rPr>
                <w:sz w:val="14"/>
                <w:szCs w:val="14"/>
                <w:color w:val="auto"/>
              </w:rPr>
            </w:pPr>
          </w:p>
        </w:tc>
        <w:tc>
          <w:tcPr>
            <w:tcW w:w="1180" w:type="dxa"/>
            <w:vAlign w:val="bottom"/>
          </w:tcPr>
          <w:p>
            <w:pPr>
              <w:jc w:val="right"/>
              <w:ind w:right="57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ind w:right="59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94"/>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6"/>
        </w:trPr>
        <w:tc>
          <w:tcPr>
            <w:tcW w:w="6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Sungenia JV equity income</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172"/>
        </w:trPr>
        <w:tc>
          <w:tcPr>
            <w:tcW w:w="6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GTSC equity income</w:t>
            </w: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74"/>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Equity income / (loss) from other nonconsolidated affiliates</w:t>
            </w:r>
          </w:p>
        </w:tc>
        <w:tc>
          <w:tcPr>
            <w:tcW w:w="3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r>
      <w:tr>
        <w:trPr>
          <w:trHeight w:val="167"/>
        </w:trPr>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Total Income from Nonconsolidated Affiliates</w:t>
            </w:r>
          </w:p>
        </w:tc>
        <w:tc>
          <w:tcPr>
            <w:tcW w:w="3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16.0</w:t>
            </w:r>
          </w:p>
        </w:tc>
      </w:tr>
      <w:tr>
        <w:trPr>
          <w:trHeight w:val="20"/>
        </w:trPr>
        <w:tc>
          <w:tcPr>
            <w:tcW w:w="6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jc w:val="both"/>
        <w:ind w:left="7" w:right="20"/>
        <w:spacing w:after="0" w:line="295" w:lineRule="auto"/>
        <w:rPr>
          <w:sz w:val="20"/>
          <w:szCs w:val="20"/>
          <w:color w:val="auto"/>
        </w:rPr>
      </w:pPr>
      <w:r>
        <w:rPr>
          <w:rFonts w:ascii="Times New Roman" w:cs="Times New Roman" w:eastAsia="Times New Roman" w:hAnsi="Times New Roman"/>
          <w:sz w:val="15"/>
          <w:szCs w:val="15"/>
          <w:color w:val="auto"/>
        </w:rPr>
        <w:t>During the years ended December 31, 2025, 2024, and 2023, we received distributions of $14.5 million, $31.1 million, and $20.7 million, respectively, and made contributions of $0.9 million, $22.4 million, and $38.4 million, respectively, with our nonconsolidated affiliates.</w:t>
      </w:r>
    </w:p>
    <w:p>
      <w:pPr>
        <w:spacing w:after="0" w:line="200" w:lineRule="exact"/>
        <w:rPr>
          <w:sz w:val="20"/>
          <w:szCs w:val="20"/>
          <w:color w:val="auto"/>
        </w:rPr>
      </w:pPr>
    </w:p>
    <w:p>
      <w:pPr>
        <w:spacing w:after="0" w:line="25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F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121920</wp:posOffset>
            </wp:positionV>
            <wp:extent cx="7177405" cy="400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121" w:right="319" w:bottom="1440" w:gutter="0" w:footer="0" w:header="0"/>
        </w:sectPr>
      </w:pPr>
    </w:p>
    <w:bookmarkStart w:id="78" w:name="page79"/>
    <w:bookmarkEnd w:id="78"/>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200" w:lineRule="exact"/>
        <w:rPr>
          <w:sz w:val="20"/>
          <w:szCs w:val="20"/>
          <w:color w:val="auto"/>
        </w:rPr>
      </w:pPr>
    </w:p>
    <w:p>
      <w:pPr>
        <w:spacing w:after="0" w:line="35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7. Debt and Line of Credit</w:t>
      </w:r>
    </w:p>
    <w:p>
      <w:pPr>
        <w:spacing w:after="0" w:line="10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The following table sets forth certain information regarding debt, including premiums, discounts and deferred financing costs (in millions, except for statistical information):</w:t>
      </w:r>
    </w:p>
    <w:p>
      <w:pPr>
        <w:spacing w:after="0" w:line="121" w:lineRule="exact"/>
        <w:rPr>
          <w:sz w:val="20"/>
          <w:szCs w:val="20"/>
          <w:color w:val="auto"/>
        </w:rPr>
      </w:pPr>
    </w:p>
    <w:tbl>
      <w:tblPr>
        <w:tblLayout w:type="fixed"/>
        <w:tblInd w:w="7" w:type="dxa"/>
        <w:tblCellMar>
          <w:top w:w="0" w:type="dxa"/>
          <w:left w:w="0" w:type="dxa"/>
          <w:bottom w:w="0" w:type="dxa"/>
          <w:right w:w="0" w:type="dxa"/>
        </w:tblCellMar>
      </w:tblPr>
      <w:tr>
        <w:trPr>
          <w:trHeight w:val="149"/>
        </w:trPr>
        <w:tc>
          <w:tcPr>
            <w:tcW w:w="3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00" w:type="dxa"/>
            <w:vAlign w:val="bottom"/>
            <w:gridSpan w:val="5"/>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Weighted Average Years to Maturity at</w:t>
            </w:r>
          </w:p>
        </w:tc>
        <w:tc>
          <w:tcPr>
            <w:tcW w:w="252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Weighted Average Interest Rates at</w:t>
            </w:r>
          </w:p>
        </w:tc>
      </w:tr>
      <w:tr>
        <w:trPr>
          <w:trHeight w:val="182"/>
        </w:trPr>
        <w:tc>
          <w:tcPr>
            <w:tcW w:w="37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Carrying Amount at December 31,</w:t>
            </w:r>
          </w:p>
        </w:tc>
        <w:tc>
          <w:tcPr>
            <w:tcW w:w="180" w:type="dxa"/>
            <w:vAlign w:val="bottom"/>
          </w:tcPr>
          <w:p>
            <w:pPr>
              <w:spacing w:after="0"/>
              <w:rPr>
                <w:sz w:val="15"/>
                <w:szCs w:val="15"/>
                <w:color w:val="auto"/>
              </w:rPr>
            </w:pPr>
          </w:p>
        </w:tc>
        <w:tc>
          <w:tcPr>
            <w:tcW w:w="1580" w:type="dxa"/>
            <w:vAlign w:val="bottom"/>
            <w:tcBorders>
              <w:bottom w:val="single" w:sz="8" w:color="auto"/>
            </w:tcBorders>
            <w:gridSpan w:val="3"/>
          </w:tcPr>
          <w:p>
            <w:pPr>
              <w:jc w:val="center"/>
              <w:ind w:left="674"/>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7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Borders>
              <w:bottom w:val="single" w:sz="8" w:color="auto"/>
            </w:tcBorders>
            <w:gridSpan w:val="3"/>
          </w:tcPr>
          <w:p>
            <w:pPr>
              <w:jc w:val="center"/>
              <w:ind w:left="754"/>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820" w:type="dxa"/>
            <w:vAlign w:val="bottom"/>
            <w:tcBorders>
              <w:bottom w:val="single" w:sz="8" w:color="auto"/>
            </w:tcBorders>
          </w:tcPr>
          <w:p>
            <w:pPr>
              <w:spacing w:after="0"/>
              <w:rPr>
                <w:sz w:val="15"/>
                <w:szCs w:val="15"/>
                <w:color w:val="auto"/>
              </w:rPr>
            </w:pPr>
          </w:p>
        </w:tc>
      </w:tr>
      <w:tr>
        <w:trPr>
          <w:trHeight w:val="168"/>
        </w:trPr>
        <w:tc>
          <w:tcPr>
            <w:tcW w:w="37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54"/>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Secured Debt</w:t>
            </w: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74"/>
        </w:trPr>
        <w:tc>
          <w:tcPr>
            <w:tcW w:w="3740" w:type="dxa"/>
            <w:vAlign w:val="bottom"/>
          </w:tcPr>
          <w:p>
            <w:pPr>
              <w:ind w:left="100"/>
              <w:spacing w:after="0" w:line="174" w:lineRule="exact"/>
              <w:rPr>
                <w:sz w:val="20"/>
                <w:szCs w:val="20"/>
                <w:color w:val="auto"/>
              </w:rPr>
            </w:pPr>
            <w:r>
              <w:rPr>
                <w:rFonts w:ascii="Times New Roman" w:cs="Times New Roman" w:eastAsia="Times New Roman" w:hAnsi="Times New Roman"/>
                <w:sz w:val="13"/>
                <w:szCs w:val="13"/>
                <w:color w:val="auto"/>
              </w:rPr>
              <w:t>Mortgage loans payable</w:t>
            </w:r>
            <w:r>
              <w:rPr>
                <w:rFonts w:ascii="Times New Roman" w:cs="Times New Roman" w:eastAsia="Times New Roman" w:hAnsi="Times New Roman"/>
                <w:sz w:val="17"/>
                <w:szCs w:val="17"/>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2,429.0</w:t>
            </w:r>
          </w:p>
        </w:tc>
        <w:tc>
          <w:tcPr>
            <w:tcW w:w="80" w:type="dxa"/>
            <w:vAlign w:val="bottom"/>
          </w:tcPr>
          <w:p>
            <w:pPr>
              <w:spacing w:after="0"/>
              <w:rPr>
                <w:sz w:val="15"/>
                <w:szCs w:val="15"/>
                <w:color w:val="auto"/>
              </w:rPr>
            </w:pPr>
          </w:p>
        </w:tc>
        <w:tc>
          <w:tcPr>
            <w:tcW w:w="2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3,212.2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3.634 %</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3.991 %</w:t>
            </w:r>
          </w:p>
        </w:tc>
      </w:tr>
      <w:tr>
        <w:trPr>
          <w:trHeight w:val="174"/>
        </w:trPr>
        <w:tc>
          <w:tcPr>
            <w:tcW w:w="3740" w:type="dxa"/>
            <w:vAlign w:val="bottom"/>
            <w:shd w:val="clear" w:color="auto" w:fill="CCEEFF"/>
          </w:tcPr>
          <w:p>
            <w:pPr>
              <w:ind w:left="100"/>
              <w:spacing w:after="0" w:line="174" w:lineRule="exact"/>
              <w:rPr>
                <w:sz w:val="20"/>
                <w:szCs w:val="20"/>
                <w:color w:val="auto"/>
              </w:rPr>
            </w:pPr>
            <w:r>
              <w:rPr>
                <w:rFonts w:ascii="Times New Roman" w:cs="Times New Roman" w:eastAsia="Times New Roman" w:hAnsi="Times New Roman"/>
                <w:sz w:val="13"/>
                <w:szCs w:val="13"/>
                <w:color w:val="auto"/>
              </w:rPr>
              <w:t>Secured borrowings on collateralized receivables</w:t>
            </w:r>
            <w:r>
              <w:rPr>
                <w:rFonts w:ascii="Times New Roman" w:cs="Times New Roman" w:eastAsia="Times New Roman" w:hAnsi="Times New Roman"/>
                <w:sz w:val="17"/>
                <w:szCs w:val="17"/>
                <w:color w:val="auto"/>
                <w:vertAlign w:val="superscript"/>
              </w:rPr>
              <w:t>(2)</w:t>
            </w:r>
          </w:p>
        </w:tc>
        <w:tc>
          <w:tcPr>
            <w:tcW w:w="1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43.2</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8.538 %</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8.575 %</w:t>
            </w:r>
          </w:p>
        </w:tc>
      </w:tr>
      <w:tr>
        <w:trPr>
          <w:trHeight w:val="164"/>
        </w:trPr>
        <w:tc>
          <w:tcPr>
            <w:tcW w:w="374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Total Secured Debt</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2,472.2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3,263.4</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5"/>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Unsecured Debt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74"/>
        </w:trPr>
        <w:tc>
          <w:tcPr>
            <w:tcW w:w="3740" w:type="dxa"/>
            <w:vAlign w:val="bottom"/>
          </w:tcPr>
          <w:p>
            <w:pPr>
              <w:ind w:left="100"/>
              <w:spacing w:after="0" w:line="174" w:lineRule="exact"/>
              <w:rPr>
                <w:sz w:val="20"/>
                <w:szCs w:val="20"/>
                <w:color w:val="auto"/>
              </w:rPr>
            </w:pPr>
            <w:r>
              <w:rPr>
                <w:rFonts w:ascii="Times New Roman" w:cs="Times New Roman" w:eastAsia="Times New Roman" w:hAnsi="Times New Roman"/>
                <w:sz w:val="13"/>
                <w:szCs w:val="13"/>
                <w:color w:val="auto"/>
              </w:rPr>
              <w:t>Senior unsecured notes</w:t>
            </w:r>
            <w:r>
              <w:rPr>
                <w:rFonts w:ascii="Times New Roman" w:cs="Times New Roman" w:eastAsia="Times New Roman" w:hAnsi="Times New Roman"/>
                <w:sz w:val="17"/>
                <w:szCs w:val="17"/>
                <w:color w:val="auto"/>
                <w:vertAlign w:val="superscript"/>
              </w:rPr>
              <w:t>(3)</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1,786.5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2,676.3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2.901 %</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3.778 %</w:t>
            </w:r>
          </w:p>
        </w:tc>
      </w:tr>
      <w:tr>
        <w:trPr>
          <w:trHeight w:val="208"/>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Line of credit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1,413.1</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20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4.744 %</w:t>
            </w:r>
          </w:p>
        </w:tc>
      </w:tr>
      <w:tr>
        <w:trPr>
          <w:trHeight w:val="164"/>
        </w:trPr>
        <w:tc>
          <w:tcPr>
            <w:tcW w:w="37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3"/>
                <w:szCs w:val="13"/>
                <w:b w:val="1"/>
                <w:bCs w:val="1"/>
                <w:color w:val="auto"/>
              </w:rPr>
              <w:t>Total Unsecured Debt</w:t>
            </w:r>
          </w:p>
        </w:tc>
        <w:tc>
          <w:tcPr>
            <w:tcW w:w="1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1,786.5</w:t>
            </w:r>
          </w:p>
        </w:tc>
        <w:tc>
          <w:tcPr>
            <w:tcW w:w="8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4,089.4</w:t>
            </w:r>
          </w:p>
        </w:tc>
        <w:tc>
          <w:tcPr>
            <w:tcW w:w="18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r>
      <w:tr>
        <w:trPr>
          <w:trHeight w:val="192"/>
        </w:trPr>
        <w:tc>
          <w:tcPr>
            <w:tcW w:w="37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3"/>
                <w:szCs w:val="13"/>
                <w:b w:val="1"/>
                <w:bCs w:val="1"/>
                <w:color w:val="auto"/>
              </w:rPr>
              <w:t>Total Debt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4,258.7</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7,352.8</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2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3.376 %</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4.090 %</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r>
    </w:tbl>
    <w:p>
      <w:pPr>
        <w:spacing w:after="0" w:line="49" w:lineRule="exact"/>
        <w:rPr>
          <w:sz w:val="20"/>
          <w:szCs w:val="20"/>
          <w:color w:val="auto"/>
        </w:rPr>
      </w:pPr>
    </w:p>
    <w:p>
      <w:pPr>
        <w:ind w:left="127" w:hanging="127"/>
        <w:spacing w:after="0"/>
        <w:tabs>
          <w:tab w:leader="none" w:pos="127" w:val="left"/>
        </w:tabs>
        <w:numPr>
          <w:ilvl w:val="0"/>
          <w:numId w:val="4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Balances at December 31, 2025 and 2024 include $9.6 million and $15.2 million of deferred financing costs, respectively.</w:t>
      </w:r>
    </w:p>
    <w:p>
      <w:pPr>
        <w:spacing w:after="0" w:line="4" w:lineRule="exact"/>
        <w:rPr>
          <w:rFonts w:ascii="Times New Roman" w:cs="Times New Roman" w:eastAsia="Times New Roman" w:hAnsi="Times New Roman"/>
          <w:sz w:val="16"/>
          <w:szCs w:val="16"/>
          <w:color w:val="auto"/>
          <w:vertAlign w:val="superscript"/>
        </w:rPr>
      </w:pPr>
    </w:p>
    <w:p>
      <w:pPr>
        <w:ind w:left="127" w:hanging="127"/>
        <w:spacing w:after="0" w:line="190" w:lineRule="auto"/>
        <w:tabs>
          <w:tab w:leader="none" w:pos="127" w:val="left"/>
        </w:tabs>
        <w:numPr>
          <w:ilvl w:val="0"/>
          <w:numId w:val="4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Balances at December 31, 2025 and 2024 include fair value adjustments of $3.8 million and $3.9 million, respectively.</w:t>
      </w:r>
    </w:p>
    <w:p>
      <w:pPr>
        <w:spacing w:after="0" w:line="4" w:lineRule="exact"/>
        <w:rPr>
          <w:rFonts w:ascii="Times New Roman" w:cs="Times New Roman" w:eastAsia="Times New Roman" w:hAnsi="Times New Roman"/>
          <w:sz w:val="16"/>
          <w:szCs w:val="16"/>
          <w:color w:val="auto"/>
          <w:vertAlign w:val="superscript"/>
        </w:rPr>
      </w:pPr>
    </w:p>
    <w:p>
      <w:pPr>
        <w:ind w:left="147" w:hanging="147"/>
        <w:spacing w:after="0" w:line="212" w:lineRule="auto"/>
        <w:tabs>
          <w:tab w:leader="none" w:pos="136" w:val="left"/>
        </w:tabs>
        <w:numPr>
          <w:ilvl w:val="0"/>
          <w:numId w:val="4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Balances at December 31, 2025 and 2024 include $4.2 million and $6.3 million of net debt discount, respectively, and $9.3 million and $17.4 million of deferred financing costs, respectively. Weighted average interest rates include the impact of hedge activity.</w:t>
      </w:r>
    </w:p>
    <w:p>
      <w:pPr>
        <w:spacing w:after="0" w:line="8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Secured Debt</w:t>
      </w:r>
    </w:p>
    <w:p>
      <w:pPr>
        <w:spacing w:after="0" w:line="10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i w:val="1"/>
          <w:iCs w:val="1"/>
          <w:color w:val="auto"/>
        </w:rPr>
        <w:t>Mortgage term loans</w:t>
      </w:r>
    </w:p>
    <w:p>
      <w:pPr>
        <w:spacing w:after="0" w:line="109" w:lineRule="exact"/>
        <w:rPr>
          <w:sz w:val="20"/>
          <w:szCs w:val="20"/>
          <w:color w:val="auto"/>
        </w:rPr>
      </w:pPr>
    </w:p>
    <w:p>
      <w:pPr>
        <w:ind w:left="7"/>
        <w:spacing w:after="0" w:line="295" w:lineRule="auto"/>
        <w:rPr>
          <w:sz w:val="20"/>
          <w:szCs w:val="20"/>
          <w:color w:val="auto"/>
        </w:rPr>
      </w:pPr>
      <w:r>
        <w:rPr>
          <w:rFonts w:ascii="Times New Roman" w:cs="Times New Roman" w:eastAsia="Times New Roman" w:hAnsi="Times New Roman"/>
          <w:sz w:val="15"/>
          <w:szCs w:val="15"/>
          <w:color w:val="auto"/>
        </w:rPr>
        <w:t>During the years ended December 31, 2025 and 2024, we repaid the following mortgage term loans (in millions, except for statistical information, all loans were paid off on or before their respective maturity dates):</w:t>
      </w:r>
    </w:p>
    <w:p>
      <w:pPr>
        <w:spacing w:after="0" w:line="61" w:lineRule="exact"/>
        <w:rPr>
          <w:sz w:val="20"/>
          <w:szCs w:val="20"/>
          <w:color w:val="auto"/>
        </w:rPr>
      </w:pPr>
    </w:p>
    <w:tbl>
      <w:tblPr>
        <w:tblLayout w:type="fixed"/>
        <w:tblInd w:w="7" w:type="dxa"/>
        <w:tblCellMar>
          <w:top w:w="0" w:type="dxa"/>
          <w:left w:w="0" w:type="dxa"/>
          <w:bottom w:w="0" w:type="dxa"/>
          <w:right w:w="0" w:type="dxa"/>
        </w:tblCellMar>
      </w:tblPr>
      <w:tr>
        <w:trPr>
          <w:trHeight w:val="149"/>
        </w:trPr>
        <w:tc>
          <w:tcPr>
            <w:tcW w:w="2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Repayment</w:t>
            </w:r>
          </w:p>
        </w:tc>
        <w:tc>
          <w:tcPr>
            <w:tcW w:w="260" w:type="dxa"/>
            <w:vAlign w:val="bottom"/>
          </w:tcPr>
          <w:p>
            <w:pPr>
              <w:spacing w:after="0"/>
              <w:rPr>
                <w:sz w:val="12"/>
                <w:szCs w:val="12"/>
                <w:color w:val="auto"/>
              </w:rPr>
            </w:pP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Weighted Average Interest</w:t>
            </w: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Number of Properties by which</w:t>
            </w:r>
          </w:p>
        </w:tc>
        <w:tc>
          <w:tcPr>
            <w:tcW w:w="8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680" w:type="dxa"/>
            <w:vAlign w:val="bottom"/>
            <w:gridSpan w:val="2"/>
          </w:tcPr>
          <w:p>
            <w:pPr>
              <w:ind w:left="1120"/>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140" w:type="dxa"/>
            <w:vAlign w:val="bottom"/>
          </w:tcPr>
          <w:p>
            <w:pPr>
              <w:spacing w:after="0"/>
              <w:rPr>
                <w:sz w:val="15"/>
                <w:szCs w:val="15"/>
                <w:color w:val="auto"/>
              </w:rPr>
            </w:pPr>
          </w:p>
        </w:tc>
        <w:tc>
          <w:tcPr>
            <w:tcW w:w="86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60" w:type="dxa"/>
            <w:vAlign w:val="bottom"/>
          </w:tcPr>
          <w:p>
            <w:pPr>
              <w:spacing w:after="0"/>
              <w:rPr>
                <w:sz w:val="15"/>
                <w:szCs w:val="15"/>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Rate</w:t>
            </w:r>
          </w:p>
        </w:tc>
        <w:tc>
          <w:tcPr>
            <w:tcW w:w="1600" w:type="dxa"/>
            <w:vAlign w:val="bottom"/>
            <w:gridSpan w:val="2"/>
          </w:tcPr>
          <w:p>
            <w:pPr>
              <w:ind w:left="360"/>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21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Debt was Secured</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Loss on Extinguishment of Debt</w:t>
            </w:r>
          </w:p>
        </w:tc>
        <w:tc>
          <w:tcPr>
            <w:tcW w:w="0" w:type="dxa"/>
            <w:vAlign w:val="bottom"/>
          </w:tcPr>
          <w:p>
            <w:pPr>
              <w:spacing w:after="0"/>
              <w:rPr>
                <w:sz w:val="1"/>
                <w:szCs w:val="1"/>
                <w:color w:val="auto"/>
              </w:rPr>
            </w:pPr>
          </w:p>
        </w:tc>
      </w:tr>
      <w:tr>
        <w:trPr>
          <w:trHeight w:val="130"/>
        </w:trPr>
        <w:tc>
          <w:tcPr>
            <w:tcW w:w="26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vMerge w:val="restart"/>
            <w:shd w:val="clear" w:color="auto" w:fill="CCEEFF"/>
          </w:tcPr>
          <w:p>
            <w:pPr>
              <w:jc w:val="right"/>
              <w:ind w:right="117"/>
              <w:spacing w:after="0"/>
              <w:rPr>
                <w:sz w:val="20"/>
                <w:szCs w:val="20"/>
                <w:color w:val="auto"/>
              </w:rPr>
            </w:pPr>
            <w:r>
              <w:rPr>
                <w:rFonts w:ascii="Times New Roman" w:cs="Times New Roman" w:eastAsia="Times New Roman" w:hAnsi="Times New Roman"/>
                <w:sz w:val="9"/>
                <w:szCs w:val="9"/>
                <w:color w:val="auto"/>
                <w:w w:val="75"/>
              </w:rPr>
              <w:t>(1)</w:t>
            </w:r>
          </w:p>
        </w:tc>
        <w:tc>
          <w:tcPr>
            <w:tcW w:w="16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520" w:type="dxa"/>
            <w:vAlign w:val="bottom"/>
            <w:tcBorders>
              <w:top w:val="single" w:sz="8" w:color="auto"/>
            </w:tcBorders>
            <w:shd w:val="clear" w:color="auto" w:fill="CCEEFF"/>
          </w:tcPr>
          <w:p>
            <w:pPr>
              <w:ind w:left="20"/>
              <w:spacing w:after="0" w:line="130" w:lineRule="exact"/>
              <w:rPr>
                <w:sz w:val="20"/>
                <w:szCs w:val="20"/>
                <w:color w:val="auto"/>
              </w:rPr>
            </w:pPr>
            <w:r>
              <w:rPr>
                <w:rFonts w:ascii="Times New Roman" w:cs="Times New Roman" w:eastAsia="Times New Roman" w:hAnsi="Times New Roman"/>
                <w:sz w:val="13"/>
                <w:szCs w:val="13"/>
                <w:color w:val="auto"/>
              </w:rPr>
              <w:t>February 13, 2026 -</w:t>
            </w:r>
          </w:p>
        </w:tc>
        <w:tc>
          <w:tcPr>
            <w:tcW w:w="80" w:type="dxa"/>
            <w:vAlign w:val="bottom"/>
            <w:tcBorders>
              <w:top w:val="single" w:sz="8" w:color="CCEEFF"/>
            </w:tcBorders>
            <w:shd w:val="clear" w:color="auto" w:fill="CCEEFF"/>
          </w:tcPr>
          <w:p>
            <w:pPr>
              <w:spacing w:after="0"/>
              <w:rPr>
                <w:sz w:val="11"/>
                <w:szCs w:val="11"/>
                <w:color w:val="auto"/>
              </w:rPr>
            </w:pPr>
          </w:p>
        </w:tc>
        <w:tc>
          <w:tcPr>
            <w:tcW w:w="20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8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Three months ended June 30, 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691.8</w:t>
            </w:r>
          </w:p>
        </w:tc>
        <w:tc>
          <w:tcPr>
            <w:tcW w:w="260" w:type="dxa"/>
            <w:vAlign w:val="bottom"/>
            <w:vMerge w:val="continue"/>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5.346 %</w:t>
            </w:r>
          </w:p>
        </w:tc>
        <w:tc>
          <w:tcPr>
            <w:tcW w:w="8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September 10, 2044</w:t>
            </w:r>
          </w:p>
        </w:tc>
        <w:tc>
          <w:tcPr>
            <w:tcW w:w="20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45.9</w:t>
            </w: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gridSpan w:val="2"/>
          </w:tcPr>
          <w:p>
            <w:pPr>
              <w:ind w:left="20"/>
              <w:spacing w:after="0" w:line="136" w:lineRule="exact"/>
              <w:rPr>
                <w:sz w:val="20"/>
                <w:szCs w:val="20"/>
                <w:color w:val="auto"/>
              </w:rPr>
            </w:pPr>
            <w:r>
              <w:rPr>
                <w:rFonts w:ascii="Times New Roman" w:cs="Times New Roman" w:eastAsia="Times New Roman" w:hAnsi="Times New Roman"/>
                <w:sz w:val="13"/>
                <w:szCs w:val="13"/>
                <w:color w:val="auto"/>
              </w:rPr>
              <w:t>February 01, 2025 - March</w:t>
            </w:r>
          </w:p>
        </w:tc>
        <w:tc>
          <w:tcPr>
            <w:tcW w:w="20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Three months ended March 31, 2025</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48.4</w:t>
            </w:r>
          </w:p>
        </w:tc>
        <w:tc>
          <w:tcPr>
            <w:tcW w:w="2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4.013 %</w:t>
            </w:r>
          </w:p>
        </w:tc>
        <w:tc>
          <w:tcPr>
            <w:tcW w:w="80" w:type="dxa"/>
            <w:vAlign w:val="bottom"/>
          </w:tcPr>
          <w:p>
            <w:pPr>
              <w:spacing w:after="0"/>
              <w:rPr>
                <w:sz w:val="15"/>
                <w:szCs w:val="15"/>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31, 2025</w:t>
            </w:r>
          </w:p>
        </w:tc>
        <w:tc>
          <w:tcPr>
            <w:tcW w:w="80" w:type="dxa"/>
            <w:vAlign w:val="bottom"/>
          </w:tcPr>
          <w:p>
            <w:pPr>
              <w:spacing w:after="0"/>
              <w:rPr>
                <w:sz w:val="15"/>
                <w:szCs w:val="15"/>
                <w:color w:val="auto"/>
              </w:rPr>
            </w:pPr>
          </w:p>
        </w:tc>
        <w:tc>
          <w:tcPr>
            <w:tcW w:w="20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ind w:right="694"/>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9"/>
        </w:trPr>
        <w:tc>
          <w:tcPr>
            <w:tcW w:w="2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ind w:left="20"/>
              <w:spacing w:after="0" w:line="139" w:lineRule="exact"/>
              <w:rPr>
                <w:sz w:val="20"/>
                <w:szCs w:val="20"/>
                <w:color w:val="auto"/>
              </w:rPr>
            </w:pPr>
            <w:r>
              <w:rPr>
                <w:rFonts w:ascii="Times New Roman" w:cs="Times New Roman" w:eastAsia="Times New Roman" w:hAnsi="Times New Roman"/>
                <w:sz w:val="13"/>
                <w:szCs w:val="13"/>
                <w:color w:val="auto"/>
              </w:rPr>
              <w:t>December 1, 2024 -</w:t>
            </w:r>
          </w:p>
        </w:tc>
        <w:tc>
          <w:tcPr>
            <w:tcW w:w="2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Three months ended December 31, 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119.4</w:t>
            </w:r>
          </w:p>
        </w:tc>
        <w:tc>
          <w:tcPr>
            <w:tcW w:w="26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4.041 %</w:t>
            </w:r>
          </w:p>
        </w:tc>
        <w:tc>
          <w:tcPr>
            <w:tcW w:w="8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February 6, 2025</w:t>
            </w:r>
          </w:p>
        </w:tc>
        <w:tc>
          <w:tcPr>
            <w:tcW w:w="20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vMerge w:val="restart"/>
          </w:tcPr>
          <w:p>
            <w:pPr>
              <w:jc w:val="right"/>
              <w:ind w:right="117"/>
              <w:spacing w:after="0"/>
              <w:rPr>
                <w:sz w:val="20"/>
                <w:szCs w:val="20"/>
                <w:color w:val="auto"/>
              </w:rPr>
            </w:pPr>
            <w:r>
              <w:rPr>
                <w:rFonts w:ascii="Times New Roman" w:cs="Times New Roman" w:eastAsia="Times New Roman" w:hAnsi="Times New Roman"/>
                <w:sz w:val="9"/>
                <w:szCs w:val="9"/>
                <w:color w:val="auto"/>
                <w:w w:val="75"/>
              </w:rPr>
              <w:t>(2)</w:t>
            </w: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gridSpan w:val="2"/>
          </w:tcPr>
          <w:p>
            <w:pPr>
              <w:ind w:left="20"/>
              <w:spacing w:after="0" w:line="136" w:lineRule="exact"/>
              <w:rPr>
                <w:sz w:val="20"/>
                <w:szCs w:val="20"/>
                <w:color w:val="auto"/>
              </w:rPr>
            </w:pPr>
            <w:r>
              <w:rPr>
                <w:rFonts w:ascii="Times New Roman" w:cs="Times New Roman" w:eastAsia="Times New Roman" w:hAnsi="Times New Roman"/>
                <w:sz w:val="13"/>
                <w:szCs w:val="13"/>
                <w:color w:val="auto"/>
              </w:rPr>
              <w:t>December 1, 2024 -</w:t>
            </w:r>
          </w:p>
        </w:tc>
        <w:tc>
          <w:tcPr>
            <w:tcW w:w="20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Three months ended September 30, 2024</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93.5</w:t>
            </w:r>
          </w:p>
        </w:tc>
        <w:tc>
          <w:tcPr>
            <w:tcW w:w="260" w:type="dxa"/>
            <w:vAlign w:val="bottom"/>
            <w:vMerge w:val="continue"/>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4.096 %</w:t>
            </w:r>
          </w:p>
        </w:tc>
        <w:tc>
          <w:tcPr>
            <w:tcW w:w="80" w:type="dxa"/>
            <w:vAlign w:val="bottom"/>
          </w:tcPr>
          <w:p>
            <w:pPr>
              <w:spacing w:after="0"/>
              <w:rPr>
                <w:sz w:val="14"/>
                <w:szCs w:val="14"/>
                <w:color w:val="auto"/>
              </w:rPr>
            </w:pP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January 15, 2044</w:t>
            </w:r>
          </w:p>
        </w:tc>
        <w:tc>
          <w:tcPr>
            <w:tcW w:w="20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694"/>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27" w:hanging="127"/>
        <w:spacing w:after="0"/>
        <w:tabs>
          <w:tab w:leader="none" w:pos="127" w:val="left"/>
        </w:tabs>
        <w:numPr>
          <w:ilvl w:val="0"/>
          <w:numId w:val="4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We settled $737.7 million of secured mortgage debt, inclusive of $45.9 million of prepayment costs and deferred financing cost write offs, resulting in a repayment of $691.8 million of net secured mortgage debt.</w:t>
      </w:r>
    </w:p>
    <w:p>
      <w:pPr>
        <w:spacing w:after="0" w:line="4" w:lineRule="exact"/>
        <w:rPr>
          <w:rFonts w:ascii="Times New Roman" w:cs="Times New Roman" w:eastAsia="Times New Roman" w:hAnsi="Times New Roman"/>
          <w:sz w:val="16"/>
          <w:szCs w:val="16"/>
          <w:color w:val="auto"/>
          <w:vertAlign w:val="superscript"/>
        </w:rPr>
      </w:pPr>
    </w:p>
    <w:p>
      <w:pPr>
        <w:ind w:left="147" w:right="20" w:hanging="147"/>
        <w:spacing w:after="0" w:line="220" w:lineRule="auto"/>
        <w:tabs>
          <w:tab w:leader="none" w:pos="136" w:val="left"/>
        </w:tabs>
        <w:numPr>
          <w:ilvl w:val="0"/>
          <w:numId w:val="4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six mortgage term loans, which included two mortgage term loan payoffs and partial pay downs on four pooled mortgage term loans, that were secured by seven properties. The repayments occurred in conjunction with the disposition of real estate assets. Refer to Note 3, "Real Estate Acquisitions and Dispositions," for additional information.</w:t>
      </w:r>
    </w:p>
    <w:p>
      <w:pPr>
        <w:spacing w:after="0" w:line="9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During the year ended December 31, 2025, we did not enter into any mortgage term loans.</w:t>
      </w:r>
    </w:p>
    <w:p>
      <w:pPr>
        <w:spacing w:after="0" w:line="152" w:lineRule="exact"/>
        <w:rPr>
          <w:sz w:val="20"/>
          <w:szCs w:val="20"/>
          <w:color w:val="auto"/>
        </w:rPr>
      </w:pPr>
    </w:p>
    <w:p>
      <w:pPr>
        <w:ind w:left="7" w:right="1100"/>
        <w:spacing w:after="0" w:line="386" w:lineRule="auto"/>
        <w:rPr>
          <w:sz w:val="20"/>
          <w:szCs w:val="20"/>
          <w:color w:val="auto"/>
        </w:rPr>
      </w:pPr>
      <w:r>
        <w:rPr>
          <w:rFonts w:ascii="Times New Roman" w:cs="Times New Roman" w:eastAsia="Times New Roman" w:hAnsi="Times New Roman"/>
          <w:sz w:val="15"/>
          <w:szCs w:val="15"/>
          <w:color w:val="auto"/>
        </w:rPr>
        <w:t xml:space="preserve">The mortgage term loans, which total $2.4 billion as of December 31, 2025, are secured by 110 properties representing approximately $1.8 billion of net book value. </w:t>
      </w:r>
      <w:r>
        <w:rPr>
          <w:rFonts w:ascii="Times New Roman" w:cs="Times New Roman" w:eastAsia="Times New Roman" w:hAnsi="Times New Roman"/>
          <w:sz w:val="15"/>
          <w:szCs w:val="15"/>
          <w:i w:val="1"/>
          <w:iCs w:val="1"/>
          <w:color w:val="auto"/>
        </w:rPr>
        <w:t>Secured Borrowings on Collateralized Receivables</w:t>
      </w:r>
    </w:p>
    <w:p>
      <w:pPr>
        <w:spacing w:after="0" w:line="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Refer to Note 1, "Significant Accounting Policies," for information on secured borrowings on collateralized receivables.</w:t>
      </w:r>
    </w:p>
    <w:p>
      <w:pPr>
        <w:spacing w:after="0" w:line="200" w:lineRule="exact"/>
        <w:rPr>
          <w:sz w:val="20"/>
          <w:szCs w:val="20"/>
          <w:color w:val="auto"/>
        </w:rPr>
      </w:pPr>
    </w:p>
    <w:p>
      <w:pPr>
        <w:spacing w:after="0" w:line="32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F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121920</wp:posOffset>
            </wp:positionV>
            <wp:extent cx="7177405" cy="400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121" w:right="31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Unsecured Debt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Senior Unsecured Notes</w:t>
      </w:r>
    </w:p>
    <w:p>
      <w:pPr>
        <w:spacing w:after="0" w:line="109"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color w:val="auto"/>
        </w:rPr>
        <w:t>The following table sets forth certain information regarding our senior unsecured notes (in millions, except for statistical information). All senior unsecured notes include interest payments on a semi-annual basis in arrears and are recorded within the Unsecured debt line item on the Consolidated Balance Sheets.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4"/>
          </w:tcPr>
          <w:p>
            <w:pPr>
              <w:jc w:val="right"/>
              <w:ind w:right="574"/>
              <w:spacing w:after="0"/>
              <w:rPr>
                <w:sz w:val="20"/>
                <w:szCs w:val="20"/>
                <w:color w:val="auto"/>
              </w:rPr>
            </w:pPr>
            <w:r>
              <w:rPr>
                <w:rFonts w:ascii="Times New Roman" w:cs="Times New Roman" w:eastAsia="Times New Roman" w:hAnsi="Times New Roman"/>
                <w:sz w:val="13"/>
                <w:szCs w:val="13"/>
                <w:b w:val="1"/>
                <w:bCs w:val="1"/>
                <w:color w:val="auto"/>
              </w:rPr>
              <w:t>Carrying Amount at December 31,</w:t>
            </w:r>
          </w:p>
        </w:tc>
      </w:tr>
      <w:tr>
        <w:trPr>
          <w:trHeight w:val="171"/>
        </w:trPr>
        <w:tc>
          <w:tcPr>
            <w:tcW w:w="6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Principal Amount</w:t>
            </w:r>
          </w:p>
        </w:tc>
        <w:tc>
          <w:tcPr>
            <w:tcW w:w="360" w:type="dxa"/>
            <w:vAlign w:val="bottom"/>
          </w:tcPr>
          <w:p>
            <w:pPr>
              <w:spacing w:after="0"/>
              <w:rPr>
                <w:sz w:val="14"/>
                <w:szCs w:val="14"/>
                <w:color w:val="auto"/>
              </w:rPr>
            </w:pPr>
          </w:p>
        </w:tc>
        <w:tc>
          <w:tcPr>
            <w:tcW w:w="1220" w:type="dxa"/>
            <w:vAlign w:val="bottom"/>
          </w:tcPr>
          <w:p>
            <w:pPr>
              <w:jc w:val="right"/>
              <w:ind w:right="59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94"/>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66"/>
        </w:trPr>
        <w:tc>
          <w:tcPr>
            <w:tcW w:w="6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5.5% notes, issued in January 2024 and due in January 2029 (the "2029 Notes")</w:t>
            </w:r>
          </w:p>
        </w:tc>
        <w:tc>
          <w:tcPr>
            <w:tcW w:w="1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496.2</w:t>
            </w:r>
          </w:p>
        </w:tc>
      </w:tr>
      <w:tr>
        <w:trPr>
          <w:trHeight w:val="172"/>
        </w:trPr>
        <w:tc>
          <w:tcPr>
            <w:tcW w:w="6400" w:type="dxa"/>
            <w:vAlign w:val="bottom"/>
          </w:tcPr>
          <w:p>
            <w:pPr>
              <w:spacing w:after="0"/>
              <w:rPr>
                <w:sz w:val="20"/>
                <w:szCs w:val="20"/>
                <w:color w:val="auto"/>
              </w:rPr>
            </w:pPr>
            <w:r>
              <w:rPr>
                <w:rFonts w:ascii="Times New Roman" w:cs="Times New Roman" w:eastAsia="Times New Roman" w:hAnsi="Times New Roman"/>
                <w:sz w:val="13"/>
                <w:szCs w:val="13"/>
                <w:color w:val="auto"/>
              </w:rPr>
              <w:t>5.7% notes, issued in January 2023 and due in January 2033 (the "2033 Notes")</w:t>
            </w: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396.1</w:t>
            </w:r>
          </w:p>
        </w:tc>
      </w:tr>
      <w:tr>
        <w:trPr>
          <w:trHeight w:val="175"/>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4.2% notes, issued in April 2022 and due in April 2032</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594.1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593.2</w:t>
            </w:r>
          </w:p>
        </w:tc>
      </w:tr>
      <w:tr>
        <w:trPr>
          <w:trHeight w:val="172"/>
        </w:trPr>
        <w:tc>
          <w:tcPr>
            <w:tcW w:w="6400" w:type="dxa"/>
            <w:vAlign w:val="bottom"/>
          </w:tcPr>
          <w:p>
            <w:pPr>
              <w:spacing w:after="0"/>
              <w:rPr>
                <w:sz w:val="20"/>
                <w:szCs w:val="20"/>
                <w:color w:val="auto"/>
              </w:rPr>
            </w:pPr>
            <w:r>
              <w:rPr>
                <w:rFonts w:ascii="Times New Roman" w:cs="Times New Roman" w:eastAsia="Times New Roman" w:hAnsi="Times New Roman"/>
                <w:sz w:val="13"/>
                <w:szCs w:val="13"/>
                <w:color w:val="auto"/>
              </w:rPr>
              <w:t>2.3% notes, issued in October 2021 and due in November 2028</w:t>
            </w: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447.4</w:t>
            </w:r>
          </w:p>
        </w:tc>
      </w:tr>
      <w:tr>
        <w:trPr>
          <w:trHeight w:val="174"/>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2.7% notes, issued in June 2021 and October 2021, and due in July 2031</w:t>
            </w:r>
          </w:p>
        </w:tc>
        <w:tc>
          <w:tcPr>
            <w:tcW w:w="18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750.0</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744.3</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743.4</w:t>
            </w:r>
          </w:p>
        </w:tc>
      </w:tr>
      <w:tr>
        <w:trPr>
          <w:trHeight w:val="167"/>
        </w:trPr>
        <w:tc>
          <w:tcPr>
            <w:tcW w:w="64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2,700.0</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1,786.5</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2,676.3</w:t>
            </w:r>
          </w:p>
        </w:tc>
      </w:tr>
      <w:tr>
        <w:trPr>
          <w:trHeight w:val="20"/>
        </w:trPr>
        <w:tc>
          <w:tcPr>
            <w:tcW w:w="6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During the three months ended June 30, 2025, we redeemed the aggregate principal amount of $900.0 million on the 2029 Notes and the 2033 Notes using cash proceeds generated from the Safe Harbor Sale. In accordance with the terms of each series of Notes, the redemption price was inclusive of a customary make-whole premium and accrued and unpaid interest. As a result, we recorded charges of $56.5 million to Loss on extinguishment of debt on the Consolidated Statements of Operations in connection with early extinguishment premiums on these note redemptions. Refer to Note 13, "Derivative Financial Instruments," for cash flow hedge activity resulting from the redemptions.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New Credit Agreement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September 2025, we entered into a credit agreement (the "New Credit Agreement"), which replaced our previous $3.05 billion senior credit facility.</w:t>
      </w:r>
    </w:p>
    <w:p>
      <w:pPr>
        <w:spacing w:after="0" w:line="10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Pursuant to the New Credit Agreement, we may borrow up to $2.0 billion under a senior credit facility. The New Credit Agreement also permits, subject to the satisfaction of certain conditions, additional borrowings of $1.0 billion. The senior credit facility's maturity date is January 31, 2030, and, at our option, may be extended for two additional six-month periods subject to the satisfaction of certain conditions.</w:t>
      </w:r>
    </w:p>
    <w:p>
      <w:pPr>
        <w:spacing w:after="0" w:line="5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 senior credit facility offers various interest rates for borrowings under U.S. dollars (at the ABR, Term SOFR, and Daily Effective SOFR), euros (at the Adjusted EURIBOR), British pound sterling (at the Daily Simple SONIA Rate), Canadian dollars (at the Term CORRA) and the Daily Simple CORRA), and Australian dollars (at the Australian BBSY Rate) plus a margin, which can range from 0.725% to 1.40% for all interest rates except ABR loans, which can range from 0.000% to 0.400%. As of December 31, 2025, there were no borrowings under the senior credit facility.</w:t>
      </w:r>
    </w:p>
    <w:p>
      <w:pPr>
        <w:spacing w:after="0" w:line="5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During the three months ended September 30, 2025, we recorded charges of $1.6 million to Loss on extinguishment of debt on the Consolidated Statements of Operations related to the write off of deferred financing costs in connection with the termination of our previous senior credit facility. As of December 31, 2025, we also recorded deferred financing costs of $11.6 million in connection with the senior credit facility, which was recorded within Other assets, net on the Consolidated Balance Sheet.</w:t>
      </w:r>
    </w:p>
    <w:p>
      <w:pPr>
        <w:spacing w:after="0" w:line="53" w:lineRule="exact"/>
        <w:rPr>
          <w:sz w:val="20"/>
          <w:szCs w:val="20"/>
          <w:color w:val="auto"/>
        </w:rPr>
      </w:pPr>
    </w:p>
    <w:p>
      <w:pPr>
        <w:ind w:right="340"/>
        <w:spacing w:after="0" w:line="386" w:lineRule="auto"/>
        <w:rPr>
          <w:sz w:val="20"/>
          <w:szCs w:val="20"/>
          <w:color w:val="auto"/>
        </w:rPr>
      </w:pPr>
      <w:r>
        <w:rPr>
          <w:rFonts w:ascii="Times New Roman" w:cs="Times New Roman" w:eastAsia="Times New Roman" w:hAnsi="Times New Roman"/>
          <w:sz w:val="15"/>
          <w:szCs w:val="15"/>
          <w:color w:val="auto"/>
        </w:rPr>
        <w:t xml:space="preserve">The senior credit facility provides us with the ability to issue up to $100.0 million of letters of credit. We had $13.7 million of outstanding letters of credit at December 31, 2025. </w:t>
      </w:r>
      <w:r>
        <w:rPr>
          <w:rFonts w:ascii="Times New Roman" w:cs="Times New Roman" w:eastAsia="Times New Roman" w:hAnsi="Times New Roman"/>
          <w:sz w:val="15"/>
          <w:szCs w:val="15"/>
          <w:i w:val="1"/>
          <w:iCs w:val="1"/>
          <w:color w:val="auto"/>
        </w:rPr>
        <w:t>Covenants</w:t>
      </w:r>
    </w:p>
    <w:p>
      <w:pPr>
        <w:spacing w:after="0" w:line="1"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color w:val="auto"/>
        </w:rPr>
        <w:t>The mortgage term loans, senior unsecured notes, and our senior credit facility are subject to various financial and other covenants. At December 31, 2025, we were in compliance with all financial covenants.</w:t>
      </w:r>
    </w:p>
    <w:p>
      <w:pPr>
        <w:spacing w:after="0" w:line="39"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color w:val="auto"/>
        </w:rPr>
        <w:t>In addition, certain of our subsidiary borrowers own properties that secure loans. These subsidiaries are consolidated within our accompanying Consolidated Financial Statements, however, each of these subsidiaries' assets and credit are not available to satisfy our debts and other obligations, or any of our other subsidiaries or any other person or entity.</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80" w:name="page81"/>
    <w:bookmarkEnd w:id="80"/>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200" w:lineRule="exact"/>
        <w:rPr>
          <w:sz w:val="20"/>
          <w:szCs w:val="20"/>
          <w:color w:val="auto"/>
        </w:rPr>
      </w:pPr>
    </w:p>
    <w:p>
      <w:pPr>
        <w:spacing w:after="0" w:line="35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i w:val="1"/>
          <w:iCs w:val="1"/>
          <w:color w:val="auto"/>
        </w:rPr>
        <w:t>Long-term Debt Maturities</w:t>
      </w:r>
    </w:p>
    <w:p>
      <w:pPr>
        <w:spacing w:after="0" w:line="109" w:lineRule="exact"/>
        <w:rPr>
          <w:sz w:val="20"/>
          <w:szCs w:val="20"/>
          <w:color w:val="auto"/>
        </w:rPr>
      </w:pPr>
    </w:p>
    <w:p>
      <w:pPr>
        <w:ind w:left="7"/>
        <w:spacing w:after="0" w:line="295" w:lineRule="auto"/>
        <w:rPr>
          <w:sz w:val="20"/>
          <w:szCs w:val="20"/>
          <w:color w:val="auto"/>
        </w:rPr>
      </w:pPr>
      <w:r>
        <w:rPr>
          <w:rFonts w:ascii="Times New Roman" w:cs="Times New Roman" w:eastAsia="Times New Roman" w:hAnsi="Times New Roman"/>
          <w:sz w:val="15"/>
          <w:szCs w:val="15"/>
          <w:color w:val="auto"/>
        </w:rPr>
        <w:t>As of December 31, 2025, the total of our secured debt (excluding premiums and deferred financing costs) and unsecured debt (excluding discounts and deferred financing costs) by year of maturity were as follows (in millions):</w:t>
      </w:r>
    </w:p>
    <w:p>
      <w:pPr>
        <w:spacing w:after="0" w:line="71" w:lineRule="exact"/>
        <w:rPr>
          <w:sz w:val="20"/>
          <w:szCs w:val="20"/>
          <w:color w:val="auto"/>
        </w:rPr>
      </w:pPr>
    </w:p>
    <w:tbl>
      <w:tblPr>
        <w:tblLayout w:type="fixed"/>
        <w:tblInd w:w="7" w:type="dxa"/>
        <w:tblCellMar>
          <w:top w:w="0" w:type="dxa"/>
          <w:left w:w="0" w:type="dxa"/>
          <w:bottom w:w="0" w:type="dxa"/>
          <w:right w:w="0" w:type="dxa"/>
        </w:tblCellMar>
      </w:tblPr>
      <w:tr>
        <w:trPr>
          <w:trHeight w:val="176"/>
        </w:trPr>
        <w:tc>
          <w:tcPr>
            <w:tcW w:w="39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8"/>
          </w:tcPr>
          <w:p>
            <w:pPr>
              <w:ind w:left="280"/>
              <w:spacing w:after="0"/>
              <w:rPr>
                <w:sz w:val="20"/>
                <w:szCs w:val="20"/>
                <w:color w:val="auto"/>
              </w:rPr>
            </w:pPr>
            <w:r>
              <w:rPr>
                <w:rFonts w:ascii="Times New Roman" w:cs="Times New Roman" w:eastAsia="Times New Roman" w:hAnsi="Times New Roman"/>
                <w:sz w:val="13"/>
                <w:szCs w:val="13"/>
                <w:b w:val="1"/>
                <w:bCs w:val="1"/>
                <w:color w:val="auto"/>
              </w:rPr>
              <w:t>Maturities and Amortization By Year</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168"/>
        </w:trPr>
        <w:tc>
          <w:tcPr>
            <w:tcW w:w="3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Total Due</w:t>
            </w:r>
          </w:p>
        </w:tc>
        <w:tc>
          <w:tcPr>
            <w:tcW w:w="220" w:type="dxa"/>
            <w:vAlign w:val="bottom"/>
          </w:tcPr>
          <w:p>
            <w:pPr>
              <w:spacing w:after="0"/>
              <w:rPr>
                <w:sz w:val="14"/>
                <w:szCs w:val="14"/>
                <w:color w:val="auto"/>
              </w:rPr>
            </w:pPr>
          </w:p>
        </w:tc>
        <w:tc>
          <w:tcPr>
            <w:tcW w:w="76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2026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2027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2028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2029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2030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Thereafter</w:t>
            </w:r>
          </w:p>
        </w:tc>
      </w:tr>
      <w:tr>
        <w:trPr>
          <w:trHeight w:val="154"/>
        </w:trPr>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Secured Debt</w:t>
            </w:r>
          </w:p>
        </w:tc>
        <w:tc>
          <w:tcPr>
            <w:tcW w:w="1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r>
      <w:tr>
        <w:trPr>
          <w:trHeight w:val="172"/>
        </w:trPr>
        <w:tc>
          <w:tcPr>
            <w:tcW w:w="3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Mortgage loans payable</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5"/>
        </w:trPr>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Maturities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1,794.2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492.0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808.3</w:t>
            </w:r>
          </w:p>
        </w:tc>
      </w:tr>
      <w:tr>
        <w:trPr>
          <w:trHeight w:val="172"/>
        </w:trPr>
        <w:tc>
          <w:tcPr>
            <w:tcW w:w="39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Principal amortization</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644.4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454.5</w:t>
            </w:r>
          </w:p>
        </w:tc>
      </w:tr>
      <w:tr>
        <w:trPr>
          <w:trHeight w:val="175"/>
        </w:trPr>
        <w:tc>
          <w:tcPr>
            <w:tcW w:w="3900" w:type="dxa"/>
            <w:vAlign w:val="bottom"/>
            <w:shd w:val="clear" w:color="auto" w:fill="CCEEFF"/>
          </w:tcPr>
          <w:p>
            <w:pPr>
              <w:ind w:left="100"/>
              <w:spacing w:after="0" w:line="175" w:lineRule="exact"/>
              <w:rPr>
                <w:sz w:val="20"/>
                <w:szCs w:val="20"/>
                <w:color w:val="auto"/>
              </w:rPr>
            </w:pPr>
            <w:r>
              <w:rPr>
                <w:rFonts w:ascii="Times New Roman" w:cs="Times New Roman" w:eastAsia="Times New Roman" w:hAnsi="Times New Roman"/>
                <w:sz w:val="13"/>
                <w:szCs w:val="13"/>
                <w:color w:val="auto"/>
              </w:rPr>
              <w:t>Secured borrowings on collateralized receivables</w:t>
            </w:r>
            <w:r>
              <w:rPr>
                <w:rFonts w:ascii="Times New Roman" w:cs="Times New Roman" w:eastAsia="Times New Roman" w:hAnsi="Times New Roman"/>
                <w:sz w:val="17"/>
                <w:szCs w:val="17"/>
                <w:color w:val="auto"/>
                <w:vertAlign w:val="superscript"/>
              </w:rPr>
              <w:t>(1)</w:t>
            </w:r>
          </w:p>
        </w:tc>
        <w:tc>
          <w:tcPr>
            <w:tcW w:w="1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w:t>
            </w:r>
          </w:p>
        </w:tc>
      </w:tr>
      <w:tr>
        <w:trPr>
          <w:trHeight w:val="164"/>
        </w:trPr>
        <w:tc>
          <w:tcPr>
            <w:tcW w:w="390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Total Secured Debt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2,478.0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534.8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1,289.4</w:t>
            </w:r>
          </w:p>
        </w:tc>
      </w:tr>
      <w:tr>
        <w:trPr>
          <w:trHeight w:val="175"/>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Unsecured Debt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72"/>
        </w:trPr>
        <w:tc>
          <w:tcPr>
            <w:tcW w:w="3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Senior unsecured notes</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1,800.0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1,350.0</w:t>
            </w:r>
          </w:p>
        </w:tc>
      </w:tr>
      <w:tr>
        <w:trPr>
          <w:trHeight w:val="165"/>
        </w:trPr>
        <w:tc>
          <w:tcPr>
            <w:tcW w:w="390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3"/>
                <w:szCs w:val="13"/>
                <w:b w:val="1"/>
                <w:bCs w:val="1"/>
                <w:color w:val="auto"/>
              </w:rPr>
              <w:t>Total Unsecured Debt</w:t>
            </w: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1,800.0</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450.0</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1,350.0</w:t>
            </w:r>
          </w:p>
        </w:tc>
      </w:tr>
      <w:tr>
        <w:trPr>
          <w:trHeight w:val="167"/>
        </w:trPr>
        <w:tc>
          <w:tcPr>
            <w:tcW w:w="390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Total Debt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4,278.0</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534.8</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37.3</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667.0</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351.6</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47.9</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2,639.4</w:t>
            </w:r>
          </w:p>
        </w:tc>
      </w:tr>
      <w:tr>
        <w:trPr>
          <w:trHeight w:val="20"/>
        </w:trPr>
        <w:tc>
          <w:tcPr>
            <w:tcW w:w="3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127" w:hanging="127"/>
        <w:spacing w:after="0"/>
        <w:tabs>
          <w:tab w:leader="none" w:pos="127" w:val="left"/>
        </w:tabs>
        <w:numPr>
          <w:ilvl w:val="0"/>
          <w:numId w:val="4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Balance at December 31, 2025 excludes fair value adjustments of $3.8 million.</w:t>
      </w:r>
    </w:p>
    <w:p>
      <w:pPr>
        <w:spacing w:after="0" w:line="8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8. Equity and Temporary Equity</w:t>
      </w:r>
    </w:p>
    <w:p>
      <w:pPr>
        <w:spacing w:after="0" w:line="10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Temporary Equity</w:t>
      </w:r>
    </w:p>
    <w:p>
      <w:pPr>
        <w:spacing w:after="0" w:line="105" w:lineRule="exact"/>
        <w:rPr>
          <w:sz w:val="20"/>
          <w:szCs w:val="20"/>
          <w:color w:val="auto"/>
        </w:rPr>
      </w:pPr>
    </w:p>
    <w:p>
      <w:pPr>
        <w:jc w:val="both"/>
        <w:ind w:left="7"/>
        <w:spacing w:after="0" w:line="270" w:lineRule="auto"/>
        <w:rPr>
          <w:sz w:val="20"/>
          <w:szCs w:val="20"/>
          <w:color w:val="auto"/>
        </w:rPr>
      </w:pPr>
      <w:r>
        <w:rPr>
          <w:rFonts w:ascii="Times New Roman" w:cs="Times New Roman" w:eastAsia="Times New Roman" w:hAnsi="Times New Roman"/>
          <w:sz w:val="15"/>
          <w:szCs w:val="15"/>
          <w:color w:val="auto"/>
        </w:rPr>
        <w:t>Temporary equity includes preferred securities that are redeemable for cash at the holder's option or upon the occurrence of an event that is not solely within our control based on a fixed or determinable price and other redeemable equity interests. These securities are not mandatorily redeemable for cash nor do they contain a fixed maturity date. The following table sets forth the various series of redeemable preferred OP units and other redeemable equity interests that were outstanding as of December 31, 2025 and 2024, and the related terms, and summarizes the balance included within Temporary Equity on our Consolidated Balance Sheets (in millions, except for statistical information):</w:t>
      </w:r>
    </w:p>
    <w:p>
      <w:pPr>
        <w:spacing w:after="0" w:line="73" w:lineRule="exact"/>
        <w:rPr>
          <w:sz w:val="20"/>
          <w:szCs w:val="20"/>
          <w:color w:val="auto"/>
        </w:rPr>
      </w:pPr>
    </w:p>
    <w:tbl>
      <w:tblPr>
        <w:tblLayout w:type="fixed"/>
        <w:tblInd w:w="7" w:type="dxa"/>
        <w:tblCellMar>
          <w:top w:w="0" w:type="dxa"/>
          <w:left w:w="0" w:type="dxa"/>
          <w:bottom w:w="0" w:type="dxa"/>
          <w:right w:w="0" w:type="dxa"/>
        </w:tblCellMar>
      </w:tblPr>
      <w:tr>
        <w:trPr>
          <w:trHeight w:val="149"/>
        </w:trPr>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gridSpan w:val="4"/>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Carrying Amount at</w:t>
            </w:r>
          </w:p>
        </w:tc>
      </w:tr>
      <w:tr>
        <w:trPr>
          <w:trHeight w:val="185"/>
        </w:trPr>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OP Units Outstanding</w:t>
            </w:r>
          </w:p>
        </w:tc>
        <w:tc>
          <w:tcPr>
            <w:tcW w:w="80" w:type="dxa"/>
            <w:vAlign w:val="bottom"/>
          </w:tcPr>
          <w:p>
            <w:pPr>
              <w:spacing w:after="0"/>
              <w:rPr>
                <w:sz w:val="16"/>
                <w:szCs w:val="16"/>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Exchange</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Annual</w:t>
            </w: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65"/>
        </w:trPr>
        <w:tc>
          <w:tcPr>
            <w:tcW w:w="2080" w:type="dxa"/>
            <w:vAlign w:val="bottom"/>
            <w:gridSpan w:val="2"/>
          </w:tcPr>
          <w:p>
            <w:pPr>
              <w:ind w:left="66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80" w:type="dxa"/>
            <w:vAlign w:val="bottom"/>
          </w:tcPr>
          <w:p>
            <w:pPr>
              <w:spacing w:after="0"/>
              <w:rPr>
                <w:sz w:val="14"/>
                <w:szCs w:val="14"/>
                <w:color w:val="auto"/>
              </w:rPr>
            </w:pPr>
          </w:p>
        </w:tc>
        <w:tc>
          <w:tcPr>
            <w:tcW w:w="940" w:type="dxa"/>
            <w:vAlign w:val="bottom"/>
            <w:gridSpan w:val="2"/>
          </w:tcPr>
          <w:p>
            <w:pPr>
              <w:jc w:val="center"/>
              <w:ind w:right="100"/>
              <w:spacing w:after="0" w:line="165" w:lineRule="exact"/>
              <w:rPr>
                <w:sz w:val="20"/>
                <w:szCs w:val="20"/>
                <w:color w:val="auto"/>
              </w:rPr>
            </w:pPr>
            <w:r>
              <w:rPr>
                <w:rFonts w:ascii="Times New Roman" w:cs="Times New Roman" w:eastAsia="Times New Roman" w:hAnsi="Times New Roman"/>
                <w:sz w:val="13"/>
                <w:szCs w:val="13"/>
                <w:b w:val="1"/>
                <w:bCs w:val="1"/>
                <w:color w:val="auto"/>
                <w:w w:val="91"/>
              </w:rPr>
              <w:t>Rate</w:t>
            </w:r>
            <w:r>
              <w:rPr>
                <w:rFonts w:ascii="Times New Roman" w:cs="Times New Roman" w:eastAsia="Times New Roman" w:hAnsi="Times New Roman"/>
                <w:sz w:val="17"/>
                <w:szCs w:val="17"/>
                <w:b w:val="1"/>
                <w:bCs w:val="1"/>
                <w:color w:val="auto"/>
                <w:w w:val="91"/>
                <w:vertAlign w:val="superscript"/>
              </w:rPr>
              <w:t>(1)</w:t>
            </w:r>
          </w:p>
        </w:tc>
        <w:tc>
          <w:tcPr>
            <w:tcW w:w="1200" w:type="dxa"/>
            <w:vAlign w:val="bottom"/>
            <w:gridSpan w:val="2"/>
          </w:tcPr>
          <w:p>
            <w:pPr>
              <w:jc w:val="center"/>
              <w:ind w:right="80"/>
              <w:spacing w:after="0" w:line="165" w:lineRule="exact"/>
              <w:rPr>
                <w:sz w:val="20"/>
                <w:szCs w:val="20"/>
                <w:color w:val="auto"/>
              </w:rPr>
            </w:pPr>
            <w:r>
              <w:rPr>
                <w:rFonts w:ascii="Times New Roman" w:cs="Times New Roman" w:eastAsia="Times New Roman" w:hAnsi="Times New Roman"/>
                <w:sz w:val="13"/>
                <w:szCs w:val="13"/>
                <w:b w:val="1"/>
                <w:bCs w:val="1"/>
                <w:color w:val="auto"/>
                <w:w w:val="97"/>
              </w:rPr>
              <w:t>Distribution Rate</w:t>
            </w:r>
            <w:r>
              <w:rPr>
                <w:rFonts w:ascii="Times New Roman" w:cs="Times New Roman" w:eastAsia="Times New Roman" w:hAnsi="Times New Roman"/>
                <w:sz w:val="17"/>
                <w:szCs w:val="17"/>
                <w:b w:val="1"/>
                <w:bCs w:val="1"/>
                <w:color w:val="auto"/>
                <w:w w:val="97"/>
                <w:vertAlign w:val="superscript"/>
              </w:rPr>
              <w:t>(2)</w:t>
            </w:r>
          </w:p>
        </w:tc>
        <w:tc>
          <w:tcPr>
            <w:tcW w:w="1340" w:type="dxa"/>
            <w:vAlign w:val="bottom"/>
            <w:gridSpan w:val="2"/>
          </w:tcPr>
          <w:p>
            <w:pPr>
              <w:ind w:left="80"/>
              <w:spacing w:after="0" w:line="165" w:lineRule="exact"/>
              <w:rPr>
                <w:sz w:val="20"/>
                <w:szCs w:val="20"/>
                <w:color w:val="auto"/>
              </w:rPr>
            </w:pPr>
            <w:r>
              <w:rPr>
                <w:rFonts w:ascii="Times New Roman" w:cs="Times New Roman" w:eastAsia="Times New Roman" w:hAnsi="Times New Roman"/>
                <w:sz w:val="13"/>
                <w:szCs w:val="13"/>
                <w:b w:val="1"/>
                <w:bCs w:val="1"/>
                <w:color w:val="auto"/>
              </w:rPr>
              <w:t>Cash Redemption</w:t>
            </w:r>
            <w:r>
              <w:rPr>
                <w:rFonts w:ascii="Times New Roman" w:cs="Times New Roman" w:eastAsia="Times New Roman" w:hAnsi="Times New Roman"/>
                <w:sz w:val="17"/>
                <w:szCs w:val="17"/>
                <w:b w:val="1"/>
                <w:bCs w:val="1"/>
                <w:color w:val="auto"/>
                <w:vertAlign w:val="superscript"/>
              </w:rPr>
              <w:t>(3)</w:t>
            </w:r>
          </w:p>
        </w:tc>
        <w:tc>
          <w:tcPr>
            <w:tcW w:w="2260" w:type="dxa"/>
            <w:vAlign w:val="bottom"/>
            <w:gridSpan w:val="2"/>
          </w:tcPr>
          <w:p>
            <w:pPr>
              <w:ind w:left="540"/>
              <w:spacing w:after="0"/>
              <w:rPr>
                <w:sz w:val="20"/>
                <w:szCs w:val="20"/>
                <w:color w:val="auto"/>
              </w:rPr>
            </w:pPr>
            <w:r>
              <w:rPr>
                <w:rFonts w:ascii="Times New Roman" w:cs="Times New Roman" w:eastAsia="Times New Roman" w:hAnsi="Times New Roman"/>
                <w:sz w:val="13"/>
                <w:szCs w:val="13"/>
                <w:b w:val="1"/>
                <w:bCs w:val="1"/>
                <w:color w:val="auto"/>
              </w:rPr>
              <w:t>Redemption Period</w:t>
            </w:r>
          </w:p>
        </w:tc>
        <w:tc>
          <w:tcPr>
            <w:tcW w:w="180" w:type="dxa"/>
            <w:vAlign w:val="bottom"/>
          </w:tcPr>
          <w:p>
            <w:pPr>
              <w:spacing w:after="0"/>
              <w:rPr>
                <w:sz w:val="14"/>
                <w:szCs w:val="14"/>
                <w:color w:val="auto"/>
              </w:rPr>
            </w:pPr>
          </w:p>
        </w:tc>
        <w:tc>
          <w:tcPr>
            <w:tcW w:w="700" w:type="dxa"/>
            <w:vAlign w:val="bottom"/>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65"/>
        </w:trPr>
        <w:tc>
          <w:tcPr>
            <w:tcW w:w="2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D preferred OP units</w:t>
            </w:r>
          </w:p>
        </w:tc>
        <w:tc>
          <w:tcPr>
            <w:tcW w:w="8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488,958</w:t>
            </w:r>
          </w:p>
        </w:tc>
        <w:tc>
          <w:tcPr>
            <w:tcW w:w="8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0.8000</w:t>
            </w:r>
          </w:p>
        </w:tc>
        <w:tc>
          <w:tcPr>
            <w:tcW w:w="8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4.0 %</w:t>
            </w:r>
          </w:p>
        </w:tc>
        <w:tc>
          <w:tcPr>
            <w:tcW w:w="8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Holder's Option</w:t>
            </w:r>
          </w:p>
        </w:tc>
        <w:tc>
          <w:tcPr>
            <w:tcW w:w="80" w:type="dxa"/>
            <w:vAlign w:val="bottom"/>
            <w:tcBorders>
              <w:top w:val="single" w:sz="8" w:color="CCEEFF"/>
            </w:tcBorders>
            <w:shd w:val="clear" w:color="auto" w:fill="CCEEFF"/>
          </w:tcPr>
          <w:p>
            <w:pPr>
              <w:spacing w:after="0"/>
              <w:rPr>
                <w:sz w:val="14"/>
                <w:szCs w:val="14"/>
                <w:color w:val="auto"/>
              </w:rPr>
            </w:pPr>
          </w:p>
        </w:tc>
        <w:tc>
          <w:tcPr>
            <w:tcW w:w="2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Any time</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51.3</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w:t>
            </w:r>
          </w:p>
        </w:tc>
      </w:tr>
      <w:tr>
        <w:trPr>
          <w:trHeight w:val="172"/>
        </w:trPr>
        <w:tc>
          <w:tcPr>
            <w:tcW w:w="2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Series F preferred OP units</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0.6250</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3.0 %</w:t>
            </w:r>
          </w:p>
        </w:tc>
        <w:tc>
          <w:tcPr>
            <w:tcW w:w="80" w:type="dxa"/>
            <w:vAlign w:val="bottom"/>
          </w:tcPr>
          <w:p>
            <w:pPr>
              <w:spacing w:after="0"/>
              <w:rPr>
                <w:sz w:val="14"/>
                <w:szCs w:val="14"/>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Holder's Option</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Any time</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r>
      <w:tr>
        <w:trPr>
          <w:trHeight w:val="175"/>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G preferred OP units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4,898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0.6452</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3.2 %</w:t>
            </w:r>
          </w:p>
        </w:tc>
        <w:tc>
          <w:tcPr>
            <w:tcW w:w="8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Holder's Option</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Any time</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w:t>
            </w:r>
          </w:p>
        </w:tc>
      </w:tr>
      <w:tr>
        <w:trPr>
          <w:trHeight w:val="172"/>
        </w:trPr>
        <w:tc>
          <w:tcPr>
            <w:tcW w:w="2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Series H preferred OP units</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560,968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0.6098</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3.0 %</w:t>
            </w:r>
          </w:p>
        </w:tc>
        <w:tc>
          <w:tcPr>
            <w:tcW w:w="80" w:type="dxa"/>
            <w:vAlign w:val="bottom"/>
          </w:tcPr>
          <w:p>
            <w:pPr>
              <w:spacing w:after="0"/>
              <w:rPr>
                <w:sz w:val="14"/>
                <w:szCs w:val="14"/>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Holder's Option</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Any time</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55.4</w:t>
            </w:r>
          </w:p>
        </w:tc>
      </w:tr>
      <w:tr>
        <w:trPr>
          <w:trHeight w:val="129"/>
        </w:trPr>
        <w:tc>
          <w:tcPr>
            <w:tcW w:w="2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During the 30-day period following a</w:t>
            </w: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r>
      <w:tr>
        <w:trPr>
          <w:trHeight w:val="127"/>
        </w:trPr>
        <w:tc>
          <w:tcPr>
            <w:tcW w:w="2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6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change of control of the Company or</w:t>
            </w: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r>
      <w:tr>
        <w:trPr>
          <w:trHeight w:val="185"/>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J preferred OP units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236,000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0.6061</w:t>
            </w: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2.85 %</w:t>
            </w: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Holder's Option</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any time after April 21, 2026</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w:t>
            </w:r>
          </w:p>
        </w:tc>
      </w:tr>
      <w:tr>
        <w:trPr>
          <w:trHeight w:val="172"/>
        </w:trPr>
        <w:tc>
          <w:tcPr>
            <w:tcW w:w="2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Series K preferred OP units</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0.5882</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4.0 %</w:t>
            </w:r>
          </w:p>
        </w:tc>
        <w:tc>
          <w:tcPr>
            <w:tcW w:w="80" w:type="dxa"/>
            <w:vAlign w:val="bottom"/>
          </w:tcPr>
          <w:p>
            <w:pPr>
              <w:spacing w:after="0"/>
              <w:rPr>
                <w:sz w:val="14"/>
                <w:szCs w:val="14"/>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Holder's Option</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Within 60 days after March 23, 2028</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94.1</w:t>
            </w:r>
          </w:p>
        </w:tc>
      </w:tr>
      <w:tr>
        <w:trPr>
          <w:trHeight w:val="175"/>
        </w:trPr>
        <w:tc>
          <w:tcPr>
            <w:tcW w:w="208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3"/>
                <w:szCs w:val="13"/>
                <w:color w:val="auto"/>
              </w:rPr>
              <w:t>Other redeemable equity interests</w:t>
            </w:r>
            <w:r>
              <w:rPr>
                <w:rFonts w:ascii="Times New Roman" w:cs="Times New Roman" w:eastAsia="Times New Roman" w:hAnsi="Times New Roman"/>
                <w:sz w:val="17"/>
                <w:szCs w:val="17"/>
                <w:color w:val="auto"/>
                <w:vertAlign w:val="superscript"/>
              </w:rPr>
              <w:t>(4)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N/A</w:t>
            </w: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N/A</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N/A</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N/A</w:t>
            </w:r>
          </w:p>
        </w:tc>
        <w:tc>
          <w:tcPr>
            <w:tcW w:w="1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w:t>
            </w:r>
          </w:p>
        </w:tc>
      </w:tr>
      <w:tr>
        <w:trPr>
          <w:trHeight w:val="165"/>
        </w:trPr>
        <w:tc>
          <w:tcPr>
            <w:tcW w:w="20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2,360,824</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255.7</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259.8</w:t>
            </w:r>
          </w:p>
        </w:tc>
      </w:tr>
      <w:tr>
        <w:trPr>
          <w:trHeight w:val="20"/>
        </w:trPr>
        <w:tc>
          <w:tcPr>
            <w:tcW w:w="2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127" w:hanging="127"/>
        <w:spacing w:after="0"/>
        <w:tabs>
          <w:tab w:leader="none" w:pos="127" w:val="left"/>
        </w:tabs>
        <w:numPr>
          <w:ilvl w:val="0"/>
          <w:numId w:val="5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Exchange rates are subject to adjustment upon stock splits, recapitalizations, and similar events. The exchange rates of certain series of OP units are approximated to four decimal places.</w:t>
      </w:r>
    </w:p>
    <w:p>
      <w:pPr>
        <w:spacing w:after="0" w:line="4" w:lineRule="exact"/>
        <w:rPr>
          <w:rFonts w:ascii="Times New Roman" w:cs="Times New Roman" w:eastAsia="Times New Roman" w:hAnsi="Times New Roman"/>
          <w:sz w:val="16"/>
          <w:szCs w:val="16"/>
          <w:color w:val="auto"/>
          <w:vertAlign w:val="superscript"/>
        </w:rPr>
      </w:pPr>
    </w:p>
    <w:p>
      <w:pPr>
        <w:ind w:left="107" w:hanging="107"/>
        <w:spacing w:after="0" w:line="223" w:lineRule="auto"/>
        <w:tabs>
          <w:tab w:leader="none" w:pos="107" w:val="left"/>
        </w:tabs>
        <w:numPr>
          <w:ilvl w:val="0"/>
          <w:numId w:val="50"/>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Distributions are payable on the issue price of each OP unit, which is $100.00 per unit for all these preferred OP units.</w:t>
      </w:r>
    </w:p>
    <w:p>
      <w:pPr>
        <w:ind w:left="107" w:hanging="107"/>
        <w:spacing w:after="0"/>
        <w:tabs>
          <w:tab w:leader="none" w:pos="107" w:val="left"/>
        </w:tabs>
        <w:numPr>
          <w:ilvl w:val="0"/>
          <w:numId w:val="50"/>
        </w:numPr>
        <w:rPr>
          <w:rFonts w:ascii="Times New Roman" w:cs="Times New Roman" w:eastAsia="Times New Roman" w:hAnsi="Times New Roman"/>
          <w:sz w:val="8"/>
          <w:szCs w:val="8"/>
          <w:color w:val="auto"/>
        </w:rPr>
      </w:pPr>
      <w:r>
        <w:rPr>
          <w:rFonts w:ascii="Times New Roman" w:cs="Times New Roman" w:eastAsia="Times New Roman" w:hAnsi="Times New Roman"/>
          <w:sz w:val="12"/>
          <w:szCs w:val="12"/>
          <w:color w:val="auto"/>
        </w:rPr>
        <w:t>The redemption price for each preferred OP unit redeemed will be equal to its issue price plus all accrued but unpaid distributions.</w:t>
      </w:r>
    </w:p>
    <w:p>
      <w:pPr>
        <w:spacing w:after="0" w:line="7" w:lineRule="exact"/>
        <w:rPr>
          <w:rFonts w:ascii="Times New Roman" w:cs="Times New Roman" w:eastAsia="Times New Roman" w:hAnsi="Times New Roman"/>
          <w:sz w:val="8"/>
          <w:szCs w:val="8"/>
          <w:color w:val="auto"/>
        </w:rPr>
      </w:pPr>
    </w:p>
    <w:p>
      <w:pPr>
        <w:ind w:left="127" w:hanging="127"/>
        <w:spacing w:after="0" w:line="196" w:lineRule="auto"/>
        <w:tabs>
          <w:tab w:leader="none" w:pos="127" w:val="left"/>
        </w:tabs>
        <w:numPr>
          <w:ilvl w:val="0"/>
          <w:numId w:val="5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redeemable equity interests related to joint ventures that primarily operate and maintain solar energy equipment in select communities and portfolios of RV communities in the U.S.</w:t>
      </w:r>
    </w:p>
    <w:p>
      <w:pPr>
        <w:spacing w:after="0" w:line="8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Permanent Equity</w:t>
      </w:r>
    </w:p>
    <w:p>
      <w:pPr>
        <w:spacing w:after="0" w:line="10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i w:val="1"/>
          <w:iCs w:val="1"/>
          <w:color w:val="auto"/>
        </w:rPr>
        <w:t>Universal Shelf Registration Statement</w:t>
      </w:r>
    </w:p>
    <w:p>
      <w:pPr>
        <w:spacing w:after="0" w:line="109" w:lineRule="exact"/>
        <w:rPr>
          <w:sz w:val="20"/>
          <w:szCs w:val="20"/>
          <w:color w:val="auto"/>
        </w:rPr>
      </w:pPr>
    </w:p>
    <w:p>
      <w:pPr>
        <w:jc w:val="both"/>
        <w:ind w:left="7"/>
        <w:spacing w:after="0" w:line="276" w:lineRule="auto"/>
        <w:rPr>
          <w:sz w:val="20"/>
          <w:szCs w:val="20"/>
          <w:color w:val="auto"/>
        </w:rPr>
      </w:pPr>
      <w:r>
        <w:rPr>
          <w:rFonts w:ascii="Times New Roman" w:cs="Times New Roman" w:eastAsia="Times New Roman" w:hAnsi="Times New Roman"/>
          <w:sz w:val="15"/>
          <w:szCs w:val="15"/>
          <w:color w:val="auto"/>
        </w:rPr>
        <w:t>We have filed a universal shelf registration statement on Form S-3 with the SEC, which provides for the registration of unspecified amounts of equity and debt securities. The authorized number of shares of our capital stock is 380,000,000 shares, of which 360,000,000 shares are common stock and 20,000,000 shares are preferred stock. As of December 31, 2025, we had 123,486,747 shares of common stock issued and outstanding and no shares of preferred stock were issued and outstanding.</w:t>
      </w:r>
    </w:p>
    <w:p>
      <w:pPr>
        <w:spacing w:after="0" w:line="200" w:lineRule="exact"/>
        <w:rPr>
          <w:sz w:val="20"/>
          <w:szCs w:val="20"/>
          <w:color w:val="auto"/>
        </w:rPr>
      </w:pPr>
    </w:p>
    <w:p>
      <w:pPr>
        <w:spacing w:after="0" w:line="27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F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121920</wp:posOffset>
            </wp:positionV>
            <wp:extent cx="7177405" cy="400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121" w:right="31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At the Market Offering Sales Agreement</w:t>
      </w:r>
    </w:p>
    <w:p>
      <w:pPr>
        <w:spacing w:after="0" w:line="10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We have entered into an At the Market Offering Sales Agreement (the "ATM") with certain sales agents and forward sellers pursuant to which we may sell, from time to time, up to an aggregate gross sales price of $1.25 billion of our common stock. During the three months ended September 30, 2024, we entered into forward sale agreements with respect to 2,713,571 shares of common stock under the ATM. We completed the physical settlement of these shares for an aggregate gross sales price of $364.3 million and received net proceeds of $361.7 million, or $133.31 per share. The net proceeds were used to repay borrowings outstanding under the senior credit facility. Through December 31, 2025, we had entered into and settled forward sales agreements under the ATM for an aggregate gross sales price of $524.8 million, leaving $725.2 million available for sale under the ATM.</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Stock Repurchase Program</w:t>
      </w:r>
    </w:p>
    <w:p>
      <w:pPr>
        <w:spacing w:after="0" w:line="10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In May 2025, our Board of Directors authorized a stock repurchase program (the "Stock Repurchase Program") under which we may repurchase up to $1.0 billion in shares of our outstanding common stock through April 30, 2026. Under the Stock Repurchase Program, we may repurchase shares of our common stock in open market transactions, through privately negotiated transactions, through one or more accelerated repurchases, or otherwise, in accordance with the terms set forth in Rule 10b5-1 and Rule 10b-18 of the Securities Exchange Act of 1934, as amended (the "Exchange Act") and other applicable legal requirements. The Stock Repurchase Program does not obligate us to repurchase any specific number of shares, and we may initiate, suspend, or discontinue purchases under the Stock Repurchase Program at any time.</w:t>
      </w:r>
    </w:p>
    <w:p>
      <w:pPr>
        <w:spacing w:after="0" w:line="5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color w:val="auto"/>
        </w:rPr>
        <w:t>We account for stock repurchases in accordance with ASC 505, "</w:t>
      </w:r>
      <w:r>
        <w:rPr>
          <w:rFonts w:ascii="Times New Roman" w:cs="Times New Roman" w:eastAsia="Times New Roman" w:hAnsi="Times New Roman"/>
          <w:sz w:val="15"/>
          <w:szCs w:val="15"/>
          <w:i w:val="1"/>
          <w:iCs w:val="1"/>
          <w:color w:val="auto"/>
        </w:rPr>
        <w:t>Equity</w:t>
      </w:r>
      <w:r>
        <w:rPr>
          <w:rFonts w:ascii="Times New Roman" w:cs="Times New Roman" w:eastAsia="Times New Roman" w:hAnsi="Times New Roman"/>
          <w:sz w:val="15"/>
          <w:szCs w:val="15"/>
          <w:color w:val="auto"/>
        </w:rPr>
        <w:t>," by allocating the repurchase price to Common Stock, Additional paid-in-capital, and Distributions in excess of accumulated earnings on the Consolidated Balance Sheets. Under Maryland corporate law, our state of incorporation, there is no concept of treasury shares. As a result, all repurchased shares are retired and returned to the status of authorized but unissued shares upon settlement. Through December 31, 2025, we repurchased and retired 4.3 million shares of our outstanding common stock for $539.1 million. As of December 31, 2025, we had $460.9 million remaining authorized for purchase under this program.</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Issuances of Common OP Units</w:t>
      </w:r>
    </w:p>
    <w:p>
      <w:pPr>
        <w:spacing w:after="0" w:line="109"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color w:val="auto"/>
        </w:rPr>
        <w:t>During the year ended December 31, 2025, we did not issue any common OP units. During the year ended December 31, 2024, we issued common OP units in connection with the acquisition of certain properties: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760" w:type="dxa"/>
            <w:vAlign w:val="bottom"/>
            <w:gridSpan w:val="2"/>
          </w:tcPr>
          <w:p>
            <w:pPr>
              <w:ind w:left="1140"/>
              <w:spacing w:after="0"/>
              <w:rPr>
                <w:sz w:val="20"/>
                <w:szCs w:val="20"/>
                <w:color w:val="auto"/>
              </w:rPr>
            </w:pPr>
            <w:r>
              <w:rPr>
                <w:rFonts w:ascii="Times New Roman" w:cs="Times New Roman" w:eastAsia="Times New Roman" w:hAnsi="Times New Roman"/>
                <w:sz w:val="13"/>
                <w:szCs w:val="13"/>
                <w:b w:val="1"/>
                <w:bCs w:val="1"/>
                <w:color w:val="auto"/>
              </w:rPr>
              <w:t>Month</w:t>
            </w:r>
          </w:p>
        </w:tc>
        <w:tc>
          <w:tcPr>
            <w:tcW w:w="2780" w:type="dxa"/>
            <w:vAlign w:val="bottom"/>
            <w:gridSpan w:val="2"/>
          </w:tcPr>
          <w:p>
            <w:pPr>
              <w:ind w:left="620"/>
              <w:spacing w:after="0"/>
              <w:rPr>
                <w:sz w:val="20"/>
                <w:szCs w:val="20"/>
                <w:color w:val="auto"/>
              </w:rPr>
            </w:pPr>
            <w:r>
              <w:rPr>
                <w:rFonts w:ascii="Times New Roman" w:cs="Times New Roman" w:eastAsia="Times New Roman" w:hAnsi="Times New Roman"/>
                <w:sz w:val="13"/>
                <w:szCs w:val="13"/>
                <w:b w:val="1"/>
                <w:bCs w:val="1"/>
                <w:color w:val="auto"/>
              </w:rPr>
              <w:t>Common OP Units Issued</w:t>
            </w:r>
          </w:p>
        </w:tc>
        <w:tc>
          <w:tcPr>
            <w:tcW w:w="254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Fair Value at Issuance (in millions)</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00" w:type="dxa"/>
            <w:vAlign w:val="bottom"/>
          </w:tcPr>
          <w:p>
            <w:pPr>
              <w:ind w:left="800"/>
              <w:spacing w:after="0"/>
              <w:rPr>
                <w:sz w:val="20"/>
                <w:szCs w:val="20"/>
                <w:color w:val="auto"/>
              </w:rPr>
            </w:pPr>
            <w:r>
              <w:rPr>
                <w:rFonts w:ascii="Times New Roman" w:cs="Times New Roman" w:eastAsia="Times New Roman" w:hAnsi="Times New Roman"/>
                <w:sz w:val="13"/>
                <w:szCs w:val="13"/>
                <w:b w:val="1"/>
                <w:bCs w:val="1"/>
                <w:color w:val="auto"/>
              </w:rPr>
              <w:t>Related Acquisition</w:t>
            </w:r>
          </w:p>
        </w:tc>
      </w:tr>
      <w:tr>
        <w:trPr>
          <w:trHeight w:val="168"/>
        </w:trPr>
        <w:tc>
          <w:tcPr>
            <w:tcW w:w="2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September 2024</w:t>
            </w:r>
          </w:p>
        </w:tc>
        <w:tc>
          <w:tcPr>
            <w:tcW w:w="80" w:type="dxa"/>
            <w:vAlign w:val="bottom"/>
            <w:tcBorders>
              <w:top w:val="single" w:sz="8" w:color="CCEEFF"/>
            </w:tcBorders>
            <w:shd w:val="clear" w:color="auto" w:fill="CCEEFF"/>
          </w:tcPr>
          <w:p>
            <w:pPr>
              <w:spacing w:after="0"/>
              <w:rPr>
                <w:sz w:val="14"/>
                <w:szCs w:val="14"/>
                <w:color w:val="auto"/>
              </w:rPr>
            </w:pPr>
          </w:p>
        </w:tc>
        <w:tc>
          <w:tcPr>
            <w:tcW w:w="2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243,273</w:t>
            </w:r>
          </w:p>
        </w:tc>
        <w:tc>
          <w:tcPr>
            <w:tcW w:w="80" w:type="dxa"/>
            <w:vAlign w:val="bottom"/>
            <w:tcBorders>
              <w:top w:val="single" w:sz="8" w:color="CCEEFF"/>
            </w:tcBorders>
            <w:shd w:val="clear" w:color="auto" w:fill="CCEEFF"/>
          </w:tcPr>
          <w:p>
            <w:pPr>
              <w:spacing w:after="0"/>
              <w:rPr>
                <w:sz w:val="14"/>
                <w:szCs w:val="14"/>
                <w:color w:val="auto"/>
              </w:rPr>
            </w:pPr>
          </w:p>
        </w:tc>
        <w:tc>
          <w:tcPr>
            <w:tcW w:w="2540" w:type="dxa"/>
            <w:vAlign w:val="bottom"/>
            <w:tcBorders>
              <w:top w:val="single" w:sz="8" w:color="auto"/>
            </w:tcBorders>
            <w:shd w:val="clear" w:color="auto" w:fill="CCEEFF"/>
          </w:tcPr>
          <w:p>
            <w:pPr>
              <w:jc w:val="right"/>
              <w:ind w:right="2394"/>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w:t>
            </w:r>
          </w:p>
        </w:tc>
        <w:tc>
          <w:tcPr>
            <w:tcW w:w="80" w:type="dxa"/>
            <w:vAlign w:val="bottom"/>
            <w:tcBorders>
              <w:top w:val="single" w:sz="8" w:color="CCEEFF"/>
            </w:tcBorders>
            <w:shd w:val="clear" w:color="auto" w:fill="CCEEFF"/>
          </w:tcPr>
          <w:p>
            <w:pPr>
              <w:spacing w:after="0"/>
              <w:rPr>
                <w:sz w:val="14"/>
                <w:szCs w:val="14"/>
                <w:color w:val="auto"/>
              </w:rPr>
            </w:pPr>
          </w:p>
        </w:tc>
        <w:tc>
          <w:tcPr>
            <w:tcW w:w="2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Marina Village Yacht Harbor</w:t>
            </w:r>
          </w:p>
        </w:tc>
      </w:tr>
      <w:tr>
        <w:trPr>
          <w:trHeight w:val="172"/>
        </w:trPr>
        <w:tc>
          <w:tcPr>
            <w:tcW w:w="27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April 2024</w:t>
            </w:r>
          </w:p>
        </w:tc>
        <w:tc>
          <w:tcPr>
            <w:tcW w:w="2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19,326</w:t>
            </w:r>
          </w:p>
        </w:tc>
        <w:tc>
          <w:tcPr>
            <w:tcW w:w="80" w:type="dxa"/>
            <w:vAlign w:val="bottom"/>
          </w:tcPr>
          <w:p>
            <w:pPr>
              <w:spacing w:after="0"/>
              <w:rPr>
                <w:sz w:val="14"/>
                <w:szCs w:val="14"/>
                <w:color w:val="auto"/>
              </w:rPr>
            </w:pPr>
          </w:p>
        </w:tc>
        <w:tc>
          <w:tcPr>
            <w:tcW w:w="2540" w:type="dxa"/>
            <w:vAlign w:val="bottom"/>
          </w:tcPr>
          <w:p>
            <w:pPr>
              <w:jc w:val="right"/>
              <w:ind w:right="2394"/>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Pr>
          <w:p>
            <w:pPr>
              <w:spacing w:after="0"/>
              <w:rPr>
                <w:sz w:val="14"/>
                <w:szCs w:val="14"/>
                <w:color w:val="auto"/>
              </w:rPr>
            </w:pPr>
          </w:p>
        </w:tc>
        <w:tc>
          <w:tcPr>
            <w:tcW w:w="2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Port Milford</w:t>
            </w:r>
          </w:p>
        </w:tc>
      </w:tr>
      <w:tr>
        <w:trPr>
          <w:trHeight w:val="175"/>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March 2024</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4,452</w:t>
            </w:r>
          </w:p>
        </w:tc>
        <w:tc>
          <w:tcPr>
            <w:tcW w:w="80" w:type="dxa"/>
            <w:vAlign w:val="bottom"/>
            <w:shd w:val="clear" w:color="auto" w:fill="CCEEFF"/>
          </w:tcPr>
          <w:p>
            <w:pPr>
              <w:spacing w:after="0"/>
              <w:rPr>
                <w:sz w:val="15"/>
                <w:szCs w:val="15"/>
                <w:color w:val="auto"/>
              </w:rPr>
            </w:pPr>
          </w:p>
        </w:tc>
        <w:tc>
          <w:tcPr>
            <w:tcW w:w="2540" w:type="dxa"/>
            <w:vAlign w:val="bottom"/>
            <w:shd w:val="clear" w:color="auto" w:fill="CCEEFF"/>
          </w:tcPr>
          <w:p>
            <w:pPr>
              <w:jc w:val="right"/>
              <w:ind w:right="2394"/>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80" w:type="dxa"/>
            <w:vAlign w:val="bottom"/>
            <w:shd w:val="clear" w:color="auto" w:fill="CCEEFF"/>
          </w:tcPr>
          <w:p>
            <w:pPr>
              <w:spacing w:after="0"/>
              <w:rPr>
                <w:sz w:val="15"/>
                <w:szCs w:val="15"/>
                <w:color w:val="auto"/>
              </w:rPr>
            </w:pPr>
          </w:p>
        </w:tc>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Land for development</w:t>
            </w: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Accumulated Other Comprehensive Income</w:t>
      </w:r>
    </w:p>
    <w:p>
      <w:pPr>
        <w:spacing w:after="0" w:line="10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AOCI attributable to SUI common shareholders is separately presented on our Consolidated Balance Sheets as a component of total SUI shareholders' equity. Other Comprehensive Income ("OCI") attributable to noncontrolling interests is allocated to, and included within, Noncontrolling interests on our Consolidated Balance Sheets. Refer to the Consolidated Statements of Comprehensive Income / (Loss) for complete details related to OCI activity in the reporting period.</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AOCI attributable to SUI common shareholders consisted of the following, net of tax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60" w:type="dxa"/>
            <w:vAlign w:val="bottom"/>
          </w:tcPr>
          <w:p>
            <w:pPr>
              <w:spacing w:after="0"/>
              <w:rPr>
                <w:sz w:val="15"/>
                <w:szCs w:val="15"/>
                <w:color w:val="auto"/>
              </w:rPr>
            </w:pPr>
          </w:p>
        </w:tc>
        <w:tc>
          <w:tcPr>
            <w:tcW w:w="140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68"/>
        </w:trPr>
        <w:tc>
          <w:tcPr>
            <w:tcW w:w="8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foreign currency translation gains / (losses)</w:t>
            </w:r>
          </w:p>
        </w:tc>
        <w:tc>
          <w:tcPr>
            <w:tcW w:w="1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w:t>
            </w:r>
          </w:p>
        </w:tc>
      </w:tr>
      <w:tr>
        <w:trPr>
          <w:trHeight w:val="172"/>
        </w:trPr>
        <w:tc>
          <w:tcPr>
            <w:tcW w:w="8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Accumulated net gain on derivatives</w:t>
            </w: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36.2</w:t>
            </w:r>
          </w:p>
        </w:tc>
      </w:tr>
      <w:tr>
        <w:trPr>
          <w:trHeight w:val="192"/>
        </w:trPr>
        <w:tc>
          <w:tcPr>
            <w:tcW w:w="8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Accumulated other comprehensive income / (loss)</w:t>
            </w:r>
          </w:p>
        </w:tc>
        <w:tc>
          <w:tcPr>
            <w:tcW w:w="1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82" w:name="page83"/>
    <w:bookmarkEnd w:id="82"/>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200" w:lineRule="exact"/>
        <w:rPr>
          <w:sz w:val="20"/>
          <w:szCs w:val="20"/>
          <w:color w:val="auto"/>
        </w:rPr>
      </w:pPr>
    </w:p>
    <w:p>
      <w:pPr>
        <w:spacing w:after="0" w:line="35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i w:val="1"/>
          <w:iCs w:val="1"/>
          <w:color w:val="auto"/>
        </w:rPr>
        <w:t>Noncontrolling Interests - Common and Preferred OP Units</w:t>
      </w:r>
    </w:p>
    <w:p>
      <w:pPr>
        <w:spacing w:after="0" w:line="109" w:lineRule="exact"/>
        <w:rPr>
          <w:sz w:val="20"/>
          <w:szCs w:val="20"/>
          <w:color w:val="auto"/>
        </w:rPr>
      </w:pPr>
    </w:p>
    <w:p>
      <w:pPr>
        <w:ind w:left="7" w:right="20"/>
        <w:spacing w:after="0" w:line="295" w:lineRule="auto"/>
        <w:rPr>
          <w:sz w:val="20"/>
          <w:szCs w:val="20"/>
          <w:color w:val="auto"/>
        </w:rPr>
      </w:pPr>
      <w:r>
        <w:rPr>
          <w:rFonts w:ascii="Times New Roman" w:cs="Times New Roman" w:eastAsia="Times New Roman" w:hAnsi="Times New Roman"/>
          <w:sz w:val="15"/>
          <w:szCs w:val="15"/>
          <w:color w:val="auto"/>
        </w:rPr>
        <w:t>The following table summarizes the common and preferred OP units included within Noncontrolling interests on our Consolidated Balance Sheets (in millions, except for units and statistical information):</w:t>
      </w:r>
    </w:p>
    <w:p>
      <w:pPr>
        <w:spacing w:after="0" w:line="210" w:lineRule="exact"/>
        <w:rPr>
          <w:sz w:val="20"/>
          <w:szCs w:val="20"/>
          <w:color w:val="auto"/>
        </w:rPr>
      </w:pPr>
    </w:p>
    <w:tbl>
      <w:tblPr>
        <w:tblLayout w:type="fixed"/>
        <w:tblInd w:w="7" w:type="dxa"/>
        <w:tblCellMar>
          <w:top w:w="0" w:type="dxa"/>
          <w:left w:w="0" w:type="dxa"/>
          <w:bottom w:w="0" w:type="dxa"/>
          <w:right w:w="0" w:type="dxa"/>
        </w:tblCellMar>
      </w:tblPr>
      <w:tr>
        <w:trPr>
          <w:trHeight w:val="179"/>
        </w:trPr>
        <w:tc>
          <w:tcPr>
            <w:tcW w:w="2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OP Units Outstanding</w:t>
            </w:r>
          </w:p>
        </w:tc>
        <w:tc>
          <w:tcPr>
            <w:tcW w:w="80" w:type="dxa"/>
            <w:vAlign w:val="bottom"/>
          </w:tcPr>
          <w:p>
            <w:pPr>
              <w:spacing w:after="0"/>
              <w:rPr>
                <w:sz w:val="15"/>
                <w:szCs w:val="15"/>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Exchange</w:t>
            </w:r>
          </w:p>
        </w:tc>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Redemption</w:t>
            </w:r>
          </w:p>
        </w:tc>
        <w:tc>
          <w:tcPr>
            <w:tcW w:w="8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Carrying Amount at December 31,</w:t>
            </w:r>
          </w:p>
        </w:tc>
      </w:tr>
      <w:tr>
        <w:trPr>
          <w:trHeight w:val="165"/>
        </w:trPr>
        <w:tc>
          <w:tcPr>
            <w:tcW w:w="2280" w:type="dxa"/>
            <w:vAlign w:val="bottom"/>
            <w:gridSpan w:val="2"/>
          </w:tcPr>
          <w:p>
            <w:pPr>
              <w:ind w:left="78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640" w:type="dxa"/>
            <w:vAlign w:val="bottom"/>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80" w:type="dxa"/>
            <w:vAlign w:val="bottom"/>
          </w:tcPr>
          <w:p>
            <w:pPr>
              <w:spacing w:after="0"/>
              <w:rPr>
                <w:sz w:val="14"/>
                <w:szCs w:val="14"/>
                <w:color w:val="auto"/>
              </w:rPr>
            </w:pPr>
          </w:p>
        </w:tc>
        <w:tc>
          <w:tcPr>
            <w:tcW w:w="1000" w:type="dxa"/>
            <w:vAlign w:val="bottom"/>
            <w:gridSpan w:val="2"/>
          </w:tcPr>
          <w:p>
            <w:pPr>
              <w:jc w:val="center"/>
              <w:ind w:right="80"/>
              <w:spacing w:after="0" w:line="165" w:lineRule="exact"/>
              <w:rPr>
                <w:sz w:val="20"/>
                <w:szCs w:val="20"/>
                <w:color w:val="auto"/>
              </w:rPr>
            </w:pPr>
            <w:r>
              <w:rPr>
                <w:rFonts w:ascii="Times New Roman" w:cs="Times New Roman" w:eastAsia="Times New Roman" w:hAnsi="Times New Roman"/>
                <w:sz w:val="13"/>
                <w:szCs w:val="13"/>
                <w:b w:val="1"/>
                <w:bCs w:val="1"/>
                <w:color w:val="auto"/>
                <w:w w:val="91"/>
              </w:rPr>
              <w:t>Rate</w:t>
            </w:r>
            <w:r>
              <w:rPr>
                <w:rFonts w:ascii="Times New Roman" w:cs="Times New Roman" w:eastAsia="Times New Roman" w:hAnsi="Times New Roman"/>
                <w:sz w:val="17"/>
                <w:szCs w:val="17"/>
                <w:b w:val="1"/>
                <w:bCs w:val="1"/>
                <w:color w:val="auto"/>
                <w:w w:val="91"/>
                <w:vertAlign w:val="superscript"/>
              </w:rPr>
              <w:t>(1)</w:t>
            </w:r>
          </w:p>
        </w:tc>
        <w:tc>
          <w:tcPr>
            <w:tcW w:w="1860" w:type="dxa"/>
            <w:vAlign w:val="bottom"/>
            <w:gridSpan w:val="2"/>
          </w:tcPr>
          <w:p>
            <w:pPr>
              <w:ind w:left="140"/>
              <w:spacing w:after="0" w:line="165" w:lineRule="exact"/>
              <w:rPr>
                <w:sz w:val="20"/>
                <w:szCs w:val="20"/>
                <w:color w:val="auto"/>
              </w:rPr>
            </w:pPr>
            <w:r>
              <w:rPr>
                <w:rFonts w:ascii="Times New Roman" w:cs="Times New Roman" w:eastAsia="Times New Roman" w:hAnsi="Times New Roman"/>
                <w:sz w:val="13"/>
                <w:szCs w:val="13"/>
                <w:b w:val="1"/>
                <w:bCs w:val="1"/>
                <w:color w:val="auto"/>
              </w:rPr>
              <w:t>Annual Distribution Rate</w:t>
            </w:r>
            <w:r>
              <w:rPr>
                <w:rFonts w:ascii="Times New Roman" w:cs="Times New Roman" w:eastAsia="Times New Roman" w:hAnsi="Times New Roman"/>
                <w:sz w:val="17"/>
                <w:szCs w:val="17"/>
                <w:b w:val="1"/>
                <w:bCs w:val="1"/>
                <w:color w:val="auto"/>
                <w:vertAlign w:val="superscript"/>
              </w:rPr>
              <w:t>(2)</w:t>
            </w: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Cash Redemption</w:t>
            </w:r>
          </w:p>
        </w:tc>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80" w:type="dxa"/>
            <w:vAlign w:val="bottom"/>
          </w:tcPr>
          <w:p>
            <w:pPr>
              <w:spacing w:after="0"/>
              <w:rPr>
                <w:sz w:val="14"/>
                <w:szCs w:val="14"/>
                <w:color w:val="auto"/>
              </w:rPr>
            </w:pPr>
          </w:p>
        </w:tc>
        <w:tc>
          <w:tcPr>
            <w:tcW w:w="94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19"/>
        </w:trPr>
        <w:tc>
          <w:tcPr>
            <w:tcW w:w="22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6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780" w:type="dxa"/>
            <w:vAlign w:val="bottom"/>
            <w:tcBorders>
              <w:top w:val="single" w:sz="8" w:color="auto"/>
            </w:tcBorders>
            <w:shd w:val="clear" w:color="auto" w:fill="CCEEFF"/>
          </w:tcPr>
          <w:p>
            <w:pPr>
              <w:ind w:left="20"/>
              <w:spacing w:after="0" w:line="119" w:lineRule="exact"/>
              <w:rPr>
                <w:sz w:val="20"/>
                <w:szCs w:val="20"/>
                <w:color w:val="auto"/>
              </w:rPr>
            </w:pPr>
            <w:r>
              <w:rPr>
                <w:rFonts w:ascii="Times New Roman" w:cs="Times New Roman" w:eastAsia="Times New Roman" w:hAnsi="Times New Roman"/>
                <w:sz w:val="13"/>
                <w:szCs w:val="13"/>
                <w:color w:val="auto"/>
              </w:rPr>
              <w:t>Same distribution rate for</w:t>
            </w:r>
          </w:p>
        </w:tc>
        <w:tc>
          <w:tcPr>
            <w:tcW w:w="8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r>
      <w:tr>
        <w:trPr>
          <w:trHeight w:val="185"/>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Common OP units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2,637,275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80" w:type="dxa"/>
            <w:vAlign w:val="bottom"/>
            <w:shd w:val="clear" w:color="auto" w:fill="CCEEFF"/>
          </w:tcPr>
          <w:p>
            <w:pPr>
              <w:spacing w:after="0"/>
              <w:rPr>
                <w:sz w:val="16"/>
                <w:szCs w:val="16"/>
                <w:color w:val="auto"/>
              </w:rPr>
            </w:pPr>
          </w:p>
        </w:tc>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1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N/A</w:t>
            </w:r>
          </w:p>
        </w:tc>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N/A</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71.6</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71.5</w:t>
            </w:r>
          </w:p>
        </w:tc>
      </w:tr>
      <w:tr>
        <w:trPr>
          <w:trHeight w:val="172"/>
        </w:trPr>
        <w:tc>
          <w:tcPr>
            <w:tcW w:w="2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Series A-1 preferred OP units</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169,913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2.4390</w:t>
            </w:r>
          </w:p>
        </w:tc>
        <w:tc>
          <w:tcPr>
            <w:tcW w:w="8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6.0 %</w:t>
            </w:r>
          </w:p>
        </w:tc>
        <w:tc>
          <w:tcPr>
            <w:tcW w:w="8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N/A</w:t>
            </w:r>
          </w:p>
        </w:tc>
        <w:tc>
          <w:tcPr>
            <w:tcW w:w="1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N/A</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r>
      <w:tr>
        <w:trPr>
          <w:trHeight w:val="175"/>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A-3 preferred OP units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40,268</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1.8605</w:t>
            </w:r>
          </w:p>
        </w:tc>
        <w:tc>
          <w:tcPr>
            <w:tcW w:w="8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4.5 %</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N/A</w:t>
            </w:r>
          </w:p>
        </w:tc>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N/A</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72"/>
        </w:trPr>
        <w:tc>
          <w:tcPr>
            <w:tcW w:w="2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Series C preferred OP units</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292,436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1.1100</w:t>
            </w:r>
          </w:p>
        </w:tc>
        <w:tc>
          <w:tcPr>
            <w:tcW w:w="8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5.0 %</w:t>
            </w:r>
          </w:p>
        </w:tc>
        <w:tc>
          <w:tcPr>
            <w:tcW w:w="8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N/A</w:t>
            </w:r>
          </w:p>
        </w:tc>
        <w:tc>
          <w:tcPr>
            <w:tcW w:w="1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N/A</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w:t>
            </w:r>
          </w:p>
        </w:tc>
      </w:tr>
      <w:tr>
        <w:trPr>
          <w:trHeight w:val="175"/>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E preferred OP units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80,000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0.6897</w:t>
            </w:r>
          </w:p>
        </w:tc>
        <w:tc>
          <w:tcPr>
            <w:tcW w:w="8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5.5 %</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N/A</w:t>
            </w:r>
          </w:p>
        </w:tc>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N/A</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172"/>
        </w:trPr>
        <w:tc>
          <w:tcPr>
            <w:tcW w:w="2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Series L preferred OP units</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20,000</w:t>
            </w:r>
          </w:p>
        </w:tc>
        <w:tc>
          <w:tcPr>
            <w:tcW w:w="10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0.6250</w:t>
            </w:r>
          </w:p>
        </w:tc>
        <w:tc>
          <w:tcPr>
            <w:tcW w:w="80" w:type="dxa"/>
            <w:vAlign w:val="bottom"/>
            <w:tcBorders>
              <w:bottom w:val="single" w:sz="8" w:color="CCEEFF"/>
            </w:tcBorders>
          </w:tcPr>
          <w:p>
            <w:pPr>
              <w:spacing w:after="0"/>
              <w:rPr>
                <w:sz w:val="14"/>
                <w:szCs w:val="14"/>
                <w:color w:val="auto"/>
              </w:rPr>
            </w:pPr>
          </w:p>
        </w:tc>
        <w:tc>
          <w:tcPr>
            <w:tcW w:w="1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3.5 %</w:t>
            </w:r>
          </w:p>
        </w:tc>
        <w:tc>
          <w:tcPr>
            <w:tcW w:w="8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N/A</w:t>
            </w:r>
          </w:p>
        </w:tc>
        <w:tc>
          <w:tcPr>
            <w:tcW w:w="1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N/A</w:t>
            </w: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92"/>
        </w:trPr>
        <w:tc>
          <w:tcPr>
            <w:tcW w:w="22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3,239,892</w:t>
            </w: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116.3</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110.4</w:t>
            </w: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127" w:hanging="127"/>
        <w:spacing w:after="0"/>
        <w:tabs>
          <w:tab w:leader="none" w:pos="127" w:val="left"/>
        </w:tabs>
        <w:numPr>
          <w:ilvl w:val="0"/>
          <w:numId w:val="5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Exchange rates are subject to adjustment upon stock splits, recapitalizations, and similar events. The exchange rates of certain series of OP units are approximated to four decimal places.</w:t>
      </w:r>
    </w:p>
    <w:p>
      <w:pPr>
        <w:spacing w:after="0" w:line="4" w:lineRule="exact"/>
        <w:rPr>
          <w:rFonts w:ascii="Times New Roman" w:cs="Times New Roman" w:eastAsia="Times New Roman" w:hAnsi="Times New Roman"/>
          <w:sz w:val="16"/>
          <w:szCs w:val="16"/>
          <w:color w:val="auto"/>
          <w:vertAlign w:val="superscript"/>
        </w:rPr>
      </w:pPr>
    </w:p>
    <w:p>
      <w:pPr>
        <w:ind w:left="107" w:hanging="107"/>
        <w:spacing w:after="0" w:line="234" w:lineRule="auto"/>
        <w:tabs>
          <w:tab w:leader="none" w:pos="107" w:val="left"/>
        </w:tabs>
        <w:numPr>
          <w:ilvl w:val="0"/>
          <w:numId w:val="51"/>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Except for Common OP units, distributions are payable on the issue price of each OP unit, which is $100.00 per unit for all these preferred OP units.</w:t>
      </w:r>
    </w:p>
    <w:p>
      <w:pPr>
        <w:spacing w:after="0" w:line="8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i w:val="1"/>
          <w:iCs w:val="1"/>
          <w:color w:val="auto"/>
        </w:rPr>
        <w:t>Conversions</w:t>
      </w:r>
    </w:p>
    <w:p>
      <w:pPr>
        <w:spacing w:after="0" w:line="10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i w:val="1"/>
          <w:iCs w:val="1"/>
          <w:color w:val="auto"/>
        </w:rPr>
        <w:t xml:space="preserve">Conversions to Common Stock and Common OP Units </w:t>
      </w:r>
      <w:r>
        <w:rPr>
          <w:rFonts w:ascii="Times New Roman" w:cs="Times New Roman" w:eastAsia="Times New Roman" w:hAnsi="Times New Roman"/>
          <w:sz w:val="15"/>
          <w:szCs w:val="15"/>
          <w:color w:val="auto"/>
        </w:rPr>
        <w:t>- Subject to certain limitations, holders can convert certain series of OP units to shares of our common stock and to common</w:t>
      </w:r>
    </w:p>
    <w:p>
      <w:pPr>
        <w:spacing w:after="0" w:line="3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OP units at any time. Below is the activity of conversions during the years ended December 31, 2025 and 2024:</w:t>
      </w:r>
    </w:p>
    <w:p>
      <w:pPr>
        <w:spacing w:after="0" w:line="123" w:lineRule="exact"/>
        <w:rPr>
          <w:sz w:val="20"/>
          <w:szCs w:val="20"/>
          <w:color w:val="auto"/>
        </w:rPr>
      </w:pPr>
    </w:p>
    <w:tbl>
      <w:tblPr>
        <w:tblLayout w:type="fixed"/>
        <w:tblInd w:w="7" w:type="dxa"/>
        <w:tblCellMar>
          <w:top w:w="0" w:type="dxa"/>
          <w:left w:w="0" w:type="dxa"/>
          <w:bottom w:w="0" w:type="dxa"/>
          <w:right w:w="0" w:type="dxa"/>
        </w:tblCellMar>
      </w:tblPr>
      <w:tr>
        <w:trPr>
          <w:trHeight w:val="176"/>
        </w:trPr>
        <w:tc>
          <w:tcPr>
            <w:tcW w:w="2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700" w:type="dxa"/>
            <w:vAlign w:val="bottom"/>
            <w:tcBorders>
              <w:bottom w:val="single" w:sz="8" w:color="auto"/>
            </w:tcBorders>
            <w:gridSpan w:val="4"/>
          </w:tcPr>
          <w:p>
            <w:pPr>
              <w:ind w:left="78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420" w:type="dxa"/>
            <w:vAlign w:val="bottom"/>
            <w:tcBorders>
              <w:bottom w:val="single" w:sz="8" w:color="auto"/>
            </w:tcBorders>
          </w:tcPr>
          <w:p>
            <w:pPr>
              <w:spacing w:after="0"/>
              <w:rPr>
                <w:sz w:val="15"/>
                <w:szCs w:val="15"/>
                <w:color w:val="auto"/>
              </w:rPr>
            </w:pPr>
          </w:p>
        </w:tc>
      </w:tr>
      <w:tr>
        <w:trPr>
          <w:trHeight w:val="168"/>
        </w:trPr>
        <w:tc>
          <w:tcPr>
            <w:tcW w:w="2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r>
      <w:tr>
        <w:trPr>
          <w:trHeight w:val="166"/>
        </w:trPr>
        <w:tc>
          <w:tcPr>
            <w:tcW w:w="26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Series</w:t>
            </w: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Conversion Rate</w:t>
            </w:r>
          </w:p>
        </w:tc>
        <w:tc>
          <w:tcPr>
            <w:tcW w:w="208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Units / Shares Converted</w:t>
            </w:r>
          </w:p>
        </w:tc>
        <w:tc>
          <w:tcPr>
            <w:tcW w:w="1420" w:type="dxa"/>
            <w:vAlign w:val="bottom"/>
          </w:tcPr>
          <w:p>
            <w:pPr>
              <w:jc w:val="right"/>
              <w:ind w:right="154"/>
              <w:spacing w:after="0" w:line="166" w:lineRule="exact"/>
              <w:rPr>
                <w:sz w:val="20"/>
                <w:szCs w:val="20"/>
                <w:color w:val="auto"/>
              </w:rPr>
            </w:pPr>
            <w:r>
              <w:rPr>
                <w:rFonts w:ascii="Times New Roman" w:cs="Times New Roman" w:eastAsia="Times New Roman" w:hAnsi="Times New Roman"/>
                <w:sz w:val="13"/>
                <w:szCs w:val="13"/>
                <w:b w:val="1"/>
                <w:bCs w:val="1"/>
                <w:color w:val="auto"/>
              </w:rPr>
              <w:t>Common Stock</w:t>
            </w:r>
            <w:r>
              <w:rPr>
                <w:rFonts w:ascii="Times New Roman" w:cs="Times New Roman" w:eastAsia="Times New Roman" w:hAnsi="Times New Roman"/>
                <w:sz w:val="17"/>
                <w:szCs w:val="17"/>
                <w:b w:val="1"/>
                <w:bCs w:val="1"/>
                <w:color w:val="auto"/>
                <w:vertAlign w:val="superscript"/>
              </w:rPr>
              <w:t>(1)</w:t>
            </w:r>
          </w:p>
        </w:tc>
        <w:tc>
          <w:tcPr>
            <w:tcW w:w="180" w:type="dxa"/>
            <w:vAlign w:val="bottom"/>
          </w:tcPr>
          <w:p>
            <w:pPr>
              <w:spacing w:after="0"/>
              <w:rPr>
                <w:sz w:val="14"/>
                <w:szCs w:val="14"/>
                <w:color w:val="auto"/>
              </w:rPr>
            </w:pPr>
          </w:p>
        </w:tc>
        <w:tc>
          <w:tcPr>
            <w:tcW w:w="210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Units / Shares Converted</w:t>
            </w:r>
          </w:p>
        </w:tc>
        <w:tc>
          <w:tcPr>
            <w:tcW w:w="1420" w:type="dxa"/>
            <w:vAlign w:val="bottom"/>
          </w:tcPr>
          <w:p>
            <w:pPr>
              <w:jc w:val="right"/>
              <w:ind w:right="174"/>
              <w:spacing w:after="0" w:line="166" w:lineRule="exact"/>
              <w:rPr>
                <w:sz w:val="20"/>
                <w:szCs w:val="20"/>
                <w:color w:val="auto"/>
              </w:rPr>
            </w:pPr>
            <w:r>
              <w:rPr>
                <w:rFonts w:ascii="Times New Roman" w:cs="Times New Roman" w:eastAsia="Times New Roman" w:hAnsi="Times New Roman"/>
                <w:sz w:val="13"/>
                <w:szCs w:val="13"/>
                <w:b w:val="1"/>
                <w:bCs w:val="1"/>
                <w:color w:val="auto"/>
              </w:rPr>
              <w:t>Common Stock</w:t>
            </w:r>
            <w:r>
              <w:rPr>
                <w:rFonts w:ascii="Times New Roman" w:cs="Times New Roman" w:eastAsia="Times New Roman" w:hAnsi="Times New Roman"/>
                <w:sz w:val="17"/>
                <w:szCs w:val="17"/>
                <w:b w:val="1"/>
                <w:bCs w:val="1"/>
                <w:color w:val="auto"/>
                <w:vertAlign w:val="superscript"/>
              </w:rPr>
              <w:t>(1)</w:t>
            </w:r>
          </w:p>
        </w:tc>
      </w:tr>
      <w:tr>
        <w:trPr>
          <w:trHeight w:val="165"/>
        </w:trPr>
        <w:tc>
          <w:tcPr>
            <w:tcW w:w="2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Common OP units</w:t>
            </w:r>
          </w:p>
        </w:tc>
        <w:tc>
          <w:tcPr>
            <w:tcW w:w="8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80" w:type="dxa"/>
            <w:vAlign w:val="bottom"/>
            <w:tcBorders>
              <w:top w:val="single" w:sz="8" w:color="CCEEFF"/>
            </w:tcBorders>
            <w:shd w:val="clear" w:color="auto" w:fill="CCEEFF"/>
          </w:tcPr>
          <w:p>
            <w:pPr>
              <w:spacing w:after="0"/>
              <w:rPr>
                <w:sz w:val="14"/>
                <w:szCs w:val="14"/>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268,595</w:t>
            </w:r>
          </w:p>
        </w:tc>
        <w:tc>
          <w:tcPr>
            <w:tcW w:w="8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268,595</w:t>
            </w:r>
          </w:p>
        </w:tc>
        <w:tc>
          <w:tcPr>
            <w:tcW w:w="180" w:type="dxa"/>
            <w:vAlign w:val="bottom"/>
            <w:tcBorders>
              <w:top w:val="single" w:sz="8" w:color="CCEEFF"/>
            </w:tcBorders>
            <w:shd w:val="clear" w:color="auto" w:fill="CCEEFF"/>
          </w:tcPr>
          <w:p>
            <w:pPr>
              <w:spacing w:after="0"/>
              <w:rPr>
                <w:sz w:val="14"/>
                <w:szCs w:val="14"/>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96,164</w:t>
            </w:r>
          </w:p>
        </w:tc>
        <w:tc>
          <w:tcPr>
            <w:tcW w:w="8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96,164</w:t>
            </w:r>
          </w:p>
        </w:tc>
      </w:tr>
      <w:tr>
        <w:trPr>
          <w:trHeight w:val="172"/>
        </w:trPr>
        <w:tc>
          <w:tcPr>
            <w:tcW w:w="26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Series A-1 preferred OP units</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2.4390</w:t>
            </w:r>
          </w:p>
        </w:tc>
        <w:tc>
          <w:tcPr>
            <w:tcW w:w="80" w:type="dxa"/>
            <w:vAlign w:val="bottom"/>
          </w:tcPr>
          <w:p>
            <w:pPr>
              <w:spacing w:after="0"/>
              <w:rPr>
                <w:sz w:val="14"/>
                <w:szCs w:val="1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6,884</w:t>
            </w:r>
          </w:p>
        </w:tc>
        <w:tc>
          <w:tcPr>
            <w:tcW w:w="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16,788</w:t>
            </w:r>
          </w:p>
        </w:tc>
        <w:tc>
          <w:tcPr>
            <w:tcW w:w="180" w:type="dxa"/>
            <w:vAlign w:val="bottom"/>
          </w:tcPr>
          <w:p>
            <w:pPr>
              <w:spacing w:after="0"/>
              <w:rPr>
                <w:sz w:val="14"/>
                <w:szCs w:val="1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25,347</w:t>
            </w:r>
          </w:p>
        </w:tc>
        <w:tc>
          <w:tcPr>
            <w:tcW w:w="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61,811</w:t>
            </w:r>
          </w:p>
        </w:tc>
      </w:tr>
      <w:tr>
        <w:trPr>
          <w:trHeight w:val="175"/>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C preferred OP units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1.1100</w:t>
            </w:r>
          </w:p>
        </w:tc>
        <w:tc>
          <w:tcPr>
            <w:tcW w:w="80" w:type="dxa"/>
            <w:vAlign w:val="bottom"/>
            <w:shd w:val="clear" w:color="auto" w:fill="CCEEFF"/>
          </w:tcPr>
          <w:p>
            <w:pPr>
              <w:spacing w:after="0"/>
              <w:rPr>
                <w:sz w:val="15"/>
                <w:szCs w:val="15"/>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4,309</w:t>
            </w: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4,782</w:t>
            </w:r>
          </w:p>
        </w:tc>
        <w:tc>
          <w:tcPr>
            <w:tcW w:w="180" w:type="dxa"/>
            <w:vAlign w:val="bottom"/>
            <w:shd w:val="clear" w:color="auto" w:fill="CCEEFF"/>
          </w:tcPr>
          <w:p>
            <w:pPr>
              <w:spacing w:after="0"/>
              <w:rPr>
                <w:sz w:val="15"/>
                <w:szCs w:val="15"/>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9,103</w:t>
            </w: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10,104</w:t>
            </w:r>
          </w:p>
        </w:tc>
      </w:tr>
      <w:tr>
        <w:trPr>
          <w:trHeight w:val="172"/>
        </w:trPr>
        <w:tc>
          <w:tcPr>
            <w:tcW w:w="26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Series G preferred OP units</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0.6452</w:t>
            </w:r>
          </w:p>
        </w:tc>
        <w:tc>
          <w:tcPr>
            <w:tcW w:w="80" w:type="dxa"/>
            <w:vAlign w:val="bottom"/>
          </w:tcPr>
          <w:p>
            <w:pPr>
              <w:spacing w:after="0"/>
              <w:rPr>
                <w:sz w:val="14"/>
                <w:szCs w:val="14"/>
                <w:color w:val="auto"/>
              </w:rPr>
            </w:pPr>
          </w:p>
        </w:tc>
        <w:tc>
          <w:tcPr>
            <w:tcW w:w="20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4,898</w:t>
            </w:r>
          </w:p>
        </w:tc>
        <w:tc>
          <w:tcPr>
            <w:tcW w:w="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3,160</w:t>
            </w:r>
          </w:p>
        </w:tc>
      </w:tr>
      <w:tr>
        <w:trPr>
          <w:trHeight w:val="175"/>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H preferred OP units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0.6098</w:t>
            </w:r>
          </w:p>
        </w:tc>
        <w:tc>
          <w:tcPr>
            <w:tcW w:w="80" w:type="dxa"/>
            <w:vAlign w:val="bottom"/>
            <w:shd w:val="clear" w:color="auto" w:fill="CCEEFF"/>
          </w:tcPr>
          <w:p>
            <w:pPr>
              <w:spacing w:after="0"/>
              <w:rPr>
                <w:sz w:val="15"/>
                <w:szCs w:val="15"/>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765</w:t>
            </w: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w:t>
            </w:r>
          </w:p>
        </w:tc>
        <w:tc>
          <w:tcPr>
            <w:tcW w:w="180" w:type="dxa"/>
            <w:vAlign w:val="bottom"/>
            <w:shd w:val="clear" w:color="auto" w:fill="CCEEFF"/>
          </w:tcPr>
          <w:p>
            <w:pPr>
              <w:spacing w:after="0"/>
              <w:rPr>
                <w:sz w:val="15"/>
                <w:szCs w:val="15"/>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71"/>
        </w:trPr>
        <w:tc>
          <w:tcPr>
            <w:tcW w:w="26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Series J preferred OP units</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0.6061</w:t>
            </w:r>
          </w:p>
        </w:tc>
        <w:tc>
          <w:tcPr>
            <w:tcW w:w="80" w:type="dxa"/>
            <w:vAlign w:val="bottom"/>
          </w:tcPr>
          <w:p>
            <w:pPr>
              <w:spacing w:after="0"/>
              <w:rPr>
                <w:sz w:val="14"/>
                <w:szCs w:val="14"/>
                <w:color w:val="auto"/>
              </w:rPr>
            </w:pPr>
          </w:p>
        </w:tc>
        <w:tc>
          <w:tcPr>
            <w:tcW w:w="20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1,212</w:t>
            </w:r>
          </w:p>
        </w:tc>
      </w:tr>
    </w:tbl>
    <w:p>
      <w:pPr>
        <w:spacing w:after="0" w:line="52" w:lineRule="exact"/>
        <w:rPr>
          <w:sz w:val="20"/>
          <w:szCs w:val="20"/>
          <w:color w:val="auto"/>
        </w:rPr>
      </w:pPr>
    </w:p>
    <w:p>
      <w:pPr>
        <w:ind w:left="127" w:hanging="127"/>
        <w:spacing w:after="0"/>
        <w:tabs>
          <w:tab w:leader="none" w:pos="127" w:val="left"/>
        </w:tabs>
        <w:numPr>
          <w:ilvl w:val="0"/>
          <w:numId w:val="5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Calculation may yield minor differences due to rounding incorporated in the above numbers.</w:t>
      </w:r>
    </w:p>
    <w:p>
      <w:pPr>
        <w:spacing w:after="0" w:line="7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i w:val="1"/>
          <w:iCs w:val="1"/>
          <w:color w:val="auto"/>
        </w:rPr>
        <w:t>Non-Monetary Transaction and Redemption of Preferred OP Units</w:t>
      </w:r>
    </w:p>
    <w:p>
      <w:pPr>
        <w:spacing w:after="0" w:line="109" w:lineRule="exact"/>
        <w:rPr>
          <w:sz w:val="20"/>
          <w:szCs w:val="20"/>
          <w:color w:val="auto"/>
        </w:rPr>
      </w:pPr>
    </w:p>
    <w:p>
      <w:pPr>
        <w:jc w:val="both"/>
        <w:ind w:left="7"/>
        <w:spacing w:after="0" w:line="263" w:lineRule="auto"/>
        <w:rPr>
          <w:sz w:val="20"/>
          <w:szCs w:val="20"/>
          <w:color w:val="auto"/>
        </w:rPr>
      </w:pPr>
      <w:r>
        <w:rPr>
          <w:rFonts w:ascii="Times New Roman" w:cs="Times New Roman" w:eastAsia="Times New Roman" w:hAnsi="Times New Roman"/>
          <w:sz w:val="15"/>
          <w:szCs w:val="15"/>
          <w:color w:val="auto"/>
        </w:rPr>
        <w:t>In January 2025, we entered into a non-monetary transaction with a real estate developer to settle a note receivable of $23.8 million in exchange for settlement of contingent consideration of $9.0 million in conjunction with one RV property in California, and redemption of 200,914 Series G preferred OP units held by the developer at a carrying value of $19.6 million. We also provided the developer with a redemption right to repurchase the Series G preferred OP units at an option price per unit of $84.42 through the option expiration date of January 1, 2026. The redemption right was not exercised and expired subsequent to January 1, 2026. In accordance with ASC 815, "</w:t>
      </w:r>
      <w:r>
        <w:rPr>
          <w:rFonts w:ascii="Times New Roman" w:cs="Times New Roman" w:eastAsia="Times New Roman" w:hAnsi="Times New Roman"/>
          <w:sz w:val="15"/>
          <w:szCs w:val="15"/>
          <w:i w:val="1"/>
          <w:iCs w:val="1"/>
          <w:color w:val="auto"/>
        </w:rPr>
        <w:t>Derivatives and Hedging</w:t>
      </w:r>
      <w:r>
        <w:rPr>
          <w:rFonts w:ascii="Times New Roman" w:cs="Times New Roman" w:eastAsia="Times New Roman" w:hAnsi="Times New Roman"/>
          <w:sz w:val="15"/>
          <w:szCs w:val="15"/>
          <w:color w:val="auto"/>
        </w:rPr>
        <w:t>," we accounted for the redemption right as an equity-linked financial instrument that is indexed to our own shares, thus qualifying for the scope exception to account for the option as a freestanding derivative financial instrument, and recorded the option to Temporary Equity at its transaction date fair value of $3.4 million. During the year ended December 31, 2025, we recorded a gain of $3.7 million within Other income / (expense), net on our Consolidated Statements of Operations in conjunction with the non-monetary transaction.</w:t>
      </w:r>
    </w:p>
    <w:p>
      <w:pPr>
        <w:spacing w:after="0" w:line="6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i w:val="1"/>
          <w:iCs w:val="1"/>
          <w:color w:val="auto"/>
        </w:rPr>
        <w:t>Redemption of Preferred OP Units</w:t>
      </w:r>
    </w:p>
    <w:p>
      <w:pPr>
        <w:spacing w:after="0" w:line="109" w:lineRule="exact"/>
        <w:rPr>
          <w:sz w:val="20"/>
          <w:szCs w:val="20"/>
          <w:color w:val="auto"/>
        </w:rPr>
      </w:pPr>
    </w:p>
    <w:p>
      <w:pPr>
        <w:jc w:val="both"/>
        <w:ind w:left="7"/>
        <w:spacing w:after="0" w:line="276" w:lineRule="auto"/>
        <w:rPr>
          <w:sz w:val="20"/>
          <w:szCs w:val="20"/>
          <w:color w:val="auto"/>
        </w:rPr>
      </w:pPr>
      <w:r>
        <w:rPr>
          <w:rFonts w:ascii="Times New Roman" w:cs="Times New Roman" w:eastAsia="Times New Roman" w:hAnsi="Times New Roman"/>
          <w:sz w:val="15"/>
          <w:szCs w:val="15"/>
          <w:color w:val="auto"/>
        </w:rPr>
        <w:t>Subject to certain limitations, holders can redeem certain series of preferred OP units for cash, provided that the applicable contractual requirements are met. During the year ended December 31, 2025, 20,000 Series F preferred OP units and 19,496 Series H preferred OP units were redeemed for a total net cash payment of $3.9 million, inclusive of all distributions on the redeemed units that were accrued and unpaid as of the redemption date, in accordance with the terms and conditions set forth in the redemption agreement.</w:t>
      </w:r>
    </w:p>
    <w:p>
      <w:pPr>
        <w:spacing w:after="0" w:line="200" w:lineRule="exact"/>
        <w:rPr>
          <w:sz w:val="20"/>
          <w:szCs w:val="20"/>
          <w:color w:val="auto"/>
        </w:rPr>
      </w:pPr>
    </w:p>
    <w:p>
      <w:pPr>
        <w:spacing w:after="0" w:line="27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F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121920</wp:posOffset>
            </wp:positionV>
            <wp:extent cx="7177405" cy="400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121" w:right="319" w:bottom="1440" w:gutter="0" w:footer="0" w:header="0"/>
        </w:sectPr>
      </w:pPr>
    </w:p>
    <w:bookmarkStart w:id="83" w:name="page84"/>
    <w:bookmarkEnd w:id="83"/>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200" w:lineRule="exact"/>
        <w:rPr>
          <w:sz w:val="20"/>
          <w:szCs w:val="20"/>
          <w:color w:val="auto"/>
        </w:rPr>
      </w:pPr>
    </w:p>
    <w:p>
      <w:pPr>
        <w:spacing w:after="0" w:line="35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i w:val="1"/>
          <w:iCs w:val="1"/>
          <w:color w:val="auto"/>
        </w:rPr>
        <w:t>Distributions</w:t>
      </w:r>
    </w:p>
    <w:p>
      <w:pPr>
        <w:spacing w:after="0" w:line="10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Common stock, common OP unit, and restricted stock distributions declared for the year ended December 31, 2025 were as follows (in millions, except for per share amounts):</w:t>
      </w:r>
    </w:p>
    <w:p>
      <w:pPr>
        <w:spacing w:after="0" w:line="138" w:lineRule="exact"/>
        <w:rPr>
          <w:sz w:val="20"/>
          <w:szCs w:val="20"/>
          <w:color w:val="auto"/>
        </w:rPr>
      </w:pPr>
    </w:p>
    <w:tbl>
      <w:tblPr>
        <w:tblLayout w:type="fixed"/>
        <w:tblInd w:w="7" w:type="dxa"/>
        <w:tblCellMar>
          <w:top w:w="0" w:type="dxa"/>
          <w:left w:w="0" w:type="dxa"/>
          <w:bottom w:w="0" w:type="dxa"/>
          <w:right w:w="0" w:type="dxa"/>
        </w:tblCellMar>
      </w:tblPr>
      <w:tr>
        <w:trPr>
          <w:trHeight w:val="176"/>
        </w:trPr>
        <w:tc>
          <w:tcPr>
            <w:tcW w:w="35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1960" w:type="dxa"/>
            <w:vAlign w:val="bottom"/>
            <w:gridSpan w:val="2"/>
          </w:tcPr>
          <w:p>
            <w:pPr>
              <w:ind w:left="580"/>
              <w:spacing w:after="0"/>
              <w:rPr>
                <w:sz w:val="20"/>
                <w:szCs w:val="20"/>
                <w:color w:val="auto"/>
              </w:rPr>
            </w:pPr>
            <w:r>
              <w:rPr>
                <w:rFonts w:ascii="Times New Roman" w:cs="Times New Roman" w:eastAsia="Times New Roman" w:hAnsi="Times New Roman"/>
                <w:sz w:val="13"/>
                <w:szCs w:val="13"/>
                <w:b w:val="1"/>
                <w:bCs w:val="1"/>
                <w:color w:val="auto"/>
              </w:rPr>
              <w:t>Record Date</w:t>
            </w:r>
          </w:p>
        </w:tc>
        <w:tc>
          <w:tcPr>
            <w:tcW w:w="1940" w:type="dxa"/>
            <w:vAlign w:val="bottom"/>
            <w:gridSpan w:val="2"/>
          </w:tcPr>
          <w:p>
            <w:pPr>
              <w:ind w:left="520"/>
              <w:spacing w:after="0"/>
              <w:rPr>
                <w:sz w:val="20"/>
                <w:szCs w:val="20"/>
                <w:color w:val="auto"/>
              </w:rPr>
            </w:pPr>
            <w:r>
              <w:rPr>
                <w:rFonts w:ascii="Times New Roman" w:cs="Times New Roman" w:eastAsia="Times New Roman" w:hAnsi="Times New Roman"/>
                <w:sz w:val="13"/>
                <w:szCs w:val="13"/>
                <w:b w:val="1"/>
                <w:bCs w:val="1"/>
                <w:color w:val="auto"/>
              </w:rPr>
              <w:t>Payment Date</w:t>
            </w:r>
          </w:p>
        </w:tc>
        <w:tc>
          <w:tcPr>
            <w:tcW w:w="180" w:type="dxa"/>
            <w:vAlign w:val="bottom"/>
          </w:tcPr>
          <w:p>
            <w:pPr>
              <w:spacing w:after="0"/>
              <w:rPr>
                <w:sz w:val="15"/>
                <w:szCs w:val="15"/>
                <w:color w:val="auto"/>
              </w:rPr>
            </w:pP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Distribution Per Share</w:t>
            </w:r>
          </w:p>
        </w:tc>
        <w:tc>
          <w:tcPr>
            <w:tcW w:w="260" w:type="dxa"/>
            <w:vAlign w:val="bottom"/>
          </w:tcPr>
          <w:p>
            <w:pPr>
              <w:spacing w:after="0"/>
              <w:rPr>
                <w:sz w:val="15"/>
                <w:szCs w:val="15"/>
                <w:color w:val="auto"/>
              </w:rPr>
            </w:pPr>
          </w:p>
        </w:tc>
        <w:tc>
          <w:tcPr>
            <w:tcW w:w="162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Total Distribution</w:t>
            </w:r>
          </w:p>
        </w:tc>
      </w:tr>
      <w:tr>
        <w:trPr>
          <w:trHeight w:val="168"/>
        </w:trPr>
        <w:tc>
          <w:tcPr>
            <w:tcW w:w="3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March 31, 2025</w:t>
            </w:r>
          </w:p>
        </w:tc>
        <w:tc>
          <w:tcPr>
            <w:tcW w:w="80" w:type="dxa"/>
            <w:vAlign w:val="bottom"/>
            <w:tcBorders>
              <w:top w:val="single" w:sz="8" w:color="CCEEFF"/>
            </w:tcBorders>
            <w:shd w:val="clear" w:color="auto" w:fill="CCEEFF"/>
          </w:tcPr>
          <w:p>
            <w:pPr>
              <w:spacing w:after="0"/>
              <w:rPr>
                <w:sz w:val="14"/>
                <w:szCs w:val="14"/>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3/31/2025</w:t>
            </w:r>
          </w:p>
        </w:tc>
        <w:tc>
          <w:tcPr>
            <w:tcW w:w="100" w:type="dxa"/>
            <w:vAlign w:val="bottom"/>
            <w:tcBorders>
              <w:top w:val="single" w:sz="8" w:color="CCEEFF"/>
            </w:tcBorders>
            <w:shd w:val="clear" w:color="auto" w:fill="CCEEFF"/>
          </w:tcPr>
          <w:p>
            <w:pPr>
              <w:spacing w:after="0"/>
              <w:rPr>
                <w:sz w:val="14"/>
                <w:szCs w:val="14"/>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4/15/2025</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0.94</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122.6</w:t>
            </w:r>
          </w:p>
        </w:tc>
      </w:tr>
      <w:tr>
        <w:trPr>
          <w:trHeight w:val="174"/>
        </w:trPr>
        <w:tc>
          <w:tcPr>
            <w:tcW w:w="3540" w:type="dxa"/>
            <w:vAlign w:val="bottom"/>
            <w:gridSpan w:val="2"/>
          </w:tcPr>
          <w:p>
            <w:pPr>
              <w:spacing w:after="0" w:line="174" w:lineRule="exact"/>
              <w:rPr>
                <w:sz w:val="20"/>
                <w:szCs w:val="20"/>
                <w:color w:val="auto"/>
              </w:rPr>
            </w:pPr>
            <w:r>
              <w:rPr>
                <w:rFonts w:ascii="Times New Roman" w:cs="Times New Roman" w:eastAsia="Times New Roman" w:hAnsi="Times New Roman"/>
                <w:sz w:val="13"/>
                <w:szCs w:val="13"/>
                <w:color w:val="auto"/>
              </w:rPr>
              <w:t>May 14, 2025 Special Distribution</w:t>
            </w:r>
            <w:r>
              <w:rPr>
                <w:rFonts w:ascii="Times New Roman" w:cs="Times New Roman" w:eastAsia="Times New Roman" w:hAnsi="Times New Roman"/>
                <w:sz w:val="17"/>
                <w:szCs w:val="17"/>
                <w:color w:val="auto"/>
                <w:vertAlign w:val="superscript"/>
              </w:rPr>
              <w:t>(1)</w:t>
            </w: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5/14/2025</w:t>
            </w:r>
          </w:p>
        </w:tc>
        <w:tc>
          <w:tcPr>
            <w:tcW w:w="10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5/22/2025</w:t>
            </w:r>
          </w:p>
        </w:tc>
        <w:tc>
          <w:tcPr>
            <w:tcW w:w="80" w:type="dxa"/>
            <w:vAlign w:val="bottom"/>
          </w:tcPr>
          <w:p>
            <w:pPr>
              <w:spacing w:after="0"/>
              <w:rPr>
                <w:sz w:val="15"/>
                <w:szCs w:val="15"/>
                <w:color w:val="auto"/>
              </w:rPr>
            </w:pP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80" w:type="dxa"/>
            <w:vAlign w:val="bottom"/>
          </w:tcPr>
          <w:p>
            <w:pPr>
              <w:spacing w:after="0"/>
              <w:rPr>
                <w:sz w:val="15"/>
                <w:szCs w:val="15"/>
                <w:color w:val="auto"/>
              </w:rPr>
            </w:pPr>
          </w:p>
        </w:tc>
        <w:tc>
          <w:tcPr>
            <w:tcW w:w="2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521.3</w:t>
            </w:r>
          </w:p>
        </w:tc>
      </w:tr>
      <w:tr>
        <w:trPr>
          <w:trHeight w:val="174"/>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June 30, 2025</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6/30/2025</w:t>
            </w:r>
          </w:p>
        </w:tc>
        <w:tc>
          <w:tcPr>
            <w:tcW w:w="100" w:type="dxa"/>
            <w:vAlign w:val="bottom"/>
            <w:shd w:val="clear" w:color="auto" w:fill="CCEEFF"/>
          </w:tcPr>
          <w:p>
            <w:pPr>
              <w:spacing w:after="0"/>
              <w:rPr>
                <w:sz w:val="15"/>
                <w:szCs w:val="15"/>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7/15/2025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133.8</w:t>
            </w:r>
          </w:p>
        </w:tc>
      </w:tr>
      <w:tr>
        <w:trPr>
          <w:trHeight w:val="172"/>
        </w:trPr>
        <w:tc>
          <w:tcPr>
            <w:tcW w:w="35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September 30, 2025</w:t>
            </w: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9/30/2025</w:t>
            </w:r>
          </w:p>
        </w:tc>
        <w:tc>
          <w:tcPr>
            <w:tcW w:w="10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10/15/2025</w:t>
            </w:r>
          </w:p>
        </w:tc>
        <w:tc>
          <w:tcPr>
            <w:tcW w:w="80" w:type="dxa"/>
            <w:vAlign w:val="bottom"/>
          </w:tcPr>
          <w:p>
            <w:pPr>
              <w:spacing w:after="0"/>
              <w:rPr>
                <w:sz w:val="14"/>
                <w:szCs w:val="14"/>
                <w:color w:val="auto"/>
              </w:rPr>
            </w:pP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80" w:type="dxa"/>
            <w:vAlign w:val="bottom"/>
          </w:tcPr>
          <w:p>
            <w:pPr>
              <w:spacing w:after="0"/>
              <w:rPr>
                <w:sz w:val="14"/>
                <w:szCs w:val="14"/>
                <w:color w:val="auto"/>
              </w:rPr>
            </w:pPr>
          </w:p>
        </w:tc>
        <w:tc>
          <w:tcPr>
            <w:tcW w:w="2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131.5</w:t>
            </w:r>
          </w:p>
        </w:tc>
      </w:tr>
      <w:tr>
        <w:trPr>
          <w:trHeight w:val="175"/>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December 31, 2025</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12/31/2025</w:t>
            </w:r>
          </w:p>
        </w:tc>
        <w:tc>
          <w:tcPr>
            <w:tcW w:w="100" w:type="dxa"/>
            <w:vAlign w:val="bottom"/>
            <w:shd w:val="clear" w:color="auto" w:fill="CCEEFF"/>
          </w:tcPr>
          <w:p>
            <w:pPr>
              <w:spacing w:after="0"/>
              <w:rPr>
                <w:sz w:val="15"/>
                <w:szCs w:val="15"/>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2/2/2026</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131.2</w:t>
            </w:r>
          </w:p>
        </w:tc>
      </w:tr>
    </w:tbl>
    <w:p>
      <w:pPr>
        <w:spacing w:after="0" w:line="49" w:lineRule="exact"/>
        <w:rPr>
          <w:sz w:val="20"/>
          <w:szCs w:val="20"/>
          <w:color w:val="auto"/>
        </w:rPr>
      </w:pPr>
    </w:p>
    <w:p>
      <w:pPr>
        <w:ind w:left="127" w:hanging="127"/>
        <w:spacing w:after="0"/>
        <w:tabs>
          <w:tab w:leader="none" w:pos="127" w:val="left"/>
        </w:tabs>
        <w:numPr>
          <w:ilvl w:val="0"/>
          <w:numId w:val="5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 connection with the closing of the Safe Harbor Sale, our Board of Directors authorized a one-time special cash distribution of $4.00 per common share and common unit.</w:t>
      </w:r>
    </w:p>
    <w:p>
      <w:pPr>
        <w:spacing w:after="0" w:line="8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9. Share-Based Compensation</w:t>
      </w:r>
    </w:p>
    <w:p>
      <w:pPr>
        <w:spacing w:after="0" w:line="109" w:lineRule="exact"/>
        <w:rPr>
          <w:sz w:val="20"/>
          <w:szCs w:val="20"/>
          <w:color w:val="auto"/>
        </w:rPr>
      </w:pPr>
    </w:p>
    <w:p>
      <w:pPr>
        <w:jc w:val="both"/>
        <w:ind w:left="7"/>
        <w:spacing w:after="0" w:line="267" w:lineRule="auto"/>
        <w:rPr>
          <w:sz w:val="20"/>
          <w:szCs w:val="20"/>
          <w:color w:val="auto"/>
        </w:rPr>
      </w:pPr>
      <w:r>
        <w:rPr>
          <w:rFonts w:ascii="Times New Roman" w:cs="Times New Roman" w:eastAsia="Times New Roman" w:hAnsi="Times New Roman"/>
          <w:sz w:val="15"/>
          <w:szCs w:val="15"/>
          <w:color w:val="auto"/>
        </w:rPr>
        <w:t>As of December 31, 2025, we had two share-based compensation plans: the Sun Communities, Inc. 2015 Equity Incentive Plan (as amended, the "2015 Equity Incentive Plan") and the First Amended and Restated 2004 Non-Employee Director Option Plan (as amended, the "2004 Non-Employee Director Option Plan"). We believe granting equity awards will provide certain executives, key employees, and directors additional incentives to promote our financial success and promote employee and director retention by providing an opportunity to acquire or increase the direct proprietary interest of those individuals in our operations and future. Award recipients receive non-forfeitable distribution payments on unvested shares of restricted stock.</w:t>
      </w:r>
    </w:p>
    <w:p>
      <w:pPr>
        <w:spacing w:after="0" w:line="59" w:lineRule="exact"/>
        <w:rPr>
          <w:sz w:val="20"/>
          <w:szCs w:val="20"/>
          <w:color w:val="auto"/>
        </w:rPr>
      </w:pPr>
    </w:p>
    <w:p>
      <w:pPr>
        <w:jc w:val="both"/>
        <w:ind w:left="7"/>
        <w:spacing w:after="0" w:line="276" w:lineRule="auto"/>
        <w:rPr>
          <w:sz w:val="20"/>
          <w:szCs w:val="20"/>
          <w:color w:val="auto"/>
        </w:rPr>
      </w:pPr>
      <w:r>
        <w:rPr>
          <w:rFonts w:ascii="Times New Roman" w:cs="Times New Roman" w:eastAsia="Times New Roman" w:hAnsi="Times New Roman"/>
          <w:sz w:val="15"/>
          <w:szCs w:val="15"/>
          <w:color w:val="auto"/>
        </w:rPr>
        <w:t>Time based awards for key employees and executives granted under the 2015 Equity Incentive Plan generally vest over four to five years. Market condition awards for executives generally vest after three years. As of December 31, 2025, the number of shares of common stock that may be issued under the 2015 Equity Incentive Plan is 4,750,000. As of December 31, 2025, there were 2,508,340 shares available for future issuance under the 2015 Equity Incentive Plan.</w:t>
      </w:r>
    </w:p>
    <w:p>
      <w:pPr>
        <w:spacing w:after="0" w:line="53" w:lineRule="exact"/>
        <w:rPr>
          <w:sz w:val="20"/>
          <w:szCs w:val="20"/>
          <w:color w:val="auto"/>
        </w:rPr>
      </w:pPr>
    </w:p>
    <w:p>
      <w:pPr>
        <w:jc w:val="both"/>
        <w:ind w:left="7"/>
        <w:spacing w:after="0" w:line="276" w:lineRule="auto"/>
        <w:rPr>
          <w:sz w:val="20"/>
          <w:szCs w:val="20"/>
          <w:color w:val="auto"/>
        </w:rPr>
      </w:pPr>
      <w:r>
        <w:rPr>
          <w:rFonts w:ascii="Times New Roman" w:cs="Times New Roman" w:eastAsia="Times New Roman" w:hAnsi="Times New Roman"/>
          <w:sz w:val="15"/>
          <w:szCs w:val="15"/>
          <w:color w:val="auto"/>
        </w:rPr>
        <w:t>The types of awards that may be granted under the 2004 Non-Employee Director Option Plan are options, restricted stock, and OP units. Only non-employee directors are eligible to participate in this plan. All outstanding awards under this plan are time based awards of restricted stock, which generally vest over three years. The maximum number of options, restricted stock, and OP units that may be issued under this plan is 375,000 shares. As of December 31, 2025, 107,965 shares remained available for future issuance.</w:t>
      </w:r>
    </w:p>
    <w:p>
      <w:pPr>
        <w:spacing w:after="0" w:line="5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During the years ended December 31, 2025 and 2024, shares were granted as follows:</w:t>
      </w:r>
    </w:p>
    <w:p>
      <w:pPr>
        <w:spacing w:after="0" w:line="121" w:lineRule="exact"/>
        <w:rPr>
          <w:sz w:val="20"/>
          <w:szCs w:val="20"/>
          <w:color w:val="auto"/>
        </w:rPr>
      </w:pPr>
    </w:p>
    <w:tbl>
      <w:tblPr>
        <w:tblLayout w:type="fixed"/>
        <w:tblInd w:w="7" w:type="dxa"/>
        <w:tblCellMar>
          <w:top w:w="0" w:type="dxa"/>
          <w:left w:w="0" w:type="dxa"/>
          <w:bottom w:w="0" w:type="dxa"/>
          <w:right w:w="0" w:type="dxa"/>
        </w:tblCellMar>
      </w:tblPr>
      <w:tr>
        <w:trPr>
          <w:trHeight w:val="149"/>
        </w:trPr>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Grant Date Fair Value</w:t>
            </w:r>
          </w:p>
        </w:tc>
        <w:tc>
          <w:tcPr>
            <w:tcW w:w="300" w:type="dxa"/>
            <w:vAlign w:val="bottom"/>
          </w:tcPr>
          <w:p>
            <w:pPr>
              <w:spacing w:after="0"/>
              <w:rPr>
                <w:sz w:val="12"/>
                <w:szCs w:val="12"/>
                <w:color w:val="auto"/>
              </w:rPr>
            </w:pPr>
          </w:p>
        </w:tc>
        <w:tc>
          <w:tcPr>
            <w:tcW w:w="1780" w:type="dxa"/>
            <w:vAlign w:val="bottom"/>
          </w:tcPr>
          <w:p>
            <w:pPr>
              <w:spacing w:after="0"/>
              <w:rPr>
                <w:sz w:val="12"/>
                <w:szCs w:val="12"/>
                <w:color w:val="auto"/>
              </w:rPr>
            </w:pPr>
          </w:p>
        </w:tc>
      </w:tr>
      <w:tr>
        <w:trPr>
          <w:trHeight w:val="182"/>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Grant Period</w:t>
            </w:r>
          </w:p>
        </w:tc>
        <w:tc>
          <w:tcPr>
            <w:tcW w:w="1860" w:type="dxa"/>
            <w:vAlign w:val="bottom"/>
            <w:gridSpan w:val="2"/>
          </w:tcPr>
          <w:p>
            <w:pPr>
              <w:ind w:left="740"/>
              <w:spacing w:after="0"/>
              <w:rPr>
                <w:sz w:val="20"/>
                <w:szCs w:val="20"/>
                <w:color w:val="auto"/>
              </w:rPr>
            </w:pPr>
            <w:r>
              <w:rPr>
                <w:rFonts w:ascii="Times New Roman" w:cs="Times New Roman" w:eastAsia="Times New Roman" w:hAnsi="Times New Roman"/>
                <w:sz w:val="13"/>
                <w:szCs w:val="13"/>
                <w:b w:val="1"/>
                <w:bCs w:val="1"/>
                <w:color w:val="auto"/>
              </w:rPr>
              <w:t>Type</w:t>
            </w:r>
          </w:p>
        </w:tc>
        <w:tc>
          <w:tcPr>
            <w:tcW w:w="300" w:type="dxa"/>
            <w:vAlign w:val="bottom"/>
          </w:tcPr>
          <w:p>
            <w:pPr>
              <w:spacing w:after="0"/>
              <w:rPr>
                <w:sz w:val="15"/>
                <w:szCs w:val="15"/>
                <w:color w:val="auto"/>
              </w:rPr>
            </w:pPr>
          </w:p>
        </w:tc>
        <w:tc>
          <w:tcPr>
            <w:tcW w:w="2980" w:type="dxa"/>
            <w:vAlign w:val="bottom"/>
            <w:gridSpan w:val="2"/>
          </w:tcPr>
          <w:p>
            <w:pPr>
              <w:ind w:left="1160"/>
              <w:spacing w:after="0"/>
              <w:rPr>
                <w:sz w:val="20"/>
                <w:szCs w:val="20"/>
                <w:color w:val="auto"/>
              </w:rPr>
            </w:pPr>
            <w:r>
              <w:rPr>
                <w:rFonts w:ascii="Times New Roman" w:cs="Times New Roman" w:eastAsia="Times New Roman" w:hAnsi="Times New Roman"/>
                <w:sz w:val="13"/>
                <w:szCs w:val="13"/>
                <w:b w:val="1"/>
                <w:bCs w:val="1"/>
                <w:color w:val="auto"/>
              </w:rPr>
              <w:t>Plan</w:t>
            </w: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Shares Granted</w:t>
            </w:r>
          </w:p>
        </w:tc>
        <w:tc>
          <w:tcPr>
            <w:tcW w:w="260" w:type="dxa"/>
            <w:vAlign w:val="bottom"/>
          </w:tcPr>
          <w:p>
            <w:pPr>
              <w:spacing w:after="0"/>
              <w:rPr>
                <w:sz w:val="15"/>
                <w:szCs w:val="15"/>
                <w:color w:val="auto"/>
              </w:rPr>
            </w:pPr>
          </w:p>
        </w:tc>
        <w:tc>
          <w:tcPr>
            <w:tcW w:w="1140" w:type="dxa"/>
            <w:vAlign w:val="bottom"/>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Per Share</w:t>
            </w:r>
          </w:p>
        </w:tc>
        <w:tc>
          <w:tcPr>
            <w:tcW w:w="300" w:type="dxa"/>
            <w:vAlign w:val="bottom"/>
          </w:tcPr>
          <w:p>
            <w:pPr>
              <w:spacing w:after="0"/>
              <w:rPr>
                <w:sz w:val="15"/>
                <w:szCs w:val="15"/>
                <w:color w:val="auto"/>
              </w:rPr>
            </w:pPr>
          </w:p>
        </w:tc>
        <w:tc>
          <w:tcPr>
            <w:tcW w:w="1780" w:type="dxa"/>
            <w:vAlign w:val="bottom"/>
          </w:tcPr>
          <w:p>
            <w:pPr>
              <w:ind w:left="520"/>
              <w:spacing w:after="0"/>
              <w:rPr>
                <w:sz w:val="20"/>
                <w:szCs w:val="20"/>
                <w:color w:val="auto"/>
              </w:rPr>
            </w:pPr>
            <w:r>
              <w:rPr>
                <w:rFonts w:ascii="Times New Roman" w:cs="Times New Roman" w:eastAsia="Times New Roman" w:hAnsi="Times New Roman"/>
                <w:sz w:val="13"/>
                <w:szCs w:val="13"/>
                <w:b w:val="1"/>
                <w:bCs w:val="1"/>
                <w:color w:val="auto"/>
              </w:rPr>
              <w:t>Vesting Type</w:t>
            </w:r>
          </w:p>
        </w:tc>
      </w:tr>
      <w:tr>
        <w:trPr>
          <w:trHeight w:val="168"/>
        </w:trPr>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2025</w:t>
            </w:r>
          </w:p>
        </w:tc>
        <w:tc>
          <w:tcPr>
            <w:tcW w:w="80" w:type="dxa"/>
            <w:vAlign w:val="bottom"/>
            <w:tcBorders>
              <w:top w:val="single" w:sz="8" w:color="CCEEFF"/>
            </w:tcBorders>
            <w:shd w:val="clear" w:color="auto" w:fill="CCEEFF"/>
          </w:tcPr>
          <w:p>
            <w:pPr>
              <w:spacing w:after="0"/>
              <w:rPr>
                <w:sz w:val="14"/>
                <w:szCs w:val="14"/>
                <w:color w:val="auto"/>
              </w:rPr>
            </w:pPr>
          </w:p>
        </w:tc>
        <w:tc>
          <w:tcPr>
            <w:tcW w:w="1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Key Employees</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2015</w:t>
            </w:r>
          </w:p>
        </w:tc>
        <w:tc>
          <w:tcPr>
            <w:tcW w:w="2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Equity Incentive Plan</w:t>
            </w:r>
          </w:p>
        </w:tc>
        <w:tc>
          <w:tcPr>
            <w:tcW w:w="8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156,851</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132.33</w:t>
            </w:r>
          </w:p>
        </w:tc>
        <w:tc>
          <w:tcPr>
            <w:tcW w:w="300" w:type="dxa"/>
            <w:vAlign w:val="bottom"/>
            <w:tcBorders>
              <w:top w:val="single" w:sz="8" w:color="CCEEFF"/>
            </w:tcBorders>
            <w:shd w:val="clear" w:color="auto" w:fill="CCEEFF"/>
          </w:tcPr>
          <w:p>
            <w:pPr>
              <w:jc w:val="right"/>
              <w:ind w:right="57"/>
              <w:spacing w:after="0" w:line="93" w:lineRule="exact"/>
              <w:rPr>
                <w:sz w:val="20"/>
                <w:szCs w:val="20"/>
                <w:color w:val="auto"/>
              </w:rPr>
            </w:pPr>
            <w:r>
              <w:rPr>
                <w:rFonts w:ascii="Times New Roman" w:cs="Times New Roman" w:eastAsia="Times New Roman" w:hAnsi="Times New Roman"/>
                <w:sz w:val="9"/>
                <w:szCs w:val="9"/>
                <w:color w:val="auto"/>
              </w:rPr>
              <w:t>(1)</w:t>
            </w:r>
          </w:p>
        </w:tc>
        <w:tc>
          <w:tcPr>
            <w:tcW w:w="1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Time Based</w:t>
            </w:r>
          </w:p>
        </w:tc>
      </w:tr>
      <w:tr>
        <w:trPr>
          <w:trHeight w:val="172"/>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2025</w:t>
            </w:r>
          </w:p>
        </w:tc>
        <w:tc>
          <w:tcPr>
            <w:tcW w:w="80" w:type="dxa"/>
            <w:vAlign w:val="bottom"/>
          </w:tcPr>
          <w:p>
            <w:pPr>
              <w:spacing w:after="0"/>
              <w:rPr>
                <w:sz w:val="14"/>
                <w:szCs w:val="14"/>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Executive Officers</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2015</w:t>
            </w:r>
          </w:p>
        </w:tc>
        <w:tc>
          <w:tcPr>
            <w:tcW w:w="29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Equity Incentive Plan</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119,041</w:t>
            </w:r>
          </w:p>
        </w:tc>
        <w:tc>
          <w:tcPr>
            <w:tcW w:w="80" w:type="dxa"/>
            <w:vAlign w:val="bottom"/>
          </w:tcPr>
          <w:p>
            <w:pPr>
              <w:spacing w:after="0"/>
              <w:rPr>
                <w:sz w:val="14"/>
                <w:szCs w:val="14"/>
                <w:color w:val="auto"/>
              </w:rPr>
            </w:pPr>
          </w:p>
        </w:tc>
        <w:tc>
          <w:tcPr>
            <w:tcW w:w="2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128.70</w:t>
            </w:r>
          </w:p>
        </w:tc>
        <w:tc>
          <w:tcPr>
            <w:tcW w:w="300" w:type="dxa"/>
            <w:vAlign w:val="bottom"/>
          </w:tcPr>
          <w:p>
            <w:pPr>
              <w:jc w:val="right"/>
              <w:ind w:right="57"/>
              <w:spacing w:after="0"/>
              <w:rPr>
                <w:sz w:val="20"/>
                <w:szCs w:val="20"/>
                <w:color w:val="auto"/>
              </w:rPr>
            </w:pPr>
            <w:r>
              <w:rPr>
                <w:rFonts w:ascii="Times New Roman" w:cs="Times New Roman" w:eastAsia="Times New Roman" w:hAnsi="Times New Roman"/>
                <w:sz w:val="9"/>
                <w:szCs w:val="9"/>
                <w:color w:val="auto"/>
              </w:rPr>
              <w:t>(1)</w:t>
            </w:r>
          </w:p>
        </w:tc>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Time Based</w:t>
            </w:r>
          </w:p>
        </w:tc>
      </w:tr>
      <w:tr>
        <w:trPr>
          <w:trHeight w:val="210"/>
        </w:trPr>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2025</w:t>
            </w:r>
          </w:p>
        </w:tc>
        <w:tc>
          <w:tcPr>
            <w:tcW w:w="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Executive Officers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2015</w:t>
            </w:r>
          </w:p>
        </w:tc>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Equity Incentive Plan</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114,626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106.41</w:t>
            </w:r>
          </w:p>
        </w:tc>
        <w:tc>
          <w:tcPr>
            <w:tcW w:w="3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9"/>
                <w:szCs w:val="9"/>
                <w:color w:val="auto"/>
              </w:rPr>
              <w:t>(2)</w:t>
            </w:r>
          </w:p>
        </w:tc>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Market Condition</w:t>
            </w:r>
          </w:p>
        </w:tc>
      </w:tr>
      <w:tr>
        <w:trPr>
          <w:trHeight w:val="172"/>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2025</w:t>
            </w:r>
          </w:p>
        </w:tc>
        <w:tc>
          <w:tcPr>
            <w:tcW w:w="80" w:type="dxa"/>
            <w:vAlign w:val="bottom"/>
          </w:tcPr>
          <w:p>
            <w:pPr>
              <w:spacing w:after="0"/>
              <w:rPr>
                <w:sz w:val="14"/>
                <w:szCs w:val="14"/>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Directors</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2004</w:t>
            </w:r>
          </w:p>
        </w:tc>
        <w:tc>
          <w:tcPr>
            <w:tcW w:w="29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Non-Employee Director Option Plan</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14,000</w:t>
            </w:r>
          </w:p>
        </w:tc>
        <w:tc>
          <w:tcPr>
            <w:tcW w:w="80" w:type="dxa"/>
            <w:vAlign w:val="bottom"/>
          </w:tcPr>
          <w:p>
            <w:pPr>
              <w:spacing w:after="0"/>
              <w:rPr>
                <w:sz w:val="14"/>
                <w:szCs w:val="14"/>
                <w:color w:val="auto"/>
              </w:rPr>
            </w:pPr>
          </w:p>
        </w:tc>
        <w:tc>
          <w:tcPr>
            <w:tcW w:w="2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122.78</w:t>
            </w:r>
          </w:p>
        </w:tc>
        <w:tc>
          <w:tcPr>
            <w:tcW w:w="300" w:type="dxa"/>
            <w:vAlign w:val="bottom"/>
          </w:tcPr>
          <w:p>
            <w:pPr>
              <w:jc w:val="right"/>
              <w:ind w:right="57"/>
              <w:spacing w:after="0"/>
              <w:rPr>
                <w:sz w:val="20"/>
                <w:szCs w:val="20"/>
                <w:color w:val="auto"/>
              </w:rPr>
            </w:pPr>
            <w:r>
              <w:rPr>
                <w:rFonts w:ascii="Times New Roman" w:cs="Times New Roman" w:eastAsia="Times New Roman" w:hAnsi="Times New Roman"/>
                <w:sz w:val="9"/>
                <w:szCs w:val="9"/>
                <w:color w:val="auto"/>
              </w:rPr>
              <w:t>(1)</w:t>
            </w:r>
          </w:p>
        </w:tc>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Time Based</w:t>
            </w:r>
          </w:p>
        </w:tc>
      </w:tr>
      <w:tr>
        <w:trPr>
          <w:trHeight w:val="175"/>
        </w:trPr>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2024</w:t>
            </w:r>
          </w:p>
        </w:tc>
        <w:tc>
          <w:tcPr>
            <w:tcW w:w="80" w:type="dxa"/>
            <w:vAlign w:val="bottom"/>
            <w:shd w:val="clear" w:color="auto" w:fill="CCEEFF"/>
          </w:tcPr>
          <w:p>
            <w:pPr>
              <w:spacing w:after="0"/>
              <w:rPr>
                <w:sz w:val="15"/>
                <w:szCs w:val="15"/>
                <w:color w:val="auto"/>
              </w:rPr>
            </w:pPr>
          </w:p>
        </w:tc>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Key Employees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2015</w:t>
            </w:r>
          </w:p>
        </w:tc>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Equity Incentive Plan</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230,040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131.10</w:t>
            </w:r>
          </w:p>
        </w:tc>
        <w:tc>
          <w:tcPr>
            <w:tcW w:w="3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9"/>
                <w:szCs w:val="9"/>
                <w:color w:val="auto"/>
              </w:rPr>
              <w:t>(1)</w:t>
            </w:r>
          </w:p>
        </w:tc>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Time Based</w:t>
            </w:r>
          </w:p>
        </w:tc>
      </w:tr>
      <w:tr>
        <w:trPr>
          <w:trHeight w:val="172"/>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2024</w:t>
            </w:r>
          </w:p>
        </w:tc>
        <w:tc>
          <w:tcPr>
            <w:tcW w:w="80" w:type="dxa"/>
            <w:vAlign w:val="bottom"/>
          </w:tcPr>
          <w:p>
            <w:pPr>
              <w:spacing w:after="0"/>
              <w:rPr>
                <w:sz w:val="14"/>
                <w:szCs w:val="14"/>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Executive Officers</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2015</w:t>
            </w:r>
          </w:p>
        </w:tc>
        <w:tc>
          <w:tcPr>
            <w:tcW w:w="29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Equity Incentive Plan</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51,800</w:t>
            </w:r>
          </w:p>
        </w:tc>
        <w:tc>
          <w:tcPr>
            <w:tcW w:w="80" w:type="dxa"/>
            <w:vAlign w:val="bottom"/>
          </w:tcPr>
          <w:p>
            <w:pPr>
              <w:spacing w:after="0"/>
              <w:rPr>
                <w:sz w:val="14"/>
                <w:szCs w:val="14"/>
                <w:color w:val="auto"/>
              </w:rPr>
            </w:pPr>
          </w:p>
        </w:tc>
        <w:tc>
          <w:tcPr>
            <w:tcW w:w="2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131.99</w:t>
            </w:r>
          </w:p>
        </w:tc>
        <w:tc>
          <w:tcPr>
            <w:tcW w:w="300" w:type="dxa"/>
            <w:vAlign w:val="bottom"/>
          </w:tcPr>
          <w:p>
            <w:pPr>
              <w:jc w:val="right"/>
              <w:ind w:right="57"/>
              <w:spacing w:after="0"/>
              <w:rPr>
                <w:sz w:val="20"/>
                <w:szCs w:val="20"/>
                <w:color w:val="auto"/>
              </w:rPr>
            </w:pPr>
            <w:r>
              <w:rPr>
                <w:rFonts w:ascii="Times New Roman" w:cs="Times New Roman" w:eastAsia="Times New Roman" w:hAnsi="Times New Roman"/>
                <w:sz w:val="9"/>
                <w:szCs w:val="9"/>
                <w:color w:val="auto"/>
              </w:rPr>
              <w:t>(1)</w:t>
            </w:r>
          </w:p>
        </w:tc>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Time Based</w:t>
            </w:r>
          </w:p>
        </w:tc>
      </w:tr>
      <w:tr>
        <w:trPr>
          <w:trHeight w:val="210"/>
        </w:trPr>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2024</w:t>
            </w:r>
          </w:p>
        </w:tc>
        <w:tc>
          <w:tcPr>
            <w:tcW w:w="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Executive Officers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2015</w:t>
            </w:r>
          </w:p>
        </w:tc>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Equity Incentive Plan</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98.14</w:t>
            </w:r>
          </w:p>
        </w:tc>
        <w:tc>
          <w:tcPr>
            <w:tcW w:w="3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9"/>
                <w:szCs w:val="9"/>
                <w:color w:val="auto"/>
              </w:rPr>
              <w:t>(2)</w:t>
            </w:r>
          </w:p>
        </w:tc>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Market Condition</w:t>
            </w:r>
          </w:p>
        </w:tc>
      </w:tr>
      <w:tr>
        <w:trPr>
          <w:trHeight w:val="171"/>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2024</w:t>
            </w:r>
          </w:p>
        </w:tc>
        <w:tc>
          <w:tcPr>
            <w:tcW w:w="80" w:type="dxa"/>
            <w:vAlign w:val="bottom"/>
          </w:tcPr>
          <w:p>
            <w:pPr>
              <w:spacing w:after="0"/>
              <w:rPr>
                <w:sz w:val="14"/>
                <w:szCs w:val="14"/>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Directors</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2004</w:t>
            </w:r>
          </w:p>
        </w:tc>
        <w:tc>
          <w:tcPr>
            <w:tcW w:w="29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Non-Employee Director Option Plan</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20,000</w:t>
            </w:r>
          </w:p>
        </w:tc>
        <w:tc>
          <w:tcPr>
            <w:tcW w:w="80" w:type="dxa"/>
            <w:vAlign w:val="bottom"/>
          </w:tcPr>
          <w:p>
            <w:pPr>
              <w:spacing w:after="0"/>
              <w:rPr>
                <w:sz w:val="14"/>
                <w:szCs w:val="14"/>
                <w:color w:val="auto"/>
              </w:rPr>
            </w:pPr>
          </w:p>
        </w:tc>
        <w:tc>
          <w:tcPr>
            <w:tcW w:w="2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129.47</w:t>
            </w:r>
          </w:p>
        </w:tc>
        <w:tc>
          <w:tcPr>
            <w:tcW w:w="300" w:type="dxa"/>
            <w:vAlign w:val="bottom"/>
          </w:tcPr>
          <w:p>
            <w:pPr>
              <w:jc w:val="right"/>
              <w:ind w:right="57"/>
              <w:spacing w:after="0"/>
              <w:rPr>
                <w:sz w:val="20"/>
                <w:szCs w:val="20"/>
                <w:color w:val="auto"/>
              </w:rPr>
            </w:pPr>
            <w:r>
              <w:rPr>
                <w:rFonts w:ascii="Times New Roman" w:cs="Times New Roman" w:eastAsia="Times New Roman" w:hAnsi="Times New Roman"/>
                <w:sz w:val="9"/>
                <w:szCs w:val="9"/>
                <w:color w:val="auto"/>
              </w:rPr>
              <w:t>(1)</w:t>
            </w:r>
          </w:p>
        </w:tc>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Time Based</w:t>
            </w:r>
          </w:p>
        </w:tc>
      </w:tr>
    </w:tbl>
    <w:p>
      <w:pPr>
        <w:spacing w:after="0" w:line="52" w:lineRule="exact"/>
        <w:rPr>
          <w:sz w:val="20"/>
          <w:szCs w:val="20"/>
          <w:color w:val="auto"/>
        </w:rPr>
      </w:pPr>
    </w:p>
    <w:p>
      <w:pPr>
        <w:ind w:left="127" w:hanging="127"/>
        <w:spacing w:after="0"/>
        <w:tabs>
          <w:tab w:leader="none" w:pos="127" w:val="left"/>
        </w:tabs>
        <w:numPr>
          <w:ilvl w:val="0"/>
          <w:numId w:val="5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Represents the weighted average fair value per share of the closing price of our common stock on the dates the shares were awarded.</w:t>
      </w:r>
    </w:p>
    <w:p>
      <w:pPr>
        <w:spacing w:after="0" w:line="4" w:lineRule="exact"/>
        <w:rPr>
          <w:rFonts w:ascii="Times New Roman" w:cs="Times New Roman" w:eastAsia="Times New Roman" w:hAnsi="Times New Roman"/>
          <w:sz w:val="16"/>
          <w:szCs w:val="16"/>
          <w:color w:val="auto"/>
          <w:vertAlign w:val="superscript"/>
        </w:rPr>
      </w:pPr>
    </w:p>
    <w:p>
      <w:pPr>
        <w:ind w:left="127" w:hanging="127"/>
        <w:spacing w:after="0" w:line="190" w:lineRule="auto"/>
        <w:tabs>
          <w:tab w:leader="none" w:pos="127" w:val="left"/>
        </w:tabs>
        <w:numPr>
          <w:ilvl w:val="0"/>
          <w:numId w:val="5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Represents the weighted average fair value per share of the Monte Carlo simulation fair value price of our market condition awards on the dates the shares were awarded.</w:t>
      </w:r>
    </w:p>
    <w:p>
      <w:pPr>
        <w:spacing w:after="0" w:line="77" w:lineRule="exact"/>
        <w:rPr>
          <w:sz w:val="20"/>
          <w:szCs w:val="20"/>
          <w:color w:val="auto"/>
        </w:rPr>
      </w:pPr>
    </w:p>
    <w:p>
      <w:pPr>
        <w:jc w:val="both"/>
        <w:ind w:left="7"/>
        <w:spacing w:after="0" w:line="276" w:lineRule="auto"/>
        <w:rPr>
          <w:sz w:val="20"/>
          <w:szCs w:val="20"/>
          <w:color w:val="auto"/>
        </w:rPr>
      </w:pPr>
      <w:r>
        <w:rPr>
          <w:rFonts w:ascii="Times New Roman" w:cs="Times New Roman" w:eastAsia="Times New Roman" w:hAnsi="Times New Roman"/>
          <w:sz w:val="15"/>
          <w:szCs w:val="15"/>
          <w:color w:val="auto"/>
        </w:rPr>
        <w:t>In October 2025, we appointed Charles D. Young as our new CEO. Pursuant to Mr. Young's appointment, we issued 58,754 shares of restricted common stock, 31,128 of which will vest in equal annual installments over four years, and 27,626 are subject to performance vesting after three years based on certain market performance criteria. We also issued 7,782 shares of common stock that vested on October 1, 2025 as an inducement to Mr. Young's employment with the Company.</w:t>
      </w:r>
    </w:p>
    <w:p>
      <w:pPr>
        <w:spacing w:after="0" w:line="200" w:lineRule="exact"/>
        <w:rPr>
          <w:sz w:val="20"/>
          <w:szCs w:val="20"/>
          <w:color w:val="auto"/>
        </w:rPr>
      </w:pPr>
    </w:p>
    <w:p>
      <w:pPr>
        <w:spacing w:after="0" w:line="27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F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121920</wp:posOffset>
            </wp:positionV>
            <wp:extent cx="7177405" cy="400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121" w:right="31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Share-based compensation for performance-based RSAs with market conditions is measured based on shares expected to vest using a Monte Carlo simulation to determine fair value.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summarizes the weighted average assumptions utilized to calculate the grant date fair value of these awards during the periods presented: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26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2"/>
          </w:tcPr>
          <w:p>
            <w:pPr>
              <w:ind w:left="900"/>
              <w:spacing w:after="0"/>
              <w:rPr>
                <w:sz w:val="20"/>
                <w:szCs w:val="20"/>
                <w:color w:val="auto"/>
              </w:rPr>
            </w:pPr>
            <w:r>
              <w:rPr>
                <w:rFonts w:ascii="Times New Roman" w:cs="Times New Roman" w:eastAsia="Times New Roman" w:hAnsi="Times New Roman"/>
                <w:sz w:val="13"/>
                <w:szCs w:val="13"/>
                <w:b w:val="1"/>
                <w:bCs w:val="1"/>
                <w:color w:val="auto"/>
              </w:rPr>
              <w:t>Grant Year</w:t>
            </w:r>
          </w:p>
        </w:tc>
        <w:tc>
          <w:tcPr>
            <w:tcW w:w="2320" w:type="dxa"/>
            <w:vAlign w:val="bottom"/>
            <w:tcBorders>
              <w:bottom w:val="single" w:sz="8" w:color="auto"/>
            </w:tcBorders>
          </w:tcPr>
          <w:p>
            <w:pPr>
              <w:spacing w:after="0"/>
              <w:rPr>
                <w:sz w:val="15"/>
                <w:szCs w:val="15"/>
                <w:color w:val="auto"/>
              </w:rPr>
            </w:pPr>
          </w:p>
        </w:tc>
      </w:tr>
      <w:tr>
        <w:trPr>
          <w:trHeight w:val="168"/>
        </w:trPr>
        <w:tc>
          <w:tcPr>
            <w:tcW w:w="426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320" w:type="dxa"/>
            <w:vAlign w:val="bottom"/>
            <w:tcBorders>
              <w:bottom w:val="single" w:sz="8" w:color="auto"/>
            </w:tcBorders>
          </w:tcPr>
          <w:p>
            <w:pPr>
              <w:jc w:val="right"/>
              <w:ind w:right="9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2320" w:type="dxa"/>
            <w:vAlign w:val="bottom"/>
            <w:tcBorders>
              <w:bottom w:val="single" w:sz="8" w:color="auto"/>
            </w:tcBorders>
          </w:tcPr>
          <w:p>
            <w:pPr>
              <w:jc w:val="right"/>
              <w:ind w:right="974"/>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Risk-free interest rate</w:t>
            </w:r>
          </w:p>
        </w:tc>
        <w:tc>
          <w:tcPr>
            <w:tcW w:w="13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 - 4.0%</w:t>
            </w:r>
          </w:p>
        </w:tc>
        <w:tc>
          <w:tcPr>
            <w:tcW w:w="80" w:type="dxa"/>
            <w:vAlign w:val="bottom"/>
            <w:shd w:val="clear" w:color="auto" w:fill="CCEEFF"/>
          </w:tcPr>
          <w:p>
            <w:pPr>
              <w:spacing w:after="0"/>
              <w:rPr>
                <w:sz w:val="14"/>
                <w:szCs w:val="14"/>
                <w:color w:val="auto"/>
              </w:rPr>
            </w:pP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4.4 %</w:t>
            </w:r>
          </w:p>
        </w:tc>
        <w:tc>
          <w:tcPr>
            <w:tcW w:w="80" w:type="dxa"/>
            <w:vAlign w:val="bottom"/>
            <w:shd w:val="clear" w:color="auto" w:fill="CCEEFF"/>
          </w:tcPr>
          <w:p>
            <w:pPr>
              <w:spacing w:after="0"/>
              <w:rPr>
                <w:sz w:val="14"/>
                <w:szCs w:val="14"/>
                <w:color w:val="auto"/>
              </w:rPr>
            </w:pP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4.5 %</w:t>
            </w:r>
          </w:p>
        </w:tc>
      </w:tr>
      <w:tr>
        <w:trPr>
          <w:trHeight w:val="172"/>
        </w:trPr>
        <w:tc>
          <w:tcPr>
            <w:tcW w:w="5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Dividend yield</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 - 3.2%</w:t>
            </w:r>
          </w:p>
        </w:tc>
        <w:tc>
          <w:tcPr>
            <w:tcW w:w="80" w:type="dxa"/>
            <w:vAlign w:val="bottom"/>
          </w:tcPr>
          <w:p>
            <w:pPr>
              <w:spacing w:after="0"/>
              <w:rPr>
                <w:sz w:val="14"/>
                <w:szCs w:val="14"/>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2.9 %</w:t>
            </w:r>
          </w:p>
        </w:tc>
        <w:tc>
          <w:tcPr>
            <w:tcW w:w="80" w:type="dxa"/>
            <w:vAlign w:val="bottom"/>
          </w:tcPr>
          <w:p>
            <w:pPr>
              <w:spacing w:after="0"/>
              <w:rPr>
                <w:sz w:val="14"/>
                <w:szCs w:val="14"/>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2.4 %</w:t>
            </w:r>
          </w:p>
        </w:tc>
      </w:tr>
      <w:tr>
        <w:trPr>
          <w:trHeight w:val="175"/>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Volatility</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 - 26.6%</w:t>
            </w:r>
          </w:p>
        </w:tc>
        <w:tc>
          <w:tcPr>
            <w:tcW w:w="80" w:type="dxa"/>
            <w:vAlign w:val="bottom"/>
            <w:shd w:val="clear" w:color="auto" w:fill="CCEEFF"/>
          </w:tcPr>
          <w:p>
            <w:pPr>
              <w:spacing w:after="0"/>
              <w:rPr>
                <w:sz w:val="15"/>
                <w:szCs w:val="15"/>
                <w:color w:val="auto"/>
              </w:rPr>
            </w:pP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25.9 %</w:t>
            </w:r>
          </w:p>
        </w:tc>
        <w:tc>
          <w:tcPr>
            <w:tcW w:w="80" w:type="dxa"/>
            <w:vAlign w:val="bottom"/>
            <w:shd w:val="clear" w:color="auto" w:fill="CCEEFF"/>
          </w:tcPr>
          <w:p>
            <w:pPr>
              <w:spacing w:after="0"/>
              <w:rPr>
                <w:sz w:val="15"/>
                <w:szCs w:val="15"/>
                <w:color w:val="auto"/>
              </w:rPr>
            </w:pP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28.1 %</w:t>
            </w:r>
          </w:p>
        </w:tc>
      </w:tr>
      <w:tr>
        <w:trPr>
          <w:trHeight w:val="171"/>
        </w:trPr>
        <w:tc>
          <w:tcPr>
            <w:tcW w:w="5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Expected term (in years)</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2.25 - 3</w:t>
            </w:r>
          </w:p>
        </w:tc>
        <w:tc>
          <w:tcPr>
            <w:tcW w:w="80" w:type="dxa"/>
            <w:vAlign w:val="bottom"/>
          </w:tcPr>
          <w:p>
            <w:pPr>
              <w:spacing w:after="0"/>
              <w:rPr>
                <w:sz w:val="14"/>
                <w:szCs w:val="14"/>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summarizes our restricted stock activity for the years ended December 31, 2025, 2024, and 2023 (in millions, except share and per share data):</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Weighted Average Grant Date</w:t>
            </w:r>
          </w:p>
        </w:tc>
        <w:tc>
          <w:tcPr>
            <w:tcW w:w="320" w:type="dxa"/>
            <w:vAlign w:val="bottom"/>
          </w:tcPr>
          <w:p>
            <w:pPr>
              <w:spacing w:after="0"/>
              <w:rPr>
                <w:sz w:val="12"/>
                <w:szCs w:val="12"/>
                <w:color w:val="auto"/>
              </w:rPr>
            </w:pPr>
          </w:p>
        </w:tc>
        <w:tc>
          <w:tcPr>
            <w:tcW w:w="152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Fair Value of</w:t>
            </w:r>
          </w:p>
        </w:tc>
      </w:tr>
      <w:tr>
        <w:trPr>
          <w:trHeight w:val="182"/>
        </w:trPr>
        <w:tc>
          <w:tcPr>
            <w:tcW w:w="5600" w:type="dxa"/>
            <w:vAlign w:val="bottom"/>
            <w:tcBorders>
              <w:bottom w:val="single" w:sz="8" w:color="CCEEFF"/>
            </w:tcBorders>
          </w:tcPr>
          <w:p>
            <w:pPr>
              <w:spacing w:after="0"/>
              <w:rPr>
                <w:sz w:val="15"/>
                <w:szCs w:val="15"/>
                <w:color w:val="auto"/>
              </w:rPr>
            </w:pPr>
          </w:p>
        </w:tc>
        <w:tc>
          <w:tcPr>
            <w:tcW w:w="18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Number of Shares</w:t>
            </w:r>
          </w:p>
        </w:tc>
        <w:tc>
          <w:tcPr>
            <w:tcW w:w="8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3"/>
                <w:szCs w:val="13"/>
                <w:b w:val="1"/>
                <w:bCs w:val="1"/>
                <w:color w:val="auto"/>
              </w:rPr>
              <w:t>Shares Vested</w:t>
            </w:r>
          </w:p>
        </w:tc>
      </w:tr>
      <w:tr>
        <w:trPr>
          <w:trHeight w:val="168"/>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Unvested restricted shares at January 1, 2023</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854,767</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1154"/>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144.19</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172"/>
        </w:trPr>
        <w:tc>
          <w:tcPr>
            <w:tcW w:w="56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Granted</w:t>
            </w: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381,858</w:t>
            </w:r>
          </w:p>
        </w:tc>
        <w:tc>
          <w:tcPr>
            <w:tcW w:w="1380" w:type="dxa"/>
            <w:vAlign w:val="bottom"/>
            <w:gridSpan w:val="2"/>
          </w:tcPr>
          <w:p>
            <w:pPr>
              <w:jc w:val="right"/>
              <w:ind w:right="1154"/>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132.73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5"/>
        </w:trPr>
        <w:tc>
          <w:tcPr>
            <w:tcW w:w="5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Vested</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(243,776)</w:t>
            </w:r>
          </w:p>
        </w:tc>
        <w:tc>
          <w:tcPr>
            <w:tcW w:w="1380" w:type="dxa"/>
            <w:vAlign w:val="bottom"/>
            <w:gridSpan w:val="2"/>
            <w:shd w:val="clear" w:color="auto" w:fill="CCEEFF"/>
          </w:tcPr>
          <w:p>
            <w:pPr>
              <w:jc w:val="right"/>
              <w:ind w:right="1154"/>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139.03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w:t>
            </w:r>
          </w:p>
        </w:tc>
      </w:tr>
      <w:tr>
        <w:trPr>
          <w:trHeight w:val="172"/>
        </w:trPr>
        <w:tc>
          <w:tcPr>
            <w:tcW w:w="56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Forfeited</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(55,198)</w:t>
            </w:r>
          </w:p>
        </w:tc>
        <w:tc>
          <w:tcPr>
            <w:tcW w:w="1380" w:type="dxa"/>
            <w:vAlign w:val="bottom"/>
            <w:tcBorders>
              <w:bottom w:val="single" w:sz="8" w:color="CCEEFF"/>
            </w:tcBorders>
            <w:gridSpan w:val="2"/>
          </w:tcPr>
          <w:p>
            <w:pPr>
              <w:jc w:val="right"/>
              <w:ind w:right="1154"/>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153.68</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520" w:type="dxa"/>
            <w:vAlign w:val="bottom"/>
            <w:tcBorders>
              <w:bottom w:val="single" w:sz="8" w:color="CCEEFF"/>
            </w:tcBorders>
          </w:tcPr>
          <w:p>
            <w:pPr>
              <w:spacing w:after="0"/>
              <w:rPr>
                <w:sz w:val="14"/>
                <w:szCs w:val="14"/>
                <w:color w:val="auto"/>
              </w:rPr>
            </w:pPr>
          </w:p>
        </w:tc>
      </w:tr>
      <w:tr>
        <w:trPr>
          <w:trHeight w:val="167"/>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Unvested restricted shares at December 31, 2023</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937,651</w:t>
            </w:r>
          </w:p>
        </w:tc>
        <w:tc>
          <w:tcPr>
            <w:tcW w:w="1380" w:type="dxa"/>
            <w:vAlign w:val="bottom"/>
            <w:gridSpan w:val="2"/>
            <w:shd w:val="clear" w:color="auto" w:fill="CCEEFF"/>
          </w:tcPr>
          <w:p>
            <w:pPr>
              <w:jc w:val="right"/>
              <w:ind w:right="1154"/>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140.30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164"/>
        </w:trPr>
        <w:tc>
          <w:tcPr>
            <w:tcW w:w="56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Granted</w:t>
            </w: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343,240</w:t>
            </w:r>
          </w:p>
        </w:tc>
        <w:tc>
          <w:tcPr>
            <w:tcW w:w="1380" w:type="dxa"/>
            <w:vAlign w:val="bottom"/>
            <w:gridSpan w:val="2"/>
          </w:tcPr>
          <w:p>
            <w:pPr>
              <w:jc w:val="right"/>
              <w:ind w:right="1154"/>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127.17</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5"/>
        </w:trPr>
        <w:tc>
          <w:tcPr>
            <w:tcW w:w="5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Vested</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(222,842)</w:t>
            </w:r>
          </w:p>
        </w:tc>
        <w:tc>
          <w:tcPr>
            <w:tcW w:w="1380" w:type="dxa"/>
            <w:vAlign w:val="bottom"/>
            <w:gridSpan w:val="2"/>
            <w:shd w:val="clear" w:color="auto" w:fill="CCEEFF"/>
          </w:tcPr>
          <w:p>
            <w:pPr>
              <w:jc w:val="right"/>
              <w:ind w:right="1154"/>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150.36</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w:t>
            </w:r>
          </w:p>
        </w:tc>
      </w:tr>
      <w:tr>
        <w:trPr>
          <w:trHeight w:val="172"/>
        </w:trPr>
        <w:tc>
          <w:tcPr>
            <w:tcW w:w="56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Forfeited</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(148,161)</w:t>
            </w:r>
          </w:p>
        </w:tc>
        <w:tc>
          <w:tcPr>
            <w:tcW w:w="1380" w:type="dxa"/>
            <w:vAlign w:val="bottom"/>
            <w:tcBorders>
              <w:bottom w:val="single" w:sz="8" w:color="CCEEFF"/>
            </w:tcBorders>
            <w:gridSpan w:val="2"/>
          </w:tcPr>
          <w:p>
            <w:pPr>
              <w:jc w:val="right"/>
              <w:ind w:right="1154"/>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109.12</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520" w:type="dxa"/>
            <w:vAlign w:val="bottom"/>
            <w:tcBorders>
              <w:bottom w:val="single" w:sz="8" w:color="CCEEFF"/>
            </w:tcBorders>
          </w:tcPr>
          <w:p>
            <w:pPr>
              <w:spacing w:after="0"/>
              <w:rPr>
                <w:sz w:val="14"/>
                <w:szCs w:val="14"/>
                <w:color w:val="auto"/>
              </w:rPr>
            </w:pPr>
          </w:p>
        </w:tc>
      </w:tr>
      <w:tr>
        <w:trPr>
          <w:trHeight w:val="167"/>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Unvested restricted shares at December 31, 2024</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909,888</w:t>
            </w:r>
          </w:p>
        </w:tc>
        <w:tc>
          <w:tcPr>
            <w:tcW w:w="1380" w:type="dxa"/>
            <w:vAlign w:val="bottom"/>
            <w:gridSpan w:val="2"/>
            <w:shd w:val="clear" w:color="auto" w:fill="CCEEFF"/>
          </w:tcPr>
          <w:p>
            <w:pPr>
              <w:jc w:val="right"/>
              <w:ind w:right="1154"/>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137.39</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164"/>
        </w:trPr>
        <w:tc>
          <w:tcPr>
            <w:tcW w:w="56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Granted</w:t>
            </w: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404,518</w:t>
            </w:r>
          </w:p>
        </w:tc>
        <w:tc>
          <w:tcPr>
            <w:tcW w:w="1380" w:type="dxa"/>
            <w:vAlign w:val="bottom"/>
            <w:gridSpan w:val="2"/>
          </w:tcPr>
          <w:p>
            <w:pPr>
              <w:jc w:val="right"/>
              <w:ind w:right="1154"/>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123.36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5"/>
        </w:trPr>
        <w:tc>
          <w:tcPr>
            <w:tcW w:w="5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Vested</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(251,061)</w:t>
            </w:r>
          </w:p>
        </w:tc>
        <w:tc>
          <w:tcPr>
            <w:tcW w:w="1380" w:type="dxa"/>
            <w:vAlign w:val="bottom"/>
            <w:gridSpan w:val="2"/>
            <w:shd w:val="clear" w:color="auto" w:fill="CCEEFF"/>
          </w:tcPr>
          <w:p>
            <w:pPr>
              <w:jc w:val="right"/>
              <w:ind w:right="1154"/>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147.01</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w:t>
            </w:r>
          </w:p>
        </w:tc>
      </w:tr>
      <w:tr>
        <w:trPr>
          <w:trHeight w:val="172"/>
        </w:trPr>
        <w:tc>
          <w:tcPr>
            <w:tcW w:w="56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Forfeited</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(260,036)</w:t>
            </w:r>
          </w:p>
        </w:tc>
        <w:tc>
          <w:tcPr>
            <w:tcW w:w="1380" w:type="dxa"/>
            <w:vAlign w:val="bottom"/>
            <w:tcBorders>
              <w:bottom w:val="single" w:sz="8" w:color="CCEEFF"/>
            </w:tcBorders>
            <w:gridSpan w:val="2"/>
          </w:tcPr>
          <w:p>
            <w:pPr>
              <w:jc w:val="right"/>
              <w:ind w:right="1154"/>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134.47</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520" w:type="dxa"/>
            <w:vAlign w:val="bottom"/>
            <w:tcBorders>
              <w:bottom w:val="single" w:sz="8" w:color="CCEEFF"/>
            </w:tcBorders>
          </w:tcPr>
          <w:p>
            <w:pPr>
              <w:spacing w:after="0"/>
              <w:rPr>
                <w:sz w:val="14"/>
                <w:szCs w:val="14"/>
                <w:color w:val="auto"/>
              </w:rPr>
            </w:pPr>
          </w:p>
        </w:tc>
      </w:tr>
      <w:tr>
        <w:trPr>
          <w:trHeight w:val="192"/>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Unvested restricted shares at December 31, 2025</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803,309</w:t>
            </w:r>
          </w:p>
        </w:tc>
        <w:tc>
          <w:tcPr>
            <w:tcW w:w="1380" w:type="dxa"/>
            <w:vAlign w:val="bottom"/>
            <w:tcBorders>
              <w:bottom w:val="single" w:sz="8" w:color="CCEEFF"/>
            </w:tcBorders>
            <w:gridSpan w:val="2"/>
            <w:shd w:val="clear" w:color="auto" w:fill="CCEEFF"/>
          </w:tcPr>
          <w:p>
            <w:pPr>
              <w:jc w:val="right"/>
              <w:ind w:right="1154"/>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128.91</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r>
    </w:tbl>
    <w:p>
      <w:pPr>
        <w:spacing w:after="0" w:line="147"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color w:val="auto"/>
        </w:rPr>
        <w:t>During the years ended December 31, 2025, 2024, and 2023 we recognized total share-based compensation expense from continuing operations of $39.6 million, $31.7 million, and $32.6 million, respectively, within General and administrative expense on the Consolidated Statements of Operations.</w:t>
      </w:r>
    </w:p>
    <w:p>
      <w:pPr>
        <w:spacing w:after="0" w:line="9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The remaining unrecognized share-based compensation cost, net related to our unvested restricted shares, which includes estimated forfeitures, as of December 31, 2025 was approximately $70.7 million and is expected to be recognized over a weighted average period of 1.7 years. Forfeitures are estimated at the grant date and are included monthly within compensation cost. The following table summarizes our expected share-based compensation cost, net related to our unvested restricted shares, in millions: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7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3"/>
                <w:szCs w:val="13"/>
                <w:b w:val="1"/>
                <w:bCs w:val="1"/>
                <w:color w:val="auto"/>
              </w:rPr>
              <w:t>2026</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3"/>
                <w:szCs w:val="13"/>
                <w:b w:val="1"/>
                <w:bCs w:val="1"/>
                <w:color w:val="auto"/>
              </w:rPr>
              <w:t>2027</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3"/>
                <w:szCs w:val="13"/>
                <w:b w:val="1"/>
                <w:bCs w:val="1"/>
                <w:color w:val="auto"/>
              </w:rPr>
              <w:t>2028</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3"/>
                <w:szCs w:val="13"/>
                <w:b w:val="1"/>
                <w:bCs w:val="1"/>
                <w:color w:val="auto"/>
              </w:rPr>
              <w:t>Thereafter</w:t>
            </w:r>
          </w:p>
        </w:tc>
      </w:tr>
      <w:tr>
        <w:trPr>
          <w:trHeight w:val="168"/>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Expected share-based compensation costs, net</w:t>
            </w:r>
          </w:p>
        </w:tc>
        <w:tc>
          <w:tcPr>
            <w:tcW w:w="44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w:t>
            </w: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Modifications</w:t>
      </w:r>
    </w:p>
    <w:p>
      <w:pPr>
        <w:spacing w:after="0" w:line="10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color w:val="auto"/>
        </w:rPr>
        <w:t>During the year ended December 31, 2025, we modified certain unvested RSAs to accelerate the vesting terms such that the respective awards vested in connection with the termination or retirement of the eligible grantees ("accelerated vestings"). We accounted for the accelerated vestings as modifications under ASC 718, "</w:t>
      </w:r>
      <w:r>
        <w:rPr>
          <w:rFonts w:ascii="Times New Roman" w:cs="Times New Roman" w:eastAsia="Times New Roman" w:hAnsi="Times New Roman"/>
          <w:sz w:val="15"/>
          <w:szCs w:val="15"/>
          <w:i w:val="1"/>
          <w:iCs w:val="1"/>
          <w:color w:val="auto"/>
        </w:rPr>
        <w:t>Compensation-Stock</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Compensation</w:t>
      </w:r>
      <w:r>
        <w:rPr>
          <w:rFonts w:ascii="Times New Roman" w:cs="Times New Roman" w:eastAsia="Times New Roman" w:hAnsi="Times New Roman"/>
          <w:sz w:val="15"/>
          <w:szCs w:val="15"/>
          <w:color w:val="auto"/>
        </w:rPr>
        <w:t>," and recognized compensation expense based on the incremental fair value of the modified awards. Accordingly, we recognized accelerated share-based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compensation expense of $7.7 million within General and administrative expense related to 48,134 time based restricted shares and 21,000 performance-based restricted shares previously subject to a market condition.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10. Segment Reporting</w:t>
      </w:r>
    </w:p>
    <w:p>
      <w:pPr>
        <w:spacing w:after="0" w:line="10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ASC Topic 280, "</w:t>
      </w:r>
      <w:r>
        <w:rPr>
          <w:rFonts w:ascii="Times New Roman" w:cs="Times New Roman" w:eastAsia="Times New Roman" w:hAnsi="Times New Roman"/>
          <w:sz w:val="15"/>
          <w:szCs w:val="15"/>
          <w:i w:val="1"/>
          <w:iCs w:val="1"/>
          <w:color w:val="auto"/>
        </w:rPr>
        <w:t>Segment Reporting</w:t>
      </w:r>
      <w:r>
        <w:rPr>
          <w:rFonts w:ascii="Times New Roman" w:cs="Times New Roman" w:eastAsia="Times New Roman" w:hAnsi="Times New Roman"/>
          <w:sz w:val="15"/>
          <w:szCs w:val="15"/>
          <w:color w:val="auto"/>
        </w:rPr>
        <w:t>," establishes standards for the way that business enterprises report information about operating segments in its financial statements. In 2025, following the Safe Harbor Sale, we revised our reporting structure from four segments to three segments, which consist of (i) MH communities, (ii) RV communities, and (iii) the communities in the UK. The new structure reflects how the chief operating decision maker ("CODM"), a committee comprised of our CEO, President, COO, and CFO, manages the business, makes operating decisions, allocates resources and evaluates operating performance. Beginning with the three months ended March 31, 2025, we report our financial results consistent with our realigned operating segments and have recast prior period amounts to conform to the way we internally manage our business and monitor segment performance. Certain reclassifications have been made to the prior period financial statements and related notes in order to conform to the current period presentation. There was no impact to prior period net income, shareholders' equity, or cash flows for any of the reclassifications.</w:t>
      </w:r>
    </w:p>
    <w:p>
      <w:pPr>
        <w:spacing w:after="0" w:line="6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5"/>
          <w:szCs w:val="15"/>
          <w:color w:val="auto"/>
        </w:rPr>
        <w:t>Our three reportable segments are: (i) MH, (ii) RV, and (iii) UK. Each operating segment has discrete financial information evaluated regularly by our CODM in managing the business, making operating decisions, allocating resources, and evaluating operating performance.</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 CODM uses NOI to allocate resources (including employees, property, and financial or capital resources) for each segment predominately in the annual budgeting and forecasting process. The CODM considers budget-to-actual variances on a monthly basis for both profit measures when making decisions about allocating capital and personnel to the segments. The CODM also uses NOI for evaluating product pricing and segment profit and in the compensation of certain employees. The CODM reviews balance sheet information at a consolidated level.</w:t>
      </w:r>
    </w:p>
    <w:p>
      <w:pPr>
        <w:spacing w:after="0" w:line="57"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5"/>
          <w:szCs w:val="15"/>
          <w:color w:val="auto"/>
        </w:rPr>
        <w:t>The MH segment owns, operates, develops, or has an interest in, a portfolio of MH communities in the U.S., and is in the business of acquiring, operating and developing ground-up MH communities to provide affordable housing solutions to residents. The MH segment also provides manufactured home sales and leasing services to tenants and prospective tenants of our communities.</w:t>
      </w:r>
    </w:p>
    <w:p>
      <w:pPr>
        <w:spacing w:after="0" w:line="5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5"/>
          <w:szCs w:val="15"/>
          <w:color w:val="auto"/>
        </w:rPr>
        <w:t>The RV segment owns, operates, develops, or has an interest in, a portfolio of RV communities and is in the business of acquiring, operating, and developing ground-up RV communities in the U.S. and Canada. It also provides leasing services for vacation rentals within the RV communities.</w:t>
      </w:r>
    </w:p>
    <w:p>
      <w:pPr>
        <w:spacing w:after="0" w:line="39"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color w:val="auto"/>
        </w:rPr>
        <w:t>The UK segment owns, operates, develops, or has an interest in, a portfolio of communities, referred to as holiday parks, and is in the business of acquiring, operating, and developing communities in the United Kingdom. It also provides home sales and associated site license activities to owners and tenants within the communities.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 presentation of our segment financial information is summarized as follows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2"/>
                <w:szCs w:val="12"/>
                <w:b w:val="1"/>
                <w:bCs w:val="1"/>
                <w:color w:val="auto"/>
                <w:w w:val="98"/>
              </w:rPr>
              <w:t>Year Ended December 31,</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r>
      <w:tr>
        <w:trPr>
          <w:trHeight w:val="157"/>
        </w:trPr>
        <w:tc>
          <w:tcPr>
            <w:tcW w:w="36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4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4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4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r>
      <w:tr>
        <w:trPr>
          <w:trHeight w:val="154"/>
        </w:trPr>
        <w:tc>
          <w:tcPr>
            <w:tcW w:w="3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MH</w:t>
            </w:r>
          </w:p>
        </w:tc>
        <w:tc>
          <w:tcPr>
            <w:tcW w:w="120" w:type="dxa"/>
            <w:vAlign w:val="bottom"/>
          </w:tcPr>
          <w:p>
            <w:pPr>
              <w:spacing w:after="0"/>
              <w:rPr>
                <w:sz w:val="13"/>
                <w:szCs w:val="13"/>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RV</w:t>
            </w:r>
          </w:p>
        </w:tc>
        <w:tc>
          <w:tcPr>
            <w:tcW w:w="140" w:type="dxa"/>
            <w:vAlign w:val="bottom"/>
          </w:tcPr>
          <w:p>
            <w:pPr>
              <w:spacing w:after="0"/>
              <w:rPr>
                <w:sz w:val="13"/>
                <w:szCs w:val="13"/>
                <w:color w:val="auto"/>
              </w:rPr>
            </w:pPr>
          </w:p>
        </w:tc>
        <w:tc>
          <w:tcPr>
            <w:tcW w:w="420" w:type="dxa"/>
            <w:vAlign w:val="bottom"/>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UK</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MH</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RV</w:t>
            </w:r>
          </w:p>
        </w:tc>
        <w:tc>
          <w:tcPr>
            <w:tcW w:w="140" w:type="dxa"/>
            <w:vAlign w:val="bottom"/>
          </w:tcPr>
          <w:p>
            <w:pPr>
              <w:spacing w:after="0"/>
              <w:rPr>
                <w:sz w:val="13"/>
                <w:szCs w:val="13"/>
                <w:color w:val="auto"/>
              </w:rPr>
            </w:pPr>
          </w:p>
        </w:tc>
        <w:tc>
          <w:tcPr>
            <w:tcW w:w="500" w:type="dxa"/>
            <w:vAlign w:val="bottom"/>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UK</w:t>
            </w:r>
          </w:p>
        </w:tc>
        <w:tc>
          <w:tcPr>
            <w:tcW w:w="100" w:type="dxa"/>
            <w:vAlign w:val="bottom"/>
          </w:tcPr>
          <w:p>
            <w:pPr>
              <w:spacing w:after="0"/>
              <w:rPr>
                <w:sz w:val="13"/>
                <w:szCs w:val="13"/>
                <w:color w:val="auto"/>
              </w:rPr>
            </w:pPr>
          </w:p>
        </w:tc>
        <w:tc>
          <w:tcPr>
            <w:tcW w:w="440" w:type="dxa"/>
            <w:vAlign w:val="bottom"/>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MH</w:t>
            </w:r>
          </w:p>
        </w:tc>
        <w:tc>
          <w:tcPr>
            <w:tcW w:w="140" w:type="dxa"/>
            <w:vAlign w:val="bottom"/>
          </w:tcPr>
          <w:p>
            <w:pPr>
              <w:spacing w:after="0"/>
              <w:rPr>
                <w:sz w:val="13"/>
                <w:szCs w:val="13"/>
                <w:color w:val="auto"/>
              </w:rPr>
            </w:pP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RV</w:t>
            </w:r>
          </w:p>
        </w:tc>
        <w:tc>
          <w:tcPr>
            <w:tcW w:w="140" w:type="dxa"/>
            <w:vAlign w:val="bottom"/>
          </w:tcPr>
          <w:p>
            <w:pPr>
              <w:spacing w:after="0"/>
              <w:rPr>
                <w:sz w:val="13"/>
                <w:szCs w:val="13"/>
                <w:color w:val="auto"/>
              </w:rPr>
            </w:pPr>
          </w:p>
        </w:tc>
        <w:tc>
          <w:tcPr>
            <w:tcW w:w="420" w:type="dxa"/>
            <w:vAlign w:val="bottom"/>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UK</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44"/>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Revenue</w:t>
            </w:r>
          </w:p>
        </w:tc>
        <w:tc>
          <w:tcPr>
            <w:tcW w:w="1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r>
      <w:tr>
        <w:trPr>
          <w:trHeight w:val="158"/>
        </w:trPr>
        <w:tc>
          <w:tcPr>
            <w:tcW w:w="36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Income from real property</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1,012.5</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337.2</w:t>
            </w:r>
          </w:p>
        </w:tc>
        <w:tc>
          <w:tcPr>
            <w:tcW w:w="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133.3</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956.2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318.8</w:t>
            </w:r>
          </w:p>
        </w:tc>
        <w:tc>
          <w:tcPr>
            <w:tcW w:w="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132.2</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906.1</w:t>
            </w:r>
          </w:p>
        </w:tc>
        <w:tc>
          <w:tcPr>
            <w:tcW w:w="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287.1</w:t>
            </w:r>
          </w:p>
        </w:tc>
        <w:tc>
          <w:tcPr>
            <w:tcW w:w="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114.2</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6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Income from real property - transient</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229.4</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52.4</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249.7</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277.3</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42.1</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r>
      <w:tr>
        <w:trPr>
          <w:trHeight w:val="158"/>
        </w:trPr>
        <w:tc>
          <w:tcPr>
            <w:tcW w:w="36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Home sales</w:t>
            </w: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23.5</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193.4</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188.8</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45.2</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6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Ancillary</w:t>
            </w:r>
          </w:p>
        </w:tc>
        <w:tc>
          <w:tcPr>
            <w:tcW w:w="1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78.5</w:t>
            </w:r>
          </w:p>
        </w:tc>
        <w:tc>
          <w:tcPr>
            <w:tcW w:w="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48.1</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81.0</w:t>
            </w:r>
          </w:p>
        </w:tc>
        <w:tc>
          <w:tcPr>
            <w:tcW w:w="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43.9</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89.2</w:t>
            </w:r>
          </w:p>
        </w:tc>
        <w:tc>
          <w:tcPr>
            <w:tcW w:w="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r>
      <w:tr>
        <w:trPr>
          <w:trHeight w:val="150"/>
        </w:trPr>
        <w:tc>
          <w:tcPr>
            <w:tcW w:w="366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Total Operating Revenues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1,137.8</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668.6</w:t>
            </w:r>
          </w:p>
        </w:tc>
        <w:tc>
          <w:tcPr>
            <w:tcW w:w="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427.2</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2,233.6</w:t>
            </w:r>
          </w:p>
        </w:tc>
        <w:tc>
          <w:tcPr>
            <w:tcW w:w="1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1,114.9</w:t>
            </w:r>
          </w:p>
        </w:tc>
        <w:tc>
          <w:tcPr>
            <w:tcW w:w="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680.7</w:t>
            </w:r>
          </w:p>
        </w:tc>
        <w:tc>
          <w:tcPr>
            <w:tcW w:w="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409.9</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2,205.5</w:t>
            </w:r>
          </w:p>
        </w:tc>
        <w:tc>
          <w:tcPr>
            <w:tcW w:w="1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1,104.5</w:t>
            </w:r>
          </w:p>
        </w:tc>
        <w:tc>
          <w:tcPr>
            <w:tcW w:w="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698.8</w:t>
            </w:r>
          </w:p>
        </w:tc>
        <w:tc>
          <w:tcPr>
            <w:tcW w:w="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382.4</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2,185.7</w:t>
            </w:r>
          </w:p>
        </w:tc>
      </w:tr>
      <w:tr>
        <w:trPr>
          <w:trHeight w:val="189"/>
        </w:trPr>
        <w:tc>
          <w:tcPr>
            <w:tcW w:w="3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r>
      <w:tr>
        <w:trPr>
          <w:trHeight w:val="160"/>
        </w:trPr>
        <w:tc>
          <w:tcPr>
            <w:tcW w:w="36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Expenses</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64"/>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Payroll - real property</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90.1</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30.7</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92.4</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29.4</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96.4</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r>
      <w:tr>
        <w:trPr>
          <w:trHeight w:val="158"/>
        </w:trPr>
        <w:tc>
          <w:tcPr>
            <w:tcW w:w="36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Utilities - real property</w:t>
            </w: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73.1</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32.2</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69.6</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30.6</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67.8</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27.3</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6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Legal, taxes, and insurance - real property</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r>
      <w:tr>
        <w:trPr>
          <w:trHeight w:val="158"/>
        </w:trPr>
        <w:tc>
          <w:tcPr>
            <w:tcW w:w="36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Supplies and repairs - real property</w:t>
            </w: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28.5</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6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Other expenses - real property</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43.9</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41.5</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34.7</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r>
      <w:tr>
        <w:trPr>
          <w:trHeight w:val="158"/>
        </w:trPr>
        <w:tc>
          <w:tcPr>
            <w:tcW w:w="36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Real estate taxes - real property</w:t>
            </w: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28.4</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26.5</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23.8</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6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Home sales - Cost of sales</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123.5</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107.5</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107.6</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r>
      <w:tr>
        <w:trPr>
          <w:trHeight w:val="158"/>
        </w:trPr>
        <w:tc>
          <w:tcPr>
            <w:tcW w:w="36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Ancillary - Cost of goods sold</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66"/>
        </w:trPr>
        <w:tc>
          <w:tcPr>
            <w:tcW w:w="3660" w:type="dxa"/>
            <w:vAlign w:val="bottom"/>
            <w:shd w:val="clear" w:color="auto" w:fill="CCEEFF"/>
          </w:tcPr>
          <w:p>
            <w:pPr>
              <w:ind w:left="100"/>
              <w:spacing w:after="0" w:line="166" w:lineRule="exact"/>
              <w:rPr>
                <w:sz w:val="20"/>
                <w:szCs w:val="20"/>
                <w:color w:val="auto"/>
              </w:rPr>
            </w:pPr>
            <w:r>
              <w:rPr>
                <w:rFonts w:ascii="Times New Roman" w:cs="Times New Roman" w:eastAsia="Times New Roman" w:hAnsi="Times New Roman"/>
                <w:sz w:val="12"/>
                <w:szCs w:val="12"/>
                <w:color w:val="auto"/>
              </w:rPr>
              <w:t>Other segment items</w:t>
            </w:r>
            <w:r>
              <w:rPr>
                <w:rFonts w:ascii="Times New Roman" w:cs="Times New Roman" w:eastAsia="Times New Roman" w:hAnsi="Times New Roman"/>
                <w:sz w:val="15"/>
                <w:szCs w:val="15"/>
                <w:color w:val="auto"/>
                <w:vertAlign w:val="superscript"/>
              </w:rPr>
              <w:t>(1)</w:t>
            </w:r>
          </w:p>
        </w:tc>
        <w:tc>
          <w:tcPr>
            <w:tcW w:w="1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107.5</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70.7</w:t>
            </w:r>
          </w:p>
        </w:tc>
        <w:tc>
          <w:tcPr>
            <w:tcW w:w="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51.3</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133.3</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77.6</w:t>
            </w:r>
          </w:p>
        </w:tc>
        <w:tc>
          <w:tcPr>
            <w:tcW w:w="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47.9</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155.1</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93.0</w:t>
            </w:r>
          </w:p>
        </w:tc>
        <w:tc>
          <w:tcPr>
            <w:tcW w:w="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43.8</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r>
      <w:tr>
        <w:trPr>
          <w:trHeight w:val="150"/>
        </w:trPr>
        <w:tc>
          <w:tcPr>
            <w:tcW w:w="366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Total NOI</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708.5</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317.7</w:t>
            </w:r>
          </w:p>
        </w:tc>
        <w:tc>
          <w:tcPr>
            <w:tcW w:w="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130.6</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1,156.8</w:t>
            </w:r>
          </w:p>
        </w:tc>
        <w:tc>
          <w:tcPr>
            <w:tcW w:w="1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667.5</w:t>
            </w:r>
          </w:p>
        </w:tc>
        <w:tc>
          <w:tcPr>
            <w:tcW w:w="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327.5</w:t>
            </w:r>
          </w:p>
        </w:tc>
        <w:tc>
          <w:tcPr>
            <w:tcW w:w="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140.7</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1,135.7</w:t>
            </w:r>
          </w:p>
        </w:tc>
        <w:tc>
          <w:tcPr>
            <w:tcW w:w="1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652.4</w:t>
            </w:r>
          </w:p>
        </w:tc>
        <w:tc>
          <w:tcPr>
            <w:tcW w:w="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340.8</w:t>
            </w:r>
          </w:p>
        </w:tc>
        <w:tc>
          <w:tcPr>
            <w:tcW w:w="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127.0</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1,120.2</w:t>
            </w:r>
          </w:p>
        </w:tc>
      </w:tr>
      <w:tr>
        <w:trPr>
          <w:trHeight w:val="189"/>
        </w:trPr>
        <w:tc>
          <w:tcPr>
            <w:tcW w:w="3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r>
      <w:tr>
        <w:trPr>
          <w:trHeight w:val="160"/>
        </w:trPr>
        <w:tc>
          <w:tcPr>
            <w:tcW w:w="36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Adjustments to arrive at net income</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64"/>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Interest income</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48.5</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44.8</w:t>
            </w:r>
          </w:p>
        </w:tc>
      </w:tr>
      <w:tr>
        <w:trPr>
          <w:trHeight w:val="158"/>
        </w:trPr>
        <w:tc>
          <w:tcPr>
            <w:tcW w:w="36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Brokerage commissions and other revenues, net</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34.9</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53.6</w:t>
            </w:r>
          </w:p>
        </w:tc>
      </w:tr>
      <w:tr>
        <w:trPr>
          <w:trHeight w:val="166"/>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General and administrative expense</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(236.7)</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(230.5)</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(213.5)</w:t>
            </w:r>
          </w:p>
        </w:tc>
      </w:tr>
      <w:tr>
        <w:trPr>
          <w:trHeight w:val="158"/>
        </w:trPr>
        <w:tc>
          <w:tcPr>
            <w:tcW w:w="36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Catastrophic event-related charges, net</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(23.6)</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r>
      <w:tr>
        <w:trPr>
          <w:trHeight w:val="166"/>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Business combination expense, net</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w:t>
            </w:r>
          </w:p>
        </w:tc>
      </w:tr>
      <w:tr>
        <w:trPr>
          <w:trHeight w:val="158"/>
        </w:trPr>
        <w:tc>
          <w:tcPr>
            <w:tcW w:w="36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(507.9)</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(490.5)</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(494.1)</w:t>
            </w:r>
          </w:p>
        </w:tc>
      </w:tr>
      <w:tr>
        <w:trPr>
          <w:trHeight w:val="166"/>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Asset impairments</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(386.7)</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(66.7)</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w:t>
            </w:r>
          </w:p>
        </w:tc>
      </w:tr>
      <w:tr>
        <w:trPr>
          <w:trHeight w:val="158"/>
        </w:trPr>
        <w:tc>
          <w:tcPr>
            <w:tcW w:w="36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Goodwill impairment</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(180.8)</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(369.9)</w:t>
            </w:r>
          </w:p>
        </w:tc>
      </w:tr>
      <w:tr>
        <w:trPr>
          <w:trHeight w:val="166"/>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Loss on extinguishment of debt</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8"/>
        </w:trPr>
        <w:tc>
          <w:tcPr>
            <w:tcW w:w="36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Interest expense</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(221.0)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(350.3)</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(325.7)</w:t>
            </w:r>
          </w:p>
        </w:tc>
      </w:tr>
      <w:tr>
        <w:trPr>
          <w:trHeight w:val="166"/>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Interest on mandatorily redeemable preferred OP units / equity</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w:t>
            </w:r>
          </w:p>
        </w:tc>
      </w:tr>
      <w:tr>
        <w:trPr>
          <w:trHeight w:val="158"/>
        </w:trPr>
        <w:tc>
          <w:tcPr>
            <w:tcW w:w="36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Loss on remeasurement of marketable securities</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w:t>
            </w:r>
          </w:p>
        </w:tc>
      </w:tr>
      <w:tr>
        <w:trPr>
          <w:trHeight w:val="166"/>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Gain / (loss) on foreign currency exchanges</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26.7</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(25.8)</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w:t>
            </w:r>
          </w:p>
        </w:tc>
      </w:tr>
      <w:tr>
        <w:trPr>
          <w:trHeight w:val="158"/>
        </w:trPr>
        <w:tc>
          <w:tcPr>
            <w:tcW w:w="36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Gain on dispositions of properties, net</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202.9</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w:t>
            </w:r>
          </w:p>
        </w:tc>
      </w:tr>
      <w:tr>
        <w:trPr>
          <w:trHeight w:val="166"/>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income / (expense), net</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133.9</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w:t>
            </w:r>
          </w:p>
        </w:tc>
      </w:tr>
    </w:tbl>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87" w:name="page88"/>
    <w:bookmarkEnd w:id="87"/>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200" w:lineRule="exact"/>
        <w:rPr>
          <w:sz w:val="20"/>
          <w:szCs w:val="20"/>
          <w:color w:val="auto"/>
        </w:rPr>
      </w:pPr>
    </w:p>
    <w:p>
      <w:pPr>
        <w:spacing w:after="0" w:line="389" w:lineRule="exact"/>
        <w:rPr>
          <w:sz w:val="20"/>
          <w:szCs w:val="20"/>
          <w:color w:val="auto"/>
        </w:rPr>
      </w:pPr>
    </w:p>
    <w:tbl>
      <w:tblPr>
        <w:tblLayout w:type="fixed"/>
        <w:tblInd w:w="7" w:type="dxa"/>
        <w:tblCellMar>
          <w:top w:w="0" w:type="dxa"/>
          <w:left w:w="0" w:type="dxa"/>
          <w:bottom w:w="0" w:type="dxa"/>
          <w:right w:w="0" w:type="dxa"/>
        </w:tblCellMar>
      </w:tblPr>
      <w:tr>
        <w:trPr>
          <w:trHeight w:val="160"/>
        </w:trPr>
        <w:tc>
          <w:tcPr>
            <w:tcW w:w="55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Loss on remeasurement of notes receivable</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2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(36.4)</w:t>
            </w:r>
          </w:p>
        </w:tc>
        <w:tc>
          <w:tcPr>
            <w:tcW w:w="20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(106.7)</w:t>
            </w:r>
          </w:p>
        </w:tc>
      </w:tr>
      <w:tr>
        <w:trPr>
          <w:trHeight w:val="167"/>
        </w:trPr>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Income from nonconsolidated affiliates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w:t>
            </w:r>
          </w:p>
        </w:tc>
        <w:tc>
          <w:tcPr>
            <w:tcW w:w="2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w:t>
            </w:r>
          </w:p>
        </w:tc>
        <w:tc>
          <w:tcPr>
            <w:tcW w:w="20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w:t>
            </w:r>
          </w:p>
        </w:tc>
      </w:tr>
      <w:tr>
        <w:trPr>
          <w:trHeight w:val="158"/>
        </w:trPr>
        <w:tc>
          <w:tcPr>
            <w:tcW w:w="55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Gain / (loss) on remeasurement of investment in nonconsolidated affiliates</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2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20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r>
      <w:tr>
        <w:trPr>
          <w:trHeight w:val="166"/>
        </w:trPr>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Current tax expense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w:t>
            </w:r>
          </w:p>
        </w:tc>
        <w:tc>
          <w:tcPr>
            <w:tcW w:w="2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20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w:t>
            </w:r>
          </w:p>
        </w:tc>
      </w:tr>
      <w:tr>
        <w:trPr>
          <w:trHeight w:val="158"/>
        </w:trPr>
        <w:tc>
          <w:tcPr>
            <w:tcW w:w="5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Deferred tax benefit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60.0</w:t>
            </w:r>
          </w:p>
        </w:tc>
        <w:tc>
          <w:tcPr>
            <w:tcW w:w="20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39.6</w:t>
            </w:r>
          </w:p>
        </w:tc>
        <w:tc>
          <w:tcPr>
            <w:tcW w:w="202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22.9</w:t>
            </w:r>
          </w:p>
        </w:tc>
      </w:tr>
      <w:tr>
        <w:trPr>
          <w:trHeight w:val="157"/>
        </w:trPr>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Net Income / (Loss) from Continuing Operations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20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32.9</w:t>
            </w:r>
          </w:p>
        </w:tc>
        <w:tc>
          <w:tcPr>
            <w:tcW w:w="20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(291.4)</w:t>
            </w:r>
          </w:p>
        </w:tc>
      </w:tr>
      <w:tr>
        <w:trPr>
          <w:trHeight w:val="158"/>
        </w:trPr>
        <w:tc>
          <w:tcPr>
            <w:tcW w:w="5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Income from discontinued operations, net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1,429.6</w:t>
            </w:r>
          </w:p>
        </w:tc>
        <w:tc>
          <w:tcPr>
            <w:tcW w:w="20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74.2</w:t>
            </w:r>
          </w:p>
        </w:tc>
        <w:tc>
          <w:tcPr>
            <w:tcW w:w="202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82.3</w:t>
            </w:r>
          </w:p>
        </w:tc>
      </w:tr>
      <w:tr>
        <w:trPr>
          <w:trHeight w:val="157"/>
        </w:trPr>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Net Income / (Loss)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1,430.2</w:t>
            </w:r>
          </w:p>
        </w:tc>
        <w:tc>
          <w:tcPr>
            <w:tcW w:w="20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107.1</w:t>
            </w:r>
          </w:p>
        </w:tc>
        <w:tc>
          <w:tcPr>
            <w:tcW w:w="20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(209.1)</w:t>
            </w:r>
          </w:p>
        </w:tc>
      </w:tr>
      <w:tr>
        <w:trPr>
          <w:trHeight w:val="158"/>
        </w:trPr>
        <w:tc>
          <w:tcPr>
            <w:tcW w:w="554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Less: Preferred return to preferred OP units / equity interests</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w:t>
            </w:r>
          </w:p>
        </w:tc>
        <w:tc>
          <w:tcPr>
            <w:tcW w:w="2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w:t>
            </w:r>
          </w:p>
        </w:tc>
        <w:tc>
          <w:tcPr>
            <w:tcW w:w="20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w:t>
            </w:r>
          </w:p>
        </w:tc>
      </w:tr>
      <w:tr>
        <w:trPr>
          <w:trHeight w:val="166"/>
        </w:trPr>
        <w:tc>
          <w:tcPr>
            <w:tcW w:w="5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Less: Income / (loss) attributable to noncontrolling interests</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56.4</w:t>
            </w:r>
          </w:p>
        </w:tc>
        <w:tc>
          <w:tcPr>
            <w:tcW w:w="20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202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w:t>
            </w:r>
          </w:p>
        </w:tc>
      </w:tr>
      <w:tr>
        <w:trPr>
          <w:trHeight w:val="154"/>
        </w:trPr>
        <w:tc>
          <w:tcPr>
            <w:tcW w:w="55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Net Income / (Loss) Attributable to SUI Common Shareholders</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$ 1,361.2</w:t>
            </w:r>
          </w:p>
        </w:tc>
        <w:tc>
          <w:tcPr>
            <w:tcW w:w="2000" w:type="dxa"/>
            <w:vAlign w:val="bottom"/>
          </w:tcPr>
          <w:p>
            <w:pPr>
              <w:spacing w:after="0"/>
              <w:rPr>
                <w:sz w:val="13"/>
                <w:szCs w:val="13"/>
                <w:color w:val="auto"/>
              </w:rPr>
            </w:pPr>
          </w:p>
        </w:tc>
        <w:tc>
          <w:tcPr>
            <w:tcW w:w="1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89.0</w:t>
            </w:r>
          </w:p>
        </w:tc>
        <w:tc>
          <w:tcPr>
            <w:tcW w:w="2020" w:type="dxa"/>
            <w:vAlign w:val="bottom"/>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(213.3)</w:t>
            </w:r>
          </w:p>
        </w:tc>
      </w:tr>
      <w:tr>
        <w:trPr>
          <w:trHeight w:val="20"/>
        </w:trPr>
        <w:tc>
          <w:tcPr>
            <w:tcW w:w="55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127" w:hanging="127"/>
        <w:spacing w:after="0"/>
        <w:tabs>
          <w:tab w:leader="none" w:pos="127" w:val="left"/>
        </w:tabs>
        <w:numPr>
          <w:ilvl w:val="0"/>
          <w:numId w:val="5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Other segment items for each reportable segment include:</w:t>
      </w:r>
    </w:p>
    <w:p>
      <w:pPr>
        <w:spacing w:after="0" w:line="4" w:lineRule="exact"/>
        <w:rPr>
          <w:rFonts w:ascii="Times New Roman" w:cs="Times New Roman" w:eastAsia="Times New Roman" w:hAnsi="Times New Roman"/>
          <w:sz w:val="16"/>
          <w:szCs w:val="16"/>
          <w:color w:val="auto"/>
          <w:vertAlign w:val="superscript"/>
        </w:rPr>
      </w:pPr>
    </w:p>
    <w:p>
      <w:pPr>
        <w:ind w:left="147"/>
        <w:spacing w:after="0"/>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b w:val="1"/>
          <w:bCs w:val="1"/>
          <w:color w:val="auto"/>
        </w:rPr>
        <w:t xml:space="preserve">MH and RV </w:t>
      </w:r>
      <w:r>
        <w:rPr>
          <w:rFonts w:ascii="Times New Roman" w:cs="Times New Roman" w:eastAsia="Times New Roman" w:hAnsi="Times New Roman"/>
          <w:sz w:val="12"/>
          <w:szCs w:val="12"/>
          <w:color w:val="auto"/>
        </w:rPr>
        <w:t>– costs related to home sales and ancillary, specifically payroll, utilities, legal, taxes and insurance, supplies and repairs, and other expenses.</w:t>
      </w:r>
    </w:p>
    <w:p>
      <w:pPr>
        <w:spacing w:after="0" w:line="7" w:lineRule="exact"/>
        <w:rPr>
          <w:rFonts w:ascii="Times New Roman" w:cs="Times New Roman" w:eastAsia="Times New Roman" w:hAnsi="Times New Roman"/>
          <w:sz w:val="16"/>
          <w:szCs w:val="16"/>
          <w:color w:val="auto"/>
          <w:vertAlign w:val="superscript"/>
        </w:rPr>
      </w:pPr>
    </w:p>
    <w:p>
      <w:pPr>
        <w:ind w:left="147"/>
        <w:spacing w:after="0"/>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b w:val="1"/>
          <w:bCs w:val="1"/>
          <w:color w:val="auto"/>
        </w:rPr>
        <w:t xml:space="preserve">UK </w:t>
      </w:r>
      <w:r>
        <w:rPr>
          <w:rFonts w:ascii="Times New Roman" w:cs="Times New Roman" w:eastAsia="Times New Roman" w:hAnsi="Times New Roman"/>
          <w:sz w:val="12"/>
          <w:szCs w:val="12"/>
          <w:color w:val="auto"/>
        </w:rPr>
        <w:t>– other costs related to home sales and ancillary, specifically home sales commission expense, payroll, utilities, legal, taxes, and insurance, supplies and repairs, and other expenses.</w:t>
      </w:r>
    </w:p>
    <w:p>
      <w:pPr>
        <w:spacing w:after="0" w:line="8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Our total assets by segment and by principal geographical area were as follows (in millions):</w:t>
      </w:r>
    </w:p>
    <w:p>
      <w:pPr>
        <w:spacing w:after="0" w:line="138" w:lineRule="exact"/>
        <w:rPr>
          <w:sz w:val="20"/>
          <w:szCs w:val="20"/>
          <w:color w:val="auto"/>
        </w:rPr>
      </w:pPr>
    </w:p>
    <w:tbl>
      <w:tblPr>
        <w:tblLayout w:type="fixed"/>
        <w:tblInd w:w="7" w:type="dxa"/>
        <w:tblCellMar>
          <w:top w:w="0" w:type="dxa"/>
          <w:left w:w="0" w:type="dxa"/>
          <w:bottom w:w="0" w:type="dxa"/>
          <w:right w:w="0" w:type="dxa"/>
        </w:tblCellMar>
      </w:tblPr>
      <w:tr>
        <w:trPr>
          <w:trHeight w:val="176"/>
        </w:trPr>
        <w:tc>
          <w:tcPr>
            <w:tcW w:w="4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5"/>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r>
      <w:tr>
        <w:trPr>
          <w:trHeight w:val="168"/>
        </w:trPr>
        <w:tc>
          <w:tcPr>
            <w:tcW w:w="4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MH</w:t>
            </w:r>
          </w:p>
        </w:tc>
        <w:tc>
          <w:tcPr>
            <w:tcW w:w="200" w:type="dxa"/>
            <w:vAlign w:val="bottom"/>
          </w:tcPr>
          <w:p>
            <w:pPr>
              <w:spacing w:after="0"/>
              <w:rPr>
                <w:sz w:val="14"/>
                <w:szCs w:val="14"/>
                <w:color w:val="auto"/>
              </w:rPr>
            </w:pP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RV</w:t>
            </w:r>
          </w:p>
        </w:tc>
        <w:tc>
          <w:tcPr>
            <w:tcW w:w="180" w:type="dxa"/>
            <w:vAlign w:val="bottom"/>
          </w:tcPr>
          <w:p>
            <w:pPr>
              <w:spacing w:after="0"/>
              <w:rPr>
                <w:sz w:val="14"/>
                <w:szCs w:val="14"/>
                <w:color w:val="auto"/>
              </w:rPr>
            </w:pPr>
          </w:p>
        </w:tc>
        <w:tc>
          <w:tcPr>
            <w:tcW w:w="70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UK</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MH</w:t>
            </w:r>
          </w:p>
        </w:tc>
        <w:tc>
          <w:tcPr>
            <w:tcW w:w="200" w:type="dxa"/>
            <w:vAlign w:val="bottom"/>
          </w:tcPr>
          <w:p>
            <w:pPr>
              <w:spacing w:after="0"/>
              <w:rPr>
                <w:sz w:val="14"/>
                <w:szCs w:val="14"/>
                <w:color w:val="auto"/>
              </w:rPr>
            </w:pP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RV</w:t>
            </w:r>
          </w:p>
        </w:tc>
        <w:tc>
          <w:tcPr>
            <w:tcW w:w="180" w:type="dxa"/>
            <w:vAlign w:val="bottom"/>
          </w:tcPr>
          <w:p>
            <w:pPr>
              <w:spacing w:after="0"/>
              <w:rPr>
                <w:sz w:val="14"/>
                <w:szCs w:val="14"/>
                <w:color w:val="auto"/>
              </w:rPr>
            </w:pP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UK</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Consolidated</w:t>
            </w:r>
          </w:p>
        </w:tc>
      </w:tr>
      <w:tr>
        <w:trPr>
          <w:trHeight w:val="166"/>
        </w:trPr>
        <w:tc>
          <w:tcPr>
            <w:tcW w:w="4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Identifiable Assets</w:t>
            </w:r>
          </w:p>
        </w:tc>
        <w:tc>
          <w:tcPr>
            <w:tcW w:w="1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r>
      <w:tr>
        <w:trPr>
          <w:trHeight w:val="172"/>
        </w:trPr>
        <w:tc>
          <w:tcPr>
            <w:tcW w:w="41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Investment property, net</w:t>
            </w: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5,279.4</w:t>
            </w:r>
          </w:p>
        </w:tc>
        <w:tc>
          <w:tcPr>
            <w:tcW w:w="60" w:type="dxa"/>
            <w:vAlign w:val="bottom"/>
          </w:tcPr>
          <w:p>
            <w:pPr>
              <w:spacing w:after="0"/>
              <w:rPr>
                <w:sz w:val="14"/>
                <w:szCs w:val="14"/>
                <w:color w:val="auto"/>
              </w:rPr>
            </w:pP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3,339.1</w:t>
            </w:r>
          </w:p>
        </w:tc>
        <w:tc>
          <w:tcPr>
            <w:tcW w:w="80" w:type="dxa"/>
            <w:vAlign w:val="bottom"/>
          </w:tcPr>
          <w:p>
            <w:pPr>
              <w:spacing w:after="0"/>
              <w:rPr>
                <w:sz w:val="14"/>
                <w:szCs w:val="14"/>
                <w:color w:val="auto"/>
              </w:rPr>
            </w:pP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2,283.2</w:t>
            </w:r>
          </w:p>
        </w:tc>
        <w:tc>
          <w:tcPr>
            <w:tcW w:w="60" w:type="dxa"/>
            <w:vAlign w:val="bottom"/>
          </w:tcPr>
          <w:p>
            <w:pPr>
              <w:spacing w:after="0"/>
              <w:rPr>
                <w:sz w:val="14"/>
                <w:szCs w:val="14"/>
                <w:color w:val="auto"/>
              </w:rPr>
            </w:pP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10,901.7</w:t>
            </w:r>
          </w:p>
        </w:tc>
        <w:tc>
          <w:tcPr>
            <w:tcW w:w="140" w:type="dxa"/>
            <w:vAlign w:val="bottom"/>
          </w:tcPr>
          <w:p>
            <w:pPr>
              <w:spacing w:after="0"/>
              <w:rPr>
                <w:sz w:val="14"/>
                <w:szCs w:val="14"/>
                <w:color w:val="auto"/>
              </w:rPr>
            </w:pP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5,114.7</w:t>
            </w:r>
          </w:p>
        </w:tc>
        <w:tc>
          <w:tcPr>
            <w:tcW w:w="80" w:type="dxa"/>
            <w:vAlign w:val="bottom"/>
          </w:tcPr>
          <w:p>
            <w:pPr>
              <w:spacing w:after="0"/>
              <w:rPr>
                <w:sz w:val="14"/>
                <w:szCs w:val="14"/>
                <w:color w:val="auto"/>
              </w:rPr>
            </w:pP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3,505.8</w:t>
            </w:r>
          </w:p>
        </w:tc>
        <w:tc>
          <w:tcPr>
            <w:tcW w:w="80" w:type="dxa"/>
            <w:vAlign w:val="bottom"/>
          </w:tcPr>
          <w:p>
            <w:pPr>
              <w:spacing w:after="0"/>
              <w:rPr>
                <w:sz w:val="14"/>
                <w:szCs w:val="14"/>
                <w:color w:val="auto"/>
              </w:rPr>
            </w:pP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2,244.6</w:t>
            </w:r>
          </w:p>
        </w:tc>
        <w:tc>
          <w:tcPr>
            <w:tcW w:w="60" w:type="dxa"/>
            <w:vAlign w:val="bottom"/>
          </w:tcPr>
          <w:p>
            <w:pPr>
              <w:spacing w:after="0"/>
              <w:rPr>
                <w:sz w:val="14"/>
                <w:szCs w:val="14"/>
                <w:color w:val="auto"/>
              </w:rPr>
            </w:pP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10,865.1</w:t>
            </w:r>
          </w:p>
        </w:tc>
      </w:tr>
      <w:tr>
        <w:trPr>
          <w:trHeight w:val="175"/>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Cash, cash equivalents and restricted cash</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400.2</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636.1</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57.1</w:t>
            </w:r>
          </w:p>
        </w:tc>
      </w:tr>
      <w:tr>
        <w:trPr>
          <w:trHeight w:val="172"/>
        </w:trPr>
        <w:tc>
          <w:tcPr>
            <w:tcW w:w="41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Inventory of manufactured homes</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65.7</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58.2</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142.9</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62.1</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129.8</w:t>
            </w:r>
          </w:p>
        </w:tc>
      </w:tr>
      <w:tr>
        <w:trPr>
          <w:trHeight w:val="175"/>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Notes and other receivables, net</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199.6</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71.5</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332.1</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75.3</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430.1</w:t>
            </w:r>
          </w:p>
        </w:tc>
      </w:tr>
      <w:tr>
        <w:trPr>
          <w:trHeight w:val="172"/>
        </w:trPr>
        <w:tc>
          <w:tcPr>
            <w:tcW w:w="41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Collateralized receivables, net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43.2</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43.2</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51.2</w:t>
            </w:r>
          </w:p>
        </w:tc>
      </w:tr>
      <w:tr>
        <w:trPr>
          <w:trHeight w:val="175"/>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Goodwill</w:t>
            </w:r>
          </w:p>
        </w:tc>
        <w:tc>
          <w:tcPr>
            <w:tcW w:w="1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r>
      <w:tr>
        <w:trPr>
          <w:trHeight w:val="172"/>
        </w:trPr>
        <w:tc>
          <w:tcPr>
            <w:tcW w:w="41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Other intangible assets, net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64.8</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101.5</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66.7</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102.5</w:t>
            </w:r>
          </w:p>
        </w:tc>
      </w:tr>
      <w:tr>
        <w:trPr>
          <w:trHeight w:val="175"/>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assets, net</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273.3</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355.9</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144.3</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442.4</w:t>
            </w:r>
          </w:p>
        </w:tc>
      </w:tr>
      <w:tr>
        <w:trPr>
          <w:trHeight w:val="172"/>
        </w:trPr>
        <w:tc>
          <w:tcPr>
            <w:tcW w:w="41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Assets held for sale and discontinued operations, net</w:t>
            </w:r>
          </w:p>
        </w:tc>
        <w:tc>
          <w:tcPr>
            <w:tcW w:w="1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4,461.7</w:t>
            </w:r>
          </w:p>
        </w:tc>
      </w:tr>
      <w:tr>
        <w:trPr>
          <w:trHeight w:val="192"/>
        </w:trPr>
        <w:tc>
          <w:tcPr>
            <w:tcW w:w="4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8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6,272.0</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3,697.1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2,553.8</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12,522.9</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5,754.6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3,779.2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2,601.1</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16,549.4</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tbl>
      <w:tblPr>
        <w:tblLayout w:type="fixed"/>
        <w:tblInd w:w="7" w:type="dxa"/>
        <w:tblCellMar>
          <w:top w:w="0" w:type="dxa"/>
          <w:left w:w="0" w:type="dxa"/>
          <w:bottom w:w="0" w:type="dxa"/>
          <w:right w:w="0" w:type="dxa"/>
        </w:tblCellMar>
      </w:tblPr>
      <w:tr>
        <w:trPr>
          <w:trHeight w:val="176"/>
        </w:trPr>
        <w:tc>
          <w:tcPr>
            <w:tcW w:w="73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920" w:type="dxa"/>
            <w:vAlign w:val="bottom"/>
            <w:tcBorders>
              <w:bottom w:val="single" w:sz="8" w:color="auto"/>
            </w:tcBorders>
          </w:tcPr>
          <w:p>
            <w:pPr>
              <w:spacing w:after="0"/>
              <w:rPr>
                <w:sz w:val="15"/>
                <w:szCs w:val="15"/>
                <w:color w:val="auto"/>
              </w:rPr>
            </w:pPr>
          </w:p>
        </w:tc>
      </w:tr>
      <w:tr>
        <w:trPr>
          <w:trHeight w:val="168"/>
        </w:trPr>
        <w:tc>
          <w:tcPr>
            <w:tcW w:w="7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4"/>
                <w:szCs w:val="14"/>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 of Total</w:t>
            </w:r>
          </w:p>
        </w:tc>
        <w:tc>
          <w:tcPr>
            <w:tcW w:w="180" w:type="dxa"/>
            <w:vAlign w:val="bottom"/>
          </w:tcPr>
          <w:p>
            <w:pPr>
              <w:spacing w:after="0"/>
              <w:rPr>
                <w:sz w:val="14"/>
                <w:szCs w:val="14"/>
                <w:color w:val="auto"/>
              </w:rPr>
            </w:pPr>
          </w:p>
        </w:tc>
        <w:tc>
          <w:tcPr>
            <w:tcW w:w="640" w:type="dxa"/>
            <w:vAlign w:val="bottom"/>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2024</w:t>
            </w:r>
          </w:p>
        </w:tc>
        <w:tc>
          <w:tcPr>
            <w:tcW w:w="60" w:type="dxa"/>
            <w:vAlign w:val="bottom"/>
          </w:tcPr>
          <w:p>
            <w:pPr>
              <w:spacing w:after="0"/>
              <w:rPr>
                <w:sz w:val="14"/>
                <w:szCs w:val="14"/>
                <w:color w:val="auto"/>
              </w:rPr>
            </w:pPr>
          </w:p>
        </w:tc>
        <w:tc>
          <w:tcPr>
            <w:tcW w:w="92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 of Total</w:t>
            </w:r>
          </w:p>
        </w:tc>
      </w:tr>
      <w:tr>
        <w:trPr>
          <w:trHeight w:val="166"/>
        </w:trPr>
        <w:tc>
          <w:tcPr>
            <w:tcW w:w="7360" w:type="dxa"/>
            <w:vAlign w:val="bottom"/>
            <w:tcBorders>
              <w:top w:val="single" w:sz="8" w:color="CCEEFF"/>
            </w:tcBorders>
            <w:shd w:val="clear" w:color="auto" w:fill="CCEEFF"/>
          </w:tcPr>
          <w:p>
            <w:pPr>
              <w:spacing w:after="0" w:line="166" w:lineRule="exact"/>
              <w:rPr>
                <w:sz w:val="20"/>
                <w:szCs w:val="20"/>
                <w:color w:val="auto"/>
              </w:rPr>
            </w:pPr>
            <w:r>
              <w:rPr>
                <w:rFonts w:ascii="Times New Roman" w:cs="Times New Roman" w:eastAsia="Times New Roman" w:hAnsi="Times New Roman"/>
                <w:sz w:val="13"/>
                <w:szCs w:val="13"/>
                <w:color w:val="auto"/>
              </w:rPr>
              <w:t>North America</w:t>
            </w:r>
            <w:r>
              <w:rPr>
                <w:rFonts w:ascii="Times New Roman" w:cs="Times New Roman" w:eastAsia="Times New Roman" w:hAnsi="Times New Roman"/>
                <w:sz w:val="17"/>
                <w:szCs w:val="17"/>
                <w:color w:val="auto"/>
                <w:vertAlign w:val="superscript"/>
              </w:rPr>
              <w:t>(1)</w:t>
            </w:r>
          </w:p>
        </w:tc>
        <w:tc>
          <w:tcPr>
            <w:tcW w:w="1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9,969.1</w:t>
            </w: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79.6 %</w:t>
            </w:r>
          </w:p>
        </w:tc>
        <w:tc>
          <w:tcPr>
            <w:tcW w:w="1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13,948.3</w:t>
            </w:r>
          </w:p>
        </w:tc>
        <w:tc>
          <w:tcPr>
            <w:tcW w:w="6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84.3 %</w:t>
            </w:r>
          </w:p>
        </w:tc>
      </w:tr>
      <w:tr>
        <w:trPr>
          <w:trHeight w:val="172"/>
        </w:trPr>
        <w:tc>
          <w:tcPr>
            <w:tcW w:w="7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United Kingdom</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2,553.8</w:t>
            </w:r>
          </w:p>
        </w:tc>
        <w:tc>
          <w:tcPr>
            <w:tcW w:w="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20.4 %</w:t>
            </w: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2,601.1</w:t>
            </w:r>
          </w:p>
        </w:tc>
        <w:tc>
          <w:tcPr>
            <w:tcW w:w="6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15.7 %</w:t>
            </w:r>
          </w:p>
        </w:tc>
      </w:tr>
      <w:tr>
        <w:trPr>
          <w:trHeight w:val="192"/>
        </w:trPr>
        <w:tc>
          <w:tcPr>
            <w:tcW w:w="7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12,522.9</w:t>
            </w: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16,549.4</w:t>
            </w:r>
          </w:p>
        </w:tc>
        <w:tc>
          <w:tcPr>
            <w:tcW w:w="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ind w:left="147" w:right="20" w:hanging="147"/>
        <w:spacing w:after="0" w:line="231" w:lineRule="auto"/>
        <w:tabs>
          <w:tab w:leader="none" w:pos="145" w:val="left"/>
        </w:tabs>
        <w:numPr>
          <w:ilvl w:val="0"/>
          <w:numId w:val="5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$0.0 million and $4.4 billion of total assets from discontinued operations as of December 31, 2025 and December 31, 2024, respectively. Refer to Note 2, "Assets Held for Sale and Discontinued Operations," for additional information.</w:t>
      </w:r>
    </w:p>
    <w:p>
      <w:pPr>
        <w:spacing w:after="0" w:line="200" w:lineRule="exact"/>
        <w:rPr>
          <w:sz w:val="20"/>
          <w:szCs w:val="20"/>
          <w:color w:val="auto"/>
        </w:rPr>
      </w:pPr>
    </w:p>
    <w:p>
      <w:pPr>
        <w:spacing w:after="0" w:line="2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F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121920</wp:posOffset>
            </wp:positionV>
            <wp:extent cx="7177405" cy="400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121" w:right="319" w:bottom="1440" w:gutter="0" w:footer="0" w:header="0"/>
        </w:sectPr>
      </w:pPr>
    </w:p>
    <w:bookmarkStart w:id="88" w:name="page89"/>
    <w:bookmarkEnd w:id="88"/>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200" w:lineRule="exact"/>
        <w:rPr>
          <w:sz w:val="20"/>
          <w:szCs w:val="20"/>
          <w:color w:val="auto"/>
        </w:rPr>
      </w:pPr>
    </w:p>
    <w:p>
      <w:pPr>
        <w:spacing w:after="0" w:line="35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11. Income Taxes</w:t>
      </w:r>
    </w:p>
    <w:p>
      <w:pPr>
        <w:spacing w:after="0" w:line="109" w:lineRule="exact"/>
        <w:rPr>
          <w:sz w:val="20"/>
          <w:szCs w:val="20"/>
          <w:color w:val="auto"/>
        </w:rPr>
      </w:pPr>
    </w:p>
    <w:p>
      <w:pPr>
        <w:jc w:val="both"/>
        <w:ind w:left="7"/>
        <w:spacing w:after="0" w:line="276" w:lineRule="auto"/>
        <w:rPr>
          <w:sz w:val="20"/>
          <w:szCs w:val="20"/>
          <w:color w:val="auto"/>
        </w:rPr>
      </w:pPr>
      <w:r>
        <w:rPr>
          <w:rFonts w:ascii="Times New Roman" w:cs="Times New Roman" w:eastAsia="Times New Roman" w:hAnsi="Times New Roman"/>
          <w:sz w:val="15"/>
          <w:szCs w:val="15"/>
          <w:color w:val="auto"/>
        </w:rPr>
        <w:t>We have elected to be taxed as a REIT pursuant to Section 856(c) of the Internal Revenue Code of 1986, as amended ("Code"). In order for us to qualify as a REIT, at least 95% of our gross income in any year must be derived from qualifying sources. In addition, a REIT must distribute annually at least 90% of its REIT taxable income (calculated without any deduction for dividends paid and excluding capital gains) to its shareholders and meet other tests.</w:t>
      </w:r>
    </w:p>
    <w:p>
      <w:pPr>
        <w:spacing w:after="0" w:line="53" w:lineRule="exact"/>
        <w:rPr>
          <w:sz w:val="20"/>
          <w:szCs w:val="20"/>
          <w:color w:val="auto"/>
        </w:rPr>
      </w:pPr>
    </w:p>
    <w:p>
      <w:pPr>
        <w:jc w:val="both"/>
        <w:ind w:left="7"/>
        <w:spacing w:after="0" w:line="270" w:lineRule="auto"/>
        <w:rPr>
          <w:sz w:val="20"/>
          <w:szCs w:val="20"/>
          <w:color w:val="auto"/>
        </w:rPr>
      </w:pPr>
      <w:r>
        <w:rPr>
          <w:rFonts w:ascii="Times New Roman" w:cs="Times New Roman" w:eastAsia="Times New Roman" w:hAnsi="Times New Roman"/>
          <w:sz w:val="15"/>
          <w:szCs w:val="15"/>
          <w:color w:val="auto"/>
        </w:rPr>
        <w:t>Qualification as a REIT involves the satisfaction of numerous requirements (on an annual and quarterly basis) established under highly technical and complex Code provisions for which there are limited judicial or administrative interpretations and involves the determination of various factual matters and circumstances not entirely within our control. In addition, frequent changes occur in the area of REIT taxation, which requires us to continually monitor our tax status. We analyzed the various REIT tests and confirmed that we continued to qualify as a REIT for the year ended December 31, 2025.</w:t>
      </w:r>
    </w:p>
    <w:p>
      <w:pPr>
        <w:spacing w:after="0" w:line="57" w:lineRule="exact"/>
        <w:rPr>
          <w:sz w:val="20"/>
          <w:szCs w:val="20"/>
          <w:color w:val="auto"/>
        </w:rPr>
      </w:pPr>
    </w:p>
    <w:p>
      <w:pPr>
        <w:jc w:val="both"/>
        <w:ind w:left="7"/>
        <w:spacing w:after="0" w:line="265" w:lineRule="auto"/>
        <w:rPr>
          <w:sz w:val="20"/>
          <w:szCs w:val="20"/>
          <w:color w:val="auto"/>
        </w:rPr>
      </w:pPr>
      <w:r>
        <w:rPr>
          <w:rFonts w:ascii="Times New Roman" w:cs="Times New Roman" w:eastAsia="Times New Roman" w:hAnsi="Times New Roman"/>
          <w:sz w:val="15"/>
          <w:szCs w:val="15"/>
          <w:color w:val="auto"/>
        </w:rPr>
        <w:t>As a REIT, we generally will not be subject to U.S. federal income taxes at the corporate level on the ordinary taxable income we distribute to our shareholders as dividends. If we fail to qualify as a REIT in any taxable year, our taxable income could be subject to U.S. federal income tax at regular corporate rates. Even if we qualify as a REIT, we may be subject to certain state and local income taxes, as well as U.S. federal income and excise taxes on our undistributed income. In addition, taxable income from non-REIT activities managed through taxable REIT subsidiaries is subject to federal, state and local income taxes. We are also subject to local income taxes in Canada and the UK due to certain properties located in those jurisdictions. We do not provide for withholding taxes on our undistributed earnings from our Canadian subsidiaries as they are reinvested and will continue to be reinvested indefinitely outside of the U.S. As currently structured, we are not subject to UK withholding taxes on distributions from our UK properties.</w:t>
      </w:r>
    </w:p>
    <w:p>
      <w:pPr>
        <w:spacing w:after="0" w:line="61" w:lineRule="exact"/>
        <w:rPr>
          <w:sz w:val="20"/>
          <w:szCs w:val="20"/>
          <w:color w:val="auto"/>
        </w:rPr>
      </w:pPr>
    </w:p>
    <w:p>
      <w:pPr>
        <w:jc w:val="both"/>
        <w:ind w:left="7" w:right="20"/>
        <w:spacing w:after="0" w:line="295" w:lineRule="auto"/>
        <w:rPr>
          <w:sz w:val="20"/>
          <w:szCs w:val="20"/>
          <w:color w:val="auto"/>
        </w:rPr>
      </w:pPr>
      <w:r>
        <w:rPr>
          <w:rFonts w:ascii="Times New Roman" w:cs="Times New Roman" w:eastAsia="Times New Roman" w:hAnsi="Times New Roman"/>
          <w:sz w:val="15"/>
          <w:szCs w:val="15"/>
          <w:color w:val="auto"/>
        </w:rPr>
        <w:t>For income tax purposes, distributions paid to common shareholders consist of ordinary income, capital gains, and return of capital. Distributions paid per share were taxable as follows (unaudited / rounded):</w:t>
      </w:r>
    </w:p>
    <w:p>
      <w:pPr>
        <w:spacing w:after="0" w:line="71" w:lineRule="exact"/>
        <w:rPr>
          <w:sz w:val="20"/>
          <w:szCs w:val="20"/>
          <w:color w:val="auto"/>
        </w:rPr>
      </w:pPr>
    </w:p>
    <w:tbl>
      <w:tblPr>
        <w:tblLayout w:type="fixed"/>
        <w:tblInd w:w="7" w:type="dxa"/>
        <w:tblCellMar>
          <w:top w:w="0" w:type="dxa"/>
          <w:left w:w="0" w:type="dxa"/>
          <w:bottom w:w="0" w:type="dxa"/>
          <w:right w:w="0" w:type="dxa"/>
        </w:tblCellMar>
      </w:tblPr>
      <w:tr>
        <w:trPr>
          <w:trHeight w:val="176"/>
        </w:trPr>
        <w:tc>
          <w:tcPr>
            <w:tcW w:w="340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r>
      <w:tr>
        <w:trPr>
          <w:trHeight w:val="168"/>
        </w:trPr>
        <w:tc>
          <w:tcPr>
            <w:tcW w:w="34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1034"/>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1054"/>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1054"/>
              <w:spacing w:after="0"/>
              <w:rPr>
                <w:sz w:val="20"/>
                <w:szCs w:val="20"/>
                <w:color w:val="auto"/>
              </w:rPr>
            </w:pPr>
            <w:r>
              <w:rPr>
                <w:rFonts w:ascii="Times New Roman" w:cs="Times New Roman" w:eastAsia="Times New Roman" w:hAnsi="Times New Roman"/>
                <w:sz w:val="13"/>
                <w:szCs w:val="13"/>
                <w:b w:val="1"/>
                <w:bCs w:val="1"/>
                <w:color w:val="auto"/>
                <w:w w:val="99"/>
              </w:rPr>
              <w:t>2023</w:t>
            </w:r>
          </w:p>
        </w:tc>
      </w:tr>
      <w:tr>
        <w:trPr>
          <w:trHeight w:val="165"/>
        </w:trPr>
        <w:tc>
          <w:tcPr>
            <w:tcW w:w="34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Percentage</w:t>
            </w:r>
          </w:p>
        </w:tc>
      </w:tr>
      <w:tr>
        <w:trPr>
          <w:trHeight w:val="166"/>
        </w:trPr>
        <w:tc>
          <w:tcPr>
            <w:tcW w:w="340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3"/>
                <w:szCs w:val="13"/>
                <w:color w:val="auto"/>
              </w:rPr>
              <w:t>Ordinary income</w:t>
            </w:r>
            <w:r>
              <w:rPr>
                <w:rFonts w:ascii="Times New Roman" w:cs="Times New Roman" w:eastAsia="Times New Roman" w:hAnsi="Times New Roman"/>
                <w:sz w:val="17"/>
                <w:szCs w:val="17"/>
                <w:color w:val="auto"/>
                <w:vertAlign w:val="superscript"/>
              </w:rPr>
              <w:t>(1)</w:t>
            </w:r>
          </w:p>
        </w:tc>
        <w:tc>
          <w:tcPr>
            <w:tcW w:w="82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37.25 %</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52.70 %</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62.62 %</w:t>
            </w:r>
          </w:p>
        </w:tc>
      </w:tr>
      <w:tr>
        <w:trPr>
          <w:trHeight w:val="172"/>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Capital gain</w:t>
            </w:r>
          </w:p>
        </w:tc>
        <w:tc>
          <w:tcPr>
            <w:tcW w:w="82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53.94 %</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43.50 %</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175"/>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Return of capital</w:t>
            </w: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0.70</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8.81 %</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0.14</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3.80 %</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37.38 %</w:t>
            </w:r>
          </w:p>
        </w:tc>
      </w:tr>
      <w:tr>
        <w:trPr>
          <w:trHeight w:val="165"/>
        </w:trPr>
        <w:tc>
          <w:tcPr>
            <w:tcW w:w="3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 distributions declared</w:t>
            </w:r>
          </w:p>
        </w:tc>
        <w:tc>
          <w:tcPr>
            <w:tcW w:w="820" w:type="dxa"/>
            <w:vAlign w:val="bottom"/>
            <w:tcBorders>
              <w:top w:val="single" w:sz="8" w:color="auto"/>
              <w:bottom w:val="single" w:sz="8" w:color="auto"/>
            </w:tcBorders>
          </w:tcPr>
          <w:p>
            <w:pPr>
              <w:jc w:val="right"/>
              <w:ind w:right="674"/>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7.96</w:t>
            </w: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100.00 %</w:t>
            </w:r>
          </w:p>
        </w:tc>
        <w:tc>
          <w:tcPr>
            <w:tcW w:w="1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3.75</w:t>
            </w: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100.00 %</w:t>
            </w:r>
          </w:p>
        </w:tc>
        <w:tc>
          <w:tcPr>
            <w:tcW w:w="1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3.67</w:t>
            </w: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100.00 %</w:t>
            </w:r>
          </w:p>
        </w:tc>
      </w:tr>
      <w:tr>
        <w:trPr>
          <w:trHeight w:val="20"/>
        </w:trPr>
        <w:tc>
          <w:tcPr>
            <w:tcW w:w="34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127" w:hanging="127"/>
        <w:spacing w:after="0"/>
        <w:tabs>
          <w:tab w:leader="none" w:pos="127" w:val="left"/>
        </w:tabs>
        <w:numPr>
          <w:ilvl w:val="0"/>
          <w:numId w:val="5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99.9995% of the ordinary taxable dividend qualifies as a Section 199A dividend for 2025 and 0.0005% of the ordinary taxable dividend qualifies as a Qualified Dividend for 2025.</w:t>
      </w:r>
    </w:p>
    <w:p>
      <w:pPr>
        <w:spacing w:after="0" w:line="8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The components of income / (loss) attributable to taxable subsidiaries before provision for income taxes are as follows (in millions):</w:t>
      </w:r>
    </w:p>
    <w:p>
      <w:pPr>
        <w:spacing w:after="0" w:line="138" w:lineRule="exact"/>
        <w:rPr>
          <w:sz w:val="20"/>
          <w:szCs w:val="20"/>
          <w:color w:val="auto"/>
        </w:rPr>
      </w:pPr>
    </w:p>
    <w:tbl>
      <w:tblPr>
        <w:tblLayout w:type="fixed"/>
        <w:tblInd w:w="7" w:type="dxa"/>
        <w:tblCellMar>
          <w:top w:w="0" w:type="dxa"/>
          <w:left w:w="0" w:type="dxa"/>
          <w:bottom w:w="0" w:type="dxa"/>
          <w:right w:w="0" w:type="dxa"/>
        </w:tblCellMar>
      </w:tblPr>
      <w:tr>
        <w:trPr>
          <w:trHeight w:val="176"/>
        </w:trPr>
        <w:tc>
          <w:tcPr>
            <w:tcW w:w="64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68"/>
        </w:trPr>
        <w:tc>
          <w:tcPr>
            <w:tcW w:w="64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2025</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Domestic</w:t>
            </w:r>
          </w:p>
        </w:tc>
        <w:tc>
          <w:tcPr>
            <w:tcW w:w="1040" w:type="dxa"/>
            <w:vAlign w:val="bottom"/>
            <w:shd w:val="clear" w:color="auto" w:fill="CCEEFF"/>
          </w:tcPr>
          <w:p>
            <w:pPr>
              <w:jc w:val="right"/>
              <w:ind w:right="894"/>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(61.4)</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72"/>
        </w:trPr>
        <w:tc>
          <w:tcPr>
            <w:tcW w:w="6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Foreign</w:t>
            </w:r>
          </w:p>
        </w:tc>
        <w:tc>
          <w:tcPr>
            <w:tcW w:w="10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(196.0)</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(81.3)</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(56.0)</w:t>
            </w:r>
          </w:p>
        </w:tc>
      </w:tr>
      <w:tr>
        <w:trPr>
          <w:trHeight w:val="192"/>
        </w:trPr>
        <w:tc>
          <w:tcPr>
            <w:tcW w:w="6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Income / (loss) before provision for income taxes</w:t>
            </w:r>
          </w:p>
        </w:tc>
        <w:tc>
          <w:tcPr>
            <w:tcW w:w="1040" w:type="dxa"/>
            <w:vAlign w:val="bottom"/>
            <w:tcBorders>
              <w:bottom w:val="single" w:sz="8" w:color="auto"/>
            </w:tcBorders>
            <w:shd w:val="clear" w:color="auto" w:fill="CCEEFF"/>
          </w:tcPr>
          <w:p>
            <w:pPr>
              <w:jc w:val="right"/>
              <w:ind w:right="894"/>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(257.4)</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(122.9)</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(54.4)</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4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The components of income tax expense / (benefit) attributable to continuing operations are as follows (in millions):</w:t>
      </w:r>
    </w:p>
    <w:p>
      <w:pPr>
        <w:spacing w:after="0" w:line="138" w:lineRule="exact"/>
        <w:rPr>
          <w:sz w:val="20"/>
          <w:szCs w:val="20"/>
          <w:color w:val="auto"/>
        </w:rPr>
      </w:pPr>
    </w:p>
    <w:tbl>
      <w:tblPr>
        <w:tblLayout w:type="fixed"/>
        <w:tblInd w:w="7" w:type="dxa"/>
        <w:tblCellMar>
          <w:top w:w="0" w:type="dxa"/>
          <w:left w:w="0" w:type="dxa"/>
          <w:bottom w:w="0" w:type="dxa"/>
          <w:right w:w="0" w:type="dxa"/>
        </w:tblCellMar>
      </w:tblPr>
      <w:tr>
        <w:trPr>
          <w:trHeight w:val="176"/>
        </w:trPr>
        <w:tc>
          <w:tcPr>
            <w:tcW w:w="640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68"/>
        </w:trPr>
        <w:tc>
          <w:tcPr>
            <w:tcW w:w="64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2025</w:t>
            </w: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4"/>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State and Local</w:t>
            </w:r>
          </w:p>
        </w:tc>
        <w:tc>
          <w:tcPr>
            <w:tcW w:w="10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72"/>
        </w:trPr>
        <w:tc>
          <w:tcPr>
            <w:tcW w:w="6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Current</w:t>
            </w:r>
          </w:p>
        </w:tc>
        <w:tc>
          <w:tcPr>
            <w:tcW w:w="1080" w:type="dxa"/>
            <w:vAlign w:val="bottom"/>
          </w:tcPr>
          <w:p>
            <w:pPr>
              <w:jc w:val="right"/>
              <w:ind w:right="934"/>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tcPr>
          <w:p>
            <w:pPr>
              <w:spacing w:after="0"/>
              <w:rPr>
                <w:sz w:val="14"/>
                <w:szCs w:val="14"/>
                <w:color w:val="auto"/>
              </w:rPr>
            </w:pPr>
          </w:p>
        </w:tc>
        <w:tc>
          <w:tcPr>
            <w:tcW w:w="38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4"/>
                <w:szCs w:val="14"/>
                <w:color w:val="auto"/>
              </w:rPr>
            </w:pPr>
          </w:p>
        </w:tc>
        <w:tc>
          <w:tcPr>
            <w:tcW w:w="36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175"/>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Foreign</w:t>
            </w:r>
          </w:p>
        </w:tc>
        <w:tc>
          <w:tcPr>
            <w:tcW w:w="10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72"/>
        </w:trPr>
        <w:tc>
          <w:tcPr>
            <w:tcW w:w="6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Current</w:t>
            </w:r>
          </w:p>
        </w:tc>
        <w:tc>
          <w:tcPr>
            <w:tcW w:w="10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w:t>
            </w:r>
          </w:p>
        </w:tc>
      </w:tr>
      <w:tr>
        <w:trPr>
          <w:trHeight w:val="174"/>
        </w:trPr>
        <w:tc>
          <w:tcPr>
            <w:tcW w:w="6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Deferred</w:t>
            </w:r>
          </w:p>
        </w:tc>
        <w:tc>
          <w:tcPr>
            <w:tcW w:w="10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w:t>
            </w:r>
          </w:p>
        </w:tc>
      </w:tr>
      <w:tr>
        <w:trPr>
          <w:trHeight w:val="167"/>
        </w:trPr>
        <w:tc>
          <w:tcPr>
            <w:tcW w:w="6400" w:type="dxa"/>
            <w:vAlign w:val="bottom"/>
          </w:tcPr>
          <w:p>
            <w:pPr>
              <w:spacing w:after="0" w:line="167" w:lineRule="exact"/>
              <w:rPr>
                <w:sz w:val="20"/>
                <w:szCs w:val="20"/>
                <w:color w:val="auto"/>
              </w:rPr>
            </w:pPr>
            <w:r>
              <w:rPr>
                <w:rFonts w:ascii="Times New Roman" w:cs="Times New Roman" w:eastAsia="Times New Roman" w:hAnsi="Times New Roman"/>
                <w:sz w:val="13"/>
                <w:szCs w:val="13"/>
                <w:b w:val="1"/>
                <w:bCs w:val="1"/>
                <w:color w:val="auto"/>
              </w:rPr>
              <w:t>Total expense / (benefit)</w:t>
            </w:r>
            <w:r>
              <w:rPr>
                <w:rFonts w:ascii="Times New Roman" w:cs="Times New Roman" w:eastAsia="Times New Roman" w:hAnsi="Times New Roman"/>
                <w:sz w:val="17"/>
                <w:szCs w:val="17"/>
                <w:b w:val="1"/>
                <w:bCs w:val="1"/>
                <w:color w:val="auto"/>
                <w:vertAlign w:val="superscript"/>
              </w:rPr>
              <w:t>(1)</w:t>
            </w:r>
          </w:p>
        </w:tc>
        <w:tc>
          <w:tcPr>
            <w:tcW w:w="1080" w:type="dxa"/>
            <w:vAlign w:val="bottom"/>
            <w:tcBorders>
              <w:bottom w:val="single" w:sz="8" w:color="auto"/>
            </w:tcBorders>
          </w:tcPr>
          <w:p>
            <w:pPr>
              <w:jc w:val="right"/>
              <w:ind w:right="934"/>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(49.2)</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(36.0)</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w:t>
            </w:r>
          </w:p>
        </w:tc>
      </w:tr>
      <w:tr>
        <w:trPr>
          <w:trHeight w:val="20"/>
        </w:trPr>
        <w:tc>
          <w:tcPr>
            <w:tcW w:w="64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ind w:left="127" w:hanging="127"/>
        <w:spacing w:after="0"/>
        <w:tabs>
          <w:tab w:leader="none" w:pos="127" w:val="left"/>
        </w:tabs>
        <w:numPr>
          <w:ilvl w:val="0"/>
          <w:numId w:val="58"/>
        </w:numPr>
        <w:rPr>
          <w:rFonts w:ascii="Times New Roman" w:cs="Times New Roman" w:eastAsia="Times New Roman" w:hAnsi="Times New Roman"/>
          <w:sz w:val="8"/>
          <w:szCs w:val="8"/>
          <w:color w:val="auto"/>
        </w:rPr>
      </w:pPr>
      <w:r>
        <w:rPr>
          <w:rFonts w:ascii="Times New Roman" w:cs="Times New Roman" w:eastAsia="Times New Roman" w:hAnsi="Times New Roman"/>
          <w:sz w:val="12"/>
          <w:szCs w:val="12"/>
          <w:color w:val="auto"/>
        </w:rPr>
        <w:t>We did not incur any income tax expense / (benefit) at the federal level for any of the periods presented.</w:t>
      </w:r>
    </w:p>
    <w:p>
      <w:pPr>
        <w:spacing w:after="0" w:line="200" w:lineRule="exact"/>
        <w:rPr>
          <w:sz w:val="20"/>
          <w:szCs w:val="20"/>
          <w:color w:val="auto"/>
        </w:rPr>
      </w:pPr>
    </w:p>
    <w:p>
      <w:pPr>
        <w:spacing w:after="0" w:line="32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F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121920</wp:posOffset>
            </wp:positionV>
            <wp:extent cx="7177405" cy="400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121" w:right="319" w:bottom="1440" w:gutter="0" w:footer="0" w:header="0"/>
        </w:sectPr>
      </w:pPr>
    </w:p>
    <w:bookmarkStart w:id="89" w:name="page90"/>
    <w:bookmarkEnd w:id="89"/>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ind w:left="7"/>
        <w:spacing w:after="0" w:line="295" w:lineRule="auto"/>
        <w:rPr>
          <w:sz w:val="20"/>
          <w:szCs w:val="20"/>
          <w:color w:val="auto"/>
        </w:rPr>
      </w:pPr>
      <w:r>
        <w:rPr>
          <w:rFonts w:ascii="Times New Roman" w:cs="Times New Roman" w:eastAsia="Times New Roman" w:hAnsi="Times New Roman"/>
          <w:sz w:val="15"/>
          <w:szCs w:val="15"/>
          <w:color w:val="auto"/>
        </w:rPr>
        <w:t>A reconciliation of the provision / (benefit) for income taxes with the amount computed by applying the statutory federal income tax rate to income before provision for income taxes after the adoption of ASU 2023-09 is as follows (amounts in millions):</w:t>
      </w:r>
    </w:p>
    <w:p>
      <w:pPr>
        <w:spacing w:after="0" w:line="71" w:lineRule="exact"/>
        <w:rPr>
          <w:sz w:val="20"/>
          <w:szCs w:val="20"/>
          <w:color w:val="auto"/>
        </w:rPr>
      </w:pPr>
    </w:p>
    <w:tbl>
      <w:tblPr>
        <w:tblLayout w:type="fixed"/>
        <w:tblInd w:w="7" w:type="dxa"/>
        <w:tblCellMar>
          <w:top w:w="0" w:type="dxa"/>
          <w:left w:w="0" w:type="dxa"/>
          <w:bottom w:w="0" w:type="dxa"/>
          <w:right w:w="0" w:type="dxa"/>
        </w:tblCellMar>
      </w:tblPr>
      <w:tr>
        <w:trPr>
          <w:trHeight w:val="176"/>
        </w:trPr>
        <w:tc>
          <w:tcPr>
            <w:tcW w:w="88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center"/>
              <w:ind w:left="114"/>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480" w:type="dxa"/>
            <w:vAlign w:val="bottom"/>
            <w:tcBorders>
              <w:bottom w:val="single" w:sz="8" w:color="auto"/>
            </w:tcBorders>
          </w:tcPr>
          <w:p>
            <w:pPr>
              <w:spacing w:after="0"/>
              <w:rPr>
                <w:sz w:val="15"/>
                <w:szCs w:val="15"/>
                <w:color w:val="auto"/>
              </w:rPr>
            </w:pPr>
          </w:p>
        </w:tc>
      </w:tr>
      <w:tr>
        <w:trPr>
          <w:trHeight w:val="168"/>
        </w:trPr>
        <w:tc>
          <w:tcPr>
            <w:tcW w:w="88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2025</w:t>
            </w:r>
          </w:p>
        </w:tc>
        <w:tc>
          <w:tcPr>
            <w:tcW w:w="480" w:type="dxa"/>
            <w:vAlign w:val="bottom"/>
            <w:tcBorders>
              <w:bottom w:val="single" w:sz="8" w:color="auto"/>
            </w:tcBorders>
          </w:tcPr>
          <w:p>
            <w:pPr>
              <w:spacing w:after="0"/>
              <w:rPr>
                <w:sz w:val="14"/>
                <w:szCs w:val="14"/>
                <w:color w:val="auto"/>
              </w:rPr>
            </w:pPr>
          </w:p>
        </w:tc>
      </w:tr>
      <w:tr>
        <w:trPr>
          <w:trHeight w:val="16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Federal provision / (benefit) at statutory tax rate</w:t>
            </w:r>
          </w:p>
        </w:tc>
        <w:tc>
          <w:tcPr>
            <w:tcW w:w="3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21.0 %</w:t>
            </w:r>
          </w:p>
        </w:tc>
      </w:tr>
      <w:tr>
        <w:trPr>
          <w:trHeight w:val="172"/>
        </w:trPr>
        <w:tc>
          <w:tcPr>
            <w:tcW w:w="8800" w:type="dxa"/>
            <w:vAlign w:val="bottom"/>
          </w:tcPr>
          <w:p>
            <w:pPr>
              <w:spacing w:after="0"/>
              <w:rPr>
                <w:sz w:val="20"/>
                <w:szCs w:val="20"/>
                <w:color w:val="auto"/>
              </w:rPr>
            </w:pPr>
            <w:r>
              <w:rPr>
                <w:rFonts w:ascii="Times New Roman" w:cs="Times New Roman" w:eastAsia="Times New Roman" w:hAnsi="Times New Roman"/>
                <w:sz w:val="13"/>
                <w:szCs w:val="13"/>
                <w:color w:val="auto"/>
              </w:rPr>
              <w:t>Nontaxable or nondeductible items</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5"/>
        </w:trPr>
        <w:tc>
          <w:tcPr>
            <w:tcW w:w="8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Nontaxable REIT income</w:t>
            </w: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62.2 %</w:t>
            </w:r>
          </w:p>
        </w:tc>
      </w:tr>
      <w:tr>
        <w:trPr>
          <w:trHeight w:val="174"/>
        </w:trPr>
        <w:tc>
          <w:tcPr>
            <w:tcW w:w="8800" w:type="dxa"/>
            <w:vAlign w:val="bottom"/>
          </w:tcPr>
          <w:p>
            <w:pPr>
              <w:spacing w:after="0" w:line="174" w:lineRule="exact"/>
              <w:rPr>
                <w:sz w:val="20"/>
                <w:szCs w:val="20"/>
                <w:color w:val="auto"/>
              </w:rPr>
            </w:pPr>
            <w:r>
              <w:rPr>
                <w:rFonts w:ascii="Times New Roman" w:cs="Times New Roman" w:eastAsia="Times New Roman" w:hAnsi="Times New Roman"/>
                <w:sz w:val="13"/>
                <w:szCs w:val="13"/>
                <w:color w:val="auto"/>
              </w:rPr>
              <w:t>State and local taxes, net of federal benefit</w:t>
            </w:r>
            <w:r>
              <w:rPr>
                <w:rFonts w:ascii="Times New Roman" w:cs="Times New Roman" w:eastAsia="Times New Roman" w:hAnsi="Times New Roman"/>
                <w:sz w:val="17"/>
                <w:szCs w:val="17"/>
                <w:color w:val="auto"/>
                <w:vertAlign w:val="superscript"/>
              </w:rPr>
              <w:t>(1)</w:t>
            </w: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r>
      <w:tr>
        <w:trPr>
          <w:trHeight w:val="174"/>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 in valuation allowance</w:t>
            </w: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w:t>
            </w:r>
          </w:p>
        </w:tc>
      </w:tr>
      <w:tr>
        <w:trPr>
          <w:trHeight w:val="172"/>
        </w:trPr>
        <w:tc>
          <w:tcPr>
            <w:tcW w:w="8800" w:type="dxa"/>
            <w:vAlign w:val="bottom"/>
          </w:tcPr>
          <w:p>
            <w:pPr>
              <w:spacing w:after="0"/>
              <w:rPr>
                <w:sz w:val="20"/>
                <w:szCs w:val="20"/>
                <w:color w:val="auto"/>
              </w:rPr>
            </w:pPr>
            <w:r>
              <w:rPr>
                <w:rFonts w:ascii="Times New Roman" w:cs="Times New Roman" w:eastAsia="Times New Roman" w:hAnsi="Times New Roman"/>
                <w:sz w:val="13"/>
                <w:szCs w:val="13"/>
                <w:color w:val="auto"/>
              </w:rPr>
              <w:t>Foreign tax effects</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5"/>
        </w:trPr>
        <w:tc>
          <w:tcPr>
            <w:tcW w:w="8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United Kingdom</w:t>
            </w: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r>
        <w:trPr>
          <w:trHeight w:val="172"/>
        </w:trPr>
        <w:tc>
          <w:tcPr>
            <w:tcW w:w="88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Statutory tax rate difference between the UK and the U.S.</w:t>
            </w: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12.0 %</w:t>
            </w:r>
          </w:p>
        </w:tc>
      </w:tr>
      <w:tr>
        <w:trPr>
          <w:trHeight w:val="175"/>
        </w:trPr>
        <w:tc>
          <w:tcPr>
            <w:tcW w:w="8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Change in valuation allowance</w:t>
            </w: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72"/>
        </w:trPr>
        <w:tc>
          <w:tcPr>
            <w:tcW w:w="88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Foreign basis differences</w:t>
            </w: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6.6 %</w:t>
            </w:r>
          </w:p>
        </w:tc>
      </w:tr>
      <w:tr>
        <w:trPr>
          <w:trHeight w:val="175"/>
        </w:trPr>
        <w:tc>
          <w:tcPr>
            <w:tcW w:w="8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Deferred true ups</w:t>
            </w: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r>
      <w:tr>
        <w:trPr>
          <w:trHeight w:val="172"/>
        </w:trPr>
        <w:tc>
          <w:tcPr>
            <w:tcW w:w="88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Return to provision</w:t>
            </w: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4.9 %</w:t>
            </w:r>
          </w:p>
        </w:tc>
      </w:tr>
      <w:tr>
        <w:trPr>
          <w:trHeight w:val="175"/>
        </w:trPr>
        <w:tc>
          <w:tcPr>
            <w:tcW w:w="8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Nondeductible other expenses</w:t>
            </w: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72"/>
        </w:trPr>
        <w:tc>
          <w:tcPr>
            <w:tcW w:w="88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Other</w:t>
            </w: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3.2 %</w:t>
            </w:r>
          </w:p>
        </w:tc>
      </w:tr>
      <w:tr>
        <w:trPr>
          <w:trHeight w:val="175"/>
        </w:trPr>
        <w:tc>
          <w:tcPr>
            <w:tcW w:w="8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All other countries</w:t>
            </w:r>
          </w:p>
        </w:tc>
        <w:tc>
          <w:tcPr>
            <w:tcW w:w="3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8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0.9 %</w:t>
            </w:r>
          </w:p>
        </w:tc>
      </w:tr>
      <w:tr>
        <w:trPr>
          <w:trHeight w:val="165"/>
        </w:trPr>
        <w:tc>
          <w:tcPr>
            <w:tcW w:w="8800" w:type="dxa"/>
            <w:vAlign w:val="bottom"/>
          </w:tcPr>
          <w:p>
            <w:pPr>
              <w:spacing w:after="0"/>
              <w:rPr>
                <w:sz w:val="20"/>
                <w:szCs w:val="20"/>
                <w:color w:val="auto"/>
              </w:rPr>
            </w:pPr>
            <w:r>
              <w:rPr>
                <w:rFonts w:ascii="Times New Roman" w:cs="Times New Roman" w:eastAsia="Times New Roman" w:hAnsi="Times New Roman"/>
                <w:sz w:val="13"/>
                <w:szCs w:val="13"/>
                <w:color w:val="auto"/>
              </w:rPr>
              <w:t>Total provision / (benefit)</w:t>
            </w: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(49.2)</w:t>
            </w:r>
          </w:p>
        </w:tc>
        <w:tc>
          <w:tcPr>
            <w:tcW w:w="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75.6 %</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127" w:hanging="127"/>
        <w:spacing w:after="0"/>
        <w:tabs>
          <w:tab w:leader="none" w:pos="127" w:val="left"/>
        </w:tabs>
        <w:numPr>
          <w:ilvl w:val="0"/>
          <w:numId w:val="5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states and local jurisdictions that contribute to the majority (greater than 50%) of the tax effect in this category include New Hampshire, New York, and Texas.</w:t>
      </w:r>
    </w:p>
    <w:p>
      <w:pPr>
        <w:spacing w:after="0" w:line="4" w:lineRule="exact"/>
        <w:rPr>
          <w:rFonts w:ascii="Times New Roman" w:cs="Times New Roman" w:eastAsia="Times New Roman" w:hAnsi="Times New Roman"/>
          <w:sz w:val="16"/>
          <w:szCs w:val="16"/>
          <w:color w:val="auto"/>
          <w:vertAlign w:val="superscript"/>
        </w:rPr>
      </w:pPr>
    </w:p>
    <w:p>
      <w:pPr>
        <w:ind w:left="127" w:hanging="127"/>
        <w:spacing w:after="0" w:line="190" w:lineRule="auto"/>
        <w:tabs>
          <w:tab w:leader="none" w:pos="127" w:val="left"/>
        </w:tabs>
        <w:numPr>
          <w:ilvl w:val="0"/>
          <w:numId w:val="5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was no impact to the total provision / (benefit) from the effect of changes in tax laws, cross-border tax laws, tax credits, and changes in unrecognized tax benefits for the period presented.</w:t>
      </w:r>
    </w:p>
    <w:p>
      <w:pPr>
        <w:spacing w:after="0" w:line="89" w:lineRule="exact"/>
        <w:rPr>
          <w:sz w:val="20"/>
          <w:szCs w:val="20"/>
          <w:color w:val="auto"/>
        </w:rPr>
      </w:pPr>
    </w:p>
    <w:p>
      <w:pPr>
        <w:jc w:val="both"/>
        <w:ind w:left="7"/>
        <w:spacing w:after="0" w:line="295" w:lineRule="auto"/>
        <w:rPr>
          <w:sz w:val="20"/>
          <w:szCs w:val="20"/>
          <w:color w:val="auto"/>
        </w:rPr>
      </w:pPr>
      <w:r>
        <w:rPr>
          <w:rFonts w:ascii="Times New Roman" w:cs="Times New Roman" w:eastAsia="Times New Roman" w:hAnsi="Times New Roman"/>
          <w:sz w:val="15"/>
          <w:szCs w:val="15"/>
          <w:color w:val="auto"/>
        </w:rPr>
        <w:t>A reconciliation of the provision / (benefit) for income taxes with the amount computed by applying the statutory federal income tax rate to income before provision for income taxes prior to the adoption of ASU 2023-09 is as follows (amounts in millions):</w:t>
      </w:r>
    </w:p>
    <w:p>
      <w:pPr>
        <w:spacing w:after="0" w:line="71" w:lineRule="exact"/>
        <w:rPr>
          <w:sz w:val="20"/>
          <w:szCs w:val="20"/>
          <w:color w:val="auto"/>
        </w:rPr>
      </w:pPr>
    </w:p>
    <w:tbl>
      <w:tblPr>
        <w:tblLayout w:type="fixed"/>
        <w:tblInd w:w="7" w:type="dxa"/>
        <w:tblCellMar>
          <w:top w:w="0" w:type="dxa"/>
          <w:left w:w="0" w:type="dxa"/>
          <w:bottom w:w="0" w:type="dxa"/>
          <w:right w:w="0" w:type="dxa"/>
        </w:tblCellMar>
      </w:tblPr>
      <w:tr>
        <w:trPr>
          <w:trHeight w:val="176"/>
        </w:trPr>
        <w:tc>
          <w:tcPr>
            <w:tcW w:w="66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r>
      <w:tr>
        <w:trPr>
          <w:trHeight w:val="168"/>
        </w:trPr>
        <w:tc>
          <w:tcPr>
            <w:tcW w:w="6600" w:type="dxa"/>
            <w:vAlign w:val="bottom"/>
            <w:tcBorders>
              <w:bottom w:val="single" w:sz="8" w:color="D2F0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D2F0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2023</w:t>
            </w:r>
          </w:p>
        </w:tc>
        <w:tc>
          <w:tcPr>
            <w:tcW w:w="700" w:type="dxa"/>
            <w:vAlign w:val="bottom"/>
            <w:tcBorders>
              <w:bottom w:val="single" w:sz="8" w:color="auto"/>
            </w:tcBorders>
          </w:tcPr>
          <w:p>
            <w:pPr>
              <w:spacing w:after="0"/>
              <w:rPr>
                <w:sz w:val="14"/>
                <w:szCs w:val="14"/>
                <w:color w:val="auto"/>
              </w:rPr>
            </w:pPr>
          </w:p>
        </w:tc>
      </w:tr>
      <w:tr>
        <w:trPr>
          <w:trHeight w:val="166"/>
        </w:trPr>
        <w:tc>
          <w:tcPr>
            <w:tcW w:w="6600" w:type="dxa"/>
            <w:vAlign w:val="bottom"/>
            <w:shd w:val="clear" w:color="auto" w:fill="D2F0FF"/>
          </w:tcPr>
          <w:p>
            <w:pPr>
              <w:spacing w:after="0"/>
              <w:rPr>
                <w:sz w:val="20"/>
                <w:szCs w:val="20"/>
                <w:color w:val="auto"/>
              </w:rPr>
            </w:pPr>
            <w:r>
              <w:rPr>
                <w:rFonts w:ascii="Times New Roman" w:cs="Times New Roman" w:eastAsia="Times New Roman" w:hAnsi="Times New Roman"/>
                <w:sz w:val="13"/>
                <w:szCs w:val="13"/>
                <w:color w:val="auto"/>
              </w:rPr>
              <w:t>Pre-tax income / (loss) attributable to taxable subsidiaries</w:t>
            </w:r>
          </w:p>
        </w:tc>
        <w:tc>
          <w:tcPr>
            <w:tcW w:w="340" w:type="dxa"/>
            <w:vAlign w:val="bottom"/>
            <w:shd w:val="clear" w:color="auto" w:fill="D2F0FF"/>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D2F0FF"/>
          </w:tcPr>
          <w:p>
            <w:pPr>
              <w:jc w:val="right"/>
              <w:spacing w:after="0"/>
              <w:rPr>
                <w:sz w:val="20"/>
                <w:szCs w:val="20"/>
                <w:color w:val="auto"/>
              </w:rPr>
            </w:pPr>
            <w:r>
              <w:rPr>
                <w:rFonts w:ascii="Times New Roman" w:cs="Times New Roman" w:eastAsia="Times New Roman" w:hAnsi="Times New Roman"/>
                <w:sz w:val="13"/>
                <w:szCs w:val="13"/>
                <w:color w:val="auto"/>
              </w:rPr>
              <w:t>(122.9)</w:t>
            </w:r>
          </w:p>
        </w:tc>
        <w:tc>
          <w:tcPr>
            <w:tcW w:w="80" w:type="dxa"/>
            <w:vAlign w:val="bottom"/>
            <w:shd w:val="clear" w:color="auto" w:fill="D2F0FF"/>
          </w:tcPr>
          <w:p>
            <w:pPr>
              <w:spacing w:after="0"/>
              <w:rPr>
                <w:sz w:val="14"/>
                <w:szCs w:val="14"/>
                <w:color w:val="auto"/>
              </w:rPr>
            </w:pPr>
          </w:p>
        </w:tc>
        <w:tc>
          <w:tcPr>
            <w:tcW w:w="320" w:type="dxa"/>
            <w:vAlign w:val="bottom"/>
            <w:shd w:val="clear" w:color="auto" w:fill="D2F0FF"/>
          </w:tcPr>
          <w:p>
            <w:pPr>
              <w:spacing w:after="0"/>
              <w:rPr>
                <w:sz w:val="14"/>
                <w:szCs w:val="14"/>
                <w:color w:val="auto"/>
              </w:rPr>
            </w:pPr>
          </w:p>
        </w:tc>
        <w:tc>
          <w:tcPr>
            <w:tcW w:w="800" w:type="dxa"/>
            <w:vAlign w:val="bottom"/>
            <w:shd w:val="clear" w:color="auto" w:fill="D2F0FF"/>
          </w:tcPr>
          <w:p>
            <w:pPr>
              <w:spacing w:after="0"/>
              <w:rPr>
                <w:sz w:val="14"/>
                <w:szCs w:val="14"/>
                <w:color w:val="auto"/>
              </w:rPr>
            </w:pPr>
          </w:p>
        </w:tc>
        <w:tc>
          <w:tcPr>
            <w:tcW w:w="180" w:type="dxa"/>
            <w:vAlign w:val="bottom"/>
            <w:shd w:val="clear" w:color="auto" w:fill="D2F0FF"/>
          </w:tcPr>
          <w:p>
            <w:pPr>
              <w:spacing w:after="0"/>
              <w:rPr>
                <w:sz w:val="14"/>
                <w:szCs w:val="14"/>
                <w:color w:val="auto"/>
              </w:rPr>
            </w:pPr>
          </w:p>
        </w:tc>
        <w:tc>
          <w:tcPr>
            <w:tcW w:w="68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(54.4)</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85"/>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74"/>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Federal provision / (benefit) at statutory tax rate</w:t>
            </w: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21.0 %</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21.0 %</w:t>
            </w:r>
          </w:p>
        </w:tc>
      </w:tr>
      <w:tr>
        <w:trPr>
          <w:trHeight w:val="174"/>
        </w:trPr>
        <w:tc>
          <w:tcPr>
            <w:tcW w:w="6600" w:type="dxa"/>
            <w:vAlign w:val="bottom"/>
          </w:tcPr>
          <w:p>
            <w:pPr>
              <w:spacing w:after="0" w:line="174" w:lineRule="exact"/>
              <w:rPr>
                <w:sz w:val="20"/>
                <w:szCs w:val="20"/>
                <w:color w:val="auto"/>
              </w:rPr>
            </w:pPr>
            <w:r>
              <w:rPr>
                <w:rFonts w:ascii="Times New Roman" w:cs="Times New Roman" w:eastAsia="Times New Roman" w:hAnsi="Times New Roman"/>
                <w:sz w:val="13"/>
                <w:szCs w:val="13"/>
                <w:color w:val="auto"/>
              </w:rPr>
              <w:t>State and local taxes, net of federal benefit</w:t>
            </w:r>
            <w:r>
              <w:rPr>
                <w:rFonts w:ascii="Times New Roman" w:cs="Times New Roman" w:eastAsia="Times New Roman" w:hAnsi="Times New Roman"/>
                <w:sz w:val="17"/>
                <w:szCs w:val="17"/>
                <w:color w:val="auto"/>
                <w:vertAlign w:val="superscript"/>
              </w:rPr>
              <w:t>(1)</w:t>
            </w:r>
          </w:p>
        </w:tc>
        <w:tc>
          <w:tcPr>
            <w:tcW w:w="3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74"/>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 in valuation allowance</w:t>
            </w: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w:t>
            </w:r>
          </w:p>
        </w:tc>
      </w:tr>
      <w:tr>
        <w:trPr>
          <w:trHeight w:val="172"/>
        </w:trPr>
        <w:tc>
          <w:tcPr>
            <w:tcW w:w="6600" w:type="dxa"/>
            <w:vAlign w:val="bottom"/>
          </w:tcPr>
          <w:p>
            <w:pPr>
              <w:spacing w:after="0"/>
              <w:rPr>
                <w:sz w:val="20"/>
                <w:szCs w:val="20"/>
                <w:color w:val="auto"/>
              </w:rPr>
            </w:pPr>
            <w:r>
              <w:rPr>
                <w:rFonts w:ascii="Times New Roman" w:cs="Times New Roman" w:eastAsia="Times New Roman" w:hAnsi="Times New Roman"/>
                <w:sz w:val="13"/>
                <w:szCs w:val="13"/>
                <w:color w:val="auto"/>
              </w:rPr>
              <w:t>Foreign tax effects</w:t>
            </w: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15.5 %</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r>
      <w:tr>
        <w:trPr>
          <w:trHeight w:val="175"/>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Others</w:t>
            </w:r>
          </w:p>
        </w:tc>
        <w:tc>
          <w:tcPr>
            <w:tcW w:w="3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18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1.8 %</w:t>
            </w:r>
          </w:p>
        </w:tc>
      </w:tr>
      <w:tr>
        <w:trPr>
          <w:trHeight w:val="164"/>
        </w:trPr>
        <w:tc>
          <w:tcPr>
            <w:tcW w:w="6600" w:type="dxa"/>
            <w:vAlign w:val="bottom"/>
          </w:tcPr>
          <w:p>
            <w:pPr>
              <w:spacing w:after="0"/>
              <w:rPr>
                <w:sz w:val="20"/>
                <w:szCs w:val="20"/>
                <w:color w:val="auto"/>
              </w:rPr>
            </w:pPr>
            <w:r>
              <w:rPr>
                <w:rFonts w:ascii="Times New Roman" w:cs="Times New Roman" w:eastAsia="Times New Roman" w:hAnsi="Times New Roman"/>
                <w:sz w:val="13"/>
                <w:szCs w:val="13"/>
                <w:color w:val="auto"/>
              </w:rPr>
              <w:t>Tax provision / (benefit) - taxable subsidiaries</w:t>
            </w: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31.7 %</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19.4 %</w:t>
            </w:r>
          </w:p>
        </w:tc>
      </w:tr>
      <w:tr>
        <w:trPr>
          <w:trHeight w:val="175"/>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state taxes - flow through subsidiaries</w:t>
            </w:r>
          </w:p>
        </w:tc>
        <w:tc>
          <w:tcPr>
            <w:tcW w:w="3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165"/>
        </w:trPr>
        <w:tc>
          <w:tcPr>
            <w:tcW w:w="6600" w:type="dxa"/>
            <w:vAlign w:val="bottom"/>
          </w:tcPr>
          <w:p>
            <w:pPr>
              <w:spacing w:after="0"/>
              <w:rPr>
                <w:sz w:val="20"/>
                <w:szCs w:val="20"/>
                <w:color w:val="auto"/>
              </w:rPr>
            </w:pPr>
            <w:r>
              <w:rPr>
                <w:rFonts w:ascii="Times New Roman" w:cs="Times New Roman" w:eastAsia="Times New Roman" w:hAnsi="Times New Roman"/>
                <w:sz w:val="13"/>
                <w:szCs w:val="13"/>
                <w:color w:val="auto"/>
              </w:rPr>
              <w:t>Total provision / (benefit)</w:t>
            </w:r>
          </w:p>
        </w:tc>
        <w:tc>
          <w:tcPr>
            <w:tcW w:w="3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0"/>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147" w:lineRule="exact"/>
        <w:rPr>
          <w:sz w:val="20"/>
          <w:szCs w:val="20"/>
          <w:color w:val="auto"/>
        </w:rPr>
      </w:pPr>
    </w:p>
    <w:p>
      <w:pPr>
        <w:jc w:val="both"/>
        <w:ind w:left="7" w:right="20"/>
        <w:spacing w:after="0" w:line="270" w:lineRule="auto"/>
        <w:rPr>
          <w:sz w:val="20"/>
          <w:szCs w:val="20"/>
          <w:color w:val="auto"/>
        </w:rPr>
      </w:pPr>
      <w:r>
        <w:rPr>
          <w:rFonts w:ascii="Times New Roman" w:cs="Times New Roman" w:eastAsia="Times New Roman" w:hAnsi="Times New Roman"/>
          <w:sz w:val="15"/>
          <w:szCs w:val="15"/>
          <w:color w:val="auto"/>
        </w:rPr>
        <w:t>Deferred tax assets and liabilities reflect the impact of temporary differences between the amounts of assets and liabilities for financial reporting purposes and the basis of such assets and liabilities as measured by tax laws. Deferred tax assets are reduced, if necessary, by a valuation allowance to the amount where realization is more likely than not assured after considering all available evidence. Our temporary differences primarily relate to net operating loss carryforwards, depreciation, interest and basis differences between tax and GAAP. Our deferred tax assets that have a full valuation allowance relate to our taxable REIT subsidiaries.</w:t>
      </w:r>
    </w:p>
    <w:p>
      <w:pPr>
        <w:spacing w:after="0" w:line="200" w:lineRule="exact"/>
        <w:rPr>
          <w:sz w:val="20"/>
          <w:szCs w:val="20"/>
          <w:color w:val="auto"/>
        </w:rPr>
      </w:pPr>
    </w:p>
    <w:p>
      <w:pPr>
        <w:spacing w:after="0" w:line="27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F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121920</wp:posOffset>
            </wp:positionV>
            <wp:extent cx="7177405" cy="400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121" w:right="319" w:bottom="1440" w:gutter="0" w:footer="0" w:header="0"/>
        </w:sectPr>
      </w:pPr>
    </w:p>
    <w:bookmarkStart w:id="90" w:name="page91"/>
    <w:bookmarkEnd w:id="90"/>
    <w:tbl>
      <w:tblPr>
        <w:tblLayout w:type="fixed"/>
        <w:tblInd w:w="7" w:type="dxa"/>
        <w:tblCellMar>
          <w:top w:w="0" w:type="dxa"/>
          <w:left w:w="0" w:type="dxa"/>
          <w:bottom w:w="0" w:type="dxa"/>
          <w:right w:w="0" w:type="dxa"/>
        </w:tblCellMar>
      </w:tblPr>
      <w:tr>
        <w:trPr>
          <w:trHeight w:val="185"/>
        </w:trPr>
        <w:tc>
          <w:tcPr>
            <w:tcW w:w="8700" w:type="dxa"/>
            <w:vAlign w:val="bottom"/>
          </w:tcPr>
          <w:p>
            <w:pPr>
              <w:ind w:left="4680"/>
              <w:spacing w:after="0"/>
              <w:rPr>
                <w:sz w:val="20"/>
                <w:szCs w:val="20"/>
                <w:color w:val="auto"/>
              </w:rPr>
            </w:pPr>
            <w:r>
              <w:rPr>
                <w:rFonts w:ascii="Times New Roman" w:cs="Times New Roman" w:eastAsia="Times New Roman" w:hAnsi="Times New Roman"/>
                <w:sz w:val="15"/>
                <w:szCs w:val="15"/>
                <w:b w:val="1"/>
                <w:bCs w:val="1"/>
                <w:color w:val="auto"/>
              </w:rPr>
              <w:t>SUN COMMUNITIES, INC.</w:t>
            </w:r>
          </w:p>
        </w:tc>
        <w:tc>
          <w:tcPr>
            <w:tcW w:w="240" w:type="dxa"/>
            <w:vAlign w:val="bottom"/>
          </w:tcPr>
          <w:p>
            <w:pPr>
              <w:spacing w:after="0"/>
              <w:rPr>
                <w:sz w:val="16"/>
                <w:szCs w:val="16"/>
                <w:color w:val="auto"/>
              </w:rPr>
            </w:pPr>
          </w:p>
        </w:tc>
        <w:tc>
          <w:tcPr>
            <w:tcW w:w="2320" w:type="dxa"/>
            <w:vAlign w:val="bottom"/>
          </w:tcPr>
          <w:p>
            <w:pPr>
              <w:spacing w:after="0"/>
              <w:rPr>
                <w:sz w:val="16"/>
                <w:szCs w:val="16"/>
                <w:color w:val="auto"/>
              </w:rPr>
            </w:pPr>
          </w:p>
        </w:tc>
      </w:tr>
      <w:tr>
        <w:trPr>
          <w:trHeight w:val="203"/>
        </w:trPr>
        <w:tc>
          <w:tcPr>
            <w:tcW w:w="8700" w:type="dxa"/>
            <w:vAlign w:val="bottom"/>
          </w:tcPr>
          <w:p>
            <w:pPr>
              <w:ind w:left="360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tc>
        <w:tc>
          <w:tcPr>
            <w:tcW w:w="2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741"/>
        </w:trPr>
        <w:tc>
          <w:tcPr>
            <w:tcW w:w="8700" w:type="dxa"/>
            <w:vAlign w:val="bottom"/>
          </w:tcPr>
          <w:p>
            <w:pPr>
              <w:spacing w:after="0"/>
              <w:rPr>
                <w:sz w:val="20"/>
                <w:szCs w:val="20"/>
                <w:color w:val="auto"/>
              </w:rPr>
            </w:pPr>
            <w:r>
              <w:rPr>
                <w:rFonts w:ascii="Times New Roman" w:cs="Times New Roman" w:eastAsia="Times New Roman" w:hAnsi="Times New Roman"/>
                <w:sz w:val="15"/>
                <w:szCs w:val="15"/>
                <w:color w:val="auto"/>
              </w:rPr>
              <w:t>The components of cash paid for income taxes was as follows (amounts in millions):</w:t>
            </w:r>
          </w:p>
        </w:tc>
        <w:tc>
          <w:tcPr>
            <w:tcW w:w="2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87"/>
        </w:trPr>
        <w:tc>
          <w:tcPr>
            <w:tcW w:w="87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Year Ended December 31, 2025</w:t>
            </w:r>
          </w:p>
        </w:tc>
      </w:tr>
      <w:tr>
        <w:trPr>
          <w:trHeight w:val="168"/>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Federal</w:t>
            </w:r>
          </w:p>
        </w:tc>
        <w:tc>
          <w:tcPr>
            <w:tcW w:w="2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8700" w:type="dxa"/>
            <w:vAlign w:val="bottom"/>
          </w:tcPr>
          <w:p>
            <w:pPr>
              <w:spacing w:after="0"/>
              <w:rPr>
                <w:sz w:val="20"/>
                <w:szCs w:val="20"/>
                <w:color w:val="auto"/>
              </w:rPr>
            </w:pPr>
            <w:r>
              <w:rPr>
                <w:rFonts w:ascii="Times New Roman" w:cs="Times New Roman" w:eastAsia="Times New Roman" w:hAnsi="Times New Roman"/>
                <w:sz w:val="13"/>
                <w:szCs w:val="13"/>
                <w:color w:val="auto"/>
              </w:rPr>
              <w:t>State and local</w:t>
            </w:r>
          </w:p>
        </w:tc>
        <w:tc>
          <w:tcPr>
            <w:tcW w:w="24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75"/>
        </w:trPr>
        <w:tc>
          <w:tcPr>
            <w:tcW w:w="8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Texas</w:t>
            </w:r>
          </w:p>
        </w:tc>
        <w:tc>
          <w:tcPr>
            <w:tcW w:w="240" w:type="dxa"/>
            <w:vAlign w:val="bottom"/>
            <w:shd w:val="clear" w:color="auto" w:fill="CCEEFF"/>
          </w:tcPr>
          <w:p>
            <w:pPr>
              <w:spacing w:after="0"/>
              <w:rPr>
                <w:sz w:val="15"/>
                <w:szCs w:val="15"/>
                <w:color w:val="auto"/>
              </w:rPr>
            </w:pP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w:t>
            </w:r>
          </w:p>
        </w:tc>
      </w:tr>
      <w:tr>
        <w:trPr>
          <w:trHeight w:val="172"/>
        </w:trPr>
        <w:tc>
          <w:tcPr>
            <w:tcW w:w="87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New Hampshire</w:t>
            </w:r>
          </w:p>
        </w:tc>
        <w:tc>
          <w:tcPr>
            <w:tcW w:w="240" w:type="dxa"/>
            <w:vAlign w:val="bottom"/>
          </w:tcPr>
          <w:p>
            <w:pPr>
              <w:spacing w:after="0"/>
              <w:rPr>
                <w:sz w:val="14"/>
                <w:szCs w:val="14"/>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r>
      <w:tr>
        <w:trPr>
          <w:trHeight w:val="175"/>
        </w:trPr>
        <w:tc>
          <w:tcPr>
            <w:tcW w:w="8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New York</w:t>
            </w:r>
          </w:p>
        </w:tc>
        <w:tc>
          <w:tcPr>
            <w:tcW w:w="240" w:type="dxa"/>
            <w:vAlign w:val="bottom"/>
            <w:shd w:val="clear" w:color="auto" w:fill="CCEEFF"/>
          </w:tcPr>
          <w:p>
            <w:pPr>
              <w:spacing w:after="0"/>
              <w:rPr>
                <w:sz w:val="15"/>
                <w:szCs w:val="15"/>
                <w:color w:val="auto"/>
              </w:rPr>
            </w:pP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w:t>
            </w:r>
          </w:p>
        </w:tc>
      </w:tr>
      <w:tr>
        <w:trPr>
          <w:trHeight w:val="172"/>
        </w:trPr>
        <w:tc>
          <w:tcPr>
            <w:tcW w:w="87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All other state and local</w:t>
            </w:r>
          </w:p>
        </w:tc>
        <w:tc>
          <w:tcPr>
            <w:tcW w:w="240" w:type="dxa"/>
            <w:vAlign w:val="bottom"/>
          </w:tcPr>
          <w:p>
            <w:pPr>
              <w:spacing w:after="0"/>
              <w:rPr>
                <w:sz w:val="14"/>
                <w:szCs w:val="14"/>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w:t>
            </w:r>
          </w:p>
        </w:tc>
      </w:tr>
      <w:tr>
        <w:trPr>
          <w:trHeight w:val="175"/>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Foreign</w:t>
            </w:r>
          </w:p>
        </w:tc>
        <w:tc>
          <w:tcPr>
            <w:tcW w:w="24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r>
      <w:tr>
        <w:trPr>
          <w:trHeight w:val="172"/>
        </w:trPr>
        <w:tc>
          <w:tcPr>
            <w:tcW w:w="87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Canada</w:t>
            </w:r>
          </w:p>
        </w:tc>
        <w:tc>
          <w:tcPr>
            <w:tcW w:w="240" w:type="dxa"/>
            <w:vAlign w:val="bottom"/>
          </w:tcPr>
          <w:p>
            <w:pPr>
              <w:spacing w:after="0"/>
              <w:rPr>
                <w:sz w:val="14"/>
                <w:szCs w:val="14"/>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74"/>
        </w:trPr>
        <w:tc>
          <w:tcPr>
            <w:tcW w:w="8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United Kingdom</w:t>
            </w:r>
          </w:p>
        </w:tc>
        <w:tc>
          <w:tcPr>
            <w:tcW w:w="240" w:type="dxa"/>
            <w:vAlign w:val="bottom"/>
            <w:tcBorders>
              <w:bottom w:val="single" w:sz="8" w:color="auto"/>
            </w:tcBorders>
            <w:shd w:val="clear" w:color="auto" w:fill="CCEEFF"/>
          </w:tcPr>
          <w:p>
            <w:pPr>
              <w:spacing w:after="0"/>
              <w:rPr>
                <w:sz w:val="15"/>
                <w:szCs w:val="15"/>
                <w:color w:val="auto"/>
              </w:rPr>
            </w:pPr>
          </w:p>
        </w:tc>
        <w:tc>
          <w:tcPr>
            <w:tcW w:w="2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67"/>
        </w:trPr>
        <w:tc>
          <w:tcPr>
            <w:tcW w:w="8700" w:type="dxa"/>
            <w:vAlign w:val="bottom"/>
          </w:tcPr>
          <w:p>
            <w:pPr>
              <w:spacing w:after="0"/>
              <w:rPr>
                <w:sz w:val="20"/>
                <w:szCs w:val="20"/>
                <w:color w:val="auto"/>
              </w:rPr>
            </w:pPr>
            <w:r>
              <w:rPr>
                <w:rFonts w:ascii="Times New Roman" w:cs="Times New Roman" w:eastAsia="Times New Roman" w:hAnsi="Times New Roman"/>
                <w:sz w:val="13"/>
                <w:szCs w:val="13"/>
                <w:color w:val="auto"/>
              </w:rPr>
              <w:t>Total cash paid for income taxes</w:t>
            </w:r>
          </w:p>
        </w:tc>
        <w:tc>
          <w:tcPr>
            <w:tcW w:w="2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w:t>
            </w:r>
          </w:p>
        </w:tc>
      </w:tr>
      <w:tr>
        <w:trPr>
          <w:trHeight w:val="20"/>
        </w:trPr>
        <w:tc>
          <w:tcPr>
            <w:tcW w:w="8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During the years ended December 31, 2024 and 2023, total cash paid for incomes taxes for our continuing operations was $2.9 million and $20.3 million, respectively.</w:t>
      </w:r>
    </w:p>
    <w:p>
      <w:pPr>
        <w:spacing w:after="0" w:line="105" w:lineRule="exact"/>
        <w:rPr>
          <w:sz w:val="20"/>
          <w:szCs w:val="20"/>
          <w:color w:val="auto"/>
        </w:rPr>
      </w:pPr>
    </w:p>
    <w:p>
      <w:pPr>
        <w:jc w:val="both"/>
        <w:ind w:left="7"/>
        <w:spacing w:after="0" w:line="295" w:lineRule="auto"/>
        <w:rPr>
          <w:sz w:val="20"/>
          <w:szCs w:val="20"/>
          <w:color w:val="auto"/>
        </w:rPr>
      </w:pPr>
      <w:r>
        <w:rPr>
          <w:rFonts w:ascii="Times New Roman" w:cs="Times New Roman" w:eastAsia="Times New Roman" w:hAnsi="Times New Roman"/>
          <w:sz w:val="15"/>
          <w:szCs w:val="15"/>
          <w:color w:val="auto"/>
        </w:rPr>
        <w:t>The deferred tax assets and liabilities included in the Consolidated Balance Sheets are comprised of the following tax effects of temporary differences and based on the most recent tax rate legislation (in millions):</w:t>
      </w:r>
    </w:p>
    <w:p>
      <w:pPr>
        <w:spacing w:after="0" w:line="71" w:lineRule="exact"/>
        <w:rPr>
          <w:sz w:val="20"/>
          <w:szCs w:val="20"/>
          <w:color w:val="auto"/>
        </w:rPr>
      </w:pPr>
    </w:p>
    <w:tbl>
      <w:tblPr>
        <w:tblLayout w:type="fixed"/>
        <w:tblInd w:w="7" w:type="dxa"/>
        <w:tblCellMar>
          <w:top w:w="0" w:type="dxa"/>
          <w:left w:w="0" w:type="dxa"/>
          <w:bottom w:w="0" w:type="dxa"/>
          <w:right w:w="0" w:type="dxa"/>
        </w:tblCellMar>
      </w:tblPr>
      <w:tr>
        <w:trPr>
          <w:trHeight w:val="176"/>
        </w:trPr>
        <w:tc>
          <w:tcPr>
            <w:tcW w:w="64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68"/>
        </w:trPr>
        <w:tc>
          <w:tcPr>
            <w:tcW w:w="64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2025</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4"/>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Deferred Tax Assets</w:t>
            </w:r>
          </w:p>
        </w:tc>
        <w:tc>
          <w:tcPr>
            <w:tcW w:w="10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72"/>
        </w:trPr>
        <w:tc>
          <w:tcPr>
            <w:tcW w:w="6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NOL carryforwards</w:t>
            </w:r>
          </w:p>
        </w:tc>
        <w:tc>
          <w:tcPr>
            <w:tcW w:w="1040" w:type="dxa"/>
            <w:vAlign w:val="bottom"/>
          </w:tcPr>
          <w:p>
            <w:pPr>
              <w:jc w:val="right"/>
              <w:ind w:right="894"/>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w:t>
            </w:r>
          </w:p>
        </w:tc>
        <w:tc>
          <w:tcPr>
            <w:tcW w:w="80" w:type="dxa"/>
            <w:vAlign w:val="bottom"/>
          </w:tcPr>
          <w:p>
            <w:pPr>
              <w:spacing w:after="0"/>
              <w:rPr>
                <w:sz w:val="14"/>
                <w:szCs w:val="14"/>
                <w:color w:val="auto"/>
              </w:rPr>
            </w:pPr>
          </w:p>
        </w:tc>
        <w:tc>
          <w:tcPr>
            <w:tcW w:w="36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w:t>
            </w:r>
          </w:p>
        </w:tc>
      </w:tr>
      <w:tr>
        <w:trPr>
          <w:trHeight w:val="175"/>
        </w:trPr>
        <w:tc>
          <w:tcPr>
            <w:tcW w:w="6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Depreciation and basis differences</w:t>
            </w:r>
          </w:p>
        </w:tc>
        <w:tc>
          <w:tcPr>
            <w:tcW w:w="10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w:t>
            </w:r>
          </w:p>
        </w:tc>
      </w:tr>
      <w:tr>
        <w:trPr>
          <w:trHeight w:val="172"/>
        </w:trPr>
        <w:tc>
          <w:tcPr>
            <w:tcW w:w="6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Restricted interest carryforwards</w:t>
            </w:r>
          </w:p>
        </w:tc>
        <w:tc>
          <w:tcPr>
            <w:tcW w:w="10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51.9</w:t>
            </w:r>
          </w:p>
        </w:tc>
      </w:tr>
      <w:tr>
        <w:trPr>
          <w:trHeight w:val="175"/>
        </w:trPr>
        <w:tc>
          <w:tcPr>
            <w:tcW w:w="6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w:t>
            </w:r>
          </w:p>
        </w:tc>
        <w:tc>
          <w:tcPr>
            <w:tcW w:w="10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r>
      <w:tr>
        <w:trPr>
          <w:trHeight w:val="164"/>
        </w:trPr>
        <w:tc>
          <w:tcPr>
            <w:tcW w:w="6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Gross deferred tax assets</w:t>
            </w:r>
          </w:p>
        </w:tc>
        <w:tc>
          <w:tcPr>
            <w:tcW w:w="10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109.9</w:t>
            </w:r>
          </w:p>
        </w:tc>
      </w:tr>
      <w:tr>
        <w:trPr>
          <w:trHeight w:val="175"/>
        </w:trPr>
        <w:tc>
          <w:tcPr>
            <w:tcW w:w="6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Valuation allowance</w:t>
            </w:r>
          </w:p>
        </w:tc>
        <w:tc>
          <w:tcPr>
            <w:tcW w:w="10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(53.7)</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(61.2)</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(51.8)</w:t>
            </w:r>
          </w:p>
        </w:tc>
      </w:tr>
      <w:tr>
        <w:trPr>
          <w:trHeight w:val="165"/>
        </w:trPr>
        <w:tc>
          <w:tcPr>
            <w:tcW w:w="6400" w:type="dxa"/>
            <w:vAlign w:val="bottom"/>
            <w:tcBorders>
              <w:bottom w:val="single" w:sz="8" w:color="CCEEFF"/>
            </w:tcBorders>
          </w:tcPr>
          <w:p>
            <w:pPr>
              <w:ind w:left="120"/>
              <w:spacing w:after="0" w:line="165" w:lineRule="exact"/>
              <w:rPr>
                <w:sz w:val="20"/>
                <w:szCs w:val="20"/>
                <w:color w:val="auto"/>
              </w:rPr>
            </w:pPr>
            <w:r>
              <w:rPr>
                <w:rFonts w:ascii="Times New Roman" w:cs="Times New Roman" w:eastAsia="Times New Roman" w:hAnsi="Times New Roman"/>
                <w:sz w:val="13"/>
                <w:szCs w:val="13"/>
                <w:color w:val="auto"/>
              </w:rPr>
              <w:t>Net deferred tax assets</w:t>
            </w:r>
            <w:r>
              <w:rPr>
                <w:rFonts w:ascii="Times New Roman" w:cs="Times New Roman" w:eastAsia="Times New Roman" w:hAnsi="Times New Roman"/>
                <w:sz w:val="17"/>
                <w:szCs w:val="17"/>
                <w:color w:val="auto"/>
                <w:vertAlign w:val="superscript"/>
              </w:rPr>
              <w:t>(1)</w:t>
            </w:r>
          </w:p>
        </w:tc>
        <w:tc>
          <w:tcPr>
            <w:tcW w:w="10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140.4</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93.5</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58.1</w:t>
            </w:r>
          </w:p>
        </w:tc>
      </w:tr>
      <w:tr>
        <w:trPr>
          <w:trHeight w:val="154"/>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Deferred Tax Liabilities</w:t>
            </w:r>
          </w:p>
        </w:tc>
        <w:tc>
          <w:tcPr>
            <w:tcW w:w="10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72"/>
        </w:trPr>
        <w:tc>
          <w:tcPr>
            <w:tcW w:w="6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Basis differences - US assets</w:t>
            </w:r>
          </w:p>
        </w:tc>
        <w:tc>
          <w:tcPr>
            <w:tcW w:w="104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640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3"/>
                <w:szCs w:val="13"/>
                <w:color w:val="auto"/>
              </w:rPr>
              <w:t>Basis differences - foreign investment</w:t>
            </w:r>
            <w:r>
              <w:rPr>
                <w:rFonts w:ascii="Times New Roman" w:cs="Times New Roman" w:eastAsia="Times New Roman" w:hAnsi="Times New Roman"/>
                <w:sz w:val="17"/>
                <w:szCs w:val="17"/>
                <w:color w:val="auto"/>
                <w:vertAlign w:val="superscript"/>
              </w:rPr>
              <w:t>(2)</w:t>
            </w:r>
          </w:p>
        </w:tc>
        <w:tc>
          <w:tcPr>
            <w:tcW w:w="10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(365.7)</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(360.3)</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(335.2)</w:t>
            </w:r>
          </w:p>
        </w:tc>
      </w:tr>
      <w:tr>
        <w:trPr>
          <w:trHeight w:val="165"/>
        </w:trPr>
        <w:tc>
          <w:tcPr>
            <w:tcW w:w="6400" w:type="dxa"/>
            <w:vAlign w:val="bottom"/>
            <w:tcBorders>
              <w:bottom w:val="single" w:sz="8" w:color="CCEEFF"/>
            </w:tcBorders>
          </w:tcPr>
          <w:p>
            <w:pPr>
              <w:ind w:left="120"/>
              <w:spacing w:after="0" w:line="165" w:lineRule="exact"/>
              <w:rPr>
                <w:sz w:val="20"/>
                <w:szCs w:val="20"/>
                <w:color w:val="auto"/>
              </w:rPr>
            </w:pPr>
            <w:r>
              <w:rPr>
                <w:rFonts w:ascii="Times New Roman" w:cs="Times New Roman" w:eastAsia="Times New Roman" w:hAnsi="Times New Roman"/>
                <w:sz w:val="13"/>
                <w:szCs w:val="13"/>
                <w:color w:val="auto"/>
              </w:rPr>
              <w:t>Gross deferred tax liabilities</w:t>
            </w:r>
            <w:r>
              <w:rPr>
                <w:rFonts w:ascii="Times New Roman" w:cs="Times New Roman" w:eastAsia="Times New Roman" w:hAnsi="Times New Roman"/>
                <w:sz w:val="17"/>
                <w:szCs w:val="17"/>
                <w:color w:val="auto"/>
                <w:vertAlign w:val="superscript"/>
              </w:rPr>
              <w:t>(1)</w:t>
            </w:r>
          </w:p>
        </w:tc>
        <w:tc>
          <w:tcPr>
            <w:tcW w:w="10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(365.7)</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(360.3)</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(335.2)</w:t>
            </w:r>
          </w:p>
        </w:tc>
      </w:tr>
      <w:tr>
        <w:trPr>
          <w:trHeight w:val="190"/>
        </w:trPr>
        <w:tc>
          <w:tcPr>
            <w:tcW w:w="6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Deferred Tax Liability</w:t>
            </w:r>
          </w:p>
        </w:tc>
        <w:tc>
          <w:tcPr>
            <w:tcW w:w="1040" w:type="dxa"/>
            <w:vAlign w:val="bottom"/>
            <w:tcBorders>
              <w:bottom w:val="single" w:sz="8" w:color="auto"/>
            </w:tcBorders>
            <w:shd w:val="clear" w:color="auto" w:fill="CCEEFF"/>
          </w:tcPr>
          <w:p>
            <w:pPr>
              <w:jc w:val="right"/>
              <w:ind w:right="894"/>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(225.3)</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(266.8)</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(277.1)</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ind w:left="147" w:hanging="147"/>
        <w:spacing w:after="0" w:line="222" w:lineRule="auto"/>
        <w:tabs>
          <w:tab w:leader="none" w:pos="136" w:val="left"/>
        </w:tabs>
        <w:numPr>
          <w:ilvl w:val="0"/>
          <w:numId w:val="6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Net deferred tax assets and Gross deferred tax liabilities are netted and presented within Other liabilities in our Consolidated Balance Sheets, as they pertain to the same tax-paying component of the entity and the same tax jurisdiction.</w:t>
      </w:r>
    </w:p>
    <w:p>
      <w:pPr>
        <w:spacing w:after="0" w:line="1" w:lineRule="exact"/>
        <w:rPr>
          <w:rFonts w:ascii="Times New Roman" w:cs="Times New Roman" w:eastAsia="Times New Roman" w:hAnsi="Times New Roman"/>
          <w:sz w:val="16"/>
          <w:szCs w:val="16"/>
          <w:color w:val="auto"/>
          <w:vertAlign w:val="superscript"/>
        </w:rPr>
      </w:pPr>
    </w:p>
    <w:p>
      <w:pPr>
        <w:ind w:left="127" w:hanging="127"/>
        <w:spacing w:after="0"/>
        <w:tabs>
          <w:tab w:leader="none" w:pos="127" w:val="left"/>
        </w:tabs>
        <w:numPr>
          <w:ilvl w:val="0"/>
          <w:numId w:val="60"/>
        </w:numPr>
        <w:rPr>
          <w:rFonts w:ascii="Times New Roman" w:cs="Times New Roman" w:eastAsia="Times New Roman" w:hAnsi="Times New Roman"/>
          <w:sz w:val="8"/>
          <w:szCs w:val="8"/>
          <w:color w:val="auto"/>
        </w:rPr>
      </w:pPr>
      <w:r>
        <w:rPr>
          <w:rFonts w:ascii="Times New Roman" w:cs="Times New Roman" w:eastAsia="Times New Roman" w:hAnsi="Times New Roman"/>
          <w:sz w:val="12"/>
          <w:szCs w:val="12"/>
          <w:color w:val="auto"/>
        </w:rPr>
        <w:t>Balance as of December 31, 2025 relates to basis differences in our foreign investments in properties in the UK and Canada.</w:t>
      </w:r>
    </w:p>
    <w:p>
      <w:pPr>
        <w:spacing w:after="0" w:line="101" w:lineRule="exact"/>
        <w:rPr>
          <w:sz w:val="20"/>
          <w:szCs w:val="20"/>
          <w:color w:val="auto"/>
        </w:rPr>
      </w:pPr>
    </w:p>
    <w:p>
      <w:pPr>
        <w:jc w:val="both"/>
        <w:ind w:left="7"/>
        <w:spacing w:after="0" w:line="270" w:lineRule="auto"/>
        <w:rPr>
          <w:sz w:val="20"/>
          <w:szCs w:val="20"/>
          <w:color w:val="auto"/>
        </w:rPr>
      </w:pPr>
      <w:r>
        <w:rPr>
          <w:rFonts w:ascii="Times New Roman" w:cs="Times New Roman" w:eastAsia="Times New Roman" w:hAnsi="Times New Roman"/>
          <w:sz w:val="15"/>
          <w:szCs w:val="15"/>
          <w:color w:val="auto"/>
        </w:rPr>
        <w:t>Our U.S. taxable REIT subsidiaries operating loss carryforwards are $77.5 million, or $15.8 million after tax, including SHS loss carryforwards of $71.4 million, or $15.0 million after tax, as of December 31, 2025. Our U.S. loss carryforwards arose in tax years after 2017 and can be carried forward indefinitely, but are subject to an 80% limit in future years. In addition, our Canadian subsidiaries have operating loss carryforwards of $0.4 million, or $0.1 million after tax, as of December 31, 2025. The loss carryforwards will begin to expire in 2040 through 2042 if not offset by future taxable income.</w:t>
      </w:r>
    </w:p>
    <w:p>
      <w:pPr>
        <w:spacing w:after="0" w:line="57" w:lineRule="exact"/>
        <w:rPr>
          <w:sz w:val="20"/>
          <w:szCs w:val="20"/>
          <w:color w:val="auto"/>
        </w:rPr>
      </w:pPr>
    </w:p>
    <w:p>
      <w:pPr>
        <w:jc w:val="both"/>
        <w:ind w:left="7"/>
        <w:spacing w:after="0" w:line="295" w:lineRule="auto"/>
        <w:rPr>
          <w:sz w:val="20"/>
          <w:szCs w:val="20"/>
          <w:color w:val="auto"/>
        </w:rPr>
      </w:pPr>
      <w:r>
        <w:rPr>
          <w:rFonts w:ascii="Times New Roman" w:cs="Times New Roman" w:eastAsia="Times New Roman" w:hAnsi="Times New Roman"/>
          <w:sz w:val="15"/>
          <w:szCs w:val="15"/>
          <w:color w:val="auto"/>
        </w:rPr>
        <w:t>Our policy is to report income tax penalties and income tax related interest expense as a component of income tax expense. No interest or penalty associated with any unrecognized income tax provision or benefit was accrued, nor was any income tax related interest or penalty recognized during the years ended December 31, 2025, 2024, and 2023.</w:t>
      </w:r>
    </w:p>
    <w:p>
      <w:pPr>
        <w:spacing w:after="0" w:line="3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12. Earnings / (Loss) Per Share</w:t>
      </w:r>
    </w:p>
    <w:p>
      <w:pPr>
        <w:spacing w:after="0" w:line="109" w:lineRule="exact"/>
        <w:rPr>
          <w:sz w:val="20"/>
          <w:szCs w:val="20"/>
          <w:color w:val="auto"/>
        </w:rPr>
      </w:pPr>
    </w:p>
    <w:p>
      <w:pPr>
        <w:jc w:val="both"/>
        <w:ind w:left="7"/>
        <w:spacing w:after="0" w:line="268" w:lineRule="auto"/>
        <w:rPr>
          <w:sz w:val="20"/>
          <w:szCs w:val="20"/>
          <w:color w:val="auto"/>
        </w:rPr>
      </w:pPr>
      <w:r>
        <w:rPr>
          <w:rFonts w:ascii="Times New Roman" w:cs="Times New Roman" w:eastAsia="Times New Roman" w:hAnsi="Times New Roman"/>
          <w:sz w:val="15"/>
          <w:szCs w:val="15"/>
          <w:color w:val="auto"/>
        </w:rPr>
        <w:t>Earnings / (loss) per share ("EPS") is computed by dividing net earnings / (loss) by the weighted average number of common shares outstanding during the period on a basic and diluted basis. We calculate diluted EPS using the more dilutive of the treasury stock method and the two-class method for stock option and restricted common shares, the treasury stock method for forward equity sales and the if converted method for convertible units. Our potentially dilutive securities include our potential common shares related to our forward equity offerings, our unvested restricted common shares, and our Operating Partnership outstanding common and preferred OP units, which, if converted or exercised, may impact dilution.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F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121920</wp:posOffset>
            </wp:positionV>
            <wp:extent cx="7177405" cy="400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121" w:right="319" w:bottom="1440" w:gutter="0" w:footer="0" w:header="0"/>
        </w:sectPr>
      </w:pPr>
    </w:p>
    <w:bookmarkStart w:id="91" w:name="page92"/>
    <w:bookmarkEnd w:id="91"/>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jc w:val="both"/>
        <w:ind w:left="7"/>
        <w:spacing w:after="0" w:line="263" w:lineRule="auto"/>
        <w:rPr>
          <w:sz w:val="20"/>
          <w:szCs w:val="20"/>
          <w:color w:val="auto"/>
        </w:rPr>
      </w:pPr>
      <w:r>
        <w:rPr>
          <w:rFonts w:ascii="Times New Roman" w:cs="Times New Roman" w:eastAsia="Times New Roman" w:hAnsi="Times New Roman"/>
          <w:sz w:val="15"/>
          <w:szCs w:val="15"/>
          <w:color w:val="auto"/>
        </w:rPr>
        <w:t>Diluted EPS considers the impact of potentially dilutive securities except when the potential common shares have an anti-dilutive effect. Our unvested restricted stock common shares contain rights to receive non-forfeitable distributions and participate equally with common stock with respect to distributions issued or declared, and thus, are participating securities, requiring the two-class method of computing EPS. In calculating the two-class method, undistributed earnings are allocated to both common shares and participating securities based on the weighted average number of shares outstanding during the period. The two-class method determines EPS by (1) dividing the sum of distributed earnings and undistributed earnings allocated to common shareholders by the weighted average number of shares of common stock outstanding for the period; and (2) dividing the sum of distributed earnings and undistributed earnings allocated to participating securities by the weighted average number of shares of participating securities for the period. The remaining potential dilutive common shares do not contain rights to distributions and are included in the computation of diluted EPS.</w:t>
      </w:r>
    </w:p>
    <w:p>
      <w:pPr>
        <w:spacing w:after="0" w:line="6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Computations of basic and diluted EPS were as follows (in millions, except per share data):</w:t>
      </w:r>
    </w:p>
    <w:p>
      <w:pPr>
        <w:spacing w:after="0" w:line="138" w:lineRule="exact"/>
        <w:rPr>
          <w:sz w:val="20"/>
          <w:szCs w:val="20"/>
          <w:color w:val="auto"/>
        </w:rPr>
      </w:pPr>
    </w:p>
    <w:tbl>
      <w:tblPr>
        <w:tblLayout w:type="fixed"/>
        <w:tblInd w:w="7" w:type="dxa"/>
        <w:tblCellMar>
          <w:top w:w="0" w:type="dxa"/>
          <w:left w:w="0" w:type="dxa"/>
          <w:bottom w:w="0" w:type="dxa"/>
          <w:right w:w="0" w:type="dxa"/>
        </w:tblCellMar>
      </w:tblPr>
      <w:tr>
        <w:trPr>
          <w:trHeight w:val="176"/>
        </w:trPr>
        <w:tc>
          <w:tcPr>
            <w:tcW w:w="71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68"/>
        </w:trPr>
        <w:tc>
          <w:tcPr>
            <w:tcW w:w="71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4"/>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Numerator for basic EPS</w:t>
            </w:r>
          </w:p>
        </w:tc>
        <w:tc>
          <w:tcPr>
            <w:tcW w:w="8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72"/>
        </w:trPr>
        <w:tc>
          <w:tcPr>
            <w:tcW w:w="71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income / (loss) from continuing operations</w:t>
            </w:r>
          </w:p>
        </w:tc>
        <w:tc>
          <w:tcPr>
            <w:tcW w:w="840" w:type="dxa"/>
            <w:vAlign w:val="bottom"/>
          </w:tcPr>
          <w:p>
            <w:pPr>
              <w:jc w:val="right"/>
              <w:ind w:right="694"/>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380" w:type="dxa"/>
            <w:vAlign w:val="bottom"/>
            <w:gridSpan w:val="2"/>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w:t>
            </w:r>
          </w:p>
        </w:tc>
        <w:tc>
          <w:tcPr>
            <w:tcW w:w="80" w:type="dxa"/>
            <w:vAlign w:val="bottom"/>
          </w:tcPr>
          <w:p>
            <w:pPr>
              <w:spacing w:after="0"/>
              <w:rPr>
                <w:sz w:val="14"/>
                <w:szCs w:val="14"/>
                <w:color w:val="auto"/>
              </w:rPr>
            </w:pPr>
          </w:p>
        </w:tc>
        <w:tc>
          <w:tcPr>
            <w:tcW w:w="32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(291.4)</w:t>
            </w:r>
          </w:p>
        </w:tc>
      </w:tr>
      <w:tr>
        <w:trPr>
          <w:trHeight w:val="175"/>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Preferred return to preferred OP units equity interests</w:t>
            </w:r>
          </w:p>
        </w:tc>
        <w:tc>
          <w:tcPr>
            <w:tcW w:w="8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w:t>
            </w:r>
          </w:p>
        </w:tc>
      </w:tr>
      <w:tr>
        <w:trPr>
          <w:trHeight w:val="172"/>
        </w:trPr>
        <w:tc>
          <w:tcPr>
            <w:tcW w:w="7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(Income) / loss attributable to noncontrolling interests</w:t>
            </w:r>
          </w:p>
        </w:tc>
        <w:tc>
          <w:tcPr>
            <w:tcW w:w="8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(56.4)</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w:t>
            </w:r>
          </w:p>
        </w:tc>
      </w:tr>
      <w:tr>
        <w:trPr>
          <w:trHeight w:val="167"/>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Net income / (loss) from continuing operations attributable to SUI common shareholders</w:t>
            </w:r>
          </w:p>
        </w:tc>
        <w:tc>
          <w:tcPr>
            <w:tcW w:w="8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(68.4)</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(295.6)</w:t>
            </w:r>
          </w:p>
        </w:tc>
      </w:tr>
      <w:tr>
        <w:trPr>
          <w:trHeight w:val="172"/>
        </w:trPr>
        <w:tc>
          <w:tcPr>
            <w:tcW w:w="7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Less: allocation to restricted stock awards</w:t>
            </w:r>
          </w:p>
        </w:tc>
        <w:tc>
          <w:tcPr>
            <w:tcW w:w="8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167"/>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Basic earnings - net income / (loss) from continuing operations after allocation to restricted stock awards</w:t>
            </w:r>
          </w:p>
        </w:tc>
        <w:tc>
          <w:tcPr>
            <w:tcW w:w="8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(293.8)</w:t>
            </w:r>
          </w:p>
        </w:tc>
      </w:tr>
      <w:tr>
        <w:trPr>
          <w:trHeight w:val="172"/>
        </w:trPr>
        <w:tc>
          <w:tcPr>
            <w:tcW w:w="7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Basic earnings - net income from discontinued operations</w:t>
            </w:r>
          </w:p>
        </w:tc>
        <w:tc>
          <w:tcPr>
            <w:tcW w:w="8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1,429.6</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74.2</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82.3</w:t>
            </w:r>
          </w:p>
        </w:tc>
      </w:tr>
      <w:tr>
        <w:trPr>
          <w:trHeight w:val="192"/>
        </w:trPr>
        <w:tc>
          <w:tcPr>
            <w:tcW w:w="71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Basic earnings - net income / (loss) attributable to common shareholders after allocation to restricted stock awards</w:t>
            </w:r>
          </w:p>
        </w:tc>
        <w:tc>
          <w:tcPr>
            <w:tcW w:w="840" w:type="dxa"/>
            <w:vAlign w:val="bottom"/>
            <w:tcBorders>
              <w:bottom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1,353.5</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88.6</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(211.5)</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28"/>
        </w:trPr>
        <w:tc>
          <w:tcPr>
            <w:tcW w:w="7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74"/>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Numerator for diluted EPS</w:t>
            </w:r>
          </w:p>
        </w:tc>
        <w:tc>
          <w:tcPr>
            <w:tcW w:w="8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72"/>
        </w:trPr>
        <w:tc>
          <w:tcPr>
            <w:tcW w:w="71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Basic earnings - net income / (loss) from continuing operations after allocation to restricted stock awards</w:t>
            </w:r>
          </w:p>
        </w:tc>
        <w:tc>
          <w:tcPr>
            <w:tcW w:w="840" w:type="dxa"/>
            <w:vAlign w:val="bottom"/>
          </w:tcPr>
          <w:p>
            <w:pPr>
              <w:jc w:val="right"/>
              <w:ind w:right="694"/>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(76.1)</w:t>
            </w:r>
          </w:p>
        </w:tc>
        <w:tc>
          <w:tcPr>
            <w:tcW w:w="380" w:type="dxa"/>
            <w:vAlign w:val="bottom"/>
            <w:gridSpan w:val="2"/>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80" w:type="dxa"/>
            <w:vAlign w:val="bottom"/>
          </w:tcPr>
          <w:p>
            <w:pPr>
              <w:spacing w:after="0"/>
              <w:rPr>
                <w:sz w:val="14"/>
                <w:szCs w:val="14"/>
                <w:color w:val="auto"/>
              </w:rPr>
            </w:pPr>
          </w:p>
        </w:tc>
        <w:tc>
          <w:tcPr>
            <w:tcW w:w="32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(293.8)</w:t>
            </w:r>
          </w:p>
        </w:tc>
      </w:tr>
      <w:tr>
        <w:trPr>
          <w:trHeight w:val="175"/>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Add: allocation to common and preferred OP units dilutive effect</w:t>
            </w:r>
          </w:p>
        </w:tc>
        <w:tc>
          <w:tcPr>
            <w:tcW w:w="8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71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Add: allocation to restricted stock awards</w:t>
            </w:r>
          </w:p>
        </w:tc>
        <w:tc>
          <w:tcPr>
            <w:tcW w:w="8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167"/>
        </w:trPr>
        <w:tc>
          <w:tcPr>
            <w:tcW w:w="71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Diluted net income / (loss) from continuing operations attributable to SUI common shareholders</w:t>
            </w:r>
          </w:p>
        </w:tc>
        <w:tc>
          <w:tcPr>
            <w:tcW w:w="84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(76.1)</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(295.6)</w:t>
            </w:r>
          </w:p>
        </w:tc>
      </w:tr>
      <w:tr>
        <w:trPr>
          <w:trHeight w:val="172"/>
        </w:trPr>
        <w:tc>
          <w:tcPr>
            <w:tcW w:w="7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Diluted net income from discontinued operations</w:t>
            </w:r>
          </w:p>
        </w:tc>
        <w:tc>
          <w:tcPr>
            <w:tcW w:w="8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1,429.6</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74.2</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82.3</w:t>
            </w:r>
          </w:p>
        </w:tc>
      </w:tr>
      <w:tr>
        <w:trPr>
          <w:trHeight w:val="192"/>
        </w:trPr>
        <w:tc>
          <w:tcPr>
            <w:tcW w:w="7100" w:type="dxa"/>
            <w:vAlign w:val="bottom"/>
            <w:tcBorders>
              <w:bottom w:val="single" w:sz="8" w:color="CCEEFF"/>
            </w:tcBorders>
            <w:shd w:val="clear" w:color="auto" w:fill="CCEEFF"/>
          </w:tcPr>
          <w:p>
            <w:pPr>
              <w:ind w:left="120"/>
              <w:spacing w:after="0" w:line="167" w:lineRule="exact"/>
              <w:rPr>
                <w:sz w:val="20"/>
                <w:szCs w:val="20"/>
                <w:color w:val="auto"/>
              </w:rPr>
            </w:pPr>
            <w:r>
              <w:rPr>
                <w:rFonts w:ascii="Times New Roman" w:cs="Times New Roman" w:eastAsia="Times New Roman" w:hAnsi="Times New Roman"/>
                <w:sz w:val="13"/>
                <w:szCs w:val="13"/>
                <w:color w:val="auto"/>
              </w:rPr>
              <w:t>Diluted earnings - net income / (loss) attributable to common shareholders after allocation to common and preferred OP units</w:t>
            </w:r>
            <w:r>
              <w:rPr>
                <w:rFonts w:ascii="Times New Roman" w:cs="Times New Roman" w:eastAsia="Times New Roman" w:hAnsi="Times New Roman"/>
                <w:sz w:val="17"/>
                <w:szCs w:val="17"/>
                <w:color w:val="auto"/>
                <w:vertAlign w:val="superscript"/>
              </w:rPr>
              <w:t>(1)</w:t>
            </w:r>
          </w:p>
        </w:tc>
        <w:tc>
          <w:tcPr>
            <w:tcW w:w="840" w:type="dxa"/>
            <w:vAlign w:val="bottom"/>
            <w:tcBorders>
              <w:bottom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1,353.5</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89.8</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(213.3)</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28"/>
        </w:trPr>
        <w:tc>
          <w:tcPr>
            <w:tcW w:w="7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74"/>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Denominator</w:t>
            </w:r>
          </w:p>
        </w:tc>
        <w:tc>
          <w:tcPr>
            <w:tcW w:w="8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72"/>
        </w:trPr>
        <w:tc>
          <w:tcPr>
            <w:tcW w:w="71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Weighted average common shares outstanding</w:t>
            </w:r>
          </w:p>
        </w:tc>
        <w:tc>
          <w:tcPr>
            <w:tcW w:w="8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123.4</w:t>
            </w:r>
          </w:p>
        </w:tc>
      </w:tr>
      <w:tr>
        <w:trPr>
          <w:trHeight w:val="175"/>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Add: dilutive restricted stock</w:t>
            </w:r>
          </w:p>
        </w:tc>
        <w:tc>
          <w:tcPr>
            <w:tcW w:w="8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w:t>
            </w:r>
          </w:p>
        </w:tc>
      </w:tr>
      <w:tr>
        <w:trPr>
          <w:trHeight w:val="172"/>
        </w:trPr>
        <w:tc>
          <w:tcPr>
            <w:tcW w:w="7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Add: common and preferred OP units dilutive effect</w:t>
            </w:r>
          </w:p>
        </w:tc>
        <w:tc>
          <w:tcPr>
            <w:tcW w:w="8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2"/>
        </w:trPr>
        <w:tc>
          <w:tcPr>
            <w:tcW w:w="7100" w:type="dxa"/>
            <w:vAlign w:val="bottom"/>
            <w:tcBorders>
              <w:bottom w:val="single" w:sz="8" w:color="CCEEFF"/>
            </w:tcBorders>
            <w:shd w:val="clear" w:color="auto" w:fill="CCEEFF"/>
          </w:tcPr>
          <w:p>
            <w:pPr>
              <w:ind w:left="120"/>
              <w:spacing w:after="0" w:line="167" w:lineRule="exact"/>
              <w:rPr>
                <w:sz w:val="20"/>
                <w:szCs w:val="20"/>
                <w:color w:val="auto"/>
              </w:rPr>
            </w:pPr>
            <w:r>
              <w:rPr>
                <w:rFonts w:ascii="Times New Roman" w:cs="Times New Roman" w:eastAsia="Times New Roman" w:hAnsi="Times New Roman"/>
                <w:sz w:val="13"/>
                <w:szCs w:val="13"/>
                <w:color w:val="auto"/>
              </w:rPr>
              <w:t>Diluted weighted average common shares and securities</w:t>
            </w:r>
            <w:r>
              <w:rPr>
                <w:rFonts w:ascii="Times New Roman" w:cs="Times New Roman" w:eastAsia="Times New Roman" w:hAnsi="Times New Roman"/>
                <w:sz w:val="17"/>
                <w:szCs w:val="17"/>
                <w:color w:val="auto"/>
                <w:vertAlign w:val="superscript"/>
              </w:rPr>
              <w:t>(1)</w:t>
            </w:r>
          </w:p>
        </w:tc>
        <w:tc>
          <w:tcPr>
            <w:tcW w:w="84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124.9</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127.2</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123.8</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28"/>
        </w:trPr>
        <w:tc>
          <w:tcPr>
            <w:tcW w:w="7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74"/>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EPS Available to Common Shareholders After Allocation</w:t>
            </w:r>
          </w:p>
        </w:tc>
        <w:tc>
          <w:tcPr>
            <w:tcW w:w="8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72"/>
        </w:trPr>
        <w:tc>
          <w:tcPr>
            <w:tcW w:w="71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Basic earnings / (loss) per share from continuing operations</w:t>
            </w:r>
          </w:p>
        </w:tc>
        <w:tc>
          <w:tcPr>
            <w:tcW w:w="840" w:type="dxa"/>
            <w:vAlign w:val="bottom"/>
          </w:tcPr>
          <w:p>
            <w:pPr>
              <w:jc w:val="right"/>
              <w:ind w:right="694"/>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(0.61)</w:t>
            </w:r>
          </w:p>
        </w:tc>
        <w:tc>
          <w:tcPr>
            <w:tcW w:w="380" w:type="dxa"/>
            <w:vAlign w:val="bottom"/>
            <w:gridSpan w:val="2"/>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0.12</w:t>
            </w:r>
          </w:p>
        </w:tc>
        <w:tc>
          <w:tcPr>
            <w:tcW w:w="80" w:type="dxa"/>
            <w:vAlign w:val="bottom"/>
          </w:tcPr>
          <w:p>
            <w:pPr>
              <w:spacing w:after="0"/>
              <w:rPr>
                <w:sz w:val="14"/>
                <w:szCs w:val="14"/>
                <w:color w:val="auto"/>
              </w:rPr>
            </w:pPr>
          </w:p>
        </w:tc>
        <w:tc>
          <w:tcPr>
            <w:tcW w:w="32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w:t>
            </w:r>
          </w:p>
        </w:tc>
      </w:tr>
      <w:tr>
        <w:trPr>
          <w:trHeight w:val="175"/>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Basic earnings per share from discontinued operations</w:t>
            </w:r>
          </w:p>
        </w:tc>
        <w:tc>
          <w:tcPr>
            <w:tcW w:w="8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11.45</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0.59</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0.67</w:t>
            </w:r>
          </w:p>
        </w:tc>
      </w:tr>
      <w:tr>
        <w:trPr>
          <w:trHeight w:val="165"/>
        </w:trPr>
        <w:tc>
          <w:tcPr>
            <w:tcW w:w="71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Basic earnings / (loss) per share</w:t>
            </w:r>
          </w:p>
        </w:tc>
        <w:tc>
          <w:tcPr>
            <w:tcW w:w="84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10.84</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0.71</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(1.71)</w:t>
            </w: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48"/>
        </w:trPr>
        <w:tc>
          <w:tcPr>
            <w:tcW w:w="7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205"/>
        </w:trPr>
        <w:tc>
          <w:tcPr>
            <w:tcW w:w="71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Diluted earnings / (loss) per share from continuing operations</w:t>
            </w:r>
          </w:p>
        </w:tc>
        <w:tc>
          <w:tcPr>
            <w:tcW w:w="840" w:type="dxa"/>
            <w:vAlign w:val="bottom"/>
          </w:tcPr>
          <w:p>
            <w:pPr>
              <w:jc w:val="right"/>
              <w:ind w:right="694"/>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(0.61)</w:t>
            </w:r>
          </w:p>
        </w:tc>
        <w:tc>
          <w:tcPr>
            <w:tcW w:w="380" w:type="dxa"/>
            <w:vAlign w:val="bottom"/>
            <w:gridSpan w:val="2"/>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0.12</w:t>
            </w:r>
          </w:p>
        </w:tc>
        <w:tc>
          <w:tcPr>
            <w:tcW w:w="80" w:type="dxa"/>
            <w:vAlign w:val="bottom"/>
          </w:tcPr>
          <w:p>
            <w:pPr>
              <w:spacing w:after="0"/>
              <w:rPr>
                <w:sz w:val="17"/>
                <w:szCs w:val="17"/>
                <w:color w:val="auto"/>
              </w:rPr>
            </w:pPr>
          </w:p>
        </w:tc>
        <w:tc>
          <w:tcPr>
            <w:tcW w:w="32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w:t>
            </w:r>
          </w:p>
        </w:tc>
      </w:tr>
      <w:tr>
        <w:trPr>
          <w:trHeight w:val="212"/>
        </w:trPr>
        <w:tc>
          <w:tcPr>
            <w:tcW w:w="7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Diluted earnings per share from discontinued operations</w:t>
            </w:r>
          </w:p>
        </w:tc>
        <w:tc>
          <w:tcPr>
            <w:tcW w:w="8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11.45</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0.59</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0.67</w:t>
            </w:r>
          </w:p>
        </w:tc>
      </w:tr>
      <w:tr>
        <w:trPr>
          <w:trHeight w:val="165"/>
        </w:trPr>
        <w:tc>
          <w:tcPr>
            <w:tcW w:w="7100" w:type="dxa"/>
            <w:vAlign w:val="bottom"/>
          </w:tcPr>
          <w:p>
            <w:pPr>
              <w:ind w:left="100"/>
              <w:spacing w:after="0" w:line="165" w:lineRule="exact"/>
              <w:rPr>
                <w:sz w:val="20"/>
                <w:szCs w:val="20"/>
                <w:color w:val="auto"/>
              </w:rPr>
            </w:pPr>
            <w:r>
              <w:rPr>
                <w:rFonts w:ascii="Times New Roman" w:cs="Times New Roman" w:eastAsia="Times New Roman" w:hAnsi="Times New Roman"/>
                <w:sz w:val="13"/>
                <w:szCs w:val="13"/>
                <w:color w:val="auto"/>
              </w:rPr>
              <w:t>Diluted earnings / (loss) per share</w:t>
            </w:r>
            <w:r>
              <w:rPr>
                <w:rFonts w:ascii="Times New Roman" w:cs="Times New Roman" w:eastAsia="Times New Roman" w:hAnsi="Times New Roman"/>
                <w:sz w:val="17"/>
                <w:szCs w:val="17"/>
                <w:color w:val="auto"/>
                <w:vertAlign w:val="superscript"/>
              </w:rPr>
              <w:t>(1)</w:t>
            </w:r>
          </w:p>
        </w:tc>
        <w:tc>
          <w:tcPr>
            <w:tcW w:w="84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10.84</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0.71</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(1.72)</w:t>
            </w:r>
          </w:p>
        </w:tc>
      </w:tr>
      <w:tr>
        <w:trPr>
          <w:trHeight w:val="20"/>
        </w:trPr>
        <w:tc>
          <w:tcPr>
            <w:tcW w:w="7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jc w:val="both"/>
        <w:ind w:left="147" w:hanging="147"/>
        <w:spacing w:after="0" w:line="501" w:lineRule="auto"/>
        <w:tabs>
          <w:tab w:leader="none" w:pos="122" w:val="left"/>
        </w:tabs>
        <w:numPr>
          <w:ilvl w:val="0"/>
          <w:numId w:val="61"/>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For the years ended December 31, 2025 and 2024, diluted earnings per share was calculated using the two-class method for RSAs as the application of this method resulted in a more diluted earnings per share during those periods. For the year ended December 31, 2023, diluted earnings per share was calculated using the treasury stock method for RSAs as the application of this method resulted in a more diluted earnings per share during this period.</w:t>
      </w:r>
    </w:p>
    <w:p>
      <w:pPr>
        <w:spacing w:after="0" w:line="30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F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121920</wp:posOffset>
            </wp:positionV>
            <wp:extent cx="7177405" cy="400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121" w:right="319" w:bottom="1440" w:gutter="0" w:footer="0" w:header="0"/>
        </w:sectPr>
      </w:pPr>
    </w:p>
    <w:bookmarkStart w:id="92" w:name="page93"/>
    <w:bookmarkEnd w:id="92"/>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jc w:val="both"/>
        <w:ind w:left="7"/>
        <w:spacing w:after="0" w:line="295" w:lineRule="auto"/>
        <w:rPr>
          <w:sz w:val="20"/>
          <w:szCs w:val="20"/>
          <w:color w:val="auto"/>
        </w:rPr>
      </w:pPr>
      <w:r>
        <w:rPr>
          <w:rFonts w:ascii="Times New Roman" w:cs="Times New Roman" w:eastAsia="Times New Roman" w:hAnsi="Times New Roman"/>
          <w:sz w:val="15"/>
          <w:szCs w:val="15"/>
          <w:color w:val="auto"/>
        </w:rPr>
        <w:t>We have excluded certain potentially dilutive securities from the computation of diluted EPS because the inclusion of those securities would have been anti-dilutive for the periods presented. The following table presents the outstanding securities that were excluded from the computation of diluted EPS (in thousands):</w:t>
      </w:r>
    </w:p>
    <w:p>
      <w:pPr>
        <w:spacing w:after="0" w:line="71" w:lineRule="exact"/>
        <w:rPr>
          <w:sz w:val="20"/>
          <w:szCs w:val="20"/>
          <w:color w:val="auto"/>
        </w:rPr>
      </w:pPr>
    </w:p>
    <w:p>
      <w:pPr>
        <w:ind w:left="8107"/>
        <w:spacing w:after="0"/>
        <w:rPr>
          <w:sz w:val="20"/>
          <w:szCs w:val="20"/>
          <w:color w:val="auto"/>
        </w:rPr>
      </w:pPr>
      <w:r>
        <w:rPr>
          <w:rFonts w:ascii="Times New Roman" w:cs="Times New Roman" w:eastAsia="Times New Roman" w:hAnsi="Times New Roman"/>
          <w:sz w:val="13"/>
          <w:szCs w:val="13"/>
          <w:b w:val="1"/>
          <w:bCs w:val="1"/>
          <w:color w:val="auto"/>
        </w:rPr>
        <w:t>Year Ended December 31,</w:t>
      </w:r>
    </w:p>
    <w:p>
      <w:pPr>
        <w:spacing w:after="0" w:line="23" w:lineRule="exact"/>
        <w:rPr>
          <w:sz w:val="20"/>
          <w:szCs w:val="20"/>
          <w:color w:val="auto"/>
        </w:rPr>
      </w:pPr>
    </w:p>
    <w:tbl>
      <w:tblPr>
        <w:tblLayout w:type="fixed"/>
        <w:tblInd w:w="7" w:type="dxa"/>
        <w:tblCellMar>
          <w:top w:w="0" w:type="dxa"/>
          <w:left w:w="0" w:type="dxa"/>
          <w:bottom w:w="0" w:type="dxa"/>
          <w:right w:w="0" w:type="dxa"/>
        </w:tblCellMar>
      </w:tblPr>
      <w:tr>
        <w:trPr>
          <w:trHeight w:val="172"/>
        </w:trPr>
        <w:tc>
          <w:tcPr>
            <w:tcW w:w="6400" w:type="dxa"/>
            <w:vAlign w:val="bottom"/>
          </w:tcPr>
          <w:p>
            <w:pPr>
              <w:spacing w:after="0"/>
              <w:rPr>
                <w:sz w:val="14"/>
                <w:szCs w:val="14"/>
                <w:color w:val="auto"/>
              </w:rPr>
            </w:pPr>
          </w:p>
        </w:tc>
        <w:tc>
          <w:tcPr>
            <w:tcW w:w="1060" w:type="dxa"/>
            <w:vAlign w:val="bottom"/>
            <w:tcBorders>
              <w:top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660" w:type="dxa"/>
            <w:vAlign w:val="bottom"/>
            <w:tcBorders>
              <w:top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2024</w:t>
            </w:r>
          </w:p>
        </w:tc>
        <w:tc>
          <w:tcPr>
            <w:tcW w:w="5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right"/>
              <w:ind w:right="594"/>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5"/>
        </w:trPr>
        <w:tc>
          <w:tcPr>
            <w:tcW w:w="6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Common OP units</w:t>
            </w:r>
          </w:p>
        </w:tc>
        <w:tc>
          <w:tcPr>
            <w:tcW w:w="106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2,637</w:t>
            </w:r>
          </w:p>
        </w:tc>
        <w:tc>
          <w:tcPr>
            <w:tcW w:w="8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2,735</w:t>
            </w:r>
          </w:p>
        </w:tc>
      </w:tr>
      <w:tr>
        <w:trPr>
          <w:trHeight w:val="172"/>
        </w:trPr>
        <w:tc>
          <w:tcPr>
            <w:tcW w:w="7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A-1 preferred OP units</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w:t>
            </w:r>
          </w:p>
        </w:tc>
      </w:tr>
      <w:tr>
        <w:trPr>
          <w:trHeight w:val="175"/>
        </w:trPr>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A-3 preferred OP units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172"/>
        </w:trPr>
        <w:tc>
          <w:tcPr>
            <w:tcW w:w="7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Series C preferred OP units</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w:t>
            </w:r>
          </w:p>
        </w:tc>
        <w:tc>
          <w:tcPr>
            <w:tcW w:w="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w:t>
            </w:r>
          </w:p>
        </w:tc>
      </w:tr>
      <w:tr>
        <w:trPr>
          <w:trHeight w:val="175"/>
        </w:trPr>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D preferred OP units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489</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489</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489</w:t>
            </w:r>
          </w:p>
        </w:tc>
      </w:tr>
      <w:tr>
        <w:trPr>
          <w:trHeight w:val="172"/>
        </w:trPr>
        <w:tc>
          <w:tcPr>
            <w:tcW w:w="7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Series E preferred OP units</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r>
      <w:tr>
        <w:trPr>
          <w:trHeight w:val="175"/>
        </w:trPr>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F preferred OP units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r>
      <w:tr>
        <w:trPr>
          <w:trHeight w:val="172"/>
        </w:trPr>
        <w:tc>
          <w:tcPr>
            <w:tcW w:w="7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Series G preferred OP units</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w:t>
            </w:r>
          </w:p>
        </w:tc>
      </w:tr>
      <w:tr>
        <w:trPr>
          <w:trHeight w:val="175"/>
        </w:trPr>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H preferred OP units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581</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581</w:t>
            </w:r>
          </w:p>
        </w:tc>
      </w:tr>
      <w:tr>
        <w:trPr>
          <w:trHeight w:val="172"/>
        </w:trPr>
        <w:tc>
          <w:tcPr>
            <w:tcW w:w="7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Series J preferred OP units</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w:t>
            </w:r>
          </w:p>
        </w:tc>
        <w:tc>
          <w:tcPr>
            <w:tcW w:w="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w:t>
            </w:r>
          </w:p>
        </w:tc>
      </w:tr>
      <w:tr>
        <w:trPr>
          <w:trHeight w:val="175"/>
        </w:trPr>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K preferred OP units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r>
      <w:tr>
        <w:trPr>
          <w:trHeight w:val="172"/>
        </w:trPr>
        <w:tc>
          <w:tcPr>
            <w:tcW w:w="7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Series L preferred OP units</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75"/>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Redemption rights - Series G preferred OP units</w:t>
            </w:r>
          </w:p>
        </w:tc>
        <w:tc>
          <w:tcPr>
            <w:tcW w:w="10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8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80" w:type="dxa"/>
            <w:vAlign w:val="bottom"/>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N/A</w:t>
            </w:r>
          </w:p>
        </w:tc>
      </w:tr>
      <w:tr>
        <w:trPr>
          <w:trHeight w:val="165"/>
        </w:trPr>
        <w:tc>
          <w:tcPr>
            <w:tcW w:w="746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Total Securities</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5,801</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3,216</w:t>
            </w:r>
          </w:p>
        </w:tc>
        <w:tc>
          <w:tcPr>
            <w:tcW w:w="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5,992</w:t>
            </w:r>
          </w:p>
        </w:tc>
      </w:tr>
      <w:tr>
        <w:trPr>
          <w:trHeight w:val="20"/>
        </w:trPr>
        <w:tc>
          <w:tcPr>
            <w:tcW w:w="64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color w:val="auto"/>
        </w:rPr>
        <w:t>N/A = Not applicable.</w:t>
      </w:r>
    </w:p>
    <w:p>
      <w:pPr>
        <w:spacing w:after="0" w:line="10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13. Derivative Financial Instruments</w:t>
      </w:r>
    </w:p>
    <w:p>
      <w:pPr>
        <w:spacing w:after="0" w:line="109" w:lineRule="exact"/>
        <w:rPr>
          <w:sz w:val="20"/>
          <w:szCs w:val="20"/>
          <w:color w:val="auto"/>
        </w:rPr>
      </w:pPr>
    </w:p>
    <w:p>
      <w:pPr>
        <w:jc w:val="both"/>
        <w:ind w:left="7"/>
        <w:spacing w:after="0" w:line="270" w:lineRule="auto"/>
        <w:rPr>
          <w:sz w:val="20"/>
          <w:szCs w:val="20"/>
          <w:color w:val="auto"/>
        </w:rPr>
      </w:pPr>
      <w:r>
        <w:rPr>
          <w:rFonts w:ascii="Times New Roman" w:cs="Times New Roman" w:eastAsia="Times New Roman" w:hAnsi="Times New Roman"/>
          <w:sz w:val="15"/>
          <w:szCs w:val="15"/>
          <w:color w:val="auto"/>
        </w:rPr>
        <w:t>We have utilized treasury rate lock contracts, interest rate swaps, and forward swaps for interest rate risk management purposes. We have also periodically entered into forward swaps to hedge foreign currency exchange risk exposures. We do not enter into derivative instruments for speculative purposes. At December 31, 2025, we did not have any outstanding derivative contracts. At December 31, 2024, we held 11 derivative contracts, which were designated as cash flow hedges under ASC Topic 815, "</w:t>
      </w:r>
      <w:r>
        <w:rPr>
          <w:rFonts w:ascii="Times New Roman" w:cs="Times New Roman" w:eastAsia="Times New Roman" w:hAnsi="Times New Roman"/>
          <w:sz w:val="15"/>
          <w:szCs w:val="15"/>
          <w:i w:val="1"/>
          <w:iCs w:val="1"/>
          <w:color w:val="auto"/>
        </w:rPr>
        <w:t>Derivatives and Hedging</w:t>
      </w:r>
      <w:r>
        <w:rPr>
          <w:rFonts w:ascii="Times New Roman" w:cs="Times New Roman" w:eastAsia="Times New Roman" w:hAnsi="Times New Roman"/>
          <w:sz w:val="15"/>
          <w:szCs w:val="15"/>
          <w:color w:val="auto"/>
        </w:rPr>
        <w:t>." The risk being hedged is the interest rate risk related to outstanding floating rate debt and forecasted debt issuance transactions, and the benchmark interest rate used is the SOFR Rate.</w:t>
      </w:r>
    </w:p>
    <w:p>
      <w:pPr>
        <w:spacing w:after="0" w:line="5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i w:val="1"/>
          <w:iCs w:val="1"/>
          <w:color w:val="auto"/>
        </w:rPr>
        <w:t>Derivative Contract Activity</w:t>
      </w:r>
    </w:p>
    <w:p>
      <w:pPr>
        <w:spacing w:after="0" w:line="109" w:lineRule="exact"/>
        <w:rPr>
          <w:sz w:val="20"/>
          <w:szCs w:val="20"/>
          <w:color w:val="auto"/>
        </w:rPr>
      </w:pPr>
    </w:p>
    <w:p>
      <w:pPr>
        <w:jc w:val="both"/>
        <w:ind w:left="7"/>
        <w:spacing w:after="0" w:line="276" w:lineRule="auto"/>
        <w:rPr>
          <w:sz w:val="20"/>
          <w:szCs w:val="20"/>
          <w:color w:val="auto"/>
        </w:rPr>
      </w:pPr>
      <w:r>
        <w:rPr>
          <w:rFonts w:ascii="Times New Roman" w:cs="Times New Roman" w:eastAsia="Times New Roman" w:hAnsi="Times New Roman"/>
          <w:sz w:val="15"/>
          <w:szCs w:val="15"/>
          <w:color w:val="auto"/>
        </w:rPr>
        <w:t>During the year ended December 31, 2025, we entered into six forward swap contracts with a notional amount totaling $1.0 billion (equivalent to £768.0 million) to economically hedge a planned repayment of a GBP debt borrowing. In conjunction with the repayment of the debt during the same period, we settled the forward swap contracts and recognized a gain of $14.4 million within Gain / (loss) on foreign currency exchanges on the Consolidated Statements of Operations.</w:t>
      </w:r>
    </w:p>
    <w:p>
      <w:pPr>
        <w:spacing w:after="0" w:line="53" w:lineRule="exact"/>
        <w:rPr>
          <w:sz w:val="20"/>
          <w:szCs w:val="20"/>
          <w:color w:val="auto"/>
        </w:rPr>
      </w:pPr>
    </w:p>
    <w:p>
      <w:pPr>
        <w:jc w:val="both"/>
        <w:ind w:left="7"/>
        <w:spacing w:after="0" w:line="276" w:lineRule="auto"/>
        <w:rPr>
          <w:sz w:val="20"/>
          <w:szCs w:val="20"/>
          <w:color w:val="auto"/>
        </w:rPr>
      </w:pPr>
      <w:r>
        <w:rPr>
          <w:rFonts w:ascii="Times New Roman" w:cs="Times New Roman" w:eastAsia="Times New Roman" w:hAnsi="Times New Roman"/>
          <w:sz w:val="15"/>
          <w:szCs w:val="15"/>
          <w:color w:val="auto"/>
        </w:rPr>
        <w:t>During the year ended December 31, 2025, we also terminated eight interest rate swap contracts with an aggregate notional amount of $300.0 million in conjunction with the settlement of outstanding debt obligations on our Senior Credit Facility. We recorded a loss on termination of $1.2 million within Other income / (expense), net on the Consolidated Statements of Operations.</w:t>
      </w:r>
    </w:p>
    <w:p>
      <w:pPr>
        <w:spacing w:after="0" w:line="53" w:lineRule="exact"/>
        <w:rPr>
          <w:sz w:val="20"/>
          <w:szCs w:val="20"/>
          <w:color w:val="auto"/>
        </w:rPr>
      </w:pPr>
    </w:p>
    <w:p>
      <w:pPr>
        <w:jc w:val="both"/>
        <w:ind w:left="7"/>
        <w:spacing w:after="0" w:line="295" w:lineRule="auto"/>
        <w:rPr>
          <w:sz w:val="20"/>
          <w:szCs w:val="20"/>
          <w:color w:val="auto"/>
        </w:rPr>
      </w:pPr>
      <w:r>
        <w:rPr>
          <w:rFonts w:ascii="Times New Roman" w:cs="Times New Roman" w:eastAsia="Times New Roman" w:hAnsi="Times New Roman"/>
          <w:sz w:val="15"/>
          <w:szCs w:val="15"/>
          <w:color w:val="auto"/>
        </w:rPr>
        <w:t>During the year ended December 31, 2025, three forward swaps with a notional amount totaling $646.4 million (equivalent to £500.0 million) expired upon reaching their respective maturity dates.</w:t>
      </w:r>
    </w:p>
    <w:p>
      <w:pPr>
        <w:spacing w:after="0" w:line="8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The following table presents the gross fair value amounts of our derivative financial instruments and the associated notional amounts (in millions):</w:t>
      </w:r>
    </w:p>
    <w:p>
      <w:pPr>
        <w:spacing w:after="0" w:line="195" w:lineRule="exact"/>
        <w:rPr>
          <w:sz w:val="20"/>
          <w:szCs w:val="20"/>
          <w:color w:val="auto"/>
        </w:rPr>
      </w:pPr>
    </w:p>
    <w:tbl>
      <w:tblPr>
        <w:tblLayout w:type="fixed"/>
        <w:tblInd w:w="7" w:type="dxa"/>
        <w:tblCellMar>
          <w:top w:w="0" w:type="dxa"/>
          <w:left w:w="0" w:type="dxa"/>
          <w:bottom w:w="0" w:type="dxa"/>
          <w:right w:w="0" w:type="dxa"/>
        </w:tblCellMar>
      </w:tblPr>
      <w:tr>
        <w:trPr>
          <w:trHeight w:val="176"/>
        </w:trPr>
        <w:tc>
          <w:tcPr>
            <w:tcW w:w="3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9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122"/>
        </w:trPr>
        <w:tc>
          <w:tcPr>
            <w:tcW w:w="3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3"/>
                <w:szCs w:val="13"/>
                <w:b w:val="1"/>
                <w:bCs w:val="1"/>
                <w:color w:val="auto"/>
                <w:w w:val="97"/>
              </w:rPr>
              <w:t>Fair Value</w:t>
            </w:r>
          </w:p>
        </w:tc>
        <w:tc>
          <w:tcPr>
            <w:tcW w:w="980" w:type="dxa"/>
            <w:vAlign w:val="bottom"/>
          </w:tcPr>
          <w:p>
            <w:pPr>
              <w:jc w:val="center"/>
              <w:ind w:left="154"/>
              <w:spacing w:after="0" w:line="122" w:lineRule="exact"/>
              <w:rPr>
                <w:sz w:val="20"/>
                <w:szCs w:val="20"/>
                <w:color w:val="auto"/>
              </w:rPr>
            </w:pPr>
            <w:r>
              <w:rPr>
                <w:rFonts w:ascii="Times New Roman" w:cs="Times New Roman" w:eastAsia="Times New Roman" w:hAnsi="Times New Roman"/>
                <w:sz w:val="13"/>
                <w:szCs w:val="13"/>
                <w:b w:val="1"/>
                <w:bCs w:val="1"/>
                <w:color w:val="auto"/>
                <w:w w:val="97"/>
              </w:rPr>
              <w:t>Fair Value of</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Fair Value</w:t>
            </w:r>
          </w:p>
        </w:tc>
        <w:tc>
          <w:tcPr>
            <w:tcW w:w="160" w:type="dxa"/>
            <w:vAlign w:val="bottom"/>
          </w:tcPr>
          <w:p>
            <w:pPr>
              <w:spacing w:after="0"/>
              <w:rPr>
                <w:sz w:val="10"/>
                <w:szCs w:val="10"/>
                <w:color w:val="auto"/>
              </w:rPr>
            </w:pPr>
          </w:p>
        </w:tc>
        <w:tc>
          <w:tcPr>
            <w:tcW w:w="1040" w:type="dxa"/>
            <w:vAlign w:val="bottom"/>
          </w:tcPr>
          <w:p>
            <w:pPr>
              <w:jc w:val="center"/>
              <w:ind w:right="114"/>
              <w:spacing w:after="0" w:line="122" w:lineRule="exact"/>
              <w:rPr>
                <w:sz w:val="20"/>
                <w:szCs w:val="20"/>
                <w:color w:val="auto"/>
              </w:rPr>
            </w:pPr>
            <w:r>
              <w:rPr>
                <w:rFonts w:ascii="Times New Roman" w:cs="Times New Roman" w:eastAsia="Times New Roman" w:hAnsi="Times New Roman"/>
                <w:sz w:val="13"/>
                <w:szCs w:val="13"/>
                <w:b w:val="1"/>
                <w:bCs w:val="1"/>
                <w:color w:val="auto"/>
              </w:rPr>
              <w:t>Fair Value of</w:t>
            </w:r>
          </w:p>
        </w:tc>
      </w:tr>
      <w:tr>
        <w:trPr>
          <w:trHeight w:val="185"/>
        </w:trPr>
        <w:tc>
          <w:tcPr>
            <w:tcW w:w="35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Derivatives Designated as Cash Flow Hedges</w:t>
            </w: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Notional</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of Assets</w:t>
            </w:r>
          </w:p>
        </w:tc>
        <w:tc>
          <w:tcPr>
            <w:tcW w:w="980" w:type="dxa"/>
            <w:vAlign w:val="bottom"/>
          </w:tcPr>
          <w:p>
            <w:pPr>
              <w:jc w:val="center"/>
              <w:ind w:left="154"/>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Notional</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280"/>
              <w:spacing w:after="0" w:line="185" w:lineRule="exact"/>
              <w:rPr>
                <w:sz w:val="20"/>
                <w:szCs w:val="20"/>
                <w:color w:val="auto"/>
              </w:rPr>
            </w:pPr>
            <w:r>
              <w:rPr>
                <w:rFonts w:ascii="Times New Roman" w:cs="Times New Roman" w:eastAsia="Times New Roman" w:hAnsi="Times New Roman"/>
                <w:sz w:val="13"/>
                <w:szCs w:val="13"/>
                <w:b w:val="1"/>
                <w:bCs w:val="1"/>
                <w:color w:val="auto"/>
                <w:w w:val="93"/>
              </w:rPr>
              <w:t>of Assets</w:t>
            </w:r>
            <w:r>
              <w:rPr>
                <w:rFonts w:ascii="Times New Roman" w:cs="Times New Roman" w:eastAsia="Times New Roman" w:hAnsi="Times New Roman"/>
                <w:sz w:val="17"/>
                <w:szCs w:val="17"/>
                <w:b w:val="1"/>
                <w:bCs w:val="1"/>
                <w:color w:val="auto"/>
                <w:w w:val="93"/>
                <w:vertAlign w:val="superscript"/>
              </w:rPr>
              <w:t>(1)</w:t>
            </w:r>
          </w:p>
        </w:tc>
        <w:tc>
          <w:tcPr>
            <w:tcW w:w="160" w:type="dxa"/>
            <w:vAlign w:val="bottom"/>
          </w:tcPr>
          <w:p>
            <w:pPr>
              <w:spacing w:after="0"/>
              <w:rPr>
                <w:sz w:val="16"/>
                <w:szCs w:val="16"/>
                <w:color w:val="auto"/>
              </w:rPr>
            </w:pPr>
          </w:p>
        </w:tc>
        <w:tc>
          <w:tcPr>
            <w:tcW w:w="1040" w:type="dxa"/>
            <w:vAlign w:val="bottom"/>
          </w:tcPr>
          <w:p>
            <w:pPr>
              <w:jc w:val="center"/>
              <w:ind w:right="114"/>
              <w:spacing w:after="0" w:line="185" w:lineRule="exact"/>
              <w:rPr>
                <w:sz w:val="20"/>
                <w:szCs w:val="20"/>
                <w:color w:val="auto"/>
              </w:rPr>
            </w:pPr>
            <w:r>
              <w:rPr>
                <w:rFonts w:ascii="Times New Roman" w:cs="Times New Roman" w:eastAsia="Times New Roman" w:hAnsi="Times New Roman"/>
                <w:sz w:val="13"/>
                <w:szCs w:val="13"/>
                <w:b w:val="1"/>
                <w:bCs w:val="1"/>
                <w:color w:val="auto"/>
                <w:w w:val="95"/>
              </w:rPr>
              <w:t>Liabilities</w:t>
            </w:r>
            <w:r>
              <w:rPr>
                <w:rFonts w:ascii="Times New Roman" w:cs="Times New Roman" w:eastAsia="Times New Roman" w:hAnsi="Times New Roman"/>
                <w:sz w:val="17"/>
                <w:szCs w:val="17"/>
                <w:b w:val="1"/>
                <w:bCs w:val="1"/>
                <w:color w:val="auto"/>
                <w:w w:val="95"/>
                <w:vertAlign w:val="superscript"/>
              </w:rPr>
              <w:t>(2)</w:t>
            </w:r>
          </w:p>
        </w:tc>
      </w:tr>
      <w:tr>
        <w:trPr>
          <w:trHeight w:val="165"/>
        </w:trPr>
        <w:tc>
          <w:tcPr>
            <w:tcW w:w="3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rate derivatives</w:t>
            </w: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927.6</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r>
    </w:tbl>
    <w:p>
      <w:pPr>
        <w:spacing w:after="0" w:line="49" w:lineRule="exact"/>
        <w:rPr>
          <w:sz w:val="20"/>
          <w:szCs w:val="20"/>
          <w:color w:val="auto"/>
        </w:rPr>
      </w:pPr>
    </w:p>
    <w:p>
      <w:pPr>
        <w:ind w:left="127" w:hanging="127"/>
        <w:spacing w:after="0"/>
        <w:tabs>
          <w:tab w:leader="none" w:pos="127" w:val="left"/>
        </w:tabs>
        <w:numPr>
          <w:ilvl w:val="0"/>
          <w:numId w:val="6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Included within Other assets, net on the Consolidated Balance Sheets.</w:t>
      </w:r>
    </w:p>
    <w:p>
      <w:pPr>
        <w:spacing w:after="0" w:line="4" w:lineRule="exact"/>
        <w:rPr>
          <w:rFonts w:ascii="Times New Roman" w:cs="Times New Roman" w:eastAsia="Times New Roman" w:hAnsi="Times New Roman"/>
          <w:sz w:val="16"/>
          <w:szCs w:val="16"/>
          <w:color w:val="auto"/>
          <w:vertAlign w:val="superscript"/>
        </w:rPr>
      </w:pPr>
    </w:p>
    <w:p>
      <w:pPr>
        <w:ind w:left="127" w:hanging="127"/>
        <w:spacing w:after="0" w:line="190" w:lineRule="auto"/>
        <w:tabs>
          <w:tab w:leader="none" w:pos="127" w:val="left"/>
        </w:tabs>
        <w:numPr>
          <w:ilvl w:val="0"/>
          <w:numId w:val="6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Included within Other liabilities on the Consolidated Balance Sheets.</w:t>
      </w:r>
    </w:p>
    <w:p>
      <w:pPr>
        <w:spacing w:after="0" w:line="8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The following table presents the gains / (losses) on derivatives in cash flow hedging relationships recognized in OCI (in millions):</w:t>
      </w:r>
    </w:p>
    <w:p>
      <w:pPr>
        <w:spacing w:after="0" w:line="138" w:lineRule="exact"/>
        <w:rPr>
          <w:sz w:val="20"/>
          <w:szCs w:val="20"/>
          <w:color w:val="auto"/>
        </w:rPr>
      </w:pPr>
    </w:p>
    <w:tbl>
      <w:tblPr>
        <w:tblLayout w:type="fixed"/>
        <w:tblInd w:w="7" w:type="dxa"/>
        <w:tblCellMar>
          <w:top w:w="0" w:type="dxa"/>
          <w:left w:w="0" w:type="dxa"/>
          <w:bottom w:w="0" w:type="dxa"/>
          <w:right w:w="0" w:type="dxa"/>
        </w:tblCellMar>
      </w:tblPr>
      <w:tr>
        <w:trPr>
          <w:trHeight w:val="173"/>
        </w:trPr>
        <w:tc>
          <w:tcPr>
            <w:tcW w:w="6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71"/>
        </w:trPr>
        <w:tc>
          <w:tcPr>
            <w:tcW w:w="64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Derivatives Designated as Cash Flow Hedges</w:t>
            </w:r>
          </w:p>
        </w:tc>
        <w:tc>
          <w:tcPr>
            <w:tcW w:w="110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2025</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ind w:right="59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94"/>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6"/>
        </w:trPr>
        <w:tc>
          <w:tcPr>
            <w:tcW w:w="6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rate derivatives</w:t>
            </w:r>
          </w:p>
        </w:tc>
        <w:tc>
          <w:tcPr>
            <w:tcW w:w="8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ind w:right="954"/>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r>
    </w:tbl>
    <w:p>
      <w:pPr>
        <w:spacing w:after="0" w:line="200" w:lineRule="exact"/>
        <w:rPr>
          <w:sz w:val="20"/>
          <w:szCs w:val="20"/>
          <w:color w:val="auto"/>
        </w:rPr>
      </w:pPr>
    </w:p>
    <w:p>
      <w:pPr>
        <w:spacing w:after="0" w:line="36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F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121920</wp:posOffset>
            </wp:positionV>
            <wp:extent cx="7177405" cy="400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121" w:right="31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presents the amount of gains on derivative instruments reclassified from AOCI into earnings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71"/>
        </w:trPr>
        <w:tc>
          <w:tcPr>
            <w:tcW w:w="36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Derivatives Designated as Cash Flow Hedges</w:t>
            </w:r>
          </w:p>
        </w:tc>
        <w:tc>
          <w:tcPr>
            <w:tcW w:w="2780" w:type="dxa"/>
            <w:vAlign w:val="bottom"/>
            <w:gridSpan w:val="2"/>
          </w:tcPr>
          <w:p>
            <w:pPr>
              <w:ind w:left="380"/>
              <w:spacing w:after="0"/>
              <w:rPr>
                <w:sz w:val="20"/>
                <w:szCs w:val="20"/>
                <w:color w:val="auto"/>
              </w:rPr>
            </w:pPr>
            <w:r>
              <w:rPr>
                <w:rFonts w:ascii="Times New Roman" w:cs="Times New Roman" w:eastAsia="Times New Roman" w:hAnsi="Times New Roman"/>
                <w:sz w:val="13"/>
                <w:szCs w:val="13"/>
                <w:b w:val="1"/>
                <w:bCs w:val="1"/>
                <w:color w:val="auto"/>
              </w:rPr>
              <w:t>Financial Statement Classification</w:t>
            </w:r>
          </w:p>
        </w:tc>
        <w:tc>
          <w:tcPr>
            <w:tcW w:w="360" w:type="dxa"/>
            <w:vAlign w:val="bottom"/>
          </w:tcPr>
          <w:p>
            <w:pPr>
              <w:spacing w:after="0"/>
              <w:rPr>
                <w:sz w:val="14"/>
                <w:szCs w:val="14"/>
                <w:color w:val="auto"/>
              </w:rPr>
            </w:pPr>
          </w:p>
        </w:tc>
        <w:tc>
          <w:tcPr>
            <w:tcW w:w="1180" w:type="dxa"/>
            <w:vAlign w:val="bottom"/>
          </w:tcPr>
          <w:p>
            <w:pPr>
              <w:jc w:val="right"/>
              <w:ind w:right="57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ind w:right="59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94"/>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19"/>
        </w:trPr>
        <w:tc>
          <w:tcPr>
            <w:tcW w:w="3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700" w:type="dxa"/>
            <w:vAlign w:val="bottom"/>
            <w:tcBorders>
              <w:top w:val="single" w:sz="8" w:color="auto"/>
            </w:tcBorders>
            <w:shd w:val="clear" w:color="auto" w:fill="CCEEFF"/>
          </w:tcPr>
          <w:p>
            <w:pPr>
              <w:ind w:left="20"/>
              <w:spacing w:after="0" w:line="119" w:lineRule="exact"/>
              <w:rPr>
                <w:sz w:val="20"/>
                <w:szCs w:val="20"/>
                <w:color w:val="auto"/>
              </w:rPr>
            </w:pPr>
            <w:r>
              <w:rPr>
                <w:rFonts w:ascii="Times New Roman" w:cs="Times New Roman" w:eastAsia="Times New Roman" w:hAnsi="Times New Roman"/>
                <w:sz w:val="13"/>
                <w:szCs w:val="13"/>
                <w:color w:val="auto"/>
              </w:rPr>
              <w:t>Interest expense /</w:t>
            </w:r>
          </w:p>
        </w:tc>
        <w:tc>
          <w:tcPr>
            <w:tcW w:w="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11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2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1200" w:type="dxa"/>
            <w:vAlign w:val="bottom"/>
            <w:tcBorders>
              <w:top w:val="single" w:sz="8" w:color="auto"/>
            </w:tcBorders>
            <w:shd w:val="clear" w:color="auto" w:fill="CCEEFF"/>
          </w:tcPr>
          <w:p>
            <w:pPr>
              <w:spacing w:after="0"/>
              <w:rPr>
                <w:sz w:val="10"/>
                <w:szCs w:val="10"/>
                <w:color w:val="auto"/>
              </w:rPr>
            </w:pPr>
          </w:p>
        </w:tc>
      </w:tr>
      <w:tr>
        <w:trPr>
          <w:trHeight w:val="185"/>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rate derivatives</w:t>
            </w:r>
          </w:p>
        </w:tc>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income / (expense), net</w:t>
            </w:r>
          </w:p>
        </w:tc>
        <w:tc>
          <w:tcPr>
            <w:tcW w:w="36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w:t>
            </w:r>
          </w:p>
        </w:tc>
      </w:tr>
    </w:tbl>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During the year ended December 31, 2025, we released net accumulated gains of $8.7 million from AOCI to earnings in conjunction with the settlement of the 2029 and 2033 Note Redemptions and the repayment of certain mortgage term loans. The debt instruments were previously classified as hedged transactions under ASC 815, "</w:t>
      </w:r>
      <w:r>
        <w:rPr>
          <w:rFonts w:ascii="Times New Roman" w:cs="Times New Roman" w:eastAsia="Times New Roman" w:hAnsi="Times New Roman"/>
          <w:sz w:val="15"/>
          <w:szCs w:val="15"/>
          <w:i w:val="1"/>
          <w:iCs w:val="1"/>
          <w:color w:val="auto"/>
        </w:rPr>
        <w:t>Derivatives and Hedging</w:t>
      </w:r>
      <w:r>
        <w:rPr>
          <w:rFonts w:ascii="Times New Roman" w:cs="Times New Roman" w:eastAsia="Times New Roman" w:hAnsi="Times New Roman"/>
          <w:sz w:val="15"/>
          <w:szCs w:val="15"/>
          <w:color w:val="auto"/>
        </w:rPr>
        <w:t>," and the extinguishment of the related debt obligations resulted in the discontinuation of the cash flow hedge relationship. The net accumulated gains were recorded to Other income / (expense), net on the Consolidated Statements of Operations.</w:t>
      </w:r>
    </w:p>
    <w:p>
      <w:pPr>
        <w:spacing w:after="0" w:line="57"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color w:val="auto"/>
        </w:rPr>
        <w:t>Refer to Note 1, "Significant Accounting Policies," for our accounting policies pertaining to derivative financial instruments. Refer to Note 14, "Fair Value Measurements," for additional information related to the fair value methodology used for derivative financial instruments.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14. Fair Value Measurements</w:t>
      </w:r>
    </w:p>
    <w:p>
      <w:pPr>
        <w:spacing w:after="0" w:line="10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The table below sets forth our financial assets and liabilities (in millions) that require disclosure of fair value on a recurring basis as of December 31, 2025. The valuation techniques are described in Note 1, "Significant Accounting Policies." The carrying values of cash, cash equivalents and restricted cash, other receivables and accounts payable approximate their fair market values since their maturities are less than one year. These financial instruments are classified as Level 1 in the hierarchy and are excluded from the table below.</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gridSpan w:val="5"/>
          </w:tcPr>
          <w:p>
            <w:pPr>
              <w:ind w:left="54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00" w:type="dxa"/>
            <w:vAlign w:val="bottom"/>
          </w:tcPr>
          <w:p>
            <w:pPr>
              <w:spacing w:after="0"/>
              <w:rPr>
                <w:sz w:val="15"/>
                <w:szCs w:val="15"/>
                <w:color w:val="auto"/>
              </w:rPr>
            </w:pPr>
          </w:p>
        </w:tc>
        <w:tc>
          <w:tcPr>
            <w:tcW w:w="2260" w:type="dxa"/>
            <w:vAlign w:val="bottom"/>
            <w:gridSpan w:val="4"/>
          </w:tcPr>
          <w:p>
            <w:pPr>
              <w:jc w:val="right"/>
              <w:ind w:right="594"/>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71"/>
        </w:trPr>
        <w:tc>
          <w:tcPr>
            <w:tcW w:w="5140" w:type="dxa"/>
            <w:vAlign w:val="bottom"/>
          </w:tcPr>
          <w:p>
            <w:pPr>
              <w:spacing w:after="0"/>
              <w:rPr>
                <w:sz w:val="14"/>
                <w:szCs w:val="14"/>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Fair Value Level</w:t>
            </w:r>
          </w:p>
        </w:tc>
        <w:tc>
          <w:tcPr>
            <w:tcW w:w="1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Carrying Value</w:t>
            </w: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Carrying Value</w:t>
            </w: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54"/>
        </w:trPr>
        <w:tc>
          <w:tcPr>
            <w:tcW w:w="5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Financial Assets</w:t>
            </w:r>
          </w:p>
        </w:tc>
        <w:tc>
          <w:tcPr>
            <w:tcW w:w="1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r>
      <w:tr>
        <w:trPr>
          <w:trHeight w:val="172"/>
        </w:trPr>
        <w:tc>
          <w:tcPr>
            <w:tcW w:w="51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Installment notes receivable on manufactured homes, net</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139.2</w:t>
            </w:r>
          </w:p>
        </w:tc>
        <w:tc>
          <w:tcPr>
            <w:tcW w:w="80" w:type="dxa"/>
            <w:vAlign w:val="bottom"/>
          </w:tcPr>
          <w:p>
            <w:pPr>
              <w:spacing w:after="0"/>
              <w:rPr>
                <w:sz w:val="14"/>
                <w:szCs w:val="14"/>
                <w:color w:val="auto"/>
              </w:rPr>
            </w:pP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139.2</w:t>
            </w:r>
          </w:p>
        </w:tc>
        <w:tc>
          <w:tcPr>
            <w:tcW w:w="2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93.9</w:t>
            </w:r>
          </w:p>
        </w:tc>
        <w:tc>
          <w:tcPr>
            <w:tcW w:w="80" w:type="dxa"/>
            <w:vAlign w:val="bottom"/>
          </w:tcPr>
          <w:p>
            <w:pPr>
              <w:spacing w:after="0"/>
              <w:rPr>
                <w:sz w:val="14"/>
                <w:szCs w:val="14"/>
                <w:color w:val="auto"/>
              </w:rPr>
            </w:pP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93.9</w:t>
            </w:r>
          </w:p>
        </w:tc>
      </w:tr>
      <w:tr>
        <w:trPr>
          <w:trHeight w:val="175"/>
        </w:trPr>
        <w:tc>
          <w:tcPr>
            <w:tcW w:w="5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Notes receivable from real estate developers and operators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148.5</w:t>
            </w:r>
          </w:p>
        </w:tc>
      </w:tr>
      <w:tr>
        <w:trPr>
          <w:trHeight w:val="172"/>
        </w:trPr>
        <w:tc>
          <w:tcPr>
            <w:tcW w:w="51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Collateralized receivables, net</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51.2</w:t>
            </w:r>
          </w:p>
        </w:tc>
      </w:tr>
      <w:tr>
        <w:trPr>
          <w:trHeight w:val="174"/>
        </w:trPr>
        <w:tc>
          <w:tcPr>
            <w:tcW w:w="5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Derivative assets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r>
      <w:tr>
        <w:trPr>
          <w:trHeight w:val="167"/>
        </w:trPr>
        <w:tc>
          <w:tcPr>
            <w:tcW w:w="514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Total assets measured at fair value</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226.9</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226.9</w:t>
            </w:r>
          </w:p>
        </w:tc>
        <w:tc>
          <w:tcPr>
            <w:tcW w:w="2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299.9</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299.9</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48"/>
        </w:trPr>
        <w:tc>
          <w:tcPr>
            <w:tcW w:w="5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173"/>
        </w:trPr>
        <w:tc>
          <w:tcPr>
            <w:tcW w:w="51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Financial Liabilities</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4"/>
        </w:trPr>
        <w:tc>
          <w:tcPr>
            <w:tcW w:w="5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Mortgage loans payable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2,429.0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2,193.0</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3,212.2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2,952.4</w:t>
            </w:r>
          </w:p>
        </w:tc>
      </w:tr>
      <w:tr>
        <w:trPr>
          <w:trHeight w:val="172"/>
        </w:trPr>
        <w:tc>
          <w:tcPr>
            <w:tcW w:w="51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Secured borrowings on collateralized receivables</w:t>
            </w:r>
          </w:p>
        </w:tc>
        <w:tc>
          <w:tcPr>
            <w:tcW w:w="11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43.2</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43.2</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51.2</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51.2</w:t>
            </w:r>
          </w:p>
        </w:tc>
      </w:tr>
      <w:tr>
        <w:trPr>
          <w:trHeight w:val="167"/>
        </w:trPr>
        <w:tc>
          <w:tcPr>
            <w:tcW w:w="5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Total secured debt</w:t>
            </w: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2,472.2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2,236.2</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3,263.4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3,003.6</w:t>
            </w:r>
          </w:p>
        </w:tc>
      </w:tr>
      <w:tr>
        <w:trPr>
          <w:trHeight w:val="172"/>
        </w:trPr>
        <w:tc>
          <w:tcPr>
            <w:tcW w:w="51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Unsecured debt</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5"/>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Senior unsecured notes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1,786.5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1,655.1</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2,676.3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2,476.8</w:t>
            </w:r>
          </w:p>
        </w:tc>
      </w:tr>
      <w:tr>
        <w:trPr>
          <w:trHeight w:val="172"/>
        </w:trPr>
        <w:tc>
          <w:tcPr>
            <w:tcW w:w="5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Line of credit</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1,413.1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1,413.1</w:t>
            </w:r>
          </w:p>
        </w:tc>
      </w:tr>
      <w:tr>
        <w:trPr>
          <w:trHeight w:val="167"/>
        </w:trPr>
        <w:tc>
          <w:tcPr>
            <w:tcW w:w="514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unsecured debt</w:t>
            </w:r>
          </w:p>
        </w:tc>
        <w:tc>
          <w:tcPr>
            <w:tcW w:w="1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1,786.5</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1,655.1</w:t>
            </w: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4,089.4</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3,889.9</w:t>
            </w:r>
          </w:p>
        </w:tc>
      </w:tr>
      <w:tr>
        <w:trPr>
          <w:trHeight w:val="172"/>
        </w:trPr>
        <w:tc>
          <w:tcPr>
            <w:tcW w:w="5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Derivative liabilities</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74"/>
        </w:trPr>
        <w:tc>
          <w:tcPr>
            <w:tcW w:w="5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Other financial liabilities (contingent consideration)</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2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w:t>
            </w:r>
          </w:p>
        </w:tc>
      </w:tr>
      <w:tr>
        <w:trPr>
          <w:trHeight w:val="167"/>
        </w:trPr>
        <w:tc>
          <w:tcPr>
            <w:tcW w:w="514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Total liabilities measured at fair value</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4,258.9</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3,891.5</w:t>
            </w:r>
          </w:p>
        </w:tc>
        <w:tc>
          <w:tcPr>
            <w:tcW w:w="2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7,365.4</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6,906.1</w:t>
            </w:r>
          </w:p>
        </w:tc>
      </w:tr>
      <w:tr>
        <w:trPr>
          <w:trHeight w:val="20"/>
        </w:trPr>
        <w:tc>
          <w:tcPr>
            <w:tcW w:w="5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color w:val="auto"/>
        </w:rPr>
        <w:t>We utilize fair value measurements to record fair value adjustments to certain assets and liabilities and to determine fair value disclosures. The following methods and assumptions were used in order to estimate the fair value of each class of financial instrument for which it is practicable to estimate that value.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Installment Notes Receivable on Manufactured Homes and Collateralized Receivables</w:t>
      </w:r>
    </w:p>
    <w:p>
      <w:pPr>
        <w:spacing w:after="0" w:line="109"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color w:val="auto"/>
        </w:rPr>
        <w:t>Installment notes receivable on manufactured homes and collateralized receivables are recorded at fair value and are measured using model-derived indicative pricing using primarily unobservable inputs, inclusive of default rates, interest rates and recovery rates (Level 3). Refer to Note 4, "Notes and Other Receivables" for additional information.</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Notes Receivable from Real Estate Developers and Operators</w:t>
      </w:r>
    </w:p>
    <w:p>
      <w:pPr>
        <w:spacing w:after="0" w:line="10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5"/>
          <w:szCs w:val="15"/>
          <w:color w:val="auto"/>
        </w:rPr>
        <w:t>Notes receivable from real estate developers and operators are recorded at fair value and are measured using model-derived indicative pricing using primarily unobservable inputs including interest rates and counterparty performance (Level 3). The carrying values of the notes generally approximate their fair market values either due to the nature of the note and / or the note being secured primarily by underlying real estate and other collateral and / or personal guarantees. Refer to Note 4, "Notes and Other Receivables," for additional information.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Derivatives Assets and Liabilities - Interest Rate Derivatives</w:t>
      </w:r>
    </w:p>
    <w:p>
      <w:pPr>
        <w:spacing w:after="0" w:line="109"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color w:val="auto"/>
        </w:rPr>
        <w:t>Interest rate derivatives are recorded at fair value and consist of interest rate swaps and forward swaps. The fair value of these financial instruments are measured using observable inputs based on the SOFR and SONIA Rates, respectively (Level 2).</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Secured Debt</w:t>
      </w:r>
    </w:p>
    <w:p>
      <w:pPr>
        <w:spacing w:after="0" w:line="109"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color w:val="auto"/>
        </w:rPr>
        <w:t>Secured debt consists primarily of our mortgage term loans. The fair value of mortgage term loans is based on the estimates of management and on rates currently quoted, rates currently prevailing for comparable loans and instruments of comparable maturities (Level 2). Refer to Note 7, "Debt and Line of Credit," for additional information.</w:t>
      </w:r>
    </w:p>
    <w:p>
      <w:pPr>
        <w:spacing w:after="0" w:line="39"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color w:val="auto"/>
        </w:rPr>
        <w:t>Secured borrowings on collateralized receivables - recorded at fair value and adjusted based on the same interest rates as the related collateralized receivables (Level 3). Refer to Note 7, "Debt and Line of Credit," for additional information.</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Unsecured Debt</w:t>
      </w:r>
    </w:p>
    <w:p>
      <w:pPr>
        <w:spacing w:after="0" w:line="10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5"/>
          <w:szCs w:val="15"/>
          <w:color w:val="auto"/>
        </w:rPr>
        <w:t>Senior unsecured notes - the fair value of senior unsecured notes is based on the estimates of management and on rates currently quoted, rates currently prevailing for comparable loans and instruments of comparable maturities (Level 2). Refer to Note 7, "Debt and Line of Credit," for additional information.</w:t>
      </w:r>
    </w:p>
    <w:p>
      <w:pPr>
        <w:spacing w:after="0" w:line="3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Line of credit and other unsecured debt - consists primarily of our senior credit facility. We have variable rates on our senior credit facility. The fair value of the debt with variable rates approximates carrying value as the interest rates of these amounts approximate market rates (Level 2). The estimated fair value of our debt as of December 31, 2025 approximated its gross carrying value.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Other Financial Liabilities</w:t>
      </w:r>
    </w:p>
    <w:p>
      <w:pPr>
        <w:spacing w:after="0" w:line="10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5"/>
          <w:szCs w:val="15"/>
          <w:color w:val="auto"/>
        </w:rPr>
        <w:t>We estimate the fair value of contingent consideration liabilities based on valuation models using significant unobservable inputs that generally consider discounting of future cash flows using market interest rates and adjusting for non-performance risk over the remaining term of the liability (Level 3).</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Level 3 Reconciliation, Measurements, and Transfers</w:t>
      </w:r>
    </w:p>
    <w:p>
      <w:pPr>
        <w:spacing w:after="0" w:line="109"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5"/>
          <w:szCs w:val="15"/>
          <w:color w:val="auto"/>
        </w:rPr>
        <w:t>We review the fair value hierarchy classifications each reporting period. Changes in the observability of the valuation attributes may result in a reclassification of certain financial assets or liabilities. Such reclassifications are reported as transfers in and out of Level 3 at the beginning fair value for the reporting period in which the changes occur. Availability of secondary market activity and consistency of pricing from third-party sources impacts our ability to classify securities as Level 2 or Level 3. There were no transfers into or out of Level 3 during the years ended December 31, 2025 and 2024.</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95" w:name="page96"/>
    <w:bookmarkEnd w:id="95"/>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The following tables summarize changes to our financial instruments carried at fair value and classified within Level 3 of the fair value hierarchy (in millions):</w:t>
      </w:r>
    </w:p>
    <w:p>
      <w:pPr>
        <w:spacing w:after="0" w:line="195" w:lineRule="exact"/>
        <w:rPr>
          <w:sz w:val="20"/>
          <w:szCs w:val="20"/>
          <w:color w:val="auto"/>
        </w:rPr>
      </w:pPr>
    </w:p>
    <w:tbl>
      <w:tblPr>
        <w:tblLayout w:type="fixed"/>
        <w:tblInd w:w="7" w:type="dxa"/>
        <w:tblCellMar>
          <w:top w:w="0" w:type="dxa"/>
          <w:left w:w="0" w:type="dxa"/>
          <w:bottom w:w="0" w:type="dxa"/>
          <w:right w:w="0" w:type="dxa"/>
        </w:tblCellMar>
      </w:tblPr>
      <w:tr>
        <w:trPr>
          <w:trHeight w:val="176"/>
        </w:trPr>
        <w:tc>
          <w:tcPr>
            <w:tcW w:w="3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3"/>
                <w:szCs w:val="13"/>
                <w:b w:val="1"/>
                <w:bCs w:val="1"/>
                <w:color w:val="auto"/>
              </w:rPr>
              <w:t>2024</w:t>
            </w: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tcPr>
          <w:p>
            <w:pPr>
              <w:jc w:val="right"/>
              <w:ind w:right="440"/>
              <w:spacing w:after="0" w:line="108" w:lineRule="exact"/>
              <w:rPr>
                <w:sz w:val="20"/>
                <w:szCs w:val="20"/>
                <w:color w:val="auto"/>
              </w:rPr>
            </w:pPr>
            <w:r>
              <w:rPr>
                <w:rFonts w:ascii="Times New Roman" w:cs="Times New Roman" w:eastAsia="Times New Roman" w:hAnsi="Times New Roman"/>
                <w:sz w:val="12"/>
                <w:szCs w:val="12"/>
                <w:b w:val="1"/>
                <w:bCs w:val="1"/>
                <w:color w:val="auto"/>
              </w:rPr>
              <w:t>Installment</w:t>
            </w:r>
          </w:p>
        </w:tc>
        <w:tc>
          <w:tcPr>
            <w:tcW w:w="1420" w:type="dxa"/>
            <w:vAlign w:val="bottom"/>
            <w:gridSpan w:val="3"/>
          </w:tcPr>
          <w:p>
            <w:pPr>
              <w:jc w:val="center"/>
              <w:ind w:right="80"/>
              <w:spacing w:after="0" w:line="108" w:lineRule="exact"/>
              <w:rPr>
                <w:sz w:val="20"/>
                <w:szCs w:val="20"/>
                <w:color w:val="auto"/>
              </w:rPr>
            </w:pPr>
            <w:r>
              <w:rPr>
                <w:rFonts w:ascii="Times New Roman" w:cs="Times New Roman" w:eastAsia="Times New Roman" w:hAnsi="Times New Roman"/>
                <w:sz w:val="12"/>
                <w:szCs w:val="12"/>
                <w:b w:val="1"/>
                <w:bCs w:val="1"/>
                <w:color w:val="auto"/>
              </w:rPr>
              <w:t>Notes Receivable From</w:t>
            </w:r>
          </w:p>
        </w:tc>
        <w:tc>
          <w:tcPr>
            <w:tcW w:w="100" w:type="dxa"/>
            <w:vAlign w:val="bottom"/>
          </w:tcPr>
          <w:p>
            <w:pPr>
              <w:spacing w:after="0"/>
              <w:rPr>
                <w:sz w:val="9"/>
                <w:szCs w:val="9"/>
                <w:color w:val="auto"/>
              </w:rPr>
            </w:pPr>
          </w:p>
        </w:tc>
        <w:tc>
          <w:tcPr>
            <w:tcW w:w="12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Collateralized</w:t>
            </w:r>
          </w:p>
        </w:tc>
        <w:tc>
          <w:tcPr>
            <w:tcW w:w="120" w:type="dxa"/>
            <w:vAlign w:val="bottom"/>
          </w:tcPr>
          <w:p>
            <w:pPr>
              <w:spacing w:after="0"/>
              <w:rPr>
                <w:sz w:val="9"/>
                <w:szCs w:val="9"/>
                <w:color w:val="auto"/>
              </w:rPr>
            </w:pPr>
          </w:p>
        </w:tc>
        <w:tc>
          <w:tcPr>
            <w:tcW w:w="1120" w:type="dxa"/>
            <w:vAlign w:val="bottom"/>
            <w:gridSpan w:val="2"/>
          </w:tcPr>
          <w:p>
            <w:pPr>
              <w:ind w:left="60"/>
              <w:spacing w:after="0" w:line="108" w:lineRule="exact"/>
              <w:rPr>
                <w:sz w:val="20"/>
                <w:szCs w:val="20"/>
                <w:color w:val="auto"/>
              </w:rPr>
            </w:pPr>
            <w:r>
              <w:rPr>
                <w:rFonts w:ascii="Times New Roman" w:cs="Times New Roman" w:eastAsia="Times New Roman" w:hAnsi="Times New Roman"/>
                <w:sz w:val="12"/>
                <w:szCs w:val="12"/>
                <w:b w:val="1"/>
                <w:bCs w:val="1"/>
                <w:color w:val="auto"/>
              </w:rPr>
              <w:t>Installment</w:t>
            </w:r>
          </w:p>
        </w:tc>
        <w:tc>
          <w:tcPr>
            <w:tcW w:w="1620" w:type="dxa"/>
            <w:vAlign w:val="bottom"/>
            <w:gridSpan w:val="3"/>
          </w:tcPr>
          <w:p>
            <w:pPr>
              <w:jc w:val="center"/>
              <w:ind w:right="280"/>
              <w:spacing w:after="0" w:line="108" w:lineRule="exact"/>
              <w:rPr>
                <w:sz w:val="20"/>
                <w:szCs w:val="20"/>
                <w:color w:val="auto"/>
              </w:rPr>
            </w:pPr>
            <w:r>
              <w:rPr>
                <w:rFonts w:ascii="Times New Roman" w:cs="Times New Roman" w:eastAsia="Times New Roman" w:hAnsi="Times New Roman"/>
                <w:sz w:val="12"/>
                <w:szCs w:val="12"/>
                <w:b w:val="1"/>
                <w:bCs w:val="1"/>
                <w:color w:val="auto"/>
              </w:rPr>
              <w:t>Notes Receivable From</w:t>
            </w:r>
          </w:p>
        </w:tc>
        <w:tc>
          <w:tcPr>
            <w:tcW w:w="80" w:type="dxa"/>
            <w:vAlign w:val="bottom"/>
          </w:tcPr>
          <w:p>
            <w:pPr>
              <w:spacing w:after="0"/>
              <w:rPr>
                <w:sz w:val="9"/>
                <w:szCs w:val="9"/>
                <w:color w:val="auto"/>
              </w:rPr>
            </w:pPr>
          </w:p>
        </w:tc>
        <w:tc>
          <w:tcPr>
            <w:tcW w:w="980" w:type="dxa"/>
            <w:vAlign w:val="bottom"/>
            <w:vMerge w:val="restart"/>
          </w:tcPr>
          <w:p>
            <w:pPr>
              <w:jc w:val="right"/>
              <w:ind w:right="98"/>
              <w:spacing w:after="0"/>
              <w:rPr>
                <w:sz w:val="20"/>
                <w:szCs w:val="20"/>
                <w:color w:val="auto"/>
              </w:rPr>
            </w:pPr>
            <w:r>
              <w:rPr>
                <w:rFonts w:ascii="Times New Roman" w:cs="Times New Roman" w:eastAsia="Times New Roman" w:hAnsi="Times New Roman"/>
                <w:sz w:val="12"/>
                <w:szCs w:val="12"/>
                <w:b w:val="1"/>
                <w:bCs w:val="1"/>
                <w:color w:val="auto"/>
              </w:rPr>
              <w:t>Collateralized</w:t>
            </w: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31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1200" w:type="dxa"/>
            <w:vAlign w:val="bottom"/>
            <w:gridSpan w:val="3"/>
          </w:tcPr>
          <w:p>
            <w:pPr>
              <w:ind w:left="20"/>
              <w:spacing w:after="0" w:line="128" w:lineRule="exact"/>
              <w:rPr>
                <w:sz w:val="20"/>
                <w:szCs w:val="20"/>
                <w:color w:val="auto"/>
              </w:rPr>
            </w:pPr>
            <w:r>
              <w:rPr>
                <w:rFonts w:ascii="Times New Roman" w:cs="Times New Roman" w:eastAsia="Times New Roman" w:hAnsi="Times New Roman"/>
                <w:sz w:val="12"/>
                <w:szCs w:val="12"/>
                <w:b w:val="1"/>
                <w:bCs w:val="1"/>
                <w:color w:val="auto"/>
              </w:rPr>
              <w:t>Notes Receivable</w:t>
            </w:r>
          </w:p>
        </w:tc>
        <w:tc>
          <w:tcPr>
            <w:tcW w:w="1420" w:type="dxa"/>
            <w:vAlign w:val="bottom"/>
            <w:gridSpan w:val="3"/>
          </w:tcPr>
          <w:p>
            <w:pPr>
              <w:jc w:val="center"/>
              <w:ind w:right="80"/>
              <w:spacing w:after="0" w:line="128" w:lineRule="exact"/>
              <w:rPr>
                <w:sz w:val="20"/>
                <w:szCs w:val="20"/>
                <w:color w:val="auto"/>
              </w:rPr>
            </w:pPr>
            <w:r>
              <w:rPr>
                <w:rFonts w:ascii="Times New Roman" w:cs="Times New Roman" w:eastAsia="Times New Roman" w:hAnsi="Times New Roman"/>
                <w:sz w:val="12"/>
                <w:szCs w:val="12"/>
                <w:b w:val="1"/>
                <w:bCs w:val="1"/>
                <w:color w:val="auto"/>
              </w:rPr>
              <w:t>Real Estate Developers</w:t>
            </w:r>
          </w:p>
        </w:tc>
        <w:tc>
          <w:tcPr>
            <w:tcW w:w="1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240" w:type="dxa"/>
            <w:vAlign w:val="bottom"/>
            <w:gridSpan w:val="3"/>
          </w:tcPr>
          <w:p>
            <w:pPr>
              <w:ind w:left="20"/>
              <w:spacing w:after="0" w:line="128" w:lineRule="exact"/>
              <w:rPr>
                <w:sz w:val="20"/>
                <w:szCs w:val="20"/>
                <w:color w:val="auto"/>
              </w:rPr>
            </w:pPr>
            <w:r>
              <w:rPr>
                <w:rFonts w:ascii="Times New Roman" w:cs="Times New Roman" w:eastAsia="Times New Roman" w:hAnsi="Times New Roman"/>
                <w:sz w:val="12"/>
                <w:szCs w:val="12"/>
                <w:b w:val="1"/>
                <w:bCs w:val="1"/>
                <w:color w:val="auto"/>
              </w:rPr>
              <w:t>Notes Receivable</w:t>
            </w:r>
          </w:p>
        </w:tc>
        <w:tc>
          <w:tcPr>
            <w:tcW w:w="1620" w:type="dxa"/>
            <w:vAlign w:val="bottom"/>
            <w:gridSpan w:val="3"/>
          </w:tcPr>
          <w:p>
            <w:pPr>
              <w:jc w:val="center"/>
              <w:ind w:right="280"/>
              <w:spacing w:after="0" w:line="128" w:lineRule="exact"/>
              <w:rPr>
                <w:sz w:val="20"/>
                <w:szCs w:val="20"/>
                <w:color w:val="auto"/>
              </w:rPr>
            </w:pPr>
            <w:r>
              <w:rPr>
                <w:rFonts w:ascii="Times New Roman" w:cs="Times New Roman" w:eastAsia="Times New Roman" w:hAnsi="Times New Roman"/>
                <w:sz w:val="12"/>
                <w:szCs w:val="12"/>
                <w:b w:val="1"/>
                <w:bCs w:val="1"/>
                <w:color w:val="auto"/>
              </w:rPr>
              <w:t>Real Estate Developers</w:t>
            </w:r>
          </w:p>
        </w:tc>
        <w:tc>
          <w:tcPr>
            <w:tcW w:w="8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on MH, net</w:t>
            </w:r>
          </w:p>
        </w:tc>
        <w:tc>
          <w:tcPr>
            <w:tcW w:w="18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and Operators</w:t>
            </w:r>
          </w:p>
        </w:tc>
        <w:tc>
          <w:tcPr>
            <w:tcW w:w="10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rPr>
              <w:t>Receivables, net</w:t>
            </w:r>
          </w:p>
        </w:tc>
        <w:tc>
          <w:tcPr>
            <w:tcW w:w="12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on MH, net</w:t>
            </w:r>
          </w:p>
        </w:tc>
        <w:tc>
          <w:tcPr>
            <w:tcW w:w="180" w:type="dxa"/>
            <w:vAlign w:val="bottom"/>
          </w:tcPr>
          <w:p>
            <w:pPr>
              <w:spacing w:after="0"/>
              <w:rPr>
                <w:sz w:val="14"/>
                <w:szCs w:val="14"/>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rPr>
              <w:t>and Operators</w:t>
            </w:r>
          </w:p>
        </w:tc>
        <w:tc>
          <w:tcPr>
            <w:tcW w:w="80" w:type="dxa"/>
            <w:vAlign w:val="bottom"/>
          </w:tcPr>
          <w:p>
            <w:pPr>
              <w:spacing w:after="0"/>
              <w:rPr>
                <w:sz w:val="14"/>
                <w:szCs w:val="14"/>
                <w:color w:val="auto"/>
              </w:rPr>
            </w:pPr>
          </w:p>
        </w:tc>
        <w:tc>
          <w:tcPr>
            <w:tcW w:w="980" w:type="dxa"/>
            <w:vAlign w:val="bottom"/>
          </w:tcPr>
          <w:p>
            <w:pPr>
              <w:jc w:val="right"/>
              <w:ind w:right="38"/>
              <w:spacing w:after="0"/>
              <w:rPr>
                <w:sz w:val="20"/>
                <w:szCs w:val="20"/>
                <w:color w:val="auto"/>
              </w:rPr>
            </w:pPr>
            <w:r>
              <w:rPr>
                <w:rFonts w:ascii="Times New Roman" w:cs="Times New Roman" w:eastAsia="Times New Roman" w:hAnsi="Times New Roman"/>
                <w:sz w:val="12"/>
                <w:szCs w:val="12"/>
                <w:b w:val="1"/>
                <w:bCs w:val="1"/>
                <w:color w:val="auto"/>
              </w:rPr>
              <w:t>Receivables, net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Level 3 beginning balance at January 1, 2025 and 2024</w:t>
            </w: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93.9</w:t>
            </w:r>
          </w:p>
        </w:tc>
        <w:tc>
          <w:tcPr>
            <w:tcW w:w="2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148.5</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51.2</w:t>
            </w:r>
          </w:p>
        </w:tc>
        <w:tc>
          <w:tcPr>
            <w:tcW w:w="2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w:t>
            </w:r>
          </w:p>
        </w:tc>
        <w:tc>
          <w:tcPr>
            <w:tcW w:w="3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134.5</w:t>
            </w:r>
          </w:p>
        </w:tc>
        <w:tc>
          <w:tcPr>
            <w:tcW w:w="2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56.2</w:t>
            </w:r>
          </w:p>
        </w:tc>
        <w:tc>
          <w:tcPr>
            <w:tcW w:w="2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00" w:type="dxa"/>
            <w:vAlign w:val="bottom"/>
          </w:tcPr>
          <w:p>
            <w:pPr>
              <w:spacing w:after="0"/>
              <w:rPr>
                <w:sz w:val="20"/>
                <w:szCs w:val="20"/>
                <w:color w:val="auto"/>
              </w:rPr>
            </w:pPr>
            <w:r>
              <w:rPr>
                <w:rFonts w:ascii="Times New Roman" w:cs="Times New Roman" w:eastAsia="Times New Roman" w:hAnsi="Times New Roman"/>
                <w:sz w:val="12"/>
                <w:szCs w:val="12"/>
                <w:color w:val="auto"/>
              </w:rPr>
              <w:t>Realized gains / (losses)</w:t>
            </w: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 xml:space="preserve">(1.6) </w:t>
            </w:r>
            <w:r>
              <w:rPr>
                <w:rFonts w:ascii="Times New Roman" w:cs="Times New Roman" w:eastAsia="Times New Roman" w:hAnsi="Times New Roman"/>
                <w:sz w:val="8"/>
                <w:szCs w:val="8"/>
                <w:color w:val="auto"/>
              </w:rPr>
              <w:t>(1)</w:t>
            </w:r>
          </w:p>
        </w:tc>
        <w:tc>
          <w:tcPr>
            <w:tcW w:w="18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1240" w:type="dxa"/>
            <w:vAlign w:val="bottom"/>
            <w:gridSpan w:val="2"/>
          </w:tcPr>
          <w:p>
            <w:pPr>
              <w:ind w:left="720"/>
              <w:spacing w:after="0"/>
              <w:rPr>
                <w:sz w:val="20"/>
                <w:szCs w:val="20"/>
                <w:color w:val="auto"/>
              </w:rPr>
            </w:pPr>
            <w:r>
              <w:rPr>
                <w:rFonts w:ascii="Times New Roman" w:cs="Times New Roman" w:eastAsia="Times New Roman" w:hAnsi="Times New Roman"/>
                <w:sz w:val="12"/>
                <w:szCs w:val="12"/>
                <w:color w:val="auto"/>
              </w:rPr>
              <w:t xml:space="preserve">(0.2) </w:t>
            </w:r>
            <w:r>
              <w:rPr>
                <w:rFonts w:ascii="Times New Roman" w:cs="Times New Roman" w:eastAsia="Times New Roman" w:hAnsi="Times New Roman"/>
                <w:sz w:val="8"/>
                <w:szCs w:val="8"/>
                <w:color w:val="auto"/>
              </w:rPr>
              <w:t>(2)</w:t>
            </w:r>
          </w:p>
        </w:tc>
        <w:tc>
          <w:tcPr>
            <w:tcW w:w="120" w:type="dxa"/>
            <w:vAlign w:val="bottom"/>
          </w:tcPr>
          <w:p>
            <w:pPr>
              <w:spacing w:after="0"/>
              <w:rPr>
                <w:sz w:val="15"/>
                <w:szCs w:val="15"/>
                <w:color w:val="auto"/>
              </w:rPr>
            </w:pPr>
          </w:p>
        </w:tc>
        <w:tc>
          <w:tcPr>
            <w:tcW w:w="1120" w:type="dxa"/>
            <w:vAlign w:val="bottom"/>
            <w:gridSpan w:val="2"/>
          </w:tcPr>
          <w:p>
            <w:pPr>
              <w:ind w:left="560"/>
              <w:spacing w:after="0"/>
              <w:rPr>
                <w:sz w:val="20"/>
                <w:szCs w:val="20"/>
                <w:color w:val="auto"/>
              </w:rPr>
            </w:pPr>
            <w:r>
              <w:rPr>
                <w:rFonts w:ascii="Times New Roman" w:cs="Times New Roman" w:eastAsia="Times New Roman" w:hAnsi="Times New Roman"/>
                <w:sz w:val="12"/>
                <w:szCs w:val="12"/>
                <w:color w:val="auto"/>
              </w:rPr>
              <w:t xml:space="preserve">(0.5) </w:t>
            </w:r>
            <w:r>
              <w:rPr>
                <w:rFonts w:ascii="Times New Roman" w:cs="Times New Roman" w:eastAsia="Times New Roman" w:hAnsi="Times New Roman"/>
                <w:sz w:val="8"/>
                <w:szCs w:val="8"/>
                <w:color w:val="auto"/>
              </w:rPr>
              <w:t>(1)</w:t>
            </w:r>
          </w:p>
        </w:tc>
        <w:tc>
          <w:tcPr>
            <w:tcW w:w="180" w:type="dxa"/>
            <w:vAlign w:val="bottom"/>
          </w:tcPr>
          <w:p>
            <w:pPr>
              <w:spacing w:after="0"/>
              <w:rPr>
                <w:sz w:val="15"/>
                <w:szCs w:val="15"/>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 xml:space="preserve">(35.8) </w:t>
            </w:r>
            <w:r>
              <w:rPr>
                <w:rFonts w:ascii="Times New Roman" w:cs="Times New Roman" w:eastAsia="Times New Roman" w:hAnsi="Times New Roman"/>
                <w:sz w:val="8"/>
                <w:szCs w:val="8"/>
                <w:color w:val="auto"/>
              </w:rPr>
              <w:t>(1)</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rPr>
              <w:t>(2)</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Purchases and issuances</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57.4</w:t>
            </w: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81.4</w:t>
            </w: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63.2</w:t>
            </w: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100" w:type="dxa"/>
            <w:vAlign w:val="bottom"/>
          </w:tcPr>
          <w:p>
            <w:pPr>
              <w:spacing w:after="0"/>
              <w:rPr>
                <w:sz w:val="20"/>
                <w:szCs w:val="20"/>
                <w:color w:val="auto"/>
              </w:rPr>
            </w:pPr>
            <w:r>
              <w:rPr>
                <w:rFonts w:ascii="Times New Roman" w:cs="Times New Roman" w:eastAsia="Times New Roman" w:hAnsi="Times New Roman"/>
                <w:sz w:val="12"/>
                <w:szCs w:val="12"/>
                <w:color w:val="auto"/>
              </w:rPr>
              <w:t>Sales and settlements</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ind w:left="720"/>
              <w:spacing w:after="0"/>
              <w:rPr>
                <w:sz w:val="20"/>
                <w:szCs w:val="20"/>
                <w:color w:val="auto"/>
              </w:rPr>
            </w:pPr>
            <w:r>
              <w:rPr>
                <w:rFonts w:ascii="Times New Roman" w:cs="Times New Roman" w:eastAsia="Times New Roman" w:hAnsi="Times New Roman"/>
                <w:sz w:val="12"/>
                <w:szCs w:val="12"/>
                <w:color w:val="auto"/>
              </w:rPr>
              <w:t>(5.7)</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(4.6)</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Dispositions of properties</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2"/>
                <w:szCs w:val="12"/>
                <w:color w:val="auto"/>
              </w:rPr>
              <w:t>(2.1)</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(2.0)</w:t>
            </w: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100" w:type="dxa"/>
            <w:vAlign w:val="bottom"/>
          </w:tcPr>
          <w:p>
            <w:pPr>
              <w:spacing w:after="0"/>
              <w:rPr>
                <w:sz w:val="20"/>
                <w:szCs w:val="20"/>
                <w:color w:val="auto"/>
              </w:rPr>
            </w:pPr>
            <w:r>
              <w:rPr>
                <w:rFonts w:ascii="Times New Roman" w:cs="Times New Roman" w:eastAsia="Times New Roman" w:hAnsi="Times New Roman"/>
                <w:sz w:val="12"/>
                <w:szCs w:val="12"/>
                <w:color w:val="auto"/>
              </w:rPr>
              <w:t>Foreign currency exchange gains / (losses)</w:t>
            </w:r>
          </w:p>
        </w:tc>
        <w:tc>
          <w:tcPr>
            <w:tcW w:w="120" w:type="dxa"/>
            <w:vAlign w:val="bottom"/>
          </w:tcPr>
          <w:p>
            <w:pPr>
              <w:spacing w:after="0"/>
              <w:rPr>
                <w:sz w:val="14"/>
                <w:szCs w:val="14"/>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adjustments</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3100" w:type="dxa"/>
            <w:vAlign w:val="bottom"/>
          </w:tcPr>
          <w:p>
            <w:pPr>
              <w:spacing w:after="0"/>
              <w:rPr>
                <w:sz w:val="20"/>
                <w:szCs w:val="20"/>
                <w:color w:val="auto"/>
              </w:rPr>
            </w:pPr>
            <w:r>
              <w:rPr>
                <w:rFonts w:ascii="Times New Roman" w:cs="Times New Roman" w:eastAsia="Times New Roman" w:hAnsi="Times New Roman"/>
                <w:sz w:val="12"/>
                <w:szCs w:val="12"/>
                <w:color w:val="auto"/>
              </w:rPr>
              <w:t>Level 3 ending balance at December 31, 2025 and 2024</w:t>
            </w: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139.2</w:t>
            </w:r>
          </w:p>
        </w:tc>
        <w:tc>
          <w:tcPr>
            <w:tcW w:w="26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44.5</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43.2</w:t>
            </w:r>
          </w:p>
        </w:tc>
        <w:tc>
          <w:tcPr>
            <w:tcW w:w="260" w:type="dxa"/>
            <w:vAlign w:val="bottom"/>
          </w:tcPr>
          <w:p>
            <w:pPr>
              <w:spacing w:after="0"/>
              <w:rPr>
                <w:sz w:val="13"/>
                <w:szCs w:val="13"/>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93.9</w:t>
            </w:r>
          </w:p>
        </w:tc>
        <w:tc>
          <w:tcPr>
            <w:tcW w:w="3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148.5</w:t>
            </w:r>
          </w:p>
        </w:tc>
        <w:tc>
          <w:tcPr>
            <w:tcW w:w="2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51.2</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107" w:hanging="107"/>
        <w:spacing w:after="0"/>
        <w:tabs>
          <w:tab w:leader="none" w:pos="107" w:val="left"/>
        </w:tabs>
        <w:numPr>
          <w:ilvl w:val="0"/>
          <w:numId w:val="63"/>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Realized losses recorded within Loss on remeasurement of notes receivable on the Consolidated Statements of Operations.</w:t>
      </w:r>
    </w:p>
    <w:p>
      <w:pPr>
        <w:spacing w:after="0" w:line="3" w:lineRule="exact"/>
        <w:rPr>
          <w:rFonts w:ascii="Times New Roman" w:cs="Times New Roman" w:eastAsia="Times New Roman" w:hAnsi="Times New Roman"/>
          <w:sz w:val="13"/>
          <w:szCs w:val="13"/>
          <w:color w:val="auto"/>
          <w:vertAlign w:val="superscript"/>
        </w:rPr>
      </w:pPr>
    </w:p>
    <w:p>
      <w:pPr>
        <w:ind w:left="107" w:hanging="107"/>
        <w:spacing w:after="0"/>
        <w:tabs>
          <w:tab w:leader="none" w:pos="107" w:val="left"/>
        </w:tabs>
        <w:numPr>
          <w:ilvl w:val="0"/>
          <w:numId w:val="63"/>
        </w:numPr>
        <w:rPr>
          <w:rFonts w:ascii="Times New Roman" w:cs="Times New Roman" w:eastAsia="Times New Roman" w:hAnsi="Times New Roman"/>
          <w:sz w:val="8"/>
          <w:szCs w:val="8"/>
          <w:color w:val="auto"/>
        </w:rPr>
      </w:pPr>
      <w:r>
        <w:rPr>
          <w:rFonts w:ascii="Times New Roman" w:cs="Times New Roman" w:eastAsia="Times New Roman" w:hAnsi="Times New Roman"/>
          <w:sz w:val="12"/>
          <w:szCs w:val="12"/>
          <w:color w:val="auto"/>
        </w:rPr>
        <w:t>Realized gains / (losses) recorded within Other income / (expense), net on the Consolidated Statements of Operations.</w:t>
      </w:r>
    </w:p>
    <w:p>
      <w:pPr>
        <w:spacing w:after="0" w:line="128" w:lineRule="exact"/>
        <w:rPr>
          <w:sz w:val="20"/>
          <w:szCs w:val="20"/>
          <w:color w:val="auto"/>
        </w:rPr>
      </w:pPr>
    </w:p>
    <w:p>
      <w:pPr>
        <w:jc w:val="center"/>
        <w:ind w:left="4280"/>
        <w:spacing w:after="0"/>
        <w:rPr>
          <w:sz w:val="20"/>
          <w:szCs w:val="20"/>
          <w:color w:val="auto"/>
        </w:rPr>
      </w:pPr>
      <w:r>
        <w:rPr>
          <w:rFonts w:ascii="Times New Roman" w:cs="Times New Roman" w:eastAsia="Times New Roman" w:hAnsi="Times New Roman"/>
          <w:sz w:val="13"/>
          <w:szCs w:val="13"/>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2814955</wp:posOffset>
            </wp:positionH>
            <wp:positionV relativeFrom="paragraph">
              <wp:posOffset>19050</wp:posOffset>
            </wp:positionV>
            <wp:extent cx="4248785"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3">
                      <a:extLst>
                        <a:ext uri="{28A0092B-C50C-407E-A947-70E740481C1C}"/>
                      </a:extLst>
                    </a:blip>
                    <a:srcRect/>
                    <a:stretch>
                      <a:fillRect/>
                    </a:stretch>
                  </pic:blipFill>
                  <pic:spPr bwMode="auto">
                    <a:xfrm>
                      <a:off x="0" y="0"/>
                      <a:ext cx="4248785" cy="7620"/>
                    </a:xfrm>
                    <a:prstGeom prst="rect">
                      <a:avLst/>
                    </a:prstGeom>
                    <a:noFill/>
                  </pic:spPr>
                </pic:pic>
              </a:graphicData>
            </a:graphic>
          </wp:anchor>
        </w:drawing>
      </w:r>
    </w:p>
    <w:p>
      <w:pPr>
        <w:spacing w:after="0" w:line="16" w:lineRule="exact"/>
        <w:rPr>
          <w:sz w:val="20"/>
          <w:szCs w:val="20"/>
          <w:color w:val="auto"/>
        </w:rPr>
      </w:pPr>
    </w:p>
    <w:p>
      <w:pPr>
        <w:ind w:left="5927"/>
        <w:spacing w:after="0"/>
        <w:tabs>
          <w:tab w:leader="none" w:pos="9347" w:val="left"/>
        </w:tabs>
        <w:rPr>
          <w:sz w:val="20"/>
          <w:szCs w:val="20"/>
          <w:color w:val="auto"/>
        </w:rPr>
      </w:pPr>
      <w:r>
        <w:rPr>
          <w:rFonts w:ascii="Times New Roman" w:cs="Times New Roman" w:eastAsia="Times New Roman" w:hAnsi="Times New Roman"/>
          <w:sz w:val="13"/>
          <w:szCs w:val="13"/>
          <w:b w:val="1"/>
          <w:bCs w:val="1"/>
          <w:color w:val="auto"/>
        </w:rPr>
        <w:t>2025</w:t>
      </w:r>
      <w:r>
        <w:rPr>
          <w:sz w:val="20"/>
          <w:szCs w:val="20"/>
          <w:color w:val="auto"/>
        </w:rPr>
        <w:tab/>
      </w:r>
      <w:r>
        <w:rPr>
          <w:rFonts w:ascii="Times New Roman" w:cs="Times New Roman" w:eastAsia="Times New Roman" w:hAnsi="Times New Roman"/>
          <w:sz w:val="13"/>
          <w:szCs w:val="13"/>
          <w:b w:val="1"/>
          <w:bCs w:val="1"/>
          <w:color w:val="auto"/>
        </w:rPr>
        <w:t>2024</w:t>
      </w:r>
    </w:p>
    <w:p>
      <w:pPr>
        <w:sectPr>
          <w:pgSz w:w="11900" w:h="16838" w:orient="portrait"/>
          <w:cols w:equalWidth="0" w:num="1">
            <w:col w:w="11267"/>
          </w:cols>
          <w:pgMar w:left="313" w:top="121" w:right="319" w:bottom="1440" w:gutter="0" w:footer="0" w:header="0"/>
        </w:sectPr>
      </w:pPr>
    </w:p>
    <w:p>
      <w:pPr>
        <w:spacing w:after="0" w:line="23" w:lineRule="exact"/>
        <w:rPr>
          <w:sz w:val="20"/>
          <w:szCs w:val="20"/>
          <w:color w:val="auto"/>
        </w:rPr>
      </w:pPr>
    </w:p>
    <w:tbl>
      <w:tblPr>
        <w:tblLayout w:type="fixed"/>
        <w:tblInd w:w="7" w:type="dxa"/>
        <w:tblCellMar>
          <w:top w:w="0" w:type="dxa"/>
          <w:left w:w="0" w:type="dxa"/>
          <w:bottom w:w="0" w:type="dxa"/>
          <w:right w:w="0" w:type="dxa"/>
        </w:tblCellMar>
      </w:tblPr>
      <w:tr>
        <w:trPr>
          <w:trHeight w:val="131"/>
        </w:trPr>
        <w:tc>
          <w:tcPr>
            <w:tcW w:w="4420" w:type="dxa"/>
            <w:vAlign w:val="bottom"/>
          </w:tcPr>
          <w:p>
            <w:pPr>
              <w:spacing w:after="0"/>
              <w:rPr>
                <w:sz w:val="11"/>
                <w:szCs w:val="11"/>
                <w:color w:val="auto"/>
              </w:rPr>
            </w:pPr>
          </w:p>
        </w:tc>
        <w:tc>
          <w:tcPr>
            <w:tcW w:w="162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9"/>
              </w:rPr>
              <w:t>Secured Borrowing on</w:t>
            </w:r>
          </w:p>
        </w:tc>
        <w:tc>
          <w:tcPr>
            <w:tcW w:w="164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rPr>
              <w:t>Other Liabilities</w:t>
            </w:r>
          </w:p>
        </w:tc>
      </w:tr>
      <w:tr>
        <w:trPr>
          <w:trHeight w:val="173"/>
        </w:trPr>
        <w:tc>
          <w:tcPr>
            <w:tcW w:w="44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Collateralized Receivables</w:t>
            </w:r>
          </w:p>
        </w:tc>
        <w:tc>
          <w:tcPr>
            <w:tcW w:w="1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(Contingent Consideration)</w:t>
            </w:r>
          </w:p>
        </w:tc>
      </w:tr>
    </w:tbl>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1"/>
        </w:trPr>
        <w:tc>
          <w:tcPr>
            <w:tcW w:w="162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rPr>
              <w:t>Secured Borrowing on</w:t>
            </w:r>
          </w:p>
        </w:tc>
        <w:tc>
          <w:tcPr>
            <w:tcW w:w="164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9"/>
              </w:rPr>
              <w:t>Other Liabilities</w:t>
            </w:r>
          </w:p>
        </w:tc>
      </w:tr>
      <w:tr>
        <w:trPr>
          <w:trHeight w:val="173"/>
        </w:trPr>
        <w:tc>
          <w:tcPr>
            <w:tcW w:w="1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Collateralized Receivables</w:t>
            </w:r>
          </w:p>
        </w:tc>
        <w:tc>
          <w:tcPr>
            <w:tcW w:w="1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(Contingent Consideration)</w:t>
            </w:r>
          </w:p>
        </w:tc>
      </w:tr>
    </w:tbl>
    <w:p>
      <w:pPr>
        <w:spacing w:after="0" w:line="1" w:lineRule="exact"/>
        <w:rPr>
          <w:sz w:val="20"/>
          <w:szCs w:val="20"/>
          <w:color w:val="auto"/>
        </w:rPr>
      </w:pPr>
    </w:p>
    <w:p>
      <w:pPr>
        <w:sectPr>
          <w:pgSz w:w="11900" w:h="16838" w:orient="portrait"/>
          <w:cols w:equalWidth="0" w:num="2">
            <w:col w:w="7687" w:space="180"/>
            <w:col w:w="3400"/>
          </w:cols>
          <w:pgMar w:left="313" w:top="121" w:right="319" w:bottom="1440" w:gutter="0" w:footer="0" w:header="0"/>
          <w:type w:val="continuous"/>
        </w:sectPr>
      </w:pPr>
    </w:p>
    <w:tbl>
      <w:tblPr>
        <w:tblLayout w:type="fixed"/>
        <w:tblInd w:w="7" w:type="dxa"/>
        <w:tblCellMar>
          <w:top w:w="0" w:type="dxa"/>
          <w:left w:w="0" w:type="dxa"/>
          <w:bottom w:w="0" w:type="dxa"/>
          <w:right w:w="0" w:type="dxa"/>
        </w:tblCellMar>
      </w:tblPr>
      <w:tr>
        <w:trPr>
          <w:trHeight w:val="172"/>
        </w:trPr>
        <w:tc>
          <w:tcPr>
            <w:tcW w:w="4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Level 3 beginning balance at January 1, 2025 and 2024</w:t>
            </w:r>
          </w:p>
        </w:tc>
        <w:tc>
          <w:tcPr>
            <w:tcW w:w="700" w:type="dxa"/>
            <w:vAlign w:val="bottom"/>
            <w:tcBorders>
              <w:top w:val="single" w:sz="8" w:color="auto"/>
            </w:tcBorders>
            <w:shd w:val="clear" w:color="auto" w:fill="CCEEFF"/>
          </w:tcPr>
          <w:p>
            <w:pPr>
              <w:jc w:val="right"/>
              <w:ind w:right="554"/>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w:t>
            </w:r>
          </w:p>
        </w:tc>
        <w:tc>
          <w:tcPr>
            <w:tcW w:w="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18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ind w:right="554"/>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55.8</w:t>
            </w:r>
          </w:p>
        </w:tc>
        <w:tc>
          <w:tcPr>
            <w:tcW w:w="10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ind w:right="534"/>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w:t>
            </w:r>
          </w:p>
        </w:tc>
      </w:tr>
      <w:tr>
        <w:trPr>
          <w:trHeight w:val="174"/>
        </w:trPr>
        <w:tc>
          <w:tcPr>
            <w:tcW w:w="4420" w:type="dxa"/>
            <w:vAlign w:val="bottom"/>
          </w:tcPr>
          <w:p>
            <w:pPr>
              <w:spacing w:after="0" w:line="174" w:lineRule="exact"/>
              <w:rPr>
                <w:sz w:val="20"/>
                <w:szCs w:val="20"/>
                <w:color w:val="auto"/>
              </w:rPr>
            </w:pPr>
            <w:r>
              <w:rPr>
                <w:rFonts w:ascii="Times New Roman" w:cs="Times New Roman" w:eastAsia="Times New Roman" w:hAnsi="Times New Roman"/>
                <w:sz w:val="13"/>
                <w:szCs w:val="13"/>
                <w:color w:val="auto"/>
              </w:rPr>
              <w:t>Realized (gains) / losses</w:t>
            </w:r>
            <w:r>
              <w:rPr>
                <w:rFonts w:ascii="Times New Roman" w:cs="Times New Roman" w:eastAsia="Times New Roman" w:hAnsi="Times New Roman"/>
                <w:sz w:val="17"/>
                <w:szCs w:val="17"/>
                <w:color w:val="auto"/>
                <w:vertAlign w:val="superscript"/>
              </w:rPr>
              <w:t>(1)</w:t>
            </w:r>
          </w:p>
        </w:tc>
        <w:tc>
          <w:tcPr>
            <w:tcW w:w="7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4"/>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Purchases and issuances</w:t>
            </w:r>
          </w:p>
        </w:tc>
        <w:tc>
          <w:tcPr>
            <w:tcW w:w="7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4420" w:type="dxa"/>
            <w:vAlign w:val="bottom"/>
          </w:tcPr>
          <w:p>
            <w:pPr>
              <w:spacing w:after="0"/>
              <w:rPr>
                <w:sz w:val="20"/>
                <w:szCs w:val="20"/>
                <w:color w:val="auto"/>
              </w:rPr>
            </w:pPr>
            <w:r>
              <w:rPr>
                <w:rFonts w:ascii="Times New Roman" w:cs="Times New Roman" w:eastAsia="Times New Roman" w:hAnsi="Times New Roman"/>
                <w:sz w:val="13"/>
                <w:szCs w:val="13"/>
                <w:color w:val="auto"/>
              </w:rPr>
              <w:t>Sales and settlements</w:t>
            </w:r>
          </w:p>
        </w:tc>
        <w:tc>
          <w:tcPr>
            <w:tcW w:w="7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Dispositions of properties</w:t>
            </w:r>
          </w:p>
        </w:tc>
        <w:tc>
          <w:tcPr>
            <w:tcW w:w="7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4"/>
        </w:trPr>
        <w:tc>
          <w:tcPr>
            <w:tcW w:w="4420" w:type="dxa"/>
            <w:vAlign w:val="bottom"/>
          </w:tcPr>
          <w:p>
            <w:pPr>
              <w:spacing w:after="0" w:line="174" w:lineRule="exact"/>
              <w:rPr>
                <w:sz w:val="20"/>
                <w:szCs w:val="20"/>
                <w:color w:val="auto"/>
              </w:rPr>
            </w:pPr>
            <w:r>
              <w:rPr>
                <w:rFonts w:ascii="Times New Roman" w:cs="Times New Roman" w:eastAsia="Times New Roman" w:hAnsi="Times New Roman"/>
                <w:sz w:val="13"/>
                <w:szCs w:val="13"/>
                <w:color w:val="auto"/>
              </w:rPr>
              <w:t>Other adjustments</w:t>
            </w:r>
            <w:r>
              <w:rPr>
                <w:rFonts w:ascii="Times New Roman" w:cs="Times New Roman" w:eastAsia="Times New Roman" w:hAnsi="Times New Roman"/>
                <w:sz w:val="17"/>
                <w:szCs w:val="17"/>
                <w:color w:val="auto"/>
                <w:vertAlign w:val="superscript"/>
              </w:rPr>
              <w:t>(2)</w:t>
            </w:r>
          </w:p>
        </w:tc>
        <w:tc>
          <w:tcPr>
            <w:tcW w:w="7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0"/>
        </w:trPr>
        <w:tc>
          <w:tcPr>
            <w:tcW w:w="4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Level 3 ending balance at December 31, 2025 and 2024</w:t>
            </w:r>
          </w:p>
        </w:tc>
        <w:tc>
          <w:tcPr>
            <w:tcW w:w="700" w:type="dxa"/>
            <w:vAlign w:val="bottom"/>
            <w:tcBorders>
              <w:top w:val="single" w:sz="8" w:color="auto"/>
              <w:bottom w:val="single" w:sz="8" w:color="auto"/>
            </w:tcBorders>
            <w:shd w:val="clear" w:color="auto" w:fill="CCEEFF"/>
          </w:tcPr>
          <w:p>
            <w:pPr>
              <w:jc w:val="right"/>
              <w:ind w:right="554"/>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ind w:right="554"/>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ind w:right="534"/>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ind w:left="127" w:hanging="127"/>
        <w:spacing w:after="0"/>
        <w:tabs>
          <w:tab w:leader="none" w:pos="127" w:val="left"/>
        </w:tabs>
        <w:numPr>
          <w:ilvl w:val="0"/>
          <w:numId w:val="64"/>
        </w:numPr>
        <w:rPr>
          <w:rFonts w:ascii="Times New Roman" w:cs="Times New Roman" w:eastAsia="Times New Roman" w:hAnsi="Times New Roman"/>
          <w:sz w:val="8"/>
          <w:szCs w:val="8"/>
          <w:color w:val="auto"/>
        </w:rPr>
      </w:pPr>
      <w:r>
        <w:rPr>
          <w:rFonts w:ascii="Times New Roman" w:cs="Times New Roman" w:eastAsia="Times New Roman" w:hAnsi="Times New Roman"/>
          <w:sz w:val="12"/>
          <w:szCs w:val="12"/>
          <w:color w:val="auto"/>
        </w:rPr>
        <w:t>Realized losses are recorded within Other income / (expense), net on the Consolidated Statements of Operations.</w:t>
      </w:r>
    </w:p>
    <w:p>
      <w:pPr>
        <w:spacing w:after="0" w:line="21" w:lineRule="exact"/>
        <w:rPr>
          <w:rFonts w:ascii="Times New Roman" w:cs="Times New Roman" w:eastAsia="Times New Roman" w:hAnsi="Times New Roman"/>
          <w:sz w:val="8"/>
          <w:szCs w:val="8"/>
          <w:color w:val="auto"/>
        </w:rPr>
      </w:pPr>
    </w:p>
    <w:p>
      <w:pPr>
        <w:ind w:left="147" w:right="20" w:hanging="147"/>
        <w:spacing w:after="0" w:line="224" w:lineRule="auto"/>
        <w:tabs>
          <w:tab w:leader="none" w:pos="139" w:val="left"/>
        </w:tabs>
        <w:numPr>
          <w:ilvl w:val="0"/>
          <w:numId w:val="6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Represents contingent consideration from a tax protection agreement that we entered into with former owners of certain marina properties at the time of acquisition. Refer to Note 2, "Assets Held for Sale and Discontinued Operations," for additional information.</w:t>
      </w:r>
    </w:p>
    <w:p>
      <w:pPr>
        <w:spacing w:after="0" w:line="8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i w:val="1"/>
          <w:iCs w:val="1"/>
          <w:color w:val="auto"/>
        </w:rPr>
        <w:t>Fair Value Measurements on a Nonrecurring Basis</w:t>
      </w:r>
    </w:p>
    <w:p>
      <w:pPr>
        <w:spacing w:after="0" w:line="109" w:lineRule="exact"/>
        <w:rPr>
          <w:sz w:val="20"/>
          <w:szCs w:val="20"/>
          <w:color w:val="auto"/>
        </w:rPr>
      </w:pPr>
    </w:p>
    <w:p>
      <w:pPr>
        <w:jc w:val="both"/>
        <w:ind w:left="7"/>
        <w:spacing w:after="0" w:line="270" w:lineRule="auto"/>
        <w:rPr>
          <w:sz w:val="20"/>
          <w:szCs w:val="20"/>
          <w:color w:val="auto"/>
        </w:rPr>
      </w:pPr>
      <w:r>
        <w:rPr>
          <w:rFonts w:ascii="Times New Roman" w:cs="Times New Roman" w:eastAsia="Times New Roman" w:hAnsi="Times New Roman"/>
          <w:sz w:val="15"/>
          <w:szCs w:val="15"/>
          <w:color w:val="auto"/>
        </w:rPr>
        <w:t>As of December 31, 2025, assets measured at fair value on a non-recurring basis consisted of real estate assets that have been written down to an estimated fair value for impairment purposes. We review the carrying value of long-lived assets to be held for use for impairment quarterly or whenever events or changes in circumstances indicate a possible impairment. During the year ended December 31, 2025, due to a contemplated change in strategic plan for certain assets, as well as a reduction in projected future cash flows and deteriorating NOI trends for certain other assets, we recognized the following asset impairment charges (in millions, except for number of properties):</w:t>
      </w:r>
    </w:p>
    <w:p>
      <w:pPr>
        <w:spacing w:after="0" w:line="38" w:lineRule="exact"/>
        <w:rPr>
          <w:sz w:val="20"/>
          <w:szCs w:val="20"/>
          <w:color w:val="auto"/>
        </w:rPr>
      </w:pPr>
    </w:p>
    <w:tbl>
      <w:tblPr>
        <w:tblLayout w:type="fixed"/>
        <w:tblInd w:w="7" w:type="dxa"/>
        <w:tblCellMar>
          <w:top w:w="0" w:type="dxa"/>
          <w:left w:w="0" w:type="dxa"/>
          <w:bottom w:w="0" w:type="dxa"/>
          <w:right w:w="0" w:type="dxa"/>
        </w:tblCellMar>
      </w:tblPr>
      <w:tr>
        <w:trPr>
          <w:trHeight w:val="149"/>
        </w:trPr>
        <w:tc>
          <w:tcPr>
            <w:tcW w:w="3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Aggregate Estimated Fair</w:t>
            </w:r>
          </w:p>
        </w:tc>
      </w:tr>
      <w:tr>
        <w:trPr>
          <w:trHeight w:val="182"/>
        </w:trPr>
        <w:tc>
          <w:tcPr>
            <w:tcW w:w="3680" w:type="dxa"/>
            <w:vAlign w:val="bottom"/>
            <w:gridSpan w:val="2"/>
          </w:tcPr>
          <w:p>
            <w:pPr>
              <w:ind w:left="1620"/>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Fair Value Level</w:t>
            </w:r>
          </w:p>
        </w:tc>
        <w:tc>
          <w:tcPr>
            <w:tcW w:w="280" w:type="dxa"/>
            <w:vAlign w:val="bottom"/>
          </w:tcPr>
          <w:p>
            <w:pPr>
              <w:spacing w:after="0"/>
              <w:rPr>
                <w:sz w:val="15"/>
                <w:szCs w:val="15"/>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Number of Properties</w:t>
            </w: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Segment</w:t>
            </w: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Asset Impairment Charges</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jc w:val="right"/>
              <w:ind w:right="634"/>
              <w:spacing w:after="0"/>
              <w:rPr>
                <w:sz w:val="20"/>
                <w:szCs w:val="20"/>
                <w:color w:val="auto"/>
              </w:rPr>
            </w:pPr>
            <w:r>
              <w:rPr>
                <w:rFonts w:ascii="Times New Roman" w:cs="Times New Roman" w:eastAsia="Times New Roman" w:hAnsi="Times New Roman"/>
                <w:sz w:val="13"/>
                <w:szCs w:val="13"/>
                <w:b w:val="1"/>
                <w:bCs w:val="1"/>
                <w:color w:val="auto"/>
              </w:rPr>
              <w:t>Value</w:t>
            </w:r>
          </w:p>
        </w:tc>
      </w:tr>
      <w:tr>
        <w:trPr>
          <w:trHeight w:val="168"/>
        </w:trPr>
        <w:tc>
          <w:tcPr>
            <w:tcW w:w="3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Three months ended December 31, 2025</w:t>
            </w: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280" w:type="dxa"/>
            <w:vAlign w:val="bottom"/>
            <w:tcBorders>
              <w:top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9"/>
                <w:szCs w:val="9"/>
                <w:color w:val="auto"/>
                <w:w w:val="94"/>
              </w:rPr>
              <w:t>(2)</w:t>
            </w: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UK</w:t>
            </w:r>
          </w:p>
        </w:tc>
        <w:tc>
          <w:tcPr>
            <w:tcW w:w="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w:t>
            </w:r>
          </w:p>
        </w:tc>
        <w:tc>
          <w:tcPr>
            <w:tcW w:w="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w:t>
            </w:r>
          </w:p>
        </w:tc>
      </w:tr>
      <w:tr>
        <w:trPr>
          <w:trHeight w:val="172"/>
        </w:trPr>
        <w:tc>
          <w:tcPr>
            <w:tcW w:w="3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Three months ended September 30, 2025</w:t>
            </w: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280" w:type="dxa"/>
            <w:vAlign w:val="bottom"/>
          </w:tcPr>
          <w:p>
            <w:pPr>
              <w:jc w:val="right"/>
              <w:ind w:right="117"/>
              <w:spacing w:after="0"/>
              <w:rPr>
                <w:sz w:val="20"/>
                <w:szCs w:val="20"/>
                <w:color w:val="auto"/>
              </w:rPr>
            </w:pPr>
            <w:r>
              <w:rPr>
                <w:rFonts w:ascii="Times New Roman" w:cs="Times New Roman" w:eastAsia="Times New Roman" w:hAnsi="Times New Roman"/>
                <w:sz w:val="9"/>
                <w:szCs w:val="9"/>
                <w:color w:val="auto"/>
                <w:w w:val="94"/>
              </w:rPr>
              <w:t>(1)</w:t>
            </w:r>
          </w:p>
        </w:tc>
        <w:tc>
          <w:tcPr>
            <w:tcW w:w="14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9"/>
              </w:rPr>
              <w:t>RV</w:t>
            </w: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165.0</w:t>
            </w:r>
          </w:p>
        </w:tc>
        <w:tc>
          <w:tcPr>
            <w:tcW w:w="2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w:t>
            </w:r>
          </w:p>
        </w:tc>
      </w:tr>
      <w:tr>
        <w:trPr>
          <w:trHeight w:val="175"/>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Three months ended June 30, 2025</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2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9"/>
                <w:szCs w:val="9"/>
                <w:color w:val="auto"/>
                <w:w w:val="94"/>
              </w:rPr>
              <w:t>(2)</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5"/>
              </w:rPr>
              <w:t>UK</w:t>
            </w: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132.7</w:t>
            </w:r>
          </w:p>
        </w:tc>
        <w:tc>
          <w:tcPr>
            <w:tcW w:w="2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9"/>
                <w:szCs w:val="9"/>
                <w:color w:val="auto"/>
                <w:w w:val="94"/>
              </w:rPr>
              <w:t>(3)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r>
      <w:tr>
        <w:trPr>
          <w:trHeight w:val="172"/>
        </w:trPr>
        <w:tc>
          <w:tcPr>
            <w:tcW w:w="3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Three months ended June 30, 2025</w:t>
            </w: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280" w:type="dxa"/>
            <w:vAlign w:val="bottom"/>
          </w:tcPr>
          <w:p>
            <w:pPr>
              <w:jc w:val="right"/>
              <w:ind w:right="117"/>
              <w:spacing w:after="0"/>
              <w:rPr>
                <w:sz w:val="20"/>
                <w:szCs w:val="20"/>
                <w:color w:val="auto"/>
              </w:rPr>
            </w:pPr>
            <w:r>
              <w:rPr>
                <w:rFonts w:ascii="Times New Roman" w:cs="Times New Roman" w:eastAsia="Times New Roman" w:hAnsi="Times New Roman"/>
                <w:sz w:val="9"/>
                <w:szCs w:val="9"/>
                <w:color w:val="auto"/>
                <w:w w:val="94"/>
              </w:rPr>
              <w:t>(2)</w:t>
            </w:r>
          </w:p>
        </w:tc>
        <w:tc>
          <w:tcPr>
            <w:tcW w:w="14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9"/>
              </w:rPr>
              <w:t>RV</w:t>
            </w: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w:t>
            </w:r>
          </w:p>
        </w:tc>
        <w:tc>
          <w:tcPr>
            <w:tcW w:w="2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86.4</w:t>
            </w:r>
          </w:p>
        </w:tc>
      </w:tr>
      <w:tr>
        <w:trPr>
          <w:trHeight w:val="175"/>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Three months ended March 31, 2025</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2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9"/>
                <w:szCs w:val="9"/>
                <w:color w:val="auto"/>
                <w:w w:val="94"/>
              </w:rPr>
              <w:t>(4)</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w w:val="97"/>
              </w:rPr>
              <w:t>MH / RV</w:t>
            </w: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93.4</w:t>
            </w:r>
          </w:p>
        </w:tc>
      </w:tr>
    </w:tbl>
    <w:p>
      <w:pPr>
        <w:spacing w:after="0" w:line="73" w:lineRule="exact"/>
        <w:rPr>
          <w:sz w:val="20"/>
          <w:szCs w:val="20"/>
          <w:color w:val="auto"/>
        </w:rPr>
      </w:pPr>
    </w:p>
    <w:p>
      <w:pPr>
        <w:jc w:val="both"/>
        <w:ind w:left="147" w:hanging="147"/>
        <w:spacing w:after="0" w:line="236" w:lineRule="auto"/>
        <w:tabs>
          <w:tab w:leader="none" w:pos="141" w:val="left"/>
        </w:tabs>
        <w:numPr>
          <w:ilvl w:val="0"/>
          <w:numId w:val="6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non-recurring fair value measurement was driven by a reduction in projected future cash flows and deteriorating NOI trends for the impaired properties and was determined using an income and market approach. The analysis was based upon market conditions, expectations for future growth and comparable transactions, and utilized unobservable quantitative inputs, including capitalization rates ranging from 9.5% to 10.0% and discount rates ranging from 11.0% to 13.0%.</w:t>
      </w:r>
    </w:p>
    <w:p>
      <w:pPr>
        <w:spacing w:after="0" w:line="1" w:lineRule="exact"/>
        <w:rPr>
          <w:rFonts w:ascii="Times New Roman" w:cs="Times New Roman" w:eastAsia="Times New Roman" w:hAnsi="Times New Roman"/>
          <w:sz w:val="16"/>
          <w:szCs w:val="16"/>
          <w:color w:val="auto"/>
          <w:vertAlign w:val="superscript"/>
        </w:rPr>
      </w:pPr>
    </w:p>
    <w:p>
      <w:pPr>
        <w:ind w:left="147" w:right="20" w:hanging="147"/>
        <w:spacing w:after="0" w:line="257" w:lineRule="auto"/>
        <w:tabs>
          <w:tab w:leader="none" w:pos="148" w:val="left"/>
        </w:tabs>
        <w:numPr>
          <w:ilvl w:val="0"/>
          <w:numId w:val="65"/>
        </w:numPr>
        <w:rPr>
          <w:rFonts w:ascii="Times New Roman" w:cs="Times New Roman" w:eastAsia="Times New Roman" w:hAnsi="Times New Roman"/>
          <w:sz w:val="8"/>
          <w:szCs w:val="8"/>
          <w:color w:val="auto"/>
        </w:rPr>
      </w:pPr>
      <w:r>
        <w:rPr>
          <w:rFonts w:ascii="Times New Roman" w:cs="Times New Roman" w:eastAsia="Times New Roman" w:hAnsi="Times New Roman"/>
          <w:sz w:val="12"/>
          <w:szCs w:val="12"/>
          <w:color w:val="auto"/>
        </w:rPr>
        <w:t>The non-recurring fair value measurement was driven by our contemplated change in strategic plan for the properties and was determined using an income approach. The fair value methodology included a probability weighted holding period and estimated sale price for the assets based on current market conditions and comparable transactions in the applicable geographic location.</w:t>
      </w:r>
    </w:p>
    <w:p>
      <w:pPr>
        <w:ind w:left="127" w:hanging="127"/>
        <w:spacing w:after="0" w:line="196" w:lineRule="auto"/>
        <w:tabs>
          <w:tab w:leader="none" w:pos="127" w:val="left"/>
        </w:tabs>
        <w:numPr>
          <w:ilvl w:val="0"/>
          <w:numId w:val="6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Recorded a deferred tax benefit of $29.5 million in conjunction with the impairment.</w:t>
      </w:r>
    </w:p>
    <w:p>
      <w:pPr>
        <w:spacing w:after="0" w:line="4" w:lineRule="exact"/>
        <w:rPr>
          <w:rFonts w:ascii="Times New Roman" w:cs="Times New Roman" w:eastAsia="Times New Roman" w:hAnsi="Times New Roman"/>
          <w:sz w:val="16"/>
          <w:szCs w:val="16"/>
          <w:color w:val="auto"/>
          <w:vertAlign w:val="superscript"/>
        </w:rPr>
      </w:pPr>
    </w:p>
    <w:p>
      <w:pPr>
        <w:ind w:left="147" w:right="20" w:hanging="147"/>
        <w:spacing w:after="0"/>
        <w:tabs>
          <w:tab w:leader="none" w:pos="143" w:val="left"/>
        </w:tabs>
        <w:numPr>
          <w:ilvl w:val="0"/>
          <w:numId w:val="6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fair value measurement was driven by pre-construction development costs and determined by estimating discounted cash flows based on the expectation that the development projects are no longer probable of being realized.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F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121920</wp:posOffset>
            </wp:positionV>
            <wp:extent cx="7177405" cy="400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121" w:right="319" w:bottom="1440" w:gutter="0" w:footer="0" w:header="0"/>
          <w:type w:val="continuous"/>
        </w:sectPr>
      </w:pPr>
    </w:p>
    <w:bookmarkStart w:id="96" w:name="page97"/>
    <w:bookmarkEnd w:id="96"/>
    <w:p>
      <w:pPr>
        <w:jc w:val="center"/>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200" w:lineRule="exact"/>
        <w:rPr>
          <w:sz w:val="20"/>
          <w:szCs w:val="20"/>
          <w:color w:val="auto"/>
        </w:rPr>
      </w:pPr>
    </w:p>
    <w:p>
      <w:pPr>
        <w:spacing w:after="0" w:line="26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Although we have determined the estimated fair value amounts using available market information and commonly accepted valuation methodologies, considerable judgment is required in interpreting market data to develop fair value estimates. The fair value estimates are based on information available as of December 31, 2025. As such, our estimates of fair value could differ significantly from the actual carrying value.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15. Commitments and Contingencies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Legal Proceedings - Class Action Litigation</w:t>
      </w:r>
    </w:p>
    <w:p>
      <w:pPr>
        <w:spacing w:after="0" w:line="109"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5"/>
          <w:szCs w:val="15"/>
          <w:color w:val="auto"/>
        </w:rPr>
        <w:t xml:space="preserve">Since August 31, 2023, several putative class action complaints have been filed in the U.S. District Court for the Northern District of Illinois, Eastern Division, against Datacomp Appraisal Systems, Inc., us, and several other large MH operators in the U.S. The complaints allege that the defendants have violated federal antitrust laws by sharing and receiving competitively sensitive non-public information to maintain artificially high site rents. The complaints have been consolidated into the case captioned </w:t>
      </w:r>
      <w:r>
        <w:rPr>
          <w:rFonts w:ascii="Times New Roman" w:cs="Times New Roman" w:eastAsia="Times New Roman" w:hAnsi="Times New Roman"/>
          <w:sz w:val="15"/>
          <w:szCs w:val="15"/>
          <w:i w:val="1"/>
          <w:iCs w:val="1"/>
          <w:color w:val="auto"/>
        </w:rPr>
        <w:t>In re Manufactured Home Lot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Rents Antitrust Litigation, No. 1:23-cv-06715.</w:t>
      </w:r>
    </w:p>
    <w:p>
      <w:pPr>
        <w:spacing w:after="0" w:line="57"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5"/>
          <w:szCs w:val="15"/>
          <w:color w:val="auto"/>
        </w:rPr>
        <w:t>Plaintiffs seek both injunctive relief and monetary damages, as well as attorneys' fees. We are unable to estimate a range of loss, if any, that could result were there to be an adverse final decision in this litigation. If an unfavorable result were to occur, it is possible that the impact could be material to our results of operations in the periods in which any such outcome becomes probable and estimable.</w:t>
      </w:r>
    </w:p>
    <w:p>
      <w:pPr>
        <w:spacing w:after="0" w:line="53"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color w:val="auto"/>
        </w:rPr>
        <w:t>We believe that the plaintiffs' allegations are without merit and intend to defend against them vigorously. However, litigation is inherently uncertain and there can be no assurance regarding the likelihood that our defense of this litigation will be successful.</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Other Legal Proceedings</w:t>
      </w:r>
    </w:p>
    <w:p>
      <w:pPr>
        <w:spacing w:after="0" w:line="10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5"/>
          <w:szCs w:val="15"/>
          <w:color w:val="auto"/>
        </w:rPr>
        <w:t>We are involved in various other legal proceedings arising in the ordinary course of business. All such proceedings, taken together, are not expected to have a material adverse impact on our results of operations or financial condition.</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Catastrophic Event-Related Charges</w:t>
      </w:r>
    </w:p>
    <w:p>
      <w:pPr>
        <w:spacing w:after="0" w:line="105"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15"/>
          <w:szCs w:val="15"/>
          <w:i w:val="1"/>
          <w:iCs w:val="1"/>
          <w:color w:val="auto"/>
        </w:rPr>
        <w:t xml:space="preserve">Hurricanes Helene and Milton - </w:t>
      </w:r>
      <w:r>
        <w:rPr>
          <w:rFonts w:ascii="Times New Roman" w:cs="Times New Roman" w:eastAsia="Times New Roman" w:hAnsi="Times New Roman"/>
          <w:sz w:val="15"/>
          <w:szCs w:val="15"/>
          <w:color w:val="auto"/>
        </w:rPr>
        <w:t>In September and October 2024, Hurricane Helene and Hurricane Milton, respectively, made landfall in Florida and subsequently impacted several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 our properties in the Southeastern and Mid-Atlantic regions of the U.S.</w:t>
      </w:r>
    </w:p>
    <w:p>
      <w:pPr>
        <w:spacing w:after="0" w:line="3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Estimated property insurance recoveries, excluding business interruption recoveries, of $42.0 million related to Hurricane Helene and Hurricane Milton, were recorded in Notes and other receivables, net, on the Consolidated Balance Sheets as of December 31, 2025. The table below sets forth changes in estimated property insurance recoveries, excluding business interruption recoveries (in millions):</w:t>
      </w:r>
    </w:p>
    <w:p>
      <w:pPr>
        <w:sectPr>
          <w:pgSz w:w="11900" w:h="16838" w:orient="portrait"/>
          <w:cols w:equalWidth="0" w:num="1">
            <w:col w:w="11260"/>
          </w:cols>
          <w:pgMar w:left="320" w:top="121" w:right="31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Total estimated insurance receivable -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-99695</wp:posOffset>
            </wp:positionV>
            <wp:extent cx="7152005" cy="1174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5">
                      <a:extLst>
                        <a:ext uri="{28A0092B-C50C-407E-A947-70E740481C1C}"/>
                      </a:extLst>
                    </a:blip>
                    <a:srcRect/>
                    <a:stretch>
                      <a:fillRect/>
                    </a:stretch>
                  </pic:blipFill>
                  <pic:spPr bwMode="auto">
                    <a:xfrm>
                      <a:off x="0" y="0"/>
                      <a:ext cx="7152005" cy="11747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Change in estimated property insurance recoveries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Proceeds received from insurer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-92075</wp:posOffset>
            </wp:positionV>
            <wp:extent cx="7152005" cy="1104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6">
                      <a:extLst>
                        <a:ext uri="{28A0092B-C50C-407E-A947-70E740481C1C}"/>
                      </a:extLst>
                    </a:blip>
                    <a:srcRect/>
                    <a:stretch>
                      <a:fillRect/>
                    </a:stretch>
                  </pic:blipFill>
                  <pic:spPr bwMode="auto">
                    <a:xfrm>
                      <a:off x="0" y="0"/>
                      <a:ext cx="7152005" cy="1104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Total estimated insurance receivable - December 31, 2025</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40" w:type="dxa"/>
            <w:vAlign w:val="bottom"/>
          </w:tcPr>
          <w:p>
            <w:pPr>
              <w:spacing w:after="0"/>
              <w:rPr>
                <w:sz w:val="12"/>
                <w:szCs w:val="12"/>
                <w:color w:val="auto"/>
              </w:rPr>
            </w:pPr>
          </w:p>
        </w:tc>
        <w:tc>
          <w:tcPr>
            <w:tcW w:w="1640" w:type="dxa"/>
            <w:vAlign w:val="bottom"/>
          </w:tcPr>
          <w:p>
            <w:pPr>
              <w:jc w:val="center"/>
              <w:ind w:right="194"/>
              <w:spacing w:after="0"/>
              <w:rPr>
                <w:sz w:val="20"/>
                <w:szCs w:val="20"/>
                <w:color w:val="auto"/>
              </w:rPr>
            </w:pPr>
            <w:r>
              <w:rPr>
                <w:rFonts w:ascii="Times New Roman" w:cs="Times New Roman" w:eastAsia="Times New Roman" w:hAnsi="Times New Roman"/>
                <w:sz w:val="13"/>
                <w:szCs w:val="13"/>
                <w:b w:val="1"/>
                <w:bCs w:val="1"/>
                <w:color w:val="auto"/>
                <w:w w:val="98"/>
              </w:rPr>
              <w:t>Year Ended</w:t>
            </w:r>
          </w:p>
        </w:tc>
      </w:tr>
      <w:tr>
        <w:trPr>
          <w:trHeight w:val="179"/>
        </w:trPr>
        <w:tc>
          <w:tcPr>
            <w:tcW w:w="2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3"/>
                <w:szCs w:val="13"/>
                <w:b w:val="1"/>
                <w:bCs w:val="1"/>
                <w:color w:val="auto"/>
              </w:rPr>
              <w:t>December 31, 2025</w:t>
            </w:r>
          </w:p>
        </w:tc>
      </w:tr>
      <w:tr>
        <w:trPr>
          <w:trHeight w:val="168"/>
        </w:trPr>
        <w:tc>
          <w:tcPr>
            <w:tcW w:w="2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Pr>
          <w:p>
            <w:pPr>
              <w:jc w:val="center"/>
              <w:ind w:left="1234"/>
              <w:spacing w:after="0"/>
              <w:rPr>
                <w:sz w:val="20"/>
                <w:szCs w:val="20"/>
                <w:color w:val="auto"/>
              </w:rPr>
            </w:pPr>
            <w:r>
              <w:rPr>
                <w:rFonts w:ascii="Times New Roman" w:cs="Times New Roman" w:eastAsia="Times New Roman" w:hAnsi="Times New Roman"/>
                <w:sz w:val="13"/>
                <w:szCs w:val="13"/>
                <w:color w:val="auto"/>
                <w:w w:val="96"/>
              </w:rPr>
              <w:t>16.7</w:t>
            </w:r>
          </w:p>
        </w:tc>
      </w:tr>
      <w:tr>
        <w:trPr>
          <w:trHeight w:val="171"/>
        </w:trPr>
        <w:tc>
          <w:tcPr>
            <w:tcW w:w="240" w:type="dxa"/>
            <w:vAlign w:val="bottom"/>
          </w:tcPr>
          <w:p>
            <w:pPr>
              <w:spacing w:after="0"/>
              <w:rPr>
                <w:sz w:val="14"/>
                <w:szCs w:val="14"/>
                <w:color w:val="auto"/>
              </w:rPr>
            </w:pPr>
          </w:p>
        </w:tc>
        <w:tc>
          <w:tcPr>
            <w:tcW w:w="1640" w:type="dxa"/>
            <w:vAlign w:val="bottom"/>
          </w:tcPr>
          <w:p>
            <w:pPr>
              <w:jc w:val="center"/>
              <w:ind w:left="1234"/>
              <w:spacing w:after="0"/>
              <w:rPr>
                <w:sz w:val="20"/>
                <w:szCs w:val="20"/>
                <w:color w:val="auto"/>
              </w:rPr>
            </w:pPr>
            <w:r>
              <w:rPr>
                <w:rFonts w:ascii="Times New Roman" w:cs="Times New Roman" w:eastAsia="Times New Roman" w:hAnsi="Times New Roman"/>
                <w:sz w:val="13"/>
                <w:szCs w:val="13"/>
                <w:color w:val="auto"/>
                <w:w w:val="96"/>
              </w:rPr>
              <w:t>36.1</w:t>
            </w:r>
          </w:p>
        </w:tc>
      </w:tr>
      <w:tr>
        <w:trPr>
          <w:trHeight w:val="177"/>
        </w:trPr>
        <w:tc>
          <w:tcPr>
            <w:tcW w:w="2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center"/>
              <w:ind w:left="1214"/>
              <w:spacing w:after="0"/>
              <w:rPr>
                <w:sz w:val="20"/>
                <w:szCs w:val="20"/>
                <w:color w:val="auto"/>
              </w:rPr>
            </w:pPr>
            <w:r>
              <w:rPr>
                <w:rFonts w:ascii="Times New Roman" w:cs="Times New Roman" w:eastAsia="Times New Roman" w:hAnsi="Times New Roman"/>
                <w:sz w:val="13"/>
                <w:szCs w:val="13"/>
                <w:color w:val="auto"/>
              </w:rPr>
              <w:t>(10.8)</w:t>
            </w:r>
          </w:p>
        </w:tc>
      </w:tr>
      <w:tr>
        <w:trPr>
          <w:trHeight w:val="167"/>
        </w:trPr>
        <w:tc>
          <w:tcPr>
            <w:tcW w:w="2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Borders>
              <w:bottom w:val="single" w:sz="8" w:color="auto"/>
            </w:tcBorders>
          </w:tcPr>
          <w:p>
            <w:pPr>
              <w:jc w:val="center"/>
              <w:ind w:left="1234"/>
              <w:spacing w:after="0"/>
              <w:rPr>
                <w:sz w:val="20"/>
                <w:szCs w:val="20"/>
                <w:color w:val="auto"/>
              </w:rPr>
            </w:pPr>
            <w:r>
              <w:rPr>
                <w:rFonts w:ascii="Times New Roman" w:cs="Times New Roman" w:eastAsia="Times New Roman" w:hAnsi="Times New Roman"/>
                <w:sz w:val="13"/>
                <w:szCs w:val="13"/>
                <w:color w:val="auto"/>
                <w:w w:val="96"/>
              </w:rPr>
              <w:t>42.0</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660" w:space="720"/>
            <w:col w:w="1880"/>
          </w:cols>
          <w:pgMar w:left="320" w:top="121" w:right="319" w:bottom="1440" w:gutter="0" w:footer="0" w:header="0"/>
          <w:type w:val="continuous"/>
        </w:sectPr>
      </w:pPr>
    </w:p>
    <w:p>
      <w:pPr>
        <w:spacing w:after="0" w:line="98"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5"/>
          <w:szCs w:val="15"/>
          <w:color w:val="auto"/>
        </w:rPr>
        <w:t>The foregoing estimates for each respective event are based on current information available, and we continue to assess these estimates. Actual charges and insurance recoveries could vary significantly from these estimates. Any changes to these estimates will be recognized in the period in which they are determined.</w:t>
      </w:r>
    </w:p>
    <w:p>
      <w:pPr>
        <w:spacing w:after="0" w:line="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i w:val="1"/>
          <w:iCs w:val="1"/>
          <w:color w:val="auto"/>
        </w:rPr>
        <w:t xml:space="preserve">Hurricane Ian - </w:t>
      </w:r>
      <w:r>
        <w:rPr>
          <w:rFonts w:ascii="Times New Roman" w:cs="Times New Roman" w:eastAsia="Times New Roman" w:hAnsi="Times New Roman"/>
          <w:sz w:val="15"/>
          <w:szCs w:val="15"/>
          <w:color w:val="auto"/>
        </w:rPr>
        <w:t>During the year ended December 31, 2025, we received a settlement of $80.2 million from an insurance provider to settle all remaining claims related to property,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casualty, flood, and business interruption insurance recoveries from Hurricane Ian. We concluded that $43.7 million and $36.5 million were attributable to property and casualty recoveries and business interruption recoveries, respectively. The business interruption recoveries represent lost earnings from Hurricane Ian through the year ending December 31, 2027. In conjunction with the settlement, we recorded a gain of $68.5 million within Other income / (expense), net. Prior to the settlement, during the years ended December 31, 2025 and 2024, we recognized $10.7 million and $16.7 million, respectively, as business interruption recoveries for the lost earnings from Hurricane Ian within Brokerage commissions and other revenue, net. Our business interruption insurance policy provides for up to 60 months of coverage from the date of restoration.</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16. Leases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Lessee Accounting</w:t>
      </w:r>
    </w:p>
    <w:p>
      <w:pPr>
        <w:spacing w:after="0" w:line="10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5"/>
          <w:szCs w:val="15"/>
          <w:color w:val="auto"/>
        </w:rPr>
        <w:t>We lease land under non-cancelable operating leases at certain properties expiring at various dates through 2100. The majority of the leases have terms requiring fixed payments plus additional rents based on a percentage of revenues at those properties. We also have other operating leases, primarily office space and equipment expiring at various dates through 2042.</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97" w:name="page98"/>
    <w:bookmarkEnd w:id="97"/>
    <w:p>
      <w:pPr>
        <w:jc w:val="center"/>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Future minimum lease payments under non-cancellable leases as of December 31, 2025 where we are the lessee include (in millions):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7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Maturity of Lease Liabilities</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Finance Leases</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Operating Leases</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tcPr>
          <w:p>
            <w:pPr>
              <w:jc w:val="right"/>
              <w:ind w:right="694"/>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8"/>
        </w:trPr>
        <w:tc>
          <w:tcPr>
            <w:tcW w:w="5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2026</w:t>
            </w:r>
          </w:p>
        </w:tc>
        <w:tc>
          <w:tcPr>
            <w:tcW w:w="10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jc w:val="right"/>
              <w:ind w:right="1234"/>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8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right"/>
              <w:ind w:right="1274"/>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8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w:t>
            </w:r>
          </w:p>
        </w:tc>
      </w:tr>
      <w:tr>
        <w:trPr>
          <w:trHeight w:val="172"/>
        </w:trPr>
        <w:tc>
          <w:tcPr>
            <w:tcW w:w="5620" w:type="dxa"/>
            <w:vAlign w:val="bottom"/>
          </w:tcPr>
          <w:p>
            <w:pPr>
              <w:spacing w:after="0"/>
              <w:rPr>
                <w:sz w:val="20"/>
                <w:szCs w:val="20"/>
                <w:color w:val="auto"/>
              </w:rPr>
            </w:pPr>
            <w:r>
              <w:rPr>
                <w:rFonts w:ascii="Times New Roman" w:cs="Times New Roman" w:eastAsia="Times New Roman" w:hAnsi="Times New Roman"/>
                <w:sz w:val="13"/>
                <w:szCs w:val="13"/>
                <w:color w:val="auto"/>
              </w:rPr>
              <w:t>2027</w:t>
            </w: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r>
      <w:tr>
        <w:trPr>
          <w:trHeight w:val="175"/>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2028</w:t>
            </w: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r>
      <w:tr>
        <w:trPr>
          <w:trHeight w:val="172"/>
        </w:trPr>
        <w:tc>
          <w:tcPr>
            <w:tcW w:w="5620" w:type="dxa"/>
            <w:vAlign w:val="bottom"/>
          </w:tcPr>
          <w:p>
            <w:pPr>
              <w:spacing w:after="0"/>
              <w:rPr>
                <w:sz w:val="20"/>
                <w:szCs w:val="20"/>
                <w:color w:val="auto"/>
              </w:rPr>
            </w:pPr>
            <w:r>
              <w:rPr>
                <w:rFonts w:ascii="Times New Roman" w:cs="Times New Roman" w:eastAsia="Times New Roman" w:hAnsi="Times New Roman"/>
                <w:sz w:val="13"/>
                <w:szCs w:val="13"/>
                <w:color w:val="auto"/>
              </w:rPr>
              <w:t>2029</w:t>
            </w: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r>
      <w:tr>
        <w:trPr>
          <w:trHeight w:val="175"/>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2030</w:t>
            </w: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172"/>
        </w:trPr>
        <w:tc>
          <w:tcPr>
            <w:tcW w:w="57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Thereafter</w:t>
            </w:r>
          </w:p>
        </w:tc>
        <w:tc>
          <w:tcPr>
            <w:tcW w:w="13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37.3</w:t>
            </w:r>
          </w:p>
        </w:tc>
        <w:tc>
          <w:tcPr>
            <w:tcW w:w="8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75.2</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112.5</w:t>
            </w:r>
          </w:p>
        </w:tc>
      </w:tr>
      <w:tr>
        <w:trPr>
          <w:trHeight w:val="167"/>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Lease Payments</w:t>
            </w:r>
          </w:p>
        </w:tc>
        <w:tc>
          <w:tcPr>
            <w:tcW w:w="1380" w:type="dxa"/>
            <w:vAlign w:val="bottom"/>
            <w:shd w:val="clear" w:color="auto" w:fill="CCEEFF"/>
          </w:tcPr>
          <w:p>
            <w:pPr>
              <w:jc w:val="right"/>
              <w:ind w:right="1234"/>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41.3</w:t>
            </w: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1274"/>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97.7</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139.0</w:t>
            </w:r>
          </w:p>
        </w:tc>
      </w:tr>
      <w:tr>
        <w:trPr>
          <w:trHeight w:val="172"/>
        </w:trPr>
        <w:tc>
          <w:tcPr>
            <w:tcW w:w="57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Less: Imputed interest</w:t>
            </w:r>
          </w:p>
        </w:tc>
        <w:tc>
          <w:tcPr>
            <w:tcW w:w="13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(30.7)</w:t>
            </w:r>
          </w:p>
        </w:tc>
        <w:tc>
          <w:tcPr>
            <w:tcW w:w="8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(58.7)</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(89.4)</w:t>
            </w:r>
          </w:p>
        </w:tc>
      </w:tr>
      <w:tr>
        <w:trPr>
          <w:trHeight w:val="192"/>
        </w:trPr>
        <w:tc>
          <w:tcPr>
            <w:tcW w:w="57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Present Value of Lease Liabilities</w:t>
            </w:r>
          </w:p>
        </w:tc>
        <w:tc>
          <w:tcPr>
            <w:tcW w:w="1380" w:type="dxa"/>
            <w:vAlign w:val="bottom"/>
            <w:tcBorders>
              <w:bottom w:val="single" w:sz="8" w:color="auto"/>
            </w:tcBorders>
            <w:shd w:val="clear" w:color="auto" w:fill="CCEEFF"/>
          </w:tcPr>
          <w:p>
            <w:pPr>
              <w:jc w:val="right"/>
              <w:ind w:right="1234"/>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8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ind w:right="1274"/>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39.0</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49.6</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Right-of-use ("ROU") assets and lease liabilities for finance and operating leases as included in our Consolidated Balance Sheets are as follows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gridSpan w:val="2"/>
          </w:tcPr>
          <w:p>
            <w:pPr>
              <w:ind w:left="380"/>
              <w:spacing w:after="0"/>
              <w:rPr>
                <w:sz w:val="20"/>
                <w:szCs w:val="20"/>
                <w:color w:val="auto"/>
              </w:rPr>
            </w:pPr>
            <w:r>
              <w:rPr>
                <w:rFonts w:ascii="Times New Roman" w:cs="Times New Roman" w:eastAsia="Times New Roman" w:hAnsi="Times New Roman"/>
                <w:sz w:val="13"/>
                <w:szCs w:val="13"/>
                <w:b w:val="1"/>
                <w:bCs w:val="1"/>
                <w:color w:val="auto"/>
              </w:rPr>
              <w:t>Financial Statement</w:t>
            </w:r>
          </w:p>
        </w:tc>
        <w:tc>
          <w:tcPr>
            <w:tcW w:w="4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3"/>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1160" w:type="dxa"/>
            <w:vAlign w:val="bottom"/>
            <w:tcBorders>
              <w:bottom w:val="single" w:sz="8" w:color="auto"/>
            </w:tcBorders>
          </w:tcPr>
          <w:p>
            <w:pPr>
              <w:spacing w:after="0"/>
              <w:rPr>
                <w:sz w:val="15"/>
                <w:szCs w:val="15"/>
                <w:color w:val="auto"/>
              </w:rPr>
            </w:pPr>
          </w:p>
        </w:tc>
      </w:tr>
      <w:tr>
        <w:trPr>
          <w:trHeight w:val="165"/>
        </w:trPr>
        <w:tc>
          <w:tcPr>
            <w:tcW w:w="5560" w:type="dxa"/>
            <w:vAlign w:val="bottom"/>
          </w:tcPr>
          <w:p>
            <w:pPr>
              <w:ind w:left="246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80" w:type="dxa"/>
            <w:vAlign w:val="bottom"/>
          </w:tcPr>
          <w:p>
            <w:pPr>
              <w:spacing w:after="0"/>
              <w:rPr>
                <w:sz w:val="14"/>
                <w:szCs w:val="14"/>
                <w:color w:val="auto"/>
              </w:rPr>
            </w:pPr>
          </w:p>
        </w:tc>
        <w:tc>
          <w:tcPr>
            <w:tcW w:w="1940" w:type="dxa"/>
            <w:vAlign w:val="bottom"/>
            <w:gridSpan w:val="2"/>
          </w:tcPr>
          <w:p>
            <w:pPr>
              <w:ind w:left="560"/>
              <w:spacing w:after="0"/>
              <w:rPr>
                <w:sz w:val="20"/>
                <w:szCs w:val="20"/>
                <w:color w:val="auto"/>
              </w:rPr>
            </w:pPr>
            <w:r>
              <w:rPr>
                <w:rFonts w:ascii="Times New Roman" w:cs="Times New Roman" w:eastAsia="Times New Roman" w:hAnsi="Times New Roman"/>
                <w:sz w:val="13"/>
                <w:szCs w:val="13"/>
                <w:b w:val="1"/>
                <w:bCs w:val="1"/>
                <w:color w:val="auto"/>
              </w:rPr>
              <w:t>Classification</w:t>
            </w:r>
          </w:p>
        </w:tc>
        <w:tc>
          <w:tcPr>
            <w:tcW w:w="420" w:type="dxa"/>
            <w:vAlign w:val="bottom"/>
          </w:tcPr>
          <w:p>
            <w:pPr>
              <w:spacing w:after="0"/>
              <w:rPr>
                <w:sz w:val="14"/>
                <w:szCs w:val="14"/>
                <w:color w:val="auto"/>
              </w:rPr>
            </w:pPr>
          </w:p>
        </w:tc>
        <w:tc>
          <w:tcPr>
            <w:tcW w:w="1380" w:type="dxa"/>
            <w:vAlign w:val="bottom"/>
          </w:tcPr>
          <w:p>
            <w:pPr>
              <w:jc w:val="right"/>
              <w:ind w:right="69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tcPr>
          <w:p>
            <w:pPr>
              <w:jc w:val="right"/>
              <w:ind w:right="714"/>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66"/>
        </w:trPr>
        <w:tc>
          <w:tcPr>
            <w:tcW w:w="5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Lease Assets</w:t>
            </w:r>
          </w:p>
        </w:tc>
        <w:tc>
          <w:tcPr>
            <w:tcW w:w="80" w:type="dxa"/>
            <w:vAlign w:val="bottom"/>
            <w:tcBorders>
              <w:top w:val="single" w:sz="8" w:color="CCEEFF"/>
            </w:tcBorders>
            <w:shd w:val="clear" w:color="auto" w:fill="CCEEFF"/>
          </w:tcPr>
          <w:p>
            <w:pPr>
              <w:spacing w:after="0"/>
              <w:rPr>
                <w:sz w:val="14"/>
                <w:szCs w:val="14"/>
                <w:color w:val="auto"/>
              </w:rPr>
            </w:pPr>
          </w:p>
        </w:tc>
        <w:tc>
          <w:tcPr>
            <w:tcW w:w="18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r>
      <w:tr>
        <w:trPr>
          <w:trHeight w:val="172"/>
        </w:trPr>
        <w:tc>
          <w:tcPr>
            <w:tcW w:w="5560" w:type="dxa"/>
            <w:vAlign w:val="bottom"/>
          </w:tcPr>
          <w:p>
            <w:pPr>
              <w:spacing w:after="0"/>
              <w:rPr>
                <w:sz w:val="20"/>
                <w:szCs w:val="20"/>
                <w:color w:val="auto"/>
              </w:rPr>
            </w:pPr>
            <w:r>
              <w:rPr>
                <w:rFonts w:ascii="Times New Roman" w:cs="Times New Roman" w:eastAsia="Times New Roman" w:hAnsi="Times New Roman"/>
                <w:sz w:val="13"/>
                <w:szCs w:val="13"/>
                <w:color w:val="auto"/>
              </w:rPr>
              <w:t>Finance lease, ROU asset, net of accumulated amortization</w:t>
            </w:r>
          </w:p>
        </w:tc>
        <w:tc>
          <w:tcPr>
            <w:tcW w:w="80" w:type="dxa"/>
            <w:vAlign w:val="bottom"/>
          </w:tcPr>
          <w:p>
            <w:pPr>
              <w:spacing w:after="0"/>
              <w:rPr>
                <w:sz w:val="14"/>
                <w:szCs w:val="14"/>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Investment property, net</w:t>
            </w:r>
          </w:p>
        </w:tc>
        <w:tc>
          <w:tcPr>
            <w:tcW w:w="42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w:t>
            </w:r>
          </w:p>
        </w:tc>
        <w:tc>
          <w:tcPr>
            <w:tcW w:w="80" w:type="dxa"/>
            <w:vAlign w:val="bottom"/>
          </w:tcPr>
          <w:p>
            <w:pPr>
              <w:spacing w:after="0"/>
              <w:rPr>
                <w:sz w:val="14"/>
                <w:szCs w:val="14"/>
                <w:color w:val="auto"/>
              </w:rPr>
            </w:pPr>
          </w:p>
        </w:tc>
        <w:tc>
          <w:tcPr>
            <w:tcW w:w="64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w:t>
            </w:r>
          </w:p>
        </w:tc>
      </w:tr>
      <w:tr>
        <w:trPr>
          <w:trHeight w:val="175"/>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lease, ROU asset, net</w:t>
            </w:r>
          </w:p>
        </w:tc>
        <w:tc>
          <w:tcPr>
            <w:tcW w:w="8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assets, net</w:t>
            </w:r>
          </w:p>
        </w:tc>
        <w:tc>
          <w:tcPr>
            <w:tcW w:w="42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59.9</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52.4</w:t>
            </w:r>
          </w:p>
        </w:tc>
      </w:tr>
      <w:tr>
        <w:trPr>
          <w:trHeight w:val="173"/>
        </w:trPr>
        <w:tc>
          <w:tcPr>
            <w:tcW w:w="55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Lease Liabilities</w:t>
            </w: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4"/>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Finance lease liabilities</w:t>
            </w:r>
          </w:p>
        </w:tc>
        <w:tc>
          <w:tcPr>
            <w:tcW w:w="8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liabilities</w:t>
            </w:r>
          </w:p>
        </w:tc>
        <w:tc>
          <w:tcPr>
            <w:tcW w:w="42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w:t>
            </w:r>
          </w:p>
        </w:tc>
      </w:tr>
      <w:tr>
        <w:trPr>
          <w:trHeight w:val="171"/>
        </w:trPr>
        <w:tc>
          <w:tcPr>
            <w:tcW w:w="5560" w:type="dxa"/>
            <w:vAlign w:val="bottom"/>
          </w:tcPr>
          <w:p>
            <w:pPr>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80" w:type="dxa"/>
            <w:vAlign w:val="bottom"/>
          </w:tcPr>
          <w:p>
            <w:pPr>
              <w:spacing w:after="0"/>
              <w:rPr>
                <w:sz w:val="14"/>
                <w:szCs w:val="14"/>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Other liabilities</w:t>
            </w:r>
          </w:p>
        </w:tc>
        <w:tc>
          <w:tcPr>
            <w:tcW w:w="42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w:t>
            </w:r>
          </w:p>
        </w:tc>
        <w:tc>
          <w:tcPr>
            <w:tcW w:w="80" w:type="dxa"/>
            <w:vAlign w:val="bottom"/>
          </w:tcPr>
          <w:p>
            <w:pPr>
              <w:spacing w:after="0"/>
              <w:rPr>
                <w:sz w:val="14"/>
                <w:szCs w:val="14"/>
                <w:color w:val="auto"/>
              </w:rPr>
            </w:pPr>
          </w:p>
        </w:tc>
        <w:tc>
          <w:tcPr>
            <w:tcW w:w="64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w:t>
            </w:r>
          </w:p>
        </w:tc>
      </w:tr>
    </w:tbl>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components of lease costs for finance and operating leases, as included in our Consolidated Statements of Operations are as follows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4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240" w:type="dxa"/>
            <w:vAlign w:val="bottom"/>
            <w:gridSpan w:val="2"/>
          </w:tcPr>
          <w:p>
            <w:pPr>
              <w:ind w:left="76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3480" w:type="dxa"/>
            <w:vAlign w:val="bottom"/>
            <w:gridSpan w:val="2"/>
          </w:tcPr>
          <w:p>
            <w:pPr>
              <w:ind w:left="740"/>
              <w:spacing w:after="0"/>
              <w:rPr>
                <w:sz w:val="20"/>
                <w:szCs w:val="20"/>
                <w:color w:val="auto"/>
              </w:rPr>
            </w:pPr>
            <w:r>
              <w:rPr>
                <w:rFonts w:ascii="Times New Roman" w:cs="Times New Roman" w:eastAsia="Times New Roman" w:hAnsi="Times New Roman"/>
                <w:sz w:val="13"/>
                <w:szCs w:val="13"/>
                <w:b w:val="1"/>
                <w:bCs w:val="1"/>
                <w:color w:val="auto"/>
              </w:rPr>
              <w:t>Financial Statement Classification</w:t>
            </w:r>
          </w:p>
        </w:tc>
        <w:tc>
          <w:tcPr>
            <w:tcW w:w="420" w:type="dxa"/>
            <w:vAlign w:val="bottom"/>
          </w:tcPr>
          <w:p>
            <w:pPr>
              <w:spacing w:after="0"/>
              <w:rPr>
                <w:sz w:val="14"/>
                <w:szCs w:val="14"/>
                <w:color w:val="auto"/>
              </w:rPr>
            </w:pPr>
          </w:p>
        </w:tc>
        <w:tc>
          <w:tcPr>
            <w:tcW w:w="1360" w:type="dxa"/>
            <w:vAlign w:val="bottom"/>
          </w:tcPr>
          <w:p>
            <w:pPr>
              <w:jc w:val="right"/>
              <w:ind w:right="69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Pr>
          <w:p>
            <w:pPr>
              <w:jc w:val="right"/>
              <w:ind w:right="69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jc w:val="right"/>
              <w:ind w:right="714"/>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66"/>
        </w:trPr>
        <w:tc>
          <w:tcPr>
            <w:tcW w:w="2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Finance Lease Cost</w:t>
            </w:r>
          </w:p>
        </w:tc>
        <w:tc>
          <w:tcPr>
            <w:tcW w:w="80" w:type="dxa"/>
            <w:vAlign w:val="bottom"/>
            <w:tcBorders>
              <w:top w:val="single" w:sz="8" w:color="CCEEFF"/>
            </w:tcBorders>
            <w:shd w:val="clear" w:color="auto" w:fill="CCEEFF"/>
          </w:tcPr>
          <w:p>
            <w:pPr>
              <w:spacing w:after="0"/>
              <w:rPr>
                <w:sz w:val="14"/>
                <w:szCs w:val="14"/>
                <w:color w:val="auto"/>
              </w:rPr>
            </w:pPr>
          </w:p>
        </w:tc>
        <w:tc>
          <w:tcPr>
            <w:tcW w:w="34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Amortization of ROU assets</w:t>
            </w:r>
          </w:p>
        </w:tc>
        <w:tc>
          <w:tcPr>
            <w:tcW w:w="3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42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80" w:type="dxa"/>
            <w:vAlign w:val="bottom"/>
          </w:tcPr>
          <w:p>
            <w:pPr>
              <w:spacing w:after="0"/>
              <w:rPr>
                <w:sz w:val="14"/>
                <w:szCs w:val="14"/>
                <w:color w:val="auto"/>
              </w:rPr>
            </w:pPr>
          </w:p>
        </w:tc>
        <w:tc>
          <w:tcPr>
            <w:tcW w:w="42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75"/>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on lease liabilities</w:t>
            </w:r>
          </w:p>
        </w:tc>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80" w:type="dxa"/>
            <w:vAlign w:val="bottom"/>
            <w:gridSpan w:val="2"/>
          </w:tcPr>
          <w:p>
            <w:pPr>
              <w:ind w:left="20"/>
              <w:spacing w:after="0" w:line="136" w:lineRule="exact"/>
              <w:rPr>
                <w:sz w:val="20"/>
                <w:szCs w:val="20"/>
                <w:color w:val="auto"/>
              </w:rPr>
            </w:pPr>
            <w:r>
              <w:rPr>
                <w:rFonts w:ascii="Times New Roman" w:cs="Times New Roman" w:eastAsia="Times New Roman" w:hAnsi="Times New Roman"/>
                <w:sz w:val="13"/>
                <w:szCs w:val="13"/>
                <w:color w:val="auto"/>
              </w:rPr>
              <w:t>General and administrative expense, Property operating and</w:t>
            </w:r>
          </w:p>
        </w:tc>
        <w:tc>
          <w:tcPr>
            <w:tcW w:w="4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2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Operating lease cost</w:t>
            </w:r>
          </w:p>
        </w:tc>
        <w:tc>
          <w:tcPr>
            <w:tcW w:w="348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maintenance,</w:t>
            </w:r>
          </w:p>
        </w:tc>
        <w:tc>
          <w:tcPr>
            <w:tcW w:w="420" w:type="dxa"/>
            <w:vAlign w:val="bottom"/>
          </w:tcPr>
          <w:p>
            <w:pPr>
              <w:spacing w:after="0"/>
              <w:rPr>
                <w:sz w:val="11"/>
                <w:szCs w:val="11"/>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0" w:type="dxa"/>
            <w:vAlign w:val="bottom"/>
          </w:tcPr>
          <w:p>
            <w:pPr>
              <w:spacing w:after="0"/>
              <w:rPr>
                <w:sz w:val="1"/>
                <w:szCs w:val="1"/>
                <w:color w:val="auto"/>
              </w:rPr>
            </w:pPr>
          </w:p>
        </w:tc>
      </w:tr>
      <w:tr>
        <w:trPr>
          <w:trHeight w:val="172"/>
        </w:trPr>
        <w:tc>
          <w:tcPr>
            <w:tcW w:w="2240" w:type="dxa"/>
            <w:vAlign w:val="bottom"/>
            <w:gridSpan w:val="2"/>
            <w:vMerge w:val="continue"/>
          </w:tcPr>
          <w:p>
            <w:pPr>
              <w:spacing w:after="0"/>
              <w:rPr>
                <w:sz w:val="14"/>
                <w:szCs w:val="14"/>
                <w:color w:val="auto"/>
              </w:rPr>
            </w:pPr>
          </w:p>
        </w:tc>
        <w:tc>
          <w:tcPr>
            <w:tcW w:w="3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42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Variable lease cost</w:t>
            </w:r>
          </w:p>
        </w:tc>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Property operating and maintenance</w:t>
            </w:r>
          </w:p>
        </w:tc>
        <w:tc>
          <w:tcPr>
            <w:tcW w:w="4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65"/>
        </w:trPr>
        <w:tc>
          <w:tcPr>
            <w:tcW w:w="22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Total Lease Cost</w:t>
            </w:r>
          </w:p>
        </w:tc>
        <w:tc>
          <w:tcPr>
            <w:tcW w:w="3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80" w:type="dxa"/>
            <w:vAlign w:val="bottom"/>
          </w:tcPr>
          <w:p>
            <w:pPr>
              <w:spacing w:after="0"/>
              <w:rPr>
                <w:sz w:val="14"/>
                <w:szCs w:val="14"/>
                <w:color w:val="auto"/>
              </w:rPr>
            </w:pPr>
          </w:p>
        </w:tc>
        <w:tc>
          <w:tcPr>
            <w:tcW w:w="4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Lease term, discount rates and additional information for finance and operating leases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40" w:type="dxa"/>
            <w:vAlign w:val="bottom"/>
          </w:tcPr>
          <w:p>
            <w:pPr>
              <w:spacing w:after="0"/>
              <w:rPr>
                <w:sz w:val="15"/>
                <w:szCs w:val="15"/>
                <w:color w:val="auto"/>
              </w:rPr>
            </w:pPr>
          </w:p>
        </w:tc>
        <w:tc>
          <w:tcPr>
            <w:tcW w:w="2600" w:type="dxa"/>
            <w:vAlign w:val="bottom"/>
            <w:tcBorders>
              <w:bottom w:val="single" w:sz="8" w:color="auto"/>
            </w:tcBorders>
            <w:gridSpan w:val="3"/>
          </w:tcPr>
          <w:p>
            <w:pPr>
              <w:ind w:left="136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1220" w:type="dxa"/>
            <w:vAlign w:val="bottom"/>
            <w:tcBorders>
              <w:bottom w:val="single" w:sz="8" w:color="auto"/>
            </w:tcBorders>
          </w:tcPr>
          <w:p>
            <w:pPr>
              <w:spacing w:after="0"/>
              <w:rPr>
                <w:sz w:val="15"/>
                <w:szCs w:val="15"/>
                <w:color w:val="auto"/>
              </w:rPr>
            </w:pPr>
          </w:p>
        </w:tc>
      </w:tr>
      <w:tr>
        <w:trPr>
          <w:trHeight w:val="171"/>
        </w:trPr>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color w:val="auto"/>
              </w:rPr>
              <w:t>Lease Term and Discount Rate</w:t>
            </w:r>
          </w:p>
        </w:tc>
        <w:tc>
          <w:tcPr>
            <w:tcW w:w="18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54"/>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Weighted-average Remaining Lease Terms (years)</w:t>
            </w:r>
          </w:p>
        </w:tc>
        <w:tc>
          <w:tcPr>
            <w:tcW w:w="1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172"/>
        </w:trPr>
        <w:tc>
          <w:tcPr>
            <w:tcW w:w="74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Finance lease</w:t>
            </w:r>
          </w:p>
        </w:tc>
        <w:tc>
          <w:tcPr>
            <w:tcW w:w="1880" w:type="dxa"/>
            <w:vAlign w:val="bottom"/>
          </w:tcPr>
          <w:p>
            <w:pPr>
              <w:ind w:left="1460"/>
              <w:spacing w:after="0"/>
              <w:rPr>
                <w:sz w:val="20"/>
                <w:szCs w:val="20"/>
                <w:color w:val="auto"/>
              </w:rPr>
            </w:pPr>
            <w:r>
              <w:rPr>
                <w:rFonts w:ascii="Times New Roman" w:cs="Times New Roman" w:eastAsia="Times New Roman" w:hAnsi="Times New Roman"/>
                <w:sz w:val="13"/>
                <w:szCs w:val="13"/>
                <w:color w:val="auto"/>
              </w:rPr>
              <w:t>64.60</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33.79</w:t>
            </w:r>
          </w:p>
        </w:tc>
      </w:tr>
      <w:tr>
        <w:trPr>
          <w:trHeight w:val="175"/>
        </w:trPr>
        <w:tc>
          <w:tcPr>
            <w:tcW w:w="7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Operating lease</w:t>
            </w:r>
          </w:p>
        </w:tc>
        <w:tc>
          <w:tcPr>
            <w:tcW w:w="188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3"/>
                <w:szCs w:val="13"/>
                <w:color w:val="auto"/>
              </w:rPr>
              <w:t>52.07</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42.59</w:t>
            </w:r>
          </w:p>
        </w:tc>
      </w:tr>
      <w:tr>
        <w:trPr>
          <w:trHeight w:val="172"/>
        </w:trPr>
        <w:tc>
          <w:tcPr>
            <w:tcW w:w="7440" w:type="dxa"/>
            <w:vAlign w:val="bottom"/>
          </w:tcPr>
          <w:p>
            <w:pPr>
              <w:spacing w:after="0"/>
              <w:rPr>
                <w:sz w:val="20"/>
                <w:szCs w:val="20"/>
                <w:color w:val="auto"/>
              </w:rPr>
            </w:pPr>
            <w:r>
              <w:rPr>
                <w:rFonts w:ascii="Times New Roman" w:cs="Times New Roman" w:eastAsia="Times New Roman" w:hAnsi="Times New Roman"/>
                <w:sz w:val="13"/>
                <w:szCs w:val="13"/>
                <w:color w:val="auto"/>
              </w:rPr>
              <w:t>Weighted-average Discount Rate</w:t>
            </w:r>
          </w:p>
        </w:tc>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5"/>
        </w:trPr>
        <w:tc>
          <w:tcPr>
            <w:tcW w:w="7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Finance lease</w:t>
            </w:r>
          </w:p>
        </w:tc>
        <w:tc>
          <w:tcPr>
            <w:tcW w:w="188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3"/>
                <w:szCs w:val="13"/>
                <w:color w:val="auto"/>
              </w:rPr>
              <w:t>6.15 %</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3.63 %</w:t>
            </w:r>
          </w:p>
        </w:tc>
      </w:tr>
      <w:tr>
        <w:trPr>
          <w:trHeight w:val="171"/>
        </w:trPr>
        <w:tc>
          <w:tcPr>
            <w:tcW w:w="74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Operating lease</w:t>
            </w:r>
          </w:p>
        </w:tc>
        <w:tc>
          <w:tcPr>
            <w:tcW w:w="1880" w:type="dxa"/>
            <w:vAlign w:val="bottom"/>
          </w:tcPr>
          <w:p>
            <w:pPr>
              <w:ind w:left="1480"/>
              <w:spacing w:after="0"/>
              <w:rPr>
                <w:sz w:val="20"/>
                <w:szCs w:val="20"/>
                <w:color w:val="auto"/>
              </w:rPr>
            </w:pPr>
            <w:r>
              <w:rPr>
                <w:rFonts w:ascii="Times New Roman" w:cs="Times New Roman" w:eastAsia="Times New Roman" w:hAnsi="Times New Roman"/>
                <w:sz w:val="13"/>
                <w:szCs w:val="13"/>
                <w:color w:val="auto"/>
              </w:rPr>
              <w:t>5.24 %</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3.90 %</w:t>
            </w:r>
          </w:p>
        </w:tc>
      </w:tr>
    </w:tbl>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4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r>
      <w:tr>
        <w:trPr>
          <w:trHeight w:val="171"/>
        </w:trPr>
        <w:tc>
          <w:tcPr>
            <w:tcW w:w="5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color w:val="auto"/>
              </w:rPr>
              <w:t>Other Information (in millions)</w:t>
            </w: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4"/>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Paid for Amounts Included in the Measurement of Lease Liabilities</w:t>
            </w:r>
          </w:p>
        </w:tc>
        <w:tc>
          <w:tcPr>
            <w:tcW w:w="4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r>
      <w:tr>
        <w:trPr>
          <w:trHeight w:val="172"/>
        </w:trPr>
        <w:tc>
          <w:tcPr>
            <w:tcW w:w="5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Operating cash outflows for operating leases</w:t>
            </w:r>
          </w:p>
        </w:tc>
        <w:tc>
          <w:tcPr>
            <w:tcW w:w="42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tcPr>
          <w:p>
            <w:pPr>
              <w:spacing w:after="0"/>
              <w:rPr>
                <w:sz w:val="14"/>
                <w:szCs w:val="14"/>
                <w:color w:val="auto"/>
              </w:rPr>
            </w:pPr>
          </w:p>
        </w:tc>
        <w:tc>
          <w:tcPr>
            <w:tcW w:w="42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r>
      <w:tr>
        <w:trPr>
          <w:trHeight w:val="174"/>
        </w:trPr>
        <w:tc>
          <w:tcPr>
            <w:tcW w:w="5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Financing cash outflows for finance leases</w:t>
            </w:r>
          </w:p>
        </w:tc>
        <w:tc>
          <w:tcPr>
            <w:tcW w:w="4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w:t>
            </w:r>
          </w:p>
        </w:tc>
      </w:tr>
      <w:tr>
        <w:trPr>
          <w:trHeight w:val="167"/>
        </w:trPr>
        <w:tc>
          <w:tcPr>
            <w:tcW w:w="572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Total Cash Paid on Lease Liabilities</w:t>
            </w:r>
          </w:p>
        </w:tc>
        <w:tc>
          <w:tcPr>
            <w:tcW w:w="4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80" w:type="dxa"/>
            <w:vAlign w:val="bottom"/>
          </w:tcPr>
          <w:p>
            <w:pPr>
              <w:spacing w:after="0"/>
              <w:rPr>
                <w:sz w:val="14"/>
                <w:szCs w:val="14"/>
                <w:color w:val="auto"/>
              </w:rPr>
            </w:pPr>
          </w:p>
        </w:tc>
        <w:tc>
          <w:tcPr>
            <w:tcW w:w="4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20"/>
        </w:trPr>
        <w:tc>
          <w:tcPr>
            <w:tcW w:w="57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Lessor Accounting</w:t>
      </w:r>
    </w:p>
    <w:p>
      <w:pPr>
        <w:spacing w:after="0" w:line="109"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5"/>
          <w:szCs w:val="15"/>
          <w:color w:val="auto"/>
        </w:rPr>
        <w:t>We are not the lessor for any finance leases at our properties as of December 31, 2025. Nearly all of our operating leases with our residents and customers at our properties where we are the lessor are for a time period not to exceed one year or month to month. As of December 31, 2025, future minimum lease payments with our residents or customers would not exceed 12 months.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Future minimum lease payments for operating leases with real estate operators at our properties were not material as of December 31, 2025.</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Failed Sale Leaseback</w:t>
      </w:r>
    </w:p>
    <w:p>
      <w:pPr>
        <w:spacing w:after="0" w:line="1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In connection with our acquisition of Park Holidays, we assumed ground lease arrangements for certain UK properties that we concluded to be failed sale-leaseback transactions under ASC Topic 842, "</w:t>
      </w:r>
      <w:r>
        <w:rPr>
          <w:rFonts w:ascii="Times New Roman" w:cs="Times New Roman" w:eastAsia="Times New Roman" w:hAnsi="Times New Roman"/>
          <w:sz w:val="15"/>
          <w:szCs w:val="15"/>
          <w:i w:val="1"/>
          <w:iCs w:val="1"/>
          <w:color w:val="auto"/>
        </w:rPr>
        <w:t>Leases</w:t>
      </w:r>
      <w:r>
        <w:rPr>
          <w:rFonts w:ascii="Times New Roman" w:cs="Times New Roman" w:eastAsia="Times New Roman" w:hAnsi="Times New Roman"/>
          <w:sz w:val="15"/>
          <w:szCs w:val="15"/>
          <w:color w:val="auto"/>
        </w:rPr>
        <w:t>." As of December 31, 2024, we maintained these ground lease arrangements for 32 UK properties. The arrangements had maturities ranging from 2117 through 2197 with an option to repurchase for £1.00 at the end of the term. The obligation related to the underlying ground leases was recorded as a financial liability in Other Liabilities on the Consolidated Balance Sheets.</w:t>
      </w:r>
    </w:p>
    <w:p>
      <w:pPr>
        <w:spacing w:after="0" w:line="5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During the year ended December 31, 2025, we repurchased the titles to all 32 UK properties that were previously controlled via ground leases for total cash payments of $386.8 million, inclusive of fees and recoverable VAT taxes. In conjunction with the ground lease terminations, we recorded a gain of $51.8 million within Other income / (expense), net on the Consolidated Statements of Operations. The financial liability was $0.0 million and $355.9 million as of December 31, 2025 and December 31, 2024, respectively.</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17. Related Party Transactions</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i w:val="1"/>
          <w:iCs w:val="1"/>
          <w:color w:val="auto"/>
        </w:rPr>
        <w:t xml:space="preserve">Lease of Executive Offices </w:t>
      </w:r>
      <w:r>
        <w:rPr>
          <w:rFonts w:ascii="Times New Roman" w:cs="Times New Roman" w:eastAsia="Times New Roman" w:hAnsi="Times New Roman"/>
          <w:sz w:val="15"/>
          <w:szCs w:val="15"/>
          <w:color w:val="auto"/>
        </w:rPr>
        <w:t>- Gary A. Shiffman, together with certain of his family members, indirectly owns an equity interest of approximately 28.1% in American Center LLC,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entity from which we lease office space for our principal executive offices. Brian M. Hermelin, indirectly owns less than a 1% interest in American Center LLC. Mr. Shiffman is our Chairman of the Board and former CEO. Mr. Hermelin is a director of the Company. Under this agreement, we lease approximately 60,261 rentable square feet of permanent space. The lease agreement includes annual graduated rent increases through the contract end date. During the year ended December 31, 2025, we extended the agreement through October 31, 2033. As of December 31, 2025, the average gross base rent was $21.95 per square foot. Each of Mr. Shiffman and Mr. Hermelin may have a conflict of interest with respect to his obligations as our director and his ownership interest in American Center LLC.</w:t>
      </w:r>
    </w:p>
    <w:p>
      <w:pPr>
        <w:spacing w:after="0" w:line="5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i w:val="1"/>
          <w:iCs w:val="1"/>
          <w:color w:val="auto"/>
        </w:rPr>
        <w:t xml:space="preserve">Tax Consequences Upon Sale of Properties </w:t>
      </w:r>
      <w:r>
        <w:rPr>
          <w:rFonts w:ascii="Times New Roman" w:cs="Times New Roman" w:eastAsia="Times New Roman" w:hAnsi="Times New Roman"/>
          <w:sz w:val="15"/>
          <w:szCs w:val="15"/>
          <w:color w:val="auto"/>
        </w:rPr>
        <w:t>- Gary A. Shiffman holds limited partnership interests in the Operating Partnership which were received in connection with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contribution of properties from partnerships previously affiliated with him. Prior to any redemption of these limited partnership interests for our common stock, Mr. Shiffman will have tax consequences different from those on us and our public shareholders upon the sale of any of these partnerships. Therefore, we and Mr. Shiffman may have different objectives regarding the appropriate pricing and timing of any sale of those properties.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18. Recent Accounting Pronouncements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Recent Accounting Pronouncements - Adopted</w:t>
      </w:r>
    </w:p>
    <w:p>
      <w:pPr>
        <w:spacing w:after="0" w:line="10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color w:val="auto"/>
        </w:rPr>
        <w:t>In December 2023, the FASB issued ASU 2023-09, "</w:t>
      </w:r>
      <w:r>
        <w:rPr>
          <w:rFonts w:ascii="Times New Roman" w:cs="Times New Roman" w:eastAsia="Times New Roman" w:hAnsi="Times New Roman"/>
          <w:sz w:val="15"/>
          <w:szCs w:val="15"/>
          <w:i w:val="1"/>
          <w:iCs w:val="1"/>
          <w:color w:val="auto"/>
        </w:rPr>
        <w:t>Income Taxes (Topic 740): Improvements to Income Tax Disclosures</w:t>
      </w:r>
      <w:r>
        <w:rPr>
          <w:rFonts w:ascii="Times New Roman" w:cs="Times New Roman" w:eastAsia="Times New Roman" w:hAnsi="Times New Roman"/>
          <w:sz w:val="15"/>
          <w:szCs w:val="15"/>
          <w:color w:val="auto"/>
        </w:rPr>
        <w:t>," which requires disclosure of specific categories in the effective tax rate reconciliation as well as additional information for reconciling items that meet a quantitative threshold. Further, this amendment requires certain disclosure of income taxes paid disaggregated by federal, state, and foreign taxes, and the amount of income taxes paid disaggregated by individual jurisdiction in which income taxes paid meet a quantitative threshold. The new guidance is intended to enhance the transparency and decision usefulness of income tax disclosures. We adopted ASU 2023-09 for the year ended December 31, 2025 and applied the new disclosure requirements prospectively for the current annual period. Refer to Note 11, "Income Taxes," for additional information.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Recent Accounting Pronouncements - Not Yet Adopted</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In October 2023, the FASB issued ASU 2023-06, "</w:t>
      </w:r>
      <w:r>
        <w:rPr>
          <w:rFonts w:ascii="Times New Roman" w:cs="Times New Roman" w:eastAsia="Times New Roman" w:hAnsi="Times New Roman"/>
          <w:sz w:val="15"/>
          <w:szCs w:val="15"/>
          <w:i w:val="1"/>
          <w:iCs w:val="1"/>
          <w:color w:val="auto"/>
        </w:rPr>
        <w:t>Disclosure Improvements: Codification Amendments in Response to the SEC's Disclosure Update and Simplification Initiative</w:t>
      </w:r>
      <w:r>
        <w:rPr>
          <w:rFonts w:ascii="Times New Roman" w:cs="Times New Roman" w:eastAsia="Times New Roman" w:hAnsi="Times New Roman"/>
          <w:sz w:val="15"/>
          <w:szCs w:val="15"/>
          <w:color w:val="auto"/>
        </w:rPr>
        <w:t>," which adds interim and annual disclosure requirements to the US GAAP codification at the request of the SEC. The new guidance is intended to align GAAP requirements with those of the SEC and to facilitate the application of GAAP for all entities. These disclosure requirements are currently included in either SEC Regulation S-X or SEC Regulation S-K. The effective date for each amendment will be the date on which the SEC's removal of that related disclosure from Regulation S-X or Regulation S-K becomes effective. Early adoption is prohibited and the amendments should be applied prospectively. If the SEC has not removed the applicable requirement from Regulation S-X or Regulation S-K by June 30, 2027, the amendments will be removed from the US GAAP codification and will not be effective.</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 - 44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200" w:lineRule="exact"/>
        <w:rPr>
          <w:sz w:val="20"/>
          <w:szCs w:val="20"/>
          <w:color w:val="auto"/>
        </w:rPr>
      </w:pPr>
    </w:p>
    <w:p>
      <w:pPr>
        <w:spacing w:after="0" w:line="35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color w:val="auto"/>
        </w:rPr>
        <w:t>In November 2024, the FASB issued ASU 2024-03, "</w:t>
      </w:r>
      <w:r>
        <w:rPr>
          <w:rFonts w:ascii="Times New Roman" w:cs="Times New Roman" w:eastAsia="Times New Roman" w:hAnsi="Times New Roman"/>
          <w:sz w:val="15"/>
          <w:szCs w:val="15"/>
          <w:i w:val="1"/>
          <w:iCs w:val="1"/>
          <w:color w:val="auto"/>
        </w:rPr>
        <w:t>Income Statement - Reporting Comprehensive Income - Expense Disaggregation Disclosures (Topic 220-40)</w:t>
      </w:r>
      <w:r>
        <w:rPr>
          <w:rFonts w:ascii="Times New Roman" w:cs="Times New Roman" w:eastAsia="Times New Roman" w:hAnsi="Times New Roman"/>
          <w:sz w:val="15"/>
          <w:szCs w:val="15"/>
          <w:color w:val="auto"/>
        </w:rPr>
        <w:t>," which requires disaggregated disclosure of certain expense captions into specified categories within the footnotes to the financial statements. This ASU is effective for fiscal years beginning after December 15, 2026 and interim reporting periods beginning after December 15, 2027. Early adoption is permitted. We are currently evaluating the provisions of this amendment and the impact on our Consolidated Financial Statements and related disclosures.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19. Subsequent Events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Redemption of Preferred OP Units</w:t>
      </w:r>
    </w:p>
    <w:p>
      <w:pPr>
        <w:spacing w:after="0" w:line="109"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5"/>
          <w:szCs w:val="15"/>
          <w:color w:val="auto"/>
        </w:rPr>
        <w:t>Subject to certain limitations, holders can redeem certain series of preferred OP units for cash, provided that the applicable contractual requirements are met. In January and February 2026, 10,000 Series F preferred OP units and 430,089 Series H preferred OP units were redeemed for a total net cash payment of $44.1 million, inclusive of all distributions on the redeemed units that were accrued and unpaid as of the redemption date, in accordance with the terms and conditions set forth in the redemption agreement.</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have evaluated our Consolidated Financial Statements for subsequent events through the date that this Form 10-K was issued.</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 - 45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REAL ESTATE AND ACCUMULATED DEPRECIATION, SCHEDULE III</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DECEMBER 31, 2025</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(amounts in millions)</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tables set forth real estate and accumulated depreciation relating to our MH and RV properties.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5"/>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Costs Capitalized</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Initial Cost to</w:t>
            </w:r>
          </w:p>
        </w:tc>
        <w:tc>
          <w:tcPr>
            <w:tcW w:w="80" w:type="dxa"/>
            <w:vAlign w:val="bottom"/>
          </w:tcPr>
          <w:p>
            <w:pPr>
              <w:spacing w:after="0"/>
              <w:rPr>
                <w:sz w:val="10"/>
                <w:szCs w:val="10"/>
                <w:color w:val="auto"/>
              </w:rPr>
            </w:pPr>
          </w:p>
        </w:tc>
        <w:tc>
          <w:tcPr>
            <w:tcW w:w="1000" w:type="dxa"/>
            <w:vAlign w:val="bottom"/>
            <w:gridSpan w:val="3"/>
          </w:tcPr>
          <w:p>
            <w:pPr>
              <w:jc w:val="center"/>
              <w:ind w:left="138"/>
              <w:spacing w:after="0" w:line="126" w:lineRule="exact"/>
              <w:rPr>
                <w:sz w:val="20"/>
                <w:szCs w:val="20"/>
                <w:color w:val="auto"/>
              </w:rPr>
            </w:pPr>
            <w:r>
              <w:rPr>
                <w:rFonts w:ascii="Times New Roman" w:cs="Times New Roman" w:eastAsia="Times New Roman" w:hAnsi="Times New Roman"/>
                <w:sz w:val="12"/>
                <w:szCs w:val="12"/>
                <w:b w:val="1"/>
                <w:bCs w:val="1"/>
                <w:color w:val="auto"/>
              </w:rPr>
              <w:t>Subsequent to</w:t>
            </w: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80" w:type="dxa"/>
            <w:vAlign w:val="bottom"/>
            <w:gridSpan w:val="6"/>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Gross Amount Carried at</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5"/>
            <w:vMerge w:val="continue"/>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3"/>
          </w:tcPr>
          <w:p>
            <w:pPr>
              <w:jc w:val="center"/>
              <w:ind w:left="138"/>
              <w:spacing w:after="0" w:line="128" w:lineRule="exact"/>
              <w:rPr>
                <w:sz w:val="20"/>
                <w:szCs w:val="20"/>
                <w:color w:val="auto"/>
              </w:rPr>
            </w:pPr>
            <w:r>
              <w:rPr>
                <w:rFonts w:ascii="Times New Roman" w:cs="Times New Roman" w:eastAsia="Times New Roman" w:hAnsi="Times New Roman"/>
                <w:sz w:val="12"/>
                <w:szCs w:val="12"/>
                <w:b w:val="1"/>
                <w:bCs w:val="1"/>
                <w:color w:val="auto"/>
              </w:rPr>
              <w:t>Acquisition</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gridSpan w:val="6"/>
            <w:vMerge w:val="continue"/>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5"/>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Company</w:t>
            </w:r>
          </w:p>
        </w:tc>
        <w:tc>
          <w:tcPr>
            <w:tcW w:w="80" w:type="dxa"/>
            <w:vAlign w:val="bottom"/>
          </w:tcPr>
          <w:p>
            <w:pPr>
              <w:spacing w:after="0"/>
              <w:rPr>
                <w:sz w:val="14"/>
                <w:szCs w:val="14"/>
                <w:color w:val="auto"/>
              </w:rPr>
            </w:pPr>
          </w:p>
        </w:tc>
        <w:tc>
          <w:tcPr>
            <w:tcW w:w="1480" w:type="dxa"/>
            <w:vAlign w:val="bottom"/>
            <w:gridSpan w:val="5"/>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(Improvements)</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8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w w:val="99"/>
              </w:rPr>
              <w:t>Acquired</w:t>
            </w:r>
          </w:p>
        </w:tc>
        <w:tc>
          <w:tcPr>
            <w:tcW w:w="0" w:type="dxa"/>
            <w:vAlign w:val="bottom"/>
          </w:tcPr>
          <w:p>
            <w:pPr>
              <w:spacing w:after="0"/>
              <w:rPr>
                <w:sz w:val="1"/>
                <w:szCs w:val="1"/>
                <w:color w:val="auto"/>
              </w:rPr>
            </w:pPr>
          </w:p>
        </w:tc>
      </w:tr>
      <w:tr>
        <w:trPr>
          <w:trHeight w:val="126"/>
        </w:trPr>
        <w:tc>
          <w:tcPr>
            <w:tcW w:w="1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Depreciable</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Depreciable</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(A) or</w:t>
            </w:r>
          </w:p>
        </w:tc>
        <w:tc>
          <w:tcPr>
            <w:tcW w:w="0" w:type="dxa"/>
            <w:vAlign w:val="bottom"/>
          </w:tcPr>
          <w:p>
            <w:pPr>
              <w:spacing w:after="0"/>
              <w:rPr>
                <w:sz w:val="1"/>
                <w:szCs w:val="1"/>
                <w:color w:val="auto"/>
              </w:rPr>
            </w:pPr>
          </w:p>
        </w:tc>
      </w:tr>
      <w:tr>
        <w:trPr>
          <w:trHeight w:val="127"/>
        </w:trPr>
        <w:tc>
          <w:tcPr>
            <w:tcW w:w="19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2"/>
                <w:szCs w:val="12"/>
                <w:b w:val="1"/>
                <w:bCs w:val="1"/>
                <w:color w:val="auto"/>
              </w:rPr>
              <w:t>Property Name</w:t>
            </w:r>
          </w:p>
        </w:tc>
        <w:tc>
          <w:tcPr>
            <w:tcW w:w="13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2"/>
                <w:szCs w:val="12"/>
                <w:b w:val="1"/>
                <w:bCs w:val="1"/>
                <w:color w:val="auto"/>
              </w:rPr>
              <w:t>Location</w:t>
            </w: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Encumbrances</w:t>
            </w:r>
            <w:r>
              <w:rPr>
                <w:rFonts w:ascii="Times New Roman" w:cs="Times New Roman" w:eastAsia="Times New Roman" w:hAnsi="Times New Roman"/>
                <w:sz w:val="16"/>
                <w:szCs w:val="16"/>
                <w:b w:val="1"/>
                <w:bCs w:val="1"/>
                <w:color w:val="auto"/>
                <w:vertAlign w:val="superscript"/>
              </w:rPr>
              <w:t>(1)</w:t>
            </w:r>
          </w:p>
        </w:tc>
        <w:tc>
          <w:tcPr>
            <w:tcW w:w="52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Land</w:t>
            </w:r>
          </w:p>
        </w:tc>
        <w:tc>
          <w:tcPr>
            <w:tcW w:w="76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Land</w:t>
            </w:r>
          </w:p>
        </w:tc>
        <w:tc>
          <w:tcPr>
            <w:tcW w:w="88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Land</w:t>
            </w:r>
          </w:p>
        </w:tc>
        <w:tc>
          <w:tcPr>
            <w:tcW w:w="1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Depreciable Assets</w:t>
            </w:r>
          </w:p>
        </w:tc>
        <w:tc>
          <w:tcPr>
            <w:tcW w:w="100" w:type="dxa"/>
            <w:vAlign w:val="bottom"/>
          </w:tcPr>
          <w:p>
            <w:pPr>
              <w:spacing w:after="0"/>
              <w:rPr>
                <w:sz w:val="11"/>
                <w:szCs w:val="11"/>
                <w:color w:val="auto"/>
              </w:rPr>
            </w:pPr>
          </w:p>
        </w:tc>
        <w:tc>
          <w:tcPr>
            <w:tcW w:w="4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820" w:type="dxa"/>
            <w:vAlign w:val="bottom"/>
            <w:gridSpan w:val="3"/>
            <w:vMerge w:val="continue"/>
          </w:tcPr>
          <w:p>
            <w:pPr>
              <w:spacing w:after="0"/>
              <w:rPr>
                <w:sz w:val="11"/>
                <w:szCs w:val="11"/>
                <w:color w:val="auto"/>
              </w:rPr>
            </w:pPr>
          </w:p>
        </w:tc>
        <w:tc>
          <w:tcPr>
            <w:tcW w:w="40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Date</w:t>
            </w:r>
          </w:p>
        </w:tc>
        <w:tc>
          <w:tcPr>
            <w:tcW w:w="72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Constructed</w:t>
            </w:r>
          </w:p>
        </w:tc>
        <w:tc>
          <w:tcPr>
            <w:tcW w:w="0" w:type="dxa"/>
            <w:vAlign w:val="bottom"/>
          </w:tcPr>
          <w:p>
            <w:pPr>
              <w:spacing w:after="0"/>
              <w:rPr>
                <w:sz w:val="1"/>
                <w:szCs w:val="1"/>
                <w:color w:val="auto"/>
              </w:rPr>
            </w:pPr>
          </w:p>
        </w:tc>
      </w:tr>
      <w:tr>
        <w:trPr>
          <w:trHeight w:val="174"/>
        </w:trPr>
        <w:tc>
          <w:tcPr>
            <w:tcW w:w="1920" w:type="dxa"/>
            <w:vAlign w:val="bottom"/>
            <w:gridSpan w:val="2"/>
            <w:vMerge w:val="continue"/>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Assets</w:t>
            </w:r>
          </w:p>
        </w:tc>
        <w:tc>
          <w:tcPr>
            <w:tcW w:w="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880" w:type="dxa"/>
            <w:vAlign w:val="bottom"/>
            <w:gridSpan w:val="3"/>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Assets</w:t>
            </w:r>
          </w:p>
        </w:tc>
        <w:tc>
          <w:tcPr>
            <w:tcW w:w="8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Depreciation</w:t>
            </w:r>
          </w:p>
        </w:tc>
        <w:tc>
          <w:tcPr>
            <w:tcW w:w="400" w:type="dxa"/>
            <w:vAlign w:val="bottom"/>
            <w:gridSpan w:val="2"/>
            <w:vMerge w:val="continue"/>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(C)</w:t>
            </w:r>
          </w:p>
        </w:tc>
        <w:tc>
          <w:tcPr>
            <w:tcW w:w="0" w:type="dxa"/>
            <w:vAlign w:val="bottom"/>
          </w:tcPr>
          <w:p>
            <w:pPr>
              <w:spacing w:after="0"/>
              <w:rPr>
                <w:sz w:val="1"/>
                <w:szCs w:val="1"/>
                <w:color w:val="auto"/>
              </w:rPr>
            </w:pPr>
          </w:p>
        </w:tc>
      </w:tr>
      <w:tr>
        <w:trPr>
          <w:trHeight w:val="165"/>
        </w:trPr>
        <w:tc>
          <w:tcPr>
            <w:tcW w:w="1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49'er Village</w:t>
            </w:r>
          </w:p>
        </w:tc>
        <w:tc>
          <w:tcPr>
            <w:tcW w:w="6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Plymouth, CA</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2.2</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ind w:right="258"/>
              <w:spacing w:after="0"/>
              <w:rPr>
                <w:sz w:val="20"/>
                <w:szCs w:val="20"/>
                <w:color w:val="auto"/>
              </w:rPr>
            </w:pPr>
            <w:r>
              <w:rPr>
                <w:rFonts w:ascii="Times New Roman" w:cs="Times New Roman" w:eastAsia="Times New Roman" w:hAnsi="Times New Roman"/>
                <w:sz w:val="12"/>
                <w:szCs w:val="12"/>
                <w:color w:val="auto"/>
                <w:w w:val="9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1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6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w:t>
            </w:r>
          </w:p>
        </w:tc>
        <w:tc>
          <w:tcPr>
            <w:tcW w:w="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2017</w:t>
            </w:r>
          </w:p>
        </w:tc>
        <w:tc>
          <w:tcPr>
            <w:tcW w:w="6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Academy / West Point</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Canton, MI</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50.3</w:t>
            </w: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30.5</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(18.1)</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2000</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Allendale Meadows</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Allendale, MI</w:t>
            </w:r>
          </w:p>
        </w:tc>
        <w:tc>
          <w:tcPr>
            <w:tcW w:w="3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1996</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Alpine Meadows</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Grand Rapids, MI</w:t>
            </w:r>
          </w:p>
        </w:tc>
        <w:tc>
          <w:tcPr>
            <w:tcW w:w="3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1996</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(A&amp;C)</w:t>
            </w:r>
          </w:p>
        </w:tc>
        <w:tc>
          <w:tcPr>
            <w:tcW w:w="0" w:type="dxa"/>
            <w:vAlign w:val="bottom"/>
          </w:tcPr>
          <w:p>
            <w:pPr>
              <w:spacing w:after="0"/>
              <w:rPr>
                <w:sz w:val="1"/>
                <w:szCs w:val="1"/>
                <w:color w:val="auto"/>
              </w:rPr>
            </w:pPr>
          </w:p>
        </w:tc>
      </w:tr>
      <w:tr>
        <w:trPr>
          <w:trHeight w:val="180"/>
        </w:trPr>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Alta Laguna</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Rancho Cucamonga, CA</w:t>
            </w:r>
          </w:p>
        </w:tc>
        <w:tc>
          <w:tcPr>
            <w:tcW w:w="3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35.9</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23.7</w:t>
            </w: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46.7</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Andover</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Grass Lake, MI</w:t>
            </w:r>
          </w:p>
        </w:tc>
        <w:tc>
          <w:tcPr>
            <w:tcW w:w="3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2021</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Apple Carr Village</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Muskegon, MI</w:t>
            </w:r>
          </w:p>
        </w:tc>
        <w:tc>
          <w:tcPr>
            <w:tcW w:w="3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31.1</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38.3</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2011</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(A&amp;C)</w:t>
            </w:r>
          </w:p>
        </w:tc>
        <w:tc>
          <w:tcPr>
            <w:tcW w:w="0" w:type="dxa"/>
            <w:vAlign w:val="bottom"/>
          </w:tcPr>
          <w:p>
            <w:pPr>
              <w:spacing w:after="0"/>
              <w:rPr>
                <w:sz w:val="1"/>
                <w:szCs w:val="1"/>
                <w:color w:val="auto"/>
              </w:rPr>
            </w:pPr>
          </w:p>
        </w:tc>
      </w:tr>
      <w:tr>
        <w:trPr>
          <w:trHeight w:val="167"/>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Apple Creek</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Amelia, OH</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1999</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Arbor Terrace</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Bradenton, FL</w:t>
            </w:r>
          </w:p>
        </w:tc>
        <w:tc>
          <w:tcPr>
            <w:tcW w:w="3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18.3</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1996</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Arbor Woods</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Ypsilanti, MI</w:t>
            </w:r>
          </w:p>
        </w:tc>
        <w:tc>
          <w:tcPr>
            <w:tcW w:w="3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29.5</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2017</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Austin Lone Star</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Austin, TX</w:t>
            </w:r>
          </w:p>
        </w:tc>
        <w:tc>
          <w:tcPr>
            <w:tcW w:w="3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Bahia Vista Estates</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Sarasota, FL</w:t>
            </w:r>
          </w:p>
        </w:tc>
        <w:tc>
          <w:tcPr>
            <w:tcW w:w="3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28.7</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Baker Acres</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Zephyrhills, FL</w:t>
            </w:r>
          </w:p>
        </w:tc>
        <w:tc>
          <w:tcPr>
            <w:tcW w:w="3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Bay Country Estates</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Rising Sun, MD</w:t>
            </w:r>
          </w:p>
        </w:tc>
        <w:tc>
          <w:tcPr>
            <w:tcW w:w="3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2025</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2"/>
                <w:szCs w:val="12"/>
                <w:color w:val="auto"/>
              </w:rPr>
              <w:t>Bear Lake Resort</w:t>
            </w:r>
            <w:r>
              <w:rPr>
                <w:rFonts w:ascii="Times New Roman" w:cs="Times New Roman" w:eastAsia="Times New Roman" w:hAnsi="Times New Roman"/>
                <w:sz w:val="16"/>
                <w:szCs w:val="16"/>
                <w:color w:val="auto"/>
                <w:vertAlign w:val="superscript"/>
              </w:rPr>
              <w:t>(5)(7)</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Garden City Utah</w:t>
            </w:r>
          </w:p>
        </w:tc>
        <w:tc>
          <w:tcPr>
            <w:tcW w:w="3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(C)</w:t>
            </w:r>
          </w:p>
        </w:tc>
        <w:tc>
          <w:tcPr>
            <w:tcW w:w="0" w:type="dxa"/>
            <w:vAlign w:val="bottom"/>
          </w:tcPr>
          <w:p>
            <w:pPr>
              <w:spacing w:after="0"/>
              <w:rPr>
                <w:sz w:val="1"/>
                <w:szCs w:val="1"/>
                <w:color w:val="auto"/>
              </w:rPr>
            </w:pPr>
          </w:p>
        </w:tc>
      </w:tr>
      <w:tr>
        <w:trPr>
          <w:trHeight w:val="167"/>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Beechwood</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Killingworth, CT</w:t>
            </w:r>
          </w:p>
        </w:tc>
        <w:tc>
          <w:tcPr>
            <w:tcW w:w="3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28.6</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2019</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Bel Air Estates</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Menifee, CA</w:t>
            </w:r>
          </w:p>
        </w:tc>
        <w:tc>
          <w:tcPr>
            <w:tcW w:w="3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21.1</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Big Tree</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Arcadia, FL</w:t>
            </w:r>
          </w:p>
        </w:tc>
        <w:tc>
          <w:tcPr>
            <w:tcW w:w="3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18.2</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Birch Hill Estates</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Bangor, ME</w:t>
            </w:r>
          </w:p>
        </w:tc>
        <w:tc>
          <w:tcPr>
            <w:tcW w:w="3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33.4</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2020</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Blue Heron Pines</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Punta Gorda, FL</w:t>
            </w:r>
          </w:p>
        </w:tc>
        <w:tc>
          <w:tcPr>
            <w:tcW w:w="3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43.9</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(14.8)</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2015</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(A&amp;C)</w:t>
            </w:r>
          </w:p>
        </w:tc>
        <w:tc>
          <w:tcPr>
            <w:tcW w:w="0" w:type="dxa"/>
            <w:vAlign w:val="bottom"/>
          </w:tcPr>
          <w:p>
            <w:pPr>
              <w:spacing w:after="0"/>
              <w:rPr>
                <w:sz w:val="1"/>
                <w:szCs w:val="1"/>
                <w:color w:val="auto"/>
              </w:rPr>
            </w:pPr>
          </w:p>
        </w:tc>
      </w:tr>
      <w:tr>
        <w:trPr>
          <w:trHeight w:val="180"/>
        </w:trPr>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Blue Jay</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Dade City, FL</w:t>
            </w:r>
          </w:p>
        </w:tc>
        <w:tc>
          <w:tcPr>
            <w:tcW w:w="3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Blueberry Hill</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Bushnell, FL</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w:t>
            </w: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2012</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2"/>
                <w:szCs w:val="12"/>
                <w:color w:val="auto"/>
              </w:rPr>
              <w:t>Bluebonnet Lake</w:t>
            </w:r>
            <w:r>
              <w:rPr>
                <w:rFonts w:ascii="Times New Roman" w:cs="Times New Roman" w:eastAsia="Times New Roman" w:hAnsi="Times New Roman"/>
                <w:sz w:val="16"/>
                <w:szCs w:val="16"/>
                <w:color w:val="auto"/>
                <w:vertAlign w:val="superscript"/>
              </w:rPr>
              <w:t>(5)(7)</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Austin, TX</w:t>
            </w:r>
          </w:p>
        </w:tc>
        <w:tc>
          <w:tcPr>
            <w:tcW w:w="3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2021</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(C)</w:t>
            </w:r>
          </w:p>
        </w:tc>
        <w:tc>
          <w:tcPr>
            <w:tcW w:w="0" w:type="dxa"/>
            <w:vAlign w:val="bottom"/>
          </w:tcPr>
          <w:p>
            <w:pPr>
              <w:spacing w:after="0"/>
              <w:rPr>
                <w:sz w:val="1"/>
                <w:szCs w:val="1"/>
                <w:color w:val="auto"/>
              </w:rPr>
            </w:pPr>
          </w:p>
        </w:tc>
      </w:tr>
      <w:tr>
        <w:trPr>
          <w:trHeight w:val="167"/>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Boulder Ridge</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Pflugerville, TX</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44.2</w:t>
            </w:r>
          </w:p>
        </w:tc>
        <w:tc>
          <w:tcPr>
            <w:tcW w:w="8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66.6</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(27.8)</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1998</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(C)</w:t>
            </w:r>
          </w:p>
        </w:tc>
        <w:tc>
          <w:tcPr>
            <w:tcW w:w="0" w:type="dxa"/>
            <w:vAlign w:val="bottom"/>
          </w:tcPr>
          <w:p>
            <w:pPr>
              <w:spacing w:after="0"/>
              <w:rPr>
                <w:sz w:val="1"/>
                <w:szCs w:val="1"/>
                <w:color w:val="auto"/>
              </w:rPr>
            </w:pPr>
          </w:p>
        </w:tc>
      </w:tr>
      <w:tr>
        <w:trPr>
          <w:trHeight w:val="180"/>
        </w:trPr>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Branch Creek</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Austin, TX</w:t>
            </w:r>
          </w:p>
        </w:tc>
        <w:tc>
          <w:tcPr>
            <w:tcW w:w="3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1995</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(A&amp;C)</w:t>
            </w:r>
          </w:p>
        </w:tc>
        <w:tc>
          <w:tcPr>
            <w:tcW w:w="0" w:type="dxa"/>
            <w:vAlign w:val="bottom"/>
          </w:tcPr>
          <w:p>
            <w:pPr>
              <w:spacing w:after="0"/>
              <w:rPr>
                <w:sz w:val="1"/>
                <w:szCs w:val="1"/>
                <w:color w:val="auto"/>
              </w:rPr>
            </w:pPr>
          </w:p>
        </w:tc>
      </w:tr>
      <w:tr>
        <w:trPr>
          <w:trHeight w:val="167"/>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Brentwood Estates</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Hudson, FL</w:t>
            </w:r>
          </w:p>
        </w:tc>
        <w:tc>
          <w:tcPr>
            <w:tcW w:w="3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2015</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Brentwood Village</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Kentwood, MI</w:t>
            </w:r>
          </w:p>
        </w:tc>
        <w:tc>
          <w:tcPr>
            <w:tcW w:w="3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1996</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Brentwood West</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Mesa, AZ</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25.5</w:t>
            </w: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39.7</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2014</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Broadview Estates</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Davison, MI</w:t>
            </w:r>
          </w:p>
        </w:tc>
        <w:tc>
          <w:tcPr>
            <w:tcW w:w="3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27.6</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34.4</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1996</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(A&amp;C)</w:t>
            </w:r>
          </w:p>
        </w:tc>
        <w:tc>
          <w:tcPr>
            <w:tcW w:w="0" w:type="dxa"/>
            <w:vAlign w:val="bottom"/>
          </w:tcPr>
          <w:p>
            <w:pPr>
              <w:spacing w:after="0"/>
              <w:rPr>
                <w:sz w:val="1"/>
                <w:szCs w:val="1"/>
                <w:color w:val="auto"/>
              </w:rPr>
            </w:pPr>
          </w:p>
        </w:tc>
      </w:tr>
      <w:tr>
        <w:trPr>
          <w:trHeight w:val="167"/>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Brookside Manor</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Goshen, IN</w:t>
            </w:r>
          </w:p>
        </w:tc>
        <w:tc>
          <w:tcPr>
            <w:tcW w:w="3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24.1</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1985</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(A&amp;C)</w:t>
            </w:r>
          </w:p>
        </w:tc>
        <w:tc>
          <w:tcPr>
            <w:tcW w:w="0" w:type="dxa"/>
            <w:vAlign w:val="bottom"/>
          </w:tcPr>
          <w:p>
            <w:pPr>
              <w:spacing w:after="0"/>
              <w:rPr>
                <w:sz w:val="1"/>
                <w:szCs w:val="1"/>
                <w:color w:val="auto"/>
              </w:rPr>
            </w:pPr>
          </w:p>
        </w:tc>
      </w:tr>
      <w:tr>
        <w:trPr>
          <w:trHeight w:val="180"/>
        </w:trPr>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Brookside Village</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Kentwood, MI</w:t>
            </w:r>
          </w:p>
        </w:tc>
        <w:tc>
          <w:tcPr>
            <w:tcW w:w="3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2011</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 - 46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01" w:name="page102"/>
    <w:bookmarkEnd w:id="101"/>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REAL ESTATE AND ACCUMULATED DEPRECIATION, SCHEDULE III</w:t>
      </w:r>
    </w:p>
    <w:p>
      <w:pPr>
        <w:spacing w:after="0" w:line="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DECEMBER 31, 2025</w:t>
      </w:r>
    </w:p>
    <w:p>
      <w:pPr>
        <w:spacing w:after="0" w:line="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(amounts in millions)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gridSpan w:val="4"/>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Costs Capitalized</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Initial Cost to</w:t>
            </w:r>
          </w:p>
        </w:tc>
        <w:tc>
          <w:tcPr>
            <w:tcW w:w="1580" w:type="dxa"/>
            <w:vAlign w:val="bottom"/>
            <w:gridSpan w:val="4"/>
          </w:tcPr>
          <w:p>
            <w:pPr>
              <w:jc w:val="center"/>
              <w:ind w:right="200"/>
              <w:spacing w:after="0" w:line="126" w:lineRule="exact"/>
              <w:rPr>
                <w:sz w:val="20"/>
                <w:szCs w:val="20"/>
                <w:color w:val="auto"/>
              </w:rPr>
            </w:pPr>
            <w:r>
              <w:rPr>
                <w:rFonts w:ascii="Times New Roman" w:cs="Times New Roman" w:eastAsia="Times New Roman" w:hAnsi="Times New Roman"/>
                <w:sz w:val="12"/>
                <w:szCs w:val="12"/>
                <w:b w:val="1"/>
                <w:bCs w:val="1"/>
                <w:color w:val="auto"/>
              </w:rPr>
              <w:t>Subsequent to</w:t>
            </w:r>
          </w:p>
        </w:tc>
        <w:tc>
          <w:tcPr>
            <w:tcW w:w="1760" w:type="dxa"/>
            <w:vAlign w:val="bottom"/>
            <w:gridSpan w:val="5"/>
            <w:vMerge w:val="restart"/>
          </w:tcPr>
          <w:p>
            <w:pPr>
              <w:jc w:val="center"/>
              <w:ind w:left="318"/>
              <w:spacing w:after="0"/>
              <w:rPr>
                <w:sz w:val="20"/>
                <w:szCs w:val="20"/>
                <w:color w:val="auto"/>
              </w:rPr>
            </w:pPr>
            <w:r>
              <w:rPr>
                <w:rFonts w:ascii="Times New Roman" w:cs="Times New Roman" w:eastAsia="Times New Roman" w:hAnsi="Times New Roman"/>
                <w:sz w:val="12"/>
                <w:szCs w:val="12"/>
                <w:b w:val="1"/>
                <w:bCs w:val="1"/>
                <w:color w:val="auto"/>
              </w:rPr>
              <w:t>Gross Amount Carried at</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4"/>
            <w:vMerge w:val="continue"/>
          </w:tcPr>
          <w:p>
            <w:pPr>
              <w:spacing w:after="0"/>
              <w:rPr>
                <w:sz w:val="11"/>
                <w:szCs w:val="11"/>
                <w:color w:val="auto"/>
              </w:rPr>
            </w:pPr>
          </w:p>
        </w:tc>
        <w:tc>
          <w:tcPr>
            <w:tcW w:w="1580" w:type="dxa"/>
            <w:vAlign w:val="bottom"/>
            <w:gridSpan w:val="4"/>
          </w:tcPr>
          <w:p>
            <w:pPr>
              <w:jc w:val="center"/>
              <w:ind w:right="180"/>
              <w:spacing w:after="0" w:line="128" w:lineRule="exact"/>
              <w:rPr>
                <w:sz w:val="20"/>
                <w:szCs w:val="20"/>
                <w:color w:val="auto"/>
              </w:rPr>
            </w:pPr>
            <w:r>
              <w:rPr>
                <w:rFonts w:ascii="Times New Roman" w:cs="Times New Roman" w:eastAsia="Times New Roman" w:hAnsi="Times New Roman"/>
                <w:sz w:val="12"/>
                <w:szCs w:val="12"/>
                <w:b w:val="1"/>
                <w:bCs w:val="1"/>
                <w:color w:val="auto"/>
              </w:rPr>
              <w:t>Acquisition</w:t>
            </w:r>
          </w:p>
        </w:tc>
        <w:tc>
          <w:tcPr>
            <w:tcW w:w="1760" w:type="dxa"/>
            <w:vAlign w:val="bottom"/>
            <w:gridSpan w:val="5"/>
            <w:vMerge w:val="continue"/>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4"/>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Company</w:t>
            </w:r>
          </w:p>
        </w:tc>
        <w:tc>
          <w:tcPr>
            <w:tcW w:w="1580" w:type="dxa"/>
            <w:vAlign w:val="bottom"/>
            <w:gridSpan w:val="4"/>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(Improvements)</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8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w w:val="99"/>
              </w:rPr>
              <w:t>Acquired</w:t>
            </w:r>
          </w:p>
        </w:tc>
        <w:tc>
          <w:tcPr>
            <w:tcW w:w="0" w:type="dxa"/>
            <w:vAlign w:val="bottom"/>
          </w:tcPr>
          <w:p>
            <w:pPr>
              <w:spacing w:after="0"/>
              <w:rPr>
                <w:sz w:val="1"/>
                <w:szCs w:val="1"/>
                <w:color w:val="auto"/>
              </w:rPr>
            </w:pPr>
          </w:p>
        </w:tc>
      </w:tr>
      <w:tr>
        <w:trPr>
          <w:trHeight w:val="126"/>
        </w:trPr>
        <w:tc>
          <w:tcPr>
            <w:tcW w:w="1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Depreciable</w:t>
            </w: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Depreciable</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(A) or</w:t>
            </w:r>
          </w:p>
        </w:tc>
        <w:tc>
          <w:tcPr>
            <w:tcW w:w="0" w:type="dxa"/>
            <w:vAlign w:val="bottom"/>
          </w:tcPr>
          <w:p>
            <w:pPr>
              <w:spacing w:after="0"/>
              <w:rPr>
                <w:sz w:val="1"/>
                <w:szCs w:val="1"/>
                <w:color w:val="auto"/>
              </w:rPr>
            </w:pPr>
          </w:p>
        </w:tc>
      </w:tr>
      <w:tr>
        <w:trPr>
          <w:trHeight w:val="127"/>
        </w:trPr>
        <w:tc>
          <w:tcPr>
            <w:tcW w:w="19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2"/>
                <w:szCs w:val="12"/>
                <w:b w:val="1"/>
                <w:bCs w:val="1"/>
                <w:color w:val="auto"/>
              </w:rPr>
              <w:t>Property Name</w:t>
            </w:r>
          </w:p>
        </w:tc>
        <w:tc>
          <w:tcPr>
            <w:tcW w:w="13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2"/>
                <w:szCs w:val="12"/>
                <w:b w:val="1"/>
                <w:bCs w:val="1"/>
                <w:color w:val="auto"/>
              </w:rPr>
              <w:t>Location</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Encumbrances</w:t>
            </w:r>
            <w:r>
              <w:rPr>
                <w:rFonts w:ascii="Times New Roman" w:cs="Times New Roman" w:eastAsia="Times New Roman" w:hAnsi="Times New Roman"/>
                <w:sz w:val="16"/>
                <w:szCs w:val="16"/>
                <w:b w:val="1"/>
                <w:bCs w:val="1"/>
                <w:color w:val="auto"/>
                <w:vertAlign w:val="superscript"/>
              </w:rPr>
              <w:t>(1)</w:t>
            </w:r>
          </w:p>
        </w:tc>
        <w:tc>
          <w:tcPr>
            <w:tcW w:w="52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Land</w:t>
            </w:r>
          </w:p>
        </w:tc>
        <w:tc>
          <w:tcPr>
            <w:tcW w:w="760" w:type="dxa"/>
            <w:vAlign w:val="bottom"/>
            <w:gridSpan w:val="2"/>
            <w:vMerge w:val="continue"/>
          </w:tcPr>
          <w:p>
            <w:pPr>
              <w:spacing w:after="0"/>
              <w:rPr>
                <w:sz w:val="11"/>
                <w:szCs w:val="11"/>
                <w:color w:val="auto"/>
              </w:rPr>
            </w:pPr>
          </w:p>
        </w:tc>
        <w:tc>
          <w:tcPr>
            <w:tcW w:w="7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Land</w:t>
            </w:r>
          </w:p>
        </w:tc>
        <w:tc>
          <w:tcPr>
            <w:tcW w:w="880" w:type="dxa"/>
            <w:vAlign w:val="bottom"/>
            <w:gridSpan w:val="2"/>
            <w:vMerge w:val="continue"/>
          </w:tcPr>
          <w:p>
            <w:pPr>
              <w:spacing w:after="0"/>
              <w:rPr>
                <w:sz w:val="11"/>
                <w:szCs w:val="11"/>
                <w:color w:val="auto"/>
              </w:rPr>
            </w:pPr>
          </w:p>
        </w:tc>
        <w:tc>
          <w:tcPr>
            <w:tcW w:w="5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Land</w:t>
            </w:r>
          </w:p>
        </w:tc>
        <w:tc>
          <w:tcPr>
            <w:tcW w:w="120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Depreciable Assets</w:t>
            </w:r>
          </w:p>
        </w:tc>
        <w:tc>
          <w:tcPr>
            <w:tcW w:w="4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820" w:type="dxa"/>
            <w:vAlign w:val="bottom"/>
            <w:gridSpan w:val="2"/>
            <w:vMerge w:val="continue"/>
          </w:tcPr>
          <w:p>
            <w:pPr>
              <w:spacing w:after="0"/>
              <w:rPr>
                <w:sz w:val="11"/>
                <w:szCs w:val="11"/>
                <w:color w:val="auto"/>
              </w:rPr>
            </w:pPr>
          </w:p>
        </w:tc>
        <w:tc>
          <w:tcPr>
            <w:tcW w:w="40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Date</w:t>
            </w:r>
          </w:p>
        </w:tc>
        <w:tc>
          <w:tcPr>
            <w:tcW w:w="72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Constructed</w:t>
            </w:r>
          </w:p>
        </w:tc>
        <w:tc>
          <w:tcPr>
            <w:tcW w:w="0" w:type="dxa"/>
            <w:vAlign w:val="bottom"/>
          </w:tcPr>
          <w:p>
            <w:pPr>
              <w:spacing w:after="0"/>
              <w:rPr>
                <w:sz w:val="1"/>
                <w:szCs w:val="1"/>
                <w:color w:val="auto"/>
              </w:rPr>
            </w:pPr>
          </w:p>
        </w:tc>
      </w:tr>
      <w:tr>
        <w:trPr>
          <w:trHeight w:val="174"/>
        </w:trPr>
        <w:tc>
          <w:tcPr>
            <w:tcW w:w="1900" w:type="dxa"/>
            <w:vAlign w:val="bottom"/>
            <w:gridSpan w:val="2"/>
            <w:vMerge w:val="continue"/>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Assets</w:t>
            </w:r>
          </w:p>
        </w:tc>
        <w:tc>
          <w:tcPr>
            <w:tcW w:w="700" w:type="dxa"/>
            <w:vAlign w:val="bottom"/>
            <w:gridSpan w:val="2"/>
            <w:vMerge w:val="continue"/>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Assets</w:t>
            </w:r>
          </w:p>
        </w:tc>
        <w:tc>
          <w:tcPr>
            <w:tcW w:w="560" w:type="dxa"/>
            <w:vAlign w:val="bottom"/>
            <w:gridSpan w:val="2"/>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Depreciation</w:t>
            </w:r>
          </w:p>
        </w:tc>
        <w:tc>
          <w:tcPr>
            <w:tcW w:w="400" w:type="dxa"/>
            <w:vAlign w:val="bottom"/>
            <w:gridSpan w:val="2"/>
            <w:vMerge w:val="continue"/>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(C)</w:t>
            </w:r>
          </w:p>
        </w:tc>
        <w:tc>
          <w:tcPr>
            <w:tcW w:w="0" w:type="dxa"/>
            <w:vAlign w:val="bottom"/>
          </w:tcPr>
          <w:p>
            <w:pPr>
              <w:spacing w:after="0"/>
              <w:rPr>
                <w:sz w:val="1"/>
                <w:szCs w:val="1"/>
                <w:color w:val="auto"/>
              </w:rPr>
            </w:pPr>
          </w:p>
        </w:tc>
      </w:tr>
      <w:tr>
        <w:trPr>
          <w:trHeight w:val="158"/>
        </w:trPr>
        <w:tc>
          <w:tcPr>
            <w:tcW w:w="1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Buena Vista</w:t>
            </w:r>
          </w:p>
        </w:tc>
        <w:tc>
          <w:tcPr>
            <w:tcW w:w="60" w:type="dxa"/>
            <w:vAlign w:val="bottom"/>
          </w:tcPr>
          <w:p>
            <w:pPr>
              <w:spacing w:after="0"/>
              <w:rPr>
                <w:sz w:val="13"/>
                <w:szCs w:val="13"/>
                <w:color w:val="auto"/>
              </w:rPr>
            </w:pPr>
          </w:p>
        </w:tc>
        <w:tc>
          <w:tcPr>
            <w:tcW w:w="1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Buckeye, AZ</w:t>
            </w:r>
          </w:p>
        </w:tc>
        <w:tc>
          <w:tcPr>
            <w:tcW w:w="60" w:type="dxa"/>
            <w:vAlign w:val="bottom"/>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9.2</w:t>
            </w:r>
          </w:p>
        </w:tc>
        <w:tc>
          <w:tcPr>
            <w:tcW w:w="60" w:type="dxa"/>
            <w:vAlign w:val="bottom"/>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14.4</w:t>
            </w:r>
          </w:p>
        </w:tc>
        <w:tc>
          <w:tcPr>
            <w:tcW w:w="60" w:type="dxa"/>
            <w:vAlign w:val="bottom"/>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180" w:type="dxa"/>
            <w:vAlign w:val="bottom"/>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9.2</w:t>
            </w:r>
          </w:p>
        </w:tc>
        <w:tc>
          <w:tcPr>
            <w:tcW w:w="60" w:type="dxa"/>
            <w:vAlign w:val="bottom"/>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19.8</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29.0</w:t>
            </w:r>
          </w:p>
        </w:tc>
        <w:tc>
          <w:tcPr>
            <w:tcW w:w="60" w:type="dxa"/>
            <w:vAlign w:val="bottom"/>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80" w:type="dxa"/>
            <w:vAlign w:val="bottom"/>
          </w:tcPr>
          <w:p>
            <w:pPr>
              <w:spacing w:after="0"/>
              <w:rPr>
                <w:sz w:val="13"/>
                <w:szCs w:val="13"/>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2019</w:t>
            </w:r>
          </w:p>
        </w:tc>
        <w:tc>
          <w:tcPr>
            <w:tcW w:w="60" w:type="dxa"/>
            <w:vAlign w:val="bottom"/>
          </w:tcPr>
          <w:p>
            <w:pPr>
              <w:spacing w:after="0"/>
              <w:rPr>
                <w:sz w:val="13"/>
                <w:szCs w:val="13"/>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Bush River Manor</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Aberdeen, MD</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18.1</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34.9</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2025</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Buttonwood Bay</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Sebring, FL</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25.4</w:t>
            </w: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w:t>
            </w: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31.9</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2001</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Camelot Villa</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Macomb, MI</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42.3</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2013</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Candlelight Manor</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South Daytona, FL</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6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Cape Island Resort</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Cape May, NJ</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54.5</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69.7</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2025</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Carol Lynn Resorts East</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Woodbine, NJ</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6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w:t>
            </w:r>
          </w:p>
        </w:tc>
        <w:tc>
          <w:tcPr>
            <w:tcW w:w="60" w:type="dxa"/>
            <w:vAlign w:val="bottom"/>
          </w:tcPr>
          <w:p>
            <w:pPr>
              <w:spacing w:after="0"/>
              <w:rPr>
                <w:sz w:val="14"/>
                <w:szCs w:val="14"/>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2025</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Carriage Cove</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Sanford, FL</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2014</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Carrington Pointe</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Fort Wayne, IN</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23.6</w:t>
            </w: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6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30.5</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1997</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(A&amp;C)</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Cave Creek</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Evans, CO</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21.7</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27.5</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2004</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(C)</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Cedar Springs</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Southington, CT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w:t>
            </w:r>
          </w:p>
        </w:tc>
        <w:tc>
          <w:tcPr>
            <w:tcW w:w="6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2019</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Central Park</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Haines City, FL</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22.1</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40"/>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Charlevoix Estates</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Charlevoix, MI</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w:t>
            </w:r>
          </w:p>
        </w:tc>
        <w:tc>
          <w:tcPr>
            <w:tcW w:w="60" w:type="dxa"/>
            <w:vAlign w:val="bottom"/>
          </w:tcPr>
          <w:p>
            <w:pPr>
              <w:spacing w:after="0"/>
              <w:rPr>
                <w:sz w:val="12"/>
                <w:szCs w:val="12"/>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w:t>
            </w: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2021</w:t>
            </w:r>
          </w:p>
        </w:tc>
        <w:tc>
          <w:tcPr>
            <w:tcW w:w="6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9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Cherrywood</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Clinton, NY</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w:t>
            </w:r>
          </w:p>
        </w:tc>
        <w:tc>
          <w:tcPr>
            <w:tcW w:w="6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 xml:space="preserve">(0.2) </w:t>
            </w:r>
            <w:r>
              <w:rPr>
                <w:rFonts w:ascii="Times New Roman" w:cs="Times New Roman" w:eastAsia="Times New Roman" w:hAnsi="Times New Roman"/>
                <w:sz w:val="16"/>
                <w:szCs w:val="16"/>
                <w:color w:val="auto"/>
                <w:vertAlign w:val="superscript"/>
              </w:rPr>
              <w:t>(3)</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2019</w:t>
            </w:r>
          </w:p>
        </w:tc>
        <w:tc>
          <w:tcPr>
            <w:tcW w:w="6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4"/>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Chesapeake Bay KOA Resort</w:t>
            </w:r>
            <w:r>
              <w:rPr>
                <w:rFonts w:ascii="Times New Roman" w:cs="Times New Roman" w:eastAsia="Times New Roman" w:hAnsi="Times New Roman"/>
                <w:sz w:val="16"/>
                <w:szCs w:val="16"/>
                <w:color w:val="auto"/>
                <w:vertAlign w:val="superscript"/>
              </w:rPr>
              <w:t>(6)</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Cape Charles, VA</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24.0</w:t>
            </w:r>
          </w:p>
        </w:tc>
        <w:tc>
          <w:tcPr>
            <w:tcW w:w="60" w:type="dxa"/>
            <w:vAlign w:val="bottom"/>
          </w:tcPr>
          <w:p>
            <w:pPr>
              <w:spacing w:after="0"/>
              <w:rPr>
                <w:sz w:val="15"/>
                <w:szCs w:val="15"/>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1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w:t>
            </w:r>
          </w:p>
        </w:tc>
        <w:tc>
          <w:tcPr>
            <w:tcW w:w="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74"/>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Chisholm Point</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Pflugerville, TX</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1995</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(A&amp;C)</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Cider Mill Crossings</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Fenton, MI</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6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44.7</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46.8</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(21.5)</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2011</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(A&amp;C)</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2"/>
                <w:szCs w:val="12"/>
                <w:color w:val="auto"/>
              </w:rPr>
              <w:t>Cisco Grove Campground &amp; RV</w:t>
            </w:r>
            <w:r>
              <w:rPr>
                <w:rFonts w:ascii="Times New Roman" w:cs="Times New Roman" w:eastAsia="Times New Roman" w:hAnsi="Times New Roman"/>
                <w:sz w:val="16"/>
                <w:szCs w:val="16"/>
                <w:color w:val="auto"/>
                <w:vertAlign w:val="superscript"/>
              </w:rPr>
              <w:t>(7)</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Emigrant Gap, CA</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2021</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Clear Water</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South Bend, IN</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w:t>
            </w: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6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1986</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Clinton River</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Mt Clemens, MI</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2025</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Club Wildwood</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Hudson, FL</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19.5</w:t>
            </w: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w:t>
            </w:r>
          </w:p>
        </w:tc>
        <w:tc>
          <w:tcPr>
            <w:tcW w:w="6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39.0</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Coastal Estates</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Hampstead, NC</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22.8</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2019</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Cobus Green</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Osceola, IN</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6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18.1</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1993</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Colony in the Wood</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Port Orange, FL</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26.8</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37.7</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2017</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(A&amp;C)</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Comal Farms</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New Braunfels, TX</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2000</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(A&amp;C)</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Country Acres</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Cadillac, MI</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1996</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Country Meadows</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Flat Rock, MI</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42.5</w:t>
            </w: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w:t>
            </w: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27.4</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36.2</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(22.8)</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1994</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(A&amp;C)</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Country Meadows Village</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Caledonia, MI</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2011</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(A&amp;C)</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Country Village Estates</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Oregon City, OR</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22.0</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42.6</w:t>
            </w:r>
          </w:p>
        </w:tc>
        <w:tc>
          <w:tcPr>
            <w:tcW w:w="6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22.0</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66.1</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2019</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Countryside Estates</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Mckean, PA</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2014</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Countryside Village of Atlanta</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Lawrenceville, GA</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w:t>
            </w:r>
          </w:p>
        </w:tc>
        <w:tc>
          <w:tcPr>
            <w:tcW w:w="6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21.5</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2004</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(A&amp;C)</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Countryside Village of Gwinnett</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Buford, GA</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21.8</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2004</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Countryside Village of Lake Lanier</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Buford, GA</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w:t>
            </w: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w:t>
            </w:r>
          </w:p>
        </w:tc>
        <w:tc>
          <w:tcPr>
            <w:tcW w:w="6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24.2</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2004</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Creek Wood</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Burton, MI</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1997</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-2314575</wp:posOffset>
            </wp:positionV>
            <wp:extent cx="7144385" cy="1104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2">
                      <a:extLst>
                        <a:ext uri="{28A0092B-C50C-407E-A947-70E740481C1C}"/>
                      </a:extLst>
                    </a:blip>
                    <a:srcRect/>
                    <a:stretch>
                      <a:fillRect/>
                    </a:stretch>
                  </pic:blipFill>
                  <pic:spPr bwMode="auto">
                    <a:xfrm>
                      <a:off x="0" y="0"/>
                      <a:ext cx="7144385" cy="1104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 - 47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02" w:name="page103"/>
    <w:bookmarkEnd w:id="102"/>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REAL ESTATE AND ACCUMULATED DEPRECIATION, SCHEDULE III</w:t>
      </w:r>
    </w:p>
    <w:p>
      <w:pPr>
        <w:spacing w:after="0" w:line="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DECEMBER 31, 2025</w:t>
      </w:r>
    </w:p>
    <w:p>
      <w:pPr>
        <w:spacing w:after="0" w:line="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(amounts in millions)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gridSpan w:val="4"/>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Costs Capitalized</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Initial Cost to</w:t>
            </w:r>
          </w:p>
        </w:tc>
        <w:tc>
          <w:tcPr>
            <w:tcW w:w="1580" w:type="dxa"/>
            <w:vAlign w:val="bottom"/>
            <w:gridSpan w:val="4"/>
          </w:tcPr>
          <w:p>
            <w:pPr>
              <w:jc w:val="center"/>
              <w:ind w:right="200"/>
              <w:spacing w:after="0" w:line="126" w:lineRule="exact"/>
              <w:rPr>
                <w:sz w:val="20"/>
                <w:szCs w:val="20"/>
                <w:color w:val="auto"/>
              </w:rPr>
            </w:pPr>
            <w:r>
              <w:rPr>
                <w:rFonts w:ascii="Times New Roman" w:cs="Times New Roman" w:eastAsia="Times New Roman" w:hAnsi="Times New Roman"/>
                <w:sz w:val="12"/>
                <w:szCs w:val="12"/>
                <w:b w:val="1"/>
                <w:bCs w:val="1"/>
                <w:color w:val="auto"/>
              </w:rPr>
              <w:t>Subsequent to</w:t>
            </w:r>
          </w:p>
        </w:tc>
        <w:tc>
          <w:tcPr>
            <w:tcW w:w="1760" w:type="dxa"/>
            <w:vAlign w:val="bottom"/>
            <w:gridSpan w:val="5"/>
            <w:vMerge w:val="restart"/>
          </w:tcPr>
          <w:p>
            <w:pPr>
              <w:jc w:val="center"/>
              <w:ind w:left="318"/>
              <w:spacing w:after="0"/>
              <w:rPr>
                <w:sz w:val="20"/>
                <w:szCs w:val="20"/>
                <w:color w:val="auto"/>
              </w:rPr>
            </w:pPr>
            <w:r>
              <w:rPr>
                <w:rFonts w:ascii="Times New Roman" w:cs="Times New Roman" w:eastAsia="Times New Roman" w:hAnsi="Times New Roman"/>
                <w:sz w:val="12"/>
                <w:szCs w:val="12"/>
                <w:b w:val="1"/>
                <w:bCs w:val="1"/>
                <w:color w:val="auto"/>
              </w:rPr>
              <w:t>Gross Amount Carried at</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4"/>
            <w:vMerge w:val="continue"/>
          </w:tcPr>
          <w:p>
            <w:pPr>
              <w:spacing w:after="0"/>
              <w:rPr>
                <w:sz w:val="11"/>
                <w:szCs w:val="11"/>
                <w:color w:val="auto"/>
              </w:rPr>
            </w:pPr>
          </w:p>
        </w:tc>
        <w:tc>
          <w:tcPr>
            <w:tcW w:w="1580" w:type="dxa"/>
            <w:vAlign w:val="bottom"/>
            <w:gridSpan w:val="4"/>
          </w:tcPr>
          <w:p>
            <w:pPr>
              <w:jc w:val="center"/>
              <w:ind w:right="180"/>
              <w:spacing w:after="0" w:line="128" w:lineRule="exact"/>
              <w:rPr>
                <w:sz w:val="20"/>
                <w:szCs w:val="20"/>
                <w:color w:val="auto"/>
              </w:rPr>
            </w:pPr>
            <w:r>
              <w:rPr>
                <w:rFonts w:ascii="Times New Roman" w:cs="Times New Roman" w:eastAsia="Times New Roman" w:hAnsi="Times New Roman"/>
                <w:sz w:val="12"/>
                <w:szCs w:val="12"/>
                <w:b w:val="1"/>
                <w:bCs w:val="1"/>
                <w:color w:val="auto"/>
              </w:rPr>
              <w:t>Acquisition</w:t>
            </w:r>
          </w:p>
        </w:tc>
        <w:tc>
          <w:tcPr>
            <w:tcW w:w="1760" w:type="dxa"/>
            <w:vAlign w:val="bottom"/>
            <w:gridSpan w:val="5"/>
            <w:vMerge w:val="continue"/>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4"/>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Company</w:t>
            </w:r>
          </w:p>
        </w:tc>
        <w:tc>
          <w:tcPr>
            <w:tcW w:w="1580" w:type="dxa"/>
            <w:vAlign w:val="bottom"/>
            <w:gridSpan w:val="4"/>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(Improvements)</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w w:val="99"/>
              </w:rPr>
              <w:t>Acquired</w:t>
            </w:r>
          </w:p>
        </w:tc>
        <w:tc>
          <w:tcPr>
            <w:tcW w:w="0" w:type="dxa"/>
            <w:vAlign w:val="bottom"/>
          </w:tcPr>
          <w:p>
            <w:pPr>
              <w:spacing w:after="0"/>
              <w:rPr>
                <w:sz w:val="1"/>
                <w:szCs w:val="1"/>
                <w:color w:val="auto"/>
              </w:rPr>
            </w:pPr>
          </w:p>
        </w:tc>
      </w:tr>
      <w:tr>
        <w:trPr>
          <w:trHeight w:val="126"/>
        </w:trPr>
        <w:tc>
          <w:tcPr>
            <w:tcW w:w="1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Depreciable</w:t>
            </w: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Depreciable</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(A) or</w:t>
            </w:r>
          </w:p>
        </w:tc>
        <w:tc>
          <w:tcPr>
            <w:tcW w:w="0" w:type="dxa"/>
            <w:vAlign w:val="bottom"/>
          </w:tcPr>
          <w:p>
            <w:pPr>
              <w:spacing w:after="0"/>
              <w:rPr>
                <w:sz w:val="1"/>
                <w:szCs w:val="1"/>
                <w:color w:val="auto"/>
              </w:rPr>
            </w:pPr>
          </w:p>
        </w:tc>
      </w:tr>
      <w:tr>
        <w:trPr>
          <w:trHeight w:val="127"/>
        </w:trPr>
        <w:tc>
          <w:tcPr>
            <w:tcW w:w="19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2"/>
                <w:szCs w:val="12"/>
                <w:b w:val="1"/>
                <w:bCs w:val="1"/>
                <w:color w:val="auto"/>
              </w:rPr>
              <w:t>Property Name</w:t>
            </w:r>
          </w:p>
        </w:tc>
        <w:tc>
          <w:tcPr>
            <w:tcW w:w="13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2"/>
                <w:szCs w:val="12"/>
                <w:b w:val="1"/>
                <w:bCs w:val="1"/>
                <w:color w:val="auto"/>
              </w:rPr>
              <w:t>Location</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Encumbrances</w:t>
            </w:r>
            <w:r>
              <w:rPr>
                <w:rFonts w:ascii="Times New Roman" w:cs="Times New Roman" w:eastAsia="Times New Roman" w:hAnsi="Times New Roman"/>
                <w:sz w:val="16"/>
                <w:szCs w:val="16"/>
                <w:b w:val="1"/>
                <w:bCs w:val="1"/>
                <w:color w:val="auto"/>
                <w:vertAlign w:val="superscript"/>
              </w:rPr>
              <w:t>(1)</w:t>
            </w:r>
          </w:p>
        </w:tc>
        <w:tc>
          <w:tcPr>
            <w:tcW w:w="52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Land</w:t>
            </w:r>
          </w:p>
        </w:tc>
        <w:tc>
          <w:tcPr>
            <w:tcW w:w="760" w:type="dxa"/>
            <w:vAlign w:val="bottom"/>
            <w:gridSpan w:val="2"/>
            <w:vMerge w:val="continue"/>
          </w:tcPr>
          <w:p>
            <w:pPr>
              <w:spacing w:after="0"/>
              <w:rPr>
                <w:sz w:val="11"/>
                <w:szCs w:val="11"/>
                <w:color w:val="auto"/>
              </w:rPr>
            </w:pPr>
          </w:p>
        </w:tc>
        <w:tc>
          <w:tcPr>
            <w:tcW w:w="7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Land</w:t>
            </w:r>
          </w:p>
        </w:tc>
        <w:tc>
          <w:tcPr>
            <w:tcW w:w="880" w:type="dxa"/>
            <w:vAlign w:val="bottom"/>
            <w:gridSpan w:val="2"/>
            <w:vMerge w:val="continue"/>
          </w:tcPr>
          <w:p>
            <w:pPr>
              <w:spacing w:after="0"/>
              <w:rPr>
                <w:sz w:val="11"/>
                <w:szCs w:val="11"/>
                <w:color w:val="auto"/>
              </w:rPr>
            </w:pPr>
          </w:p>
        </w:tc>
        <w:tc>
          <w:tcPr>
            <w:tcW w:w="5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Land</w:t>
            </w:r>
          </w:p>
        </w:tc>
        <w:tc>
          <w:tcPr>
            <w:tcW w:w="120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Depreciable Assets</w:t>
            </w:r>
          </w:p>
        </w:tc>
        <w:tc>
          <w:tcPr>
            <w:tcW w:w="4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820" w:type="dxa"/>
            <w:vAlign w:val="bottom"/>
            <w:gridSpan w:val="2"/>
            <w:vMerge w:val="continue"/>
          </w:tcPr>
          <w:p>
            <w:pPr>
              <w:spacing w:after="0"/>
              <w:rPr>
                <w:sz w:val="11"/>
                <w:szCs w:val="11"/>
                <w:color w:val="auto"/>
              </w:rPr>
            </w:pPr>
          </w:p>
        </w:tc>
        <w:tc>
          <w:tcPr>
            <w:tcW w:w="40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Date</w:t>
            </w:r>
          </w:p>
        </w:tc>
        <w:tc>
          <w:tcPr>
            <w:tcW w:w="72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Constructed</w:t>
            </w:r>
          </w:p>
        </w:tc>
        <w:tc>
          <w:tcPr>
            <w:tcW w:w="0" w:type="dxa"/>
            <w:vAlign w:val="bottom"/>
          </w:tcPr>
          <w:p>
            <w:pPr>
              <w:spacing w:after="0"/>
              <w:rPr>
                <w:sz w:val="1"/>
                <w:szCs w:val="1"/>
                <w:color w:val="auto"/>
              </w:rPr>
            </w:pPr>
          </w:p>
        </w:tc>
      </w:tr>
      <w:tr>
        <w:trPr>
          <w:trHeight w:val="174"/>
        </w:trPr>
        <w:tc>
          <w:tcPr>
            <w:tcW w:w="1900" w:type="dxa"/>
            <w:vAlign w:val="bottom"/>
            <w:gridSpan w:val="2"/>
            <w:vMerge w:val="continue"/>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Assets</w:t>
            </w:r>
          </w:p>
        </w:tc>
        <w:tc>
          <w:tcPr>
            <w:tcW w:w="700" w:type="dxa"/>
            <w:vAlign w:val="bottom"/>
            <w:gridSpan w:val="2"/>
            <w:vMerge w:val="continue"/>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Assets</w:t>
            </w:r>
          </w:p>
        </w:tc>
        <w:tc>
          <w:tcPr>
            <w:tcW w:w="560" w:type="dxa"/>
            <w:vAlign w:val="bottom"/>
            <w:gridSpan w:val="2"/>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Depreciation</w:t>
            </w:r>
          </w:p>
        </w:tc>
        <w:tc>
          <w:tcPr>
            <w:tcW w:w="400" w:type="dxa"/>
            <w:vAlign w:val="bottom"/>
            <w:gridSpan w:val="2"/>
            <w:vMerge w:val="continue"/>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(C)</w:t>
            </w:r>
          </w:p>
        </w:tc>
        <w:tc>
          <w:tcPr>
            <w:tcW w:w="0" w:type="dxa"/>
            <w:vAlign w:val="bottom"/>
          </w:tcPr>
          <w:p>
            <w:pPr>
              <w:spacing w:after="0"/>
              <w:rPr>
                <w:sz w:val="1"/>
                <w:szCs w:val="1"/>
                <w:color w:val="auto"/>
              </w:rPr>
            </w:pPr>
          </w:p>
        </w:tc>
      </w:tr>
      <w:tr>
        <w:trPr>
          <w:trHeight w:val="158"/>
        </w:trPr>
        <w:tc>
          <w:tcPr>
            <w:tcW w:w="1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Creeks Crossing</w:t>
            </w:r>
          </w:p>
        </w:tc>
        <w:tc>
          <w:tcPr>
            <w:tcW w:w="80" w:type="dxa"/>
            <w:vAlign w:val="bottom"/>
          </w:tcPr>
          <w:p>
            <w:pPr>
              <w:spacing w:after="0"/>
              <w:rPr>
                <w:sz w:val="13"/>
                <w:szCs w:val="13"/>
                <w:color w:val="auto"/>
              </w:rPr>
            </w:pPr>
          </w:p>
        </w:tc>
        <w:tc>
          <w:tcPr>
            <w:tcW w:w="1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Kyle, TX</w:t>
            </w:r>
          </w:p>
        </w:tc>
        <w:tc>
          <w:tcPr>
            <w:tcW w:w="60" w:type="dxa"/>
            <w:vAlign w:val="bottom"/>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60" w:type="dxa"/>
            <w:vAlign w:val="bottom"/>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54.3</w:t>
            </w:r>
          </w:p>
        </w:tc>
        <w:tc>
          <w:tcPr>
            <w:tcW w:w="180" w:type="dxa"/>
            <w:vAlign w:val="bottom"/>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60" w:type="dxa"/>
            <w:vAlign w:val="bottom"/>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54.3</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57.8</w:t>
            </w:r>
          </w:p>
        </w:tc>
        <w:tc>
          <w:tcPr>
            <w:tcW w:w="60" w:type="dxa"/>
            <w:vAlign w:val="bottom"/>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80" w:type="dxa"/>
            <w:vAlign w:val="bottom"/>
          </w:tcPr>
          <w:p>
            <w:pPr>
              <w:spacing w:after="0"/>
              <w:rPr>
                <w:sz w:val="13"/>
                <w:szCs w:val="13"/>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2019</w:t>
            </w:r>
          </w:p>
        </w:tc>
        <w:tc>
          <w:tcPr>
            <w:tcW w:w="60" w:type="dxa"/>
            <w:vAlign w:val="bottom"/>
          </w:tcPr>
          <w:p>
            <w:pPr>
              <w:spacing w:after="0"/>
              <w:rPr>
                <w:sz w:val="13"/>
                <w:szCs w:val="13"/>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Crestwood</w:t>
            </w:r>
          </w:p>
        </w:tc>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Concord, NH</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22.4</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25.6</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2019</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Crossroads</w:t>
            </w:r>
          </w:p>
        </w:tc>
        <w:tc>
          <w:tcPr>
            <w:tcW w:w="1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Aiken, SC</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6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2019</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(A&amp;C)</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Cutler Estates</w:t>
            </w:r>
          </w:p>
        </w:tc>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Grand Rapids, MI</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1996</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Cypress Greens</w:t>
            </w:r>
          </w:p>
        </w:tc>
        <w:tc>
          <w:tcPr>
            <w:tcW w:w="1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Lake Alfred, FL</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w:t>
            </w:r>
          </w:p>
        </w:tc>
        <w:tc>
          <w:tcPr>
            <w:tcW w:w="6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21.5</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2015</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Deep Run</w:t>
            </w:r>
          </w:p>
        </w:tc>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Cream Ridge, NJ</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2019</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Deerwood</w:t>
            </w:r>
          </w:p>
        </w:tc>
        <w:tc>
          <w:tcPr>
            <w:tcW w:w="1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Orlando, FL</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33.7</w:t>
            </w: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37.6</w:t>
            </w:r>
          </w:p>
        </w:tc>
        <w:tc>
          <w:tcPr>
            <w:tcW w:w="6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49.7</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2015</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Desert Harbor</w:t>
            </w:r>
          </w:p>
        </w:tc>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Apache Junction, AZ</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2014</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Dutton Mill Village</w:t>
            </w:r>
          </w:p>
        </w:tc>
        <w:tc>
          <w:tcPr>
            <w:tcW w:w="1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Caledonia, MI</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2011</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Eagle Crest</w:t>
            </w:r>
          </w:p>
        </w:tc>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Firestone, CO</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30.8</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31.7</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33.9</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1998</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(C)</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East Fork Crossing</w:t>
            </w:r>
          </w:p>
        </w:tc>
        <w:tc>
          <w:tcPr>
            <w:tcW w:w="1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Batavia, OH</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6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24.2</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2000</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(A&amp;C)</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East Village Estates</w:t>
            </w:r>
          </w:p>
        </w:tc>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Washington Twp, MI</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25.4</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38.1</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2012</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40"/>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Egelcraft</w:t>
            </w:r>
          </w:p>
        </w:tc>
        <w:tc>
          <w:tcPr>
            <w:tcW w:w="1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Muskegon, MI</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w:t>
            </w:r>
          </w:p>
        </w:tc>
        <w:tc>
          <w:tcPr>
            <w:tcW w:w="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22.6</w:t>
            </w:r>
          </w:p>
        </w:tc>
        <w:tc>
          <w:tcPr>
            <w:tcW w:w="60" w:type="dxa"/>
            <w:vAlign w:val="bottom"/>
          </w:tcPr>
          <w:p>
            <w:pPr>
              <w:spacing w:after="0"/>
              <w:rPr>
                <w:sz w:val="12"/>
                <w:szCs w:val="12"/>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1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28.4</w:t>
            </w: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w:t>
            </w:r>
          </w:p>
        </w:tc>
        <w:tc>
          <w:tcPr>
            <w:tcW w:w="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2014</w:t>
            </w:r>
          </w:p>
        </w:tc>
        <w:tc>
          <w:tcPr>
            <w:tcW w:w="6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20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El Capitan Canyon</w:t>
            </w:r>
            <w:r>
              <w:rPr>
                <w:rFonts w:ascii="Times New Roman" w:cs="Times New Roman" w:eastAsia="Times New Roman" w:hAnsi="Times New Roman"/>
                <w:sz w:val="16"/>
                <w:szCs w:val="16"/>
                <w:color w:val="auto"/>
                <w:vertAlign w:val="superscript"/>
              </w:rPr>
              <w:t>(7)</w:t>
            </w:r>
          </w:p>
        </w:tc>
        <w:tc>
          <w:tcPr>
            <w:tcW w:w="1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Goleta, CA</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57.8</w:t>
            </w:r>
          </w:p>
        </w:tc>
        <w:tc>
          <w:tcPr>
            <w:tcW w:w="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w:t>
            </w:r>
          </w:p>
        </w:tc>
        <w:tc>
          <w:tcPr>
            <w:tcW w:w="6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 xml:space="preserve">(15.9) </w:t>
            </w:r>
            <w:r>
              <w:rPr>
                <w:rFonts w:ascii="Times New Roman" w:cs="Times New Roman" w:eastAsia="Times New Roman" w:hAnsi="Times New Roman"/>
                <w:sz w:val="16"/>
                <w:szCs w:val="16"/>
                <w:color w:val="auto"/>
                <w:vertAlign w:val="superscript"/>
              </w:rPr>
              <w:t>(7)</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41.9</w:t>
            </w:r>
          </w:p>
        </w:tc>
        <w:tc>
          <w:tcPr>
            <w:tcW w:w="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52.5</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2020</w:t>
            </w:r>
          </w:p>
        </w:tc>
        <w:tc>
          <w:tcPr>
            <w:tcW w:w="6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Ellenton Gardens</w:t>
            </w:r>
          </w:p>
        </w:tc>
        <w:tc>
          <w:tcPr>
            <w:tcW w:w="1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Ellenton, FL</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w:t>
            </w:r>
          </w:p>
        </w:tc>
        <w:tc>
          <w:tcPr>
            <w:tcW w:w="6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Fairfield Village</w:t>
            </w:r>
          </w:p>
        </w:tc>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Ocala, FL</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18.7</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2015</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Farmwood Village</w:t>
            </w:r>
          </w:p>
        </w:tc>
        <w:tc>
          <w:tcPr>
            <w:tcW w:w="1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Dover, NH</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w:t>
            </w:r>
          </w:p>
        </w:tc>
        <w:tc>
          <w:tcPr>
            <w:tcW w:w="6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2019</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Flamingo Lake</w:t>
            </w:r>
          </w:p>
        </w:tc>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Jacksonville, FL</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31.9</w:t>
            </w: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40.2</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2020</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19"/>
        </w:trPr>
        <w:tc>
          <w:tcPr>
            <w:tcW w:w="190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2"/>
                <w:szCs w:val="12"/>
                <w:color w:val="auto"/>
              </w:rPr>
              <w:t>Fond du Lac East / Kettle Moraine</w:t>
            </w:r>
          </w:p>
        </w:tc>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Glenbeulah, WI</w:t>
            </w:r>
          </w:p>
        </w:tc>
        <w:tc>
          <w:tcPr>
            <w:tcW w:w="10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6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6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2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18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6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8.9</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8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2013</w:t>
            </w:r>
          </w:p>
        </w:tc>
        <w:tc>
          <w:tcPr>
            <w:tcW w:w="60" w:type="dxa"/>
            <w:vAlign w:val="bottom"/>
          </w:tcPr>
          <w:p>
            <w:pPr>
              <w:spacing w:after="0"/>
              <w:rPr>
                <w:sz w:val="10"/>
                <w:szCs w:val="10"/>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5"/>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KOA</w:t>
            </w:r>
          </w:p>
        </w:tc>
        <w:tc>
          <w:tcPr>
            <w:tcW w:w="134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Forest Hill</w:t>
            </w:r>
          </w:p>
        </w:tc>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Southington, CT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2019</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Forest Meadows</w:t>
            </w:r>
          </w:p>
        </w:tc>
        <w:tc>
          <w:tcPr>
            <w:tcW w:w="1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Philomath, OR</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6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1999</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Forest Springs</w:t>
            </w:r>
          </w:p>
        </w:tc>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Grass Valley, CA</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43.7</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57.3</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2020</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Forest View</w:t>
            </w:r>
          </w:p>
        </w:tc>
        <w:tc>
          <w:tcPr>
            <w:tcW w:w="1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Homosassa, FL</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22.1</w:t>
            </w:r>
          </w:p>
        </w:tc>
        <w:tc>
          <w:tcPr>
            <w:tcW w:w="6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24.6</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2015</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Forest View Village</w:t>
            </w:r>
          </w:p>
        </w:tc>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Elkton, MD</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2025</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Four Seasons</w:t>
            </w:r>
          </w:p>
        </w:tc>
        <w:tc>
          <w:tcPr>
            <w:tcW w:w="1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Elkhart, IN</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w:t>
            </w: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6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2000</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Fox Run</w:t>
            </w:r>
          </w:p>
        </w:tc>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Boyne City, MI</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20.6</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2023</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19"/>
        </w:trPr>
        <w:tc>
          <w:tcPr>
            <w:tcW w:w="190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2"/>
                <w:szCs w:val="12"/>
                <w:color w:val="auto"/>
              </w:rPr>
              <w:t>Frenchtown Villa / Elizabeth</w:t>
            </w:r>
          </w:p>
        </w:tc>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Newport, MI</w:t>
            </w:r>
          </w:p>
        </w:tc>
        <w:tc>
          <w:tcPr>
            <w:tcW w:w="10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6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52.3</w:t>
            </w:r>
          </w:p>
        </w:tc>
        <w:tc>
          <w:tcPr>
            <w:tcW w:w="6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2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43.9</w:t>
            </w:r>
          </w:p>
        </w:tc>
        <w:tc>
          <w:tcPr>
            <w:tcW w:w="18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6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96.2</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97.7</w:t>
            </w:r>
          </w:p>
        </w:tc>
        <w:tc>
          <w:tcPr>
            <w:tcW w:w="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(39.6)</w:t>
            </w:r>
          </w:p>
        </w:tc>
        <w:tc>
          <w:tcPr>
            <w:tcW w:w="8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2014</w:t>
            </w:r>
          </w:p>
        </w:tc>
        <w:tc>
          <w:tcPr>
            <w:tcW w:w="60" w:type="dxa"/>
            <w:vAlign w:val="bottom"/>
          </w:tcPr>
          <w:p>
            <w:pPr>
              <w:spacing w:after="0"/>
              <w:rPr>
                <w:sz w:val="10"/>
                <w:szCs w:val="10"/>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(A&amp;C)</w:t>
            </w:r>
          </w:p>
        </w:tc>
        <w:tc>
          <w:tcPr>
            <w:tcW w:w="0" w:type="dxa"/>
            <w:vAlign w:val="bottom"/>
          </w:tcPr>
          <w:p>
            <w:pPr>
              <w:spacing w:after="0"/>
              <w:rPr>
                <w:sz w:val="1"/>
                <w:szCs w:val="1"/>
                <w:color w:val="auto"/>
              </w:rPr>
            </w:pPr>
          </w:p>
        </w:tc>
      </w:tr>
      <w:tr>
        <w:trPr>
          <w:trHeight w:val="165"/>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Woods</w:t>
            </w:r>
          </w:p>
        </w:tc>
        <w:tc>
          <w:tcPr>
            <w:tcW w:w="134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Friendly Village of La Habra</w:t>
            </w:r>
          </w:p>
        </w:tc>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La Habra, CA</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43.0</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27.0</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25.2</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27.0</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54.1</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Friendly Village of Modesto</w:t>
            </w:r>
          </w:p>
        </w:tc>
        <w:tc>
          <w:tcPr>
            <w:tcW w:w="1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Modesto, CA</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21.4</w:t>
            </w: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20.9</w:t>
            </w:r>
          </w:p>
        </w:tc>
        <w:tc>
          <w:tcPr>
            <w:tcW w:w="6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28.6</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Friendly Village of Simi Valley</w:t>
            </w:r>
          </w:p>
        </w:tc>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Simi Valley, CA</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32.2</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Friendly Village of West Covina</w:t>
            </w:r>
          </w:p>
        </w:tc>
        <w:tc>
          <w:tcPr>
            <w:tcW w:w="1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West Covina, CA</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15.9</w:t>
            </w: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6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21.1</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Glen Haven</w:t>
            </w:r>
          </w:p>
        </w:tc>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Zephyrhills, FL</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Glen Laurel</w:t>
            </w:r>
          </w:p>
        </w:tc>
        <w:tc>
          <w:tcPr>
            <w:tcW w:w="1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Concord, NC</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6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2001</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(A&amp;C)</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Goldcoaster</w:t>
            </w:r>
          </w:p>
        </w:tc>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Homestead, FL</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1997</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-2461895</wp:posOffset>
            </wp:positionV>
            <wp:extent cx="7144385" cy="1104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4">
                      <a:extLst>
                        <a:ext uri="{28A0092B-C50C-407E-A947-70E740481C1C}"/>
                      </a:extLst>
                    </a:blip>
                    <a:srcRect/>
                    <a:stretch>
                      <a:fillRect/>
                    </a:stretch>
                  </pic:blipFill>
                  <pic:spPr bwMode="auto">
                    <a:xfrm>
                      <a:off x="0" y="0"/>
                      <a:ext cx="7144385" cy="1104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 - 48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03" w:name="page104"/>
    <w:bookmarkEnd w:id="103"/>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REAL ESTATE AND ACCUMULATED DEPRECIATION, SCHEDULE III</w:t>
      </w:r>
    </w:p>
    <w:p>
      <w:pPr>
        <w:spacing w:after="0" w:line="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DECEMBER 31, 2025</w:t>
      </w:r>
    </w:p>
    <w:p>
      <w:pPr>
        <w:spacing w:after="0" w:line="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(amounts in millions)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rPr>
              <w:t>Costs Capitalized</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Initial Cost to</w:t>
            </w:r>
          </w:p>
        </w:tc>
        <w:tc>
          <w:tcPr>
            <w:tcW w:w="1380" w:type="dxa"/>
            <w:vAlign w:val="bottom"/>
            <w:gridSpan w:val="3"/>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Subsequent to</w:t>
            </w:r>
          </w:p>
        </w:tc>
        <w:tc>
          <w:tcPr>
            <w:tcW w:w="200" w:type="dxa"/>
            <w:vAlign w:val="bottom"/>
          </w:tcPr>
          <w:p>
            <w:pPr>
              <w:spacing w:after="0"/>
              <w:rPr>
                <w:sz w:val="10"/>
                <w:szCs w:val="10"/>
                <w:color w:val="auto"/>
              </w:rPr>
            </w:pPr>
          </w:p>
        </w:tc>
        <w:tc>
          <w:tcPr>
            <w:tcW w:w="1760" w:type="dxa"/>
            <w:vAlign w:val="bottom"/>
            <w:gridSpan w:val="5"/>
            <w:vMerge w:val="restart"/>
          </w:tcPr>
          <w:p>
            <w:pPr>
              <w:jc w:val="center"/>
              <w:ind w:left="318"/>
              <w:spacing w:after="0"/>
              <w:rPr>
                <w:sz w:val="20"/>
                <w:szCs w:val="20"/>
                <w:color w:val="auto"/>
              </w:rPr>
            </w:pPr>
            <w:r>
              <w:rPr>
                <w:rFonts w:ascii="Times New Roman" w:cs="Times New Roman" w:eastAsia="Times New Roman" w:hAnsi="Times New Roman"/>
                <w:sz w:val="12"/>
                <w:szCs w:val="12"/>
                <w:b w:val="1"/>
                <w:bCs w:val="1"/>
                <w:color w:val="auto"/>
              </w:rPr>
              <w:t>Gross Amount Carried at</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4"/>
            <w:vMerge w:val="continue"/>
          </w:tcPr>
          <w:p>
            <w:pPr>
              <w:spacing w:after="0"/>
              <w:rPr>
                <w:sz w:val="11"/>
                <w:szCs w:val="11"/>
                <w:color w:val="auto"/>
              </w:rPr>
            </w:pPr>
          </w:p>
        </w:tc>
        <w:tc>
          <w:tcPr>
            <w:tcW w:w="1380" w:type="dxa"/>
            <w:vAlign w:val="bottom"/>
            <w:gridSpan w:val="3"/>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Acquisition</w:t>
            </w:r>
          </w:p>
        </w:tc>
        <w:tc>
          <w:tcPr>
            <w:tcW w:w="200" w:type="dxa"/>
            <w:vAlign w:val="bottom"/>
          </w:tcPr>
          <w:p>
            <w:pPr>
              <w:spacing w:after="0"/>
              <w:rPr>
                <w:sz w:val="11"/>
                <w:szCs w:val="11"/>
                <w:color w:val="auto"/>
              </w:rPr>
            </w:pPr>
          </w:p>
        </w:tc>
        <w:tc>
          <w:tcPr>
            <w:tcW w:w="1760" w:type="dxa"/>
            <w:vAlign w:val="bottom"/>
            <w:gridSpan w:val="5"/>
            <w:vMerge w:val="continue"/>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4"/>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Company</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rPr>
              <w:t>(Improvements)</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w w:val="99"/>
              </w:rPr>
              <w:t>Acquired</w:t>
            </w:r>
          </w:p>
        </w:tc>
        <w:tc>
          <w:tcPr>
            <w:tcW w:w="0" w:type="dxa"/>
            <w:vAlign w:val="bottom"/>
          </w:tcPr>
          <w:p>
            <w:pPr>
              <w:spacing w:after="0"/>
              <w:rPr>
                <w:sz w:val="1"/>
                <w:szCs w:val="1"/>
                <w:color w:val="auto"/>
              </w:rPr>
            </w:pPr>
          </w:p>
        </w:tc>
      </w:tr>
      <w:tr>
        <w:trPr>
          <w:trHeight w:val="126"/>
        </w:trPr>
        <w:tc>
          <w:tcPr>
            <w:tcW w:w="1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Depreciable</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Depreciable</w:t>
            </w: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(A) or</w:t>
            </w:r>
          </w:p>
        </w:tc>
        <w:tc>
          <w:tcPr>
            <w:tcW w:w="0" w:type="dxa"/>
            <w:vAlign w:val="bottom"/>
          </w:tcPr>
          <w:p>
            <w:pPr>
              <w:spacing w:after="0"/>
              <w:rPr>
                <w:sz w:val="1"/>
                <w:szCs w:val="1"/>
                <w:color w:val="auto"/>
              </w:rPr>
            </w:pPr>
          </w:p>
        </w:tc>
      </w:tr>
      <w:tr>
        <w:trPr>
          <w:trHeight w:val="127"/>
        </w:trPr>
        <w:tc>
          <w:tcPr>
            <w:tcW w:w="19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2"/>
                <w:szCs w:val="12"/>
                <w:b w:val="1"/>
                <w:bCs w:val="1"/>
                <w:color w:val="auto"/>
              </w:rPr>
              <w:t>Property Name</w:t>
            </w:r>
          </w:p>
        </w:tc>
        <w:tc>
          <w:tcPr>
            <w:tcW w:w="13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2"/>
                <w:szCs w:val="12"/>
                <w:b w:val="1"/>
                <w:bCs w:val="1"/>
                <w:color w:val="auto"/>
              </w:rPr>
              <w:t>Location</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Encumbrances</w:t>
            </w:r>
            <w:r>
              <w:rPr>
                <w:rFonts w:ascii="Times New Roman" w:cs="Times New Roman" w:eastAsia="Times New Roman" w:hAnsi="Times New Roman"/>
                <w:sz w:val="16"/>
                <w:szCs w:val="16"/>
                <w:b w:val="1"/>
                <w:bCs w:val="1"/>
                <w:color w:val="auto"/>
                <w:vertAlign w:val="superscript"/>
              </w:rPr>
              <w:t>(1)</w:t>
            </w:r>
          </w:p>
        </w:tc>
        <w:tc>
          <w:tcPr>
            <w:tcW w:w="52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Land</w:t>
            </w:r>
          </w:p>
        </w:tc>
        <w:tc>
          <w:tcPr>
            <w:tcW w:w="760" w:type="dxa"/>
            <w:vAlign w:val="bottom"/>
            <w:gridSpan w:val="2"/>
            <w:vMerge w:val="continue"/>
          </w:tcPr>
          <w:p>
            <w:pPr>
              <w:spacing w:after="0"/>
              <w:rPr>
                <w:sz w:val="11"/>
                <w:szCs w:val="11"/>
                <w:color w:val="auto"/>
              </w:rPr>
            </w:pP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Land</w:t>
            </w:r>
          </w:p>
        </w:tc>
        <w:tc>
          <w:tcPr>
            <w:tcW w:w="7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Land</w:t>
            </w:r>
          </w:p>
        </w:tc>
        <w:tc>
          <w:tcPr>
            <w:tcW w:w="120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Depreciable Assets</w:t>
            </w:r>
          </w:p>
        </w:tc>
        <w:tc>
          <w:tcPr>
            <w:tcW w:w="4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820" w:type="dxa"/>
            <w:vAlign w:val="bottom"/>
            <w:gridSpan w:val="2"/>
            <w:vMerge w:val="continue"/>
          </w:tcPr>
          <w:p>
            <w:pPr>
              <w:spacing w:after="0"/>
              <w:rPr>
                <w:sz w:val="11"/>
                <w:szCs w:val="11"/>
                <w:color w:val="auto"/>
              </w:rPr>
            </w:pPr>
          </w:p>
        </w:tc>
        <w:tc>
          <w:tcPr>
            <w:tcW w:w="40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Date</w:t>
            </w:r>
          </w:p>
        </w:tc>
        <w:tc>
          <w:tcPr>
            <w:tcW w:w="72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Constructed</w:t>
            </w:r>
          </w:p>
        </w:tc>
        <w:tc>
          <w:tcPr>
            <w:tcW w:w="0" w:type="dxa"/>
            <w:vAlign w:val="bottom"/>
          </w:tcPr>
          <w:p>
            <w:pPr>
              <w:spacing w:after="0"/>
              <w:rPr>
                <w:sz w:val="1"/>
                <w:szCs w:val="1"/>
                <w:color w:val="auto"/>
              </w:rPr>
            </w:pPr>
          </w:p>
        </w:tc>
      </w:tr>
      <w:tr>
        <w:trPr>
          <w:trHeight w:val="174"/>
        </w:trPr>
        <w:tc>
          <w:tcPr>
            <w:tcW w:w="1940" w:type="dxa"/>
            <w:vAlign w:val="bottom"/>
            <w:gridSpan w:val="2"/>
            <w:vMerge w:val="continue"/>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Assets</w:t>
            </w:r>
          </w:p>
        </w:tc>
        <w:tc>
          <w:tcPr>
            <w:tcW w:w="680" w:type="dxa"/>
            <w:vAlign w:val="bottom"/>
            <w:gridSpan w:val="2"/>
            <w:vMerge w:val="continue"/>
          </w:tcPr>
          <w:p>
            <w:pPr>
              <w:spacing w:after="0"/>
              <w:rPr>
                <w:sz w:val="15"/>
                <w:szCs w:val="15"/>
                <w:color w:val="auto"/>
              </w:rPr>
            </w:pPr>
          </w:p>
        </w:tc>
        <w:tc>
          <w:tcPr>
            <w:tcW w:w="700" w:type="dxa"/>
            <w:vAlign w:val="bottom"/>
          </w:tcPr>
          <w:p>
            <w:pPr>
              <w:jc w:val="right"/>
              <w:ind w:right="118"/>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20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Depreciation</w:t>
            </w:r>
          </w:p>
        </w:tc>
        <w:tc>
          <w:tcPr>
            <w:tcW w:w="400" w:type="dxa"/>
            <w:vAlign w:val="bottom"/>
            <w:gridSpan w:val="2"/>
            <w:vMerge w:val="continue"/>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(C)</w:t>
            </w:r>
          </w:p>
        </w:tc>
        <w:tc>
          <w:tcPr>
            <w:tcW w:w="0" w:type="dxa"/>
            <w:vAlign w:val="bottom"/>
          </w:tcPr>
          <w:p>
            <w:pPr>
              <w:spacing w:after="0"/>
              <w:rPr>
                <w:sz w:val="1"/>
                <w:szCs w:val="1"/>
                <w:color w:val="auto"/>
              </w:rPr>
            </w:pPr>
          </w:p>
        </w:tc>
      </w:tr>
      <w:tr>
        <w:trPr>
          <w:trHeight w:val="158"/>
        </w:trPr>
        <w:tc>
          <w:tcPr>
            <w:tcW w:w="1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Grand Bay</w:t>
            </w:r>
          </w:p>
        </w:tc>
        <w:tc>
          <w:tcPr>
            <w:tcW w:w="80" w:type="dxa"/>
            <w:vAlign w:val="bottom"/>
          </w:tcPr>
          <w:p>
            <w:pPr>
              <w:spacing w:after="0"/>
              <w:rPr>
                <w:sz w:val="13"/>
                <w:szCs w:val="13"/>
                <w:color w:val="auto"/>
              </w:rPr>
            </w:pPr>
          </w:p>
        </w:tc>
        <w:tc>
          <w:tcPr>
            <w:tcW w:w="1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Dunedin, FL</w:t>
            </w:r>
          </w:p>
        </w:tc>
        <w:tc>
          <w:tcPr>
            <w:tcW w:w="60" w:type="dxa"/>
            <w:vAlign w:val="bottom"/>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60" w:type="dxa"/>
            <w:vAlign w:val="bottom"/>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60" w:type="dxa"/>
            <w:vAlign w:val="bottom"/>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200" w:type="dxa"/>
            <w:vAlign w:val="bottom"/>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60" w:type="dxa"/>
            <w:vAlign w:val="bottom"/>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11.2</w:t>
            </w:r>
          </w:p>
        </w:tc>
        <w:tc>
          <w:tcPr>
            <w:tcW w:w="60" w:type="dxa"/>
            <w:vAlign w:val="bottom"/>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80" w:type="dxa"/>
            <w:vAlign w:val="bottom"/>
          </w:tcPr>
          <w:p>
            <w:pPr>
              <w:spacing w:after="0"/>
              <w:rPr>
                <w:sz w:val="13"/>
                <w:szCs w:val="13"/>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60" w:type="dxa"/>
            <w:vAlign w:val="bottom"/>
          </w:tcPr>
          <w:p>
            <w:pPr>
              <w:spacing w:after="0"/>
              <w:rPr>
                <w:sz w:val="13"/>
                <w:szCs w:val="13"/>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Grand Village</w:t>
            </w:r>
          </w:p>
        </w:tc>
        <w:tc>
          <w:tcPr>
            <w:tcW w:w="1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Grand Rapids, MI</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1996</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Grove Beach</w:t>
            </w:r>
          </w:p>
        </w:tc>
        <w:tc>
          <w:tcPr>
            <w:tcW w:w="13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Westbrook, CT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w:t>
            </w:r>
          </w:p>
        </w:tc>
        <w:tc>
          <w:tcPr>
            <w:tcW w:w="6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2019</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Grove Ridge</w:t>
            </w:r>
          </w:p>
        </w:tc>
        <w:tc>
          <w:tcPr>
            <w:tcW w:w="1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Dade City, FL</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Gulfstream Harbor</w:t>
            </w:r>
          </w:p>
        </w:tc>
        <w:tc>
          <w:tcPr>
            <w:tcW w:w="13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Orlando, FL</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78.9</w:t>
            </w:r>
          </w:p>
        </w:tc>
        <w:tc>
          <w:tcPr>
            <w:tcW w:w="6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99.3</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(29.9)</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2015</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Hacienda Del Rio</w:t>
            </w:r>
          </w:p>
        </w:tc>
        <w:tc>
          <w:tcPr>
            <w:tcW w:w="1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Edgewater, FL</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33.3</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80.3</w:t>
            </w:r>
          </w:p>
        </w:tc>
        <w:tc>
          <w:tcPr>
            <w:tcW w:w="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23.0</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33.3</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136.6</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2019</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Hamlin</w:t>
            </w:r>
          </w:p>
        </w:tc>
        <w:tc>
          <w:tcPr>
            <w:tcW w:w="13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Webberville, MI</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15.6</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1984</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(A&amp;C)</w:t>
            </w:r>
          </w:p>
        </w:tc>
        <w:tc>
          <w:tcPr>
            <w:tcW w:w="0" w:type="dxa"/>
            <w:vAlign w:val="bottom"/>
          </w:tcPr>
          <w:p>
            <w:pPr>
              <w:spacing w:after="0"/>
              <w:rPr>
                <w:sz w:val="1"/>
                <w:szCs w:val="1"/>
                <w:color w:val="auto"/>
              </w:rPr>
            </w:pPr>
          </w:p>
        </w:tc>
      </w:tr>
      <w:tr>
        <w:trPr>
          <w:trHeight w:val="180"/>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Hancock Heights</w:t>
            </w:r>
          </w:p>
        </w:tc>
        <w:tc>
          <w:tcPr>
            <w:tcW w:w="1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Hancock, ME</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w:t>
            </w:r>
          </w:p>
        </w:tc>
        <w:tc>
          <w:tcPr>
            <w:tcW w:w="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2020</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Hawaiian Gardens / Holly Village</w:t>
            </w:r>
          </w:p>
        </w:tc>
        <w:tc>
          <w:tcPr>
            <w:tcW w:w="13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Holly, MI</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w:t>
            </w: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w:t>
            </w:r>
          </w:p>
        </w:tc>
        <w:tc>
          <w:tcPr>
            <w:tcW w:w="6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28.5</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(14.8)</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2004</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Hawk Hollow</w:t>
            </w:r>
          </w:p>
        </w:tc>
        <w:tc>
          <w:tcPr>
            <w:tcW w:w="1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Coolidge, AZ</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w:t>
            </w:r>
          </w:p>
        </w:tc>
        <w:tc>
          <w:tcPr>
            <w:tcW w:w="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w:t>
            </w:r>
          </w:p>
        </w:tc>
        <w:tc>
          <w:tcPr>
            <w:tcW w:w="60" w:type="dxa"/>
            <w:vAlign w:val="bottom"/>
            <w:shd w:val="clear" w:color="auto" w:fill="CCEEFF"/>
          </w:tcPr>
          <w:p>
            <w:pPr>
              <w:spacing w:after="0"/>
              <w:rPr>
                <w:sz w:val="15"/>
                <w:szCs w:val="15"/>
                <w:color w:val="auto"/>
              </w:rPr>
            </w:pPr>
          </w:p>
        </w:tc>
        <w:tc>
          <w:tcPr>
            <w:tcW w:w="12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w:t>
            </w:r>
          </w:p>
        </w:tc>
        <w:tc>
          <w:tcPr>
            <w:tcW w:w="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2024</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Heritage</w:t>
            </w:r>
          </w:p>
        </w:tc>
        <w:tc>
          <w:tcPr>
            <w:tcW w:w="13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Temecula, CA</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w:t>
            </w: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w:t>
            </w:r>
          </w:p>
        </w:tc>
        <w:tc>
          <w:tcPr>
            <w:tcW w:w="6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22.4</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Hickory Hills Village</w:t>
            </w:r>
          </w:p>
        </w:tc>
        <w:tc>
          <w:tcPr>
            <w:tcW w:w="1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Battle Creek, MI</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2011</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Hidden River RV Resort</w:t>
            </w:r>
          </w:p>
        </w:tc>
        <w:tc>
          <w:tcPr>
            <w:tcW w:w="13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Riverview, FL</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w:t>
            </w:r>
          </w:p>
        </w:tc>
        <w:tc>
          <w:tcPr>
            <w:tcW w:w="6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High Point Park</w:t>
            </w:r>
          </w:p>
        </w:tc>
        <w:tc>
          <w:tcPr>
            <w:tcW w:w="1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Frederica, DE</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16.9</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1997</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Highland Greens Estates</w:t>
            </w:r>
          </w:p>
        </w:tc>
        <w:tc>
          <w:tcPr>
            <w:tcW w:w="13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Highland, MI</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38.0</w:t>
            </w:r>
          </w:p>
        </w:tc>
        <w:tc>
          <w:tcPr>
            <w:tcW w:w="6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44.4</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85.5</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2020</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Hillcrest</w:t>
            </w:r>
          </w:p>
        </w:tc>
        <w:tc>
          <w:tcPr>
            <w:tcW w:w="1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Uncasville, CT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w:t>
            </w: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21.9</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2019</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Holiday Park Estates</w:t>
            </w:r>
          </w:p>
        </w:tc>
        <w:tc>
          <w:tcPr>
            <w:tcW w:w="13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Bangor, ME</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w:t>
            </w:r>
          </w:p>
        </w:tc>
        <w:tc>
          <w:tcPr>
            <w:tcW w:w="6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2020</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Holiday West Village</w:t>
            </w:r>
          </w:p>
        </w:tc>
        <w:tc>
          <w:tcPr>
            <w:tcW w:w="1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Holland, MI</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w:t>
            </w:r>
          </w:p>
        </w:tc>
        <w:tc>
          <w:tcPr>
            <w:tcW w:w="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2011</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Holly Forest</w:t>
            </w:r>
          </w:p>
        </w:tc>
        <w:tc>
          <w:tcPr>
            <w:tcW w:w="13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Holly Hill, FL</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w:t>
            </w: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6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1997</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Horseshoe Cove RV Resort</w:t>
            </w:r>
          </w:p>
        </w:tc>
        <w:tc>
          <w:tcPr>
            <w:tcW w:w="1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Bradenton, FL</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32.6</w:t>
            </w:r>
          </w:p>
        </w:tc>
        <w:tc>
          <w:tcPr>
            <w:tcW w:w="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49.9</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Hunters Glen</w:t>
            </w:r>
          </w:p>
        </w:tc>
        <w:tc>
          <w:tcPr>
            <w:tcW w:w="13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Wayland, MI</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w:t>
            </w: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19.8</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33.1</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2004</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(C)</w:t>
            </w:r>
          </w:p>
        </w:tc>
        <w:tc>
          <w:tcPr>
            <w:tcW w:w="0" w:type="dxa"/>
            <w:vAlign w:val="bottom"/>
          </w:tcPr>
          <w:p>
            <w:pPr>
              <w:spacing w:after="0"/>
              <w:rPr>
                <w:sz w:val="1"/>
                <w:szCs w:val="1"/>
                <w:color w:val="auto"/>
              </w:rPr>
            </w:pPr>
          </w:p>
        </w:tc>
      </w:tr>
      <w:tr>
        <w:trPr>
          <w:trHeight w:val="180"/>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Huntington Run</w:t>
            </w:r>
          </w:p>
        </w:tc>
        <w:tc>
          <w:tcPr>
            <w:tcW w:w="1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Kalamazoo, MI</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w:t>
            </w:r>
          </w:p>
        </w:tc>
        <w:tc>
          <w:tcPr>
            <w:tcW w:w="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16.7</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2021</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Hyde Park</w:t>
            </w:r>
          </w:p>
        </w:tc>
        <w:tc>
          <w:tcPr>
            <w:tcW w:w="13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Easton, MD</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w:t>
            </w:r>
          </w:p>
        </w:tc>
        <w:tc>
          <w:tcPr>
            <w:tcW w:w="6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26.3</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2019</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Independence Commons</w:t>
            </w:r>
          </w:p>
        </w:tc>
        <w:tc>
          <w:tcPr>
            <w:tcW w:w="1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Potterville, MI</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34.1</w:t>
            </w:r>
          </w:p>
        </w:tc>
        <w:tc>
          <w:tcPr>
            <w:tcW w:w="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40.8</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2025</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Indian Wells</w:t>
            </w:r>
          </w:p>
        </w:tc>
        <w:tc>
          <w:tcPr>
            <w:tcW w:w="13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Indio, CA</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19.5</w:t>
            </w:r>
          </w:p>
        </w:tc>
        <w:tc>
          <w:tcPr>
            <w:tcW w:w="6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29.2</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26"/>
        </w:trPr>
        <w:tc>
          <w:tcPr>
            <w:tcW w:w="194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2"/>
                <w:szCs w:val="12"/>
                <w:color w:val="auto"/>
              </w:rPr>
              <w:t>Jellystone Park™ Androscoggin</w:t>
            </w:r>
          </w:p>
        </w:tc>
        <w:tc>
          <w:tcPr>
            <w:tcW w:w="13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North Monmouth, ME</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6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6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6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1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20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6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w:t>
            </w:r>
          </w:p>
        </w:tc>
        <w:tc>
          <w:tcPr>
            <w:tcW w:w="6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8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2021</w:t>
            </w:r>
          </w:p>
        </w:tc>
        <w:tc>
          <w:tcPr>
            <w:tcW w:w="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70"/>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Lake</w:t>
            </w:r>
          </w:p>
        </w:tc>
        <w:tc>
          <w:tcPr>
            <w:tcW w:w="1300" w:type="dxa"/>
            <w:vAlign w:val="bottom"/>
            <w:gridSpan w:val="2"/>
            <w:vMerge w:val="continue"/>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94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2"/>
                <w:szCs w:val="12"/>
                <w:color w:val="auto"/>
              </w:rPr>
              <w:t>Jellystone Park™ at Birchwood</w:t>
            </w: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Greenfield Park, NY</w:t>
            </w:r>
          </w:p>
        </w:tc>
        <w:tc>
          <w:tcPr>
            <w:tcW w:w="10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6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6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1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11.3</w:t>
            </w:r>
          </w:p>
        </w:tc>
        <w:tc>
          <w:tcPr>
            <w:tcW w:w="20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6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16.8</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17.4</w:t>
            </w:r>
          </w:p>
        </w:tc>
        <w:tc>
          <w:tcPr>
            <w:tcW w:w="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8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2013</w:t>
            </w:r>
          </w:p>
        </w:tc>
        <w:tc>
          <w:tcPr>
            <w:tcW w:w="60" w:type="dxa"/>
            <w:vAlign w:val="bottom"/>
          </w:tcPr>
          <w:p>
            <w:pPr>
              <w:spacing w:after="0"/>
              <w:rPr>
                <w:sz w:val="10"/>
                <w:szCs w:val="10"/>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5"/>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Acres</w:t>
            </w:r>
          </w:p>
        </w:tc>
        <w:tc>
          <w:tcPr>
            <w:tcW w:w="130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Jellystone Park™ Barton Lake</w:t>
            </w:r>
          </w:p>
        </w:tc>
        <w:tc>
          <w:tcPr>
            <w:tcW w:w="1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Fremont, IN</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32.3</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37.0</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2020</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74"/>
        </w:trPr>
        <w:tc>
          <w:tcPr>
            <w:tcW w:w="194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2"/>
                <w:szCs w:val="12"/>
                <w:color w:val="auto"/>
              </w:rPr>
              <w:t>Jellystone Park™ Canyon Lake</w:t>
            </w:r>
            <w:r>
              <w:rPr>
                <w:rFonts w:ascii="Times New Roman" w:cs="Times New Roman" w:eastAsia="Times New Roman" w:hAnsi="Times New Roman"/>
                <w:sz w:val="16"/>
                <w:szCs w:val="16"/>
                <w:color w:val="auto"/>
                <w:vertAlign w:val="superscript"/>
              </w:rPr>
              <w:t>(6)</w:t>
            </w:r>
          </w:p>
        </w:tc>
        <w:tc>
          <w:tcPr>
            <w:tcW w:w="13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Canyon Lake, TX</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20.7</w:t>
            </w:r>
          </w:p>
        </w:tc>
        <w:tc>
          <w:tcPr>
            <w:tcW w:w="60" w:type="dxa"/>
            <w:vAlign w:val="bottom"/>
          </w:tcPr>
          <w:p>
            <w:pPr>
              <w:spacing w:after="0"/>
              <w:rPr>
                <w:sz w:val="15"/>
                <w:szCs w:val="15"/>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w:t>
            </w: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30.3</w:t>
            </w:r>
          </w:p>
        </w:tc>
        <w:tc>
          <w:tcPr>
            <w:tcW w:w="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w:t>
            </w:r>
          </w:p>
        </w:tc>
        <w:tc>
          <w:tcPr>
            <w:tcW w:w="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2018</w:t>
            </w:r>
          </w:p>
        </w:tc>
        <w:tc>
          <w:tcPr>
            <w:tcW w:w="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74"/>
        </w:trPr>
        <w:tc>
          <w:tcPr>
            <w:tcW w:w="194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2"/>
                <w:szCs w:val="12"/>
                <w:color w:val="auto"/>
              </w:rPr>
              <w:t>Jellystone Park™ Gardiner</w:t>
            </w:r>
            <w:r>
              <w:rPr>
                <w:rFonts w:ascii="Times New Roman" w:cs="Times New Roman" w:eastAsia="Times New Roman" w:hAnsi="Times New Roman"/>
                <w:sz w:val="16"/>
                <w:szCs w:val="16"/>
                <w:color w:val="auto"/>
                <w:vertAlign w:val="superscript"/>
              </w:rPr>
              <w:t>(6)</w:t>
            </w:r>
          </w:p>
        </w:tc>
        <w:tc>
          <w:tcPr>
            <w:tcW w:w="1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Gardiner, NY</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28.4</w:t>
            </w:r>
          </w:p>
        </w:tc>
        <w:tc>
          <w:tcPr>
            <w:tcW w:w="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48.4</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2018</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Jellystone Park™ Glen Ellis</w:t>
            </w:r>
          </w:p>
        </w:tc>
        <w:tc>
          <w:tcPr>
            <w:tcW w:w="13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Glen, NH</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6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20.6</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2019</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Jellystone Park™ Golden Valley</w:t>
            </w:r>
          </w:p>
        </w:tc>
        <w:tc>
          <w:tcPr>
            <w:tcW w:w="1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Bostic, NC</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65.9</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75.0</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2018</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(A&amp;C)</w:t>
            </w:r>
          </w:p>
        </w:tc>
        <w:tc>
          <w:tcPr>
            <w:tcW w:w="0" w:type="dxa"/>
            <w:vAlign w:val="bottom"/>
          </w:tcPr>
          <w:p>
            <w:pPr>
              <w:spacing w:after="0"/>
              <w:rPr>
                <w:sz w:val="1"/>
                <w:szCs w:val="1"/>
                <w:color w:val="auto"/>
              </w:rPr>
            </w:pPr>
          </w:p>
        </w:tc>
      </w:tr>
      <w:tr>
        <w:trPr>
          <w:trHeight w:val="160"/>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Jellystone Park™ Guadalupe River</w:t>
            </w:r>
          </w:p>
        </w:tc>
        <w:tc>
          <w:tcPr>
            <w:tcW w:w="13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Kerrville, TX</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23.9</w:t>
            </w:r>
          </w:p>
        </w:tc>
        <w:tc>
          <w:tcPr>
            <w:tcW w:w="60" w:type="dxa"/>
            <w:vAlign w:val="bottom"/>
          </w:tcPr>
          <w:p>
            <w:pPr>
              <w:spacing w:after="0"/>
              <w:rPr>
                <w:sz w:val="13"/>
                <w:szCs w:val="13"/>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w:t>
            </w:r>
          </w:p>
        </w:tc>
        <w:tc>
          <w:tcPr>
            <w:tcW w:w="200" w:type="dxa"/>
            <w:vAlign w:val="bottom"/>
            <w:vMerge w:val="restart"/>
          </w:tcPr>
          <w:p>
            <w:pPr>
              <w:jc w:val="right"/>
              <w:ind w:right="60"/>
              <w:spacing w:after="0"/>
              <w:rPr>
                <w:sz w:val="20"/>
                <w:szCs w:val="20"/>
                <w:color w:val="auto"/>
              </w:rPr>
            </w:pPr>
            <w:r>
              <w:rPr>
                <w:rFonts w:ascii="Times New Roman" w:cs="Times New Roman" w:eastAsia="Times New Roman" w:hAnsi="Times New Roman"/>
                <w:sz w:val="8"/>
                <w:szCs w:val="8"/>
                <w:color w:val="auto"/>
                <w:w w:val="85"/>
              </w:rPr>
              <w:t>(9)</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39.7</w:t>
            </w:r>
          </w:p>
        </w:tc>
        <w:tc>
          <w:tcPr>
            <w:tcW w:w="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2018</w:t>
            </w:r>
          </w:p>
        </w:tc>
        <w:tc>
          <w:tcPr>
            <w:tcW w:w="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5"/>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Jellystone Park™ Larkspur</w:t>
            </w:r>
          </w:p>
        </w:tc>
        <w:tc>
          <w:tcPr>
            <w:tcW w:w="13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Larkspur, CO</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108.8</w:t>
            </w:r>
          </w:p>
        </w:tc>
        <w:tc>
          <w:tcPr>
            <w:tcW w:w="200" w:type="dxa"/>
            <w:vAlign w:val="bottom"/>
            <w:vMerge w:val="continue"/>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116.6</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(30.8)</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(A&amp;C)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-95885</wp:posOffset>
            </wp:positionV>
            <wp:extent cx="7144385" cy="1104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6">
                      <a:extLst>
                        <a:ext uri="{28A0092B-C50C-407E-A947-70E740481C1C}"/>
                      </a:extLst>
                    </a:blip>
                    <a:srcRect/>
                    <a:stretch>
                      <a:fillRect/>
                    </a:stretch>
                  </pic:blipFill>
                  <pic:spPr bwMode="auto">
                    <a:xfrm>
                      <a:off x="0" y="0"/>
                      <a:ext cx="7144385" cy="1104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 - 49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04" w:name="page105"/>
    <w:bookmarkEnd w:id="104"/>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REAL ESTATE AND ACCUMULATED DEPRECIATION, SCHEDULE III</w:t>
      </w:r>
    </w:p>
    <w:p>
      <w:pPr>
        <w:spacing w:after="0" w:line="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DECEMBER 31, 2025</w:t>
      </w:r>
    </w:p>
    <w:p>
      <w:pPr>
        <w:spacing w:after="0" w:line="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(amounts in millions)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4"/>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Costs Capitalized</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0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Initial Cost to</w:t>
            </w:r>
          </w:p>
        </w:tc>
        <w:tc>
          <w:tcPr>
            <w:tcW w:w="1540" w:type="dxa"/>
            <w:vAlign w:val="bottom"/>
            <w:gridSpan w:val="4"/>
          </w:tcPr>
          <w:p>
            <w:pPr>
              <w:jc w:val="center"/>
              <w:ind w:right="200"/>
              <w:spacing w:after="0" w:line="126" w:lineRule="exact"/>
              <w:rPr>
                <w:sz w:val="20"/>
                <w:szCs w:val="20"/>
                <w:color w:val="auto"/>
              </w:rPr>
            </w:pPr>
            <w:r>
              <w:rPr>
                <w:rFonts w:ascii="Times New Roman" w:cs="Times New Roman" w:eastAsia="Times New Roman" w:hAnsi="Times New Roman"/>
                <w:sz w:val="12"/>
                <w:szCs w:val="12"/>
                <w:b w:val="1"/>
                <w:bCs w:val="1"/>
                <w:color w:val="auto"/>
              </w:rPr>
              <w:t>Subsequent to</w:t>
            </w:r>
          </w:p>
        </w:tc>
        <w:tc>
          <w:tcPr>
            <w:tcW w:w="1740" w:type="dxa"/>
            <w:vAlign w:val="bottom"/>
            <w:gridSpan w:val="5"/>
            <w:vMerge w:val="restart"/>
          </w:tcPr>
          <w:p>
            <w:pPr>
              <w:jc w:val="center"/>
              <w:ind w:left="318"/>
              <w:spacing w:after="0"/>
              <w:rPr>
                <w:sz w:val="20"/>
                <w:szCs w:val="20"/>
                <w:color w:val="auto"/>
              </w:rPr>
            </w:pPr>
            <w:r>
              <w:rPr>
                <w:rFonts w:ascii="Times New Roman" w:cs="Times New Roman" w:eastAsia="Times New Roman" w:hAnsi="Times New Roman"/>
                <w:sz w:val="12"/>
                <w:szCs w:val="12"/>
                <w:b w:val="1"/>
                <w:bCs w:val="1"/>
                <w:color w:val="auto"/>
              </w:rPr>
              <w:t>Gross Amount Carried at</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00" w:type="dxa"/>
            <w:vAlign w:val="bottom"/>
            <w:gridSpan w:val="4"/>
            <w:vMerge w:val="continue"/>
          </w:tcPr>
          <w:p>
            <w:pPr>
              <w:spacing w:after="0"/>
              <w:rPr>
                <w:sz w:val="11"/>
                <w:szCs w:val="11"/>
                <w:color w:val="auto"/>
              </w:rPr>
            </w:pPr>
          </w:p>
        </w:tc>
        <w:tc>
          <w:tcPr>
            <w:tcW w:w="1540" w:type="dxa"/>
            <w:vAlign w:val="bottom"/>
            <w:gridSpan w:val="4"/>
          </w:tcPr>
          <w:p>
            <w:pPr>
              <w:jc w:val="center"/>
              <w:ind w:right="200"/>
              <w:spacing w:after="0" w:line="128" w:lineRule="exact"/>
              <w:rPr>
                <w:sz w:val="20"/>
                <w:szCs w:val="20"/>
                <w:color w:val="auto"/>
              </w:rPr>
            </w:pPr>
            <w:r>
              <w:rPr>
                <w:rFonts w:ascii="Times New Roman" w:cs="Times New Roman" w:eastAsia="Times New Roman" w:hAnsi="Times New Roman"/>
                <w:sz w:val="12"/>
                <w:szCs w:val="12"/>
                <w:b w:val="1"/>
                <w:bCs w:val="1"/>
                <w:color w:val="auto"/>
              </w:rPr>
              <w:t>Acquisition</w:t>
            </w:r>
          </w:p>
        </w:tc>
        <w:tc>
          <w:tcPr>
            <w:tcW w:w="1740" w:type="dxa"/>
            <w:vAlign w:val="bottom"/>
            <w:gridSpan w:val="5"/>
            <w:vMerge w:val="continue"/>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4"/>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Company</w:t>
            </w:r>
          </w:p>
        </w:tc>
        <w:tc>
          <w:tcPr>
            <w:tcW w:w="1540" w:type="dxa"/>
            <w:vAlign w:val="bottom"/>
            <w:gridSpan w:val="4"/>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(Improvements)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w w:val="99"/>
              </w:rPr>
              <w:t>Acquired</w:t>
            </w:r>
          </w:p>
        </w:tc>
        <w:tc>
          <w:tcPr>
            <w:tcW w:w="0" w:type="dxa"/>
            <w:vAlign w:val="bottom"/>
          </w:tcPr>
          <w:p>
            <w:pPr>
              <w:spacing w:after="0"/>
              <w:rPr>
                <w:sz w:val="1"/>
                <w:szCs w:val="1"/>
                <w:color w:val="auto"/>
              </w:rPr>
            </w:pPr>
          </w:p>
        </w:tc>
      </w:tr>
      <w:tr>
        <w:trPr>
          <w:trHeight w:val="126"/>
        </w:trPr>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Depreciable</w:t>
            </w: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Depreciable</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(A) or</w:t>
            </w:r>
          </w:p>
        </w:tc>
        <w:tc>
          <w:tcPr>
            <w:tcW w:w="0" w:type="dxa"/>
            <w:vAlign w:val="bottom"/>
          </w:tcPr>
          <w:p>
            <w:pPr>
              <w:spacing w:after="0"/>
              <w:rPr>
                <w:sz w:val="1"/>
                <w:szCs w:val="1"/>
                <w:color w:val="auto"/>
              </w:rPr>
            </w:pPr>
          </w:p>
        </w:tc>
      </w:tr>
      <w:tr>
        <w:trPr>
          <w:trHeight w:val="127"/>
        </w:trPr>
        <w:tc>
          <w:tcPr>
            <w:tcW w:w="1980" w:type="dxa"/>
            <w:vAlign w:val="bottom"/>
            <w:gridSpan w:val="2"/>
            <w:vMerge w:val="restart"/>
          </w:tcPr>
          <w:p>
            <w:pPr>
              <w:ind w:left="540"/>
              <w:spacing w:after="0"/>
              <w:rPr>
                <w:sz w:val="20"/>
                <w:szCs w:val="20"/>
                <w:color w:val="auto"/>
              </w:rPr>
            </w:pPr>
            <w:r>
              <w:rPr>
                <w:rFonts w:ascii="Times New Roman" w:cs="Times New Roman" w:eastAsia="Times New Roman" w:hAnsi="Times New Roman"/>
                <w:sz w:val="12"/>
                <w:szCs w:val="12"/>
                <w:b w:val="1"/>
                <w:bCs w:val="1"/>
                <w:color w:val="auto"/>
              </w:rPr>
              <w:t>Property Name</w:t>
            </w:r>
          </w:p>
        </w:tc>
        <w:tc>
          <w:tcPr>
            <w:tcW w:w="13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2"/>
                <w:szCs w:val="12"/>
                <w:b w:val="1"/>
                <w:bCs w:val="1"/>
                <w:color w:val="auto"/>
              </w:rPr>
              <w:t>Location</w:t>
            </w:r>
          </w:p>
        </w:tc>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Encumbrances</w:t>
            </w:r>
            <w:r>
              <w:rPr>
                <w:rFonts w:ascii="Times New Roman" w:cs="Times New Roman" w:eastAsia="Times New Roman" w:hAnsi="Times New Roman"/>
                <w:sz w:val="16"/>
                <w:szCs w:val="16"/>
                <w:b w:val="1"/>
                <w:bCs w:val="1"/>
                <w:color w:val="auto"/>
                <w:vertAlign w:val="superscript"/>
              </w:rPr>
              <w:t>(1)</w:t>
            </w:r>
          </w:p>
        </w:tc>
        <w:tc>
          <w:tcPr>
            <w:tcW w:w="52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Land</w:t>
            </w:r>
          </w:p>
        </w:tc>
        <w:tc>
          <w:tcPr>
            <w:tcW w:w="780" w:type="dxa"/>
            <w:vAlign w:val="bottom"/>
            <w:gridSpan w:val="2"/>
            <w:vMerge w:val="continue"/>
          </w:tcPr>
          <w:p>
            <w:pPr>
              <w:spacing w:after="0"/>
              <w:rPr>
                <w:sz w:val="11"/>
                <w:szCs w:val="11"/>
                <w:color w:val="auto"/>
              </w:rPr>
            </w:pP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Land</w:t>
            </w:r>
          </w:p>
        </w:tc>
        <w:tc>
          <w:tcPr>
            <w:tcW w:w="880" w:type="dxa"/>
            <w:vAlign w:val="bottom"/>
            <w:gridSpan w:val="2"/>
            <w:vMerge w:val="continue"/>
          </w:tcPr>
          <w:p>
            <w:pPr>
              <w:spacing w:after="0"/>
              <w:rPr>
                <w:sz w:val="11"/>
                <w:szCs w:val="11"/>
                <w:color w:val="auto"/>
              </w:rPr>
            </w:pPr>
          </w:p>
        </w:tc>
        <w:tc>
          <w:tcPr>
            <w:tcW w:w="5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Land</w:t>
            </w:r>
          </w:p>
        </w:tc>
        <w:tc>
          <w:tcPr>
            <w:tcW w:w="118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Depreciable Assets</w:t>
            </w:r>
          </w:p>
        </w:tc>
        <w:tc>
          <w:tcPr>
            <w:tcW w:w="4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820" w:type="dxa"/>
            <w:vAlign w:val="bottom"/>
            <w:gridSpan w:val="2"/>
            <w:vMerge w:val="continue"/>
          </w:tcPr>
          <w:p>
            <w:pPr>
              <w:spacing w:after="0"/>
              <w:rPr>
                <w:sz w:val="11"/>
                <w:szCs w:val="11"/>
                <w:color w:val="auto"/>
              </w:rPr>
            </w:pPr>
          </w:p>
        </w:tc>
        <w:tc>
          <w:tcPr>
            <w:tcW w:w="40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Date</w:t>
            </w:r>
          </w:p>
        </w:tc>
        <w:tc>
          <w:tcPr>
            <w:tcW w:w="72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Constructed</w:t>
            </w:r>
          </w:p>
        </w:tc>
        <w:tc>
          <w:tcPr>
            <w:tcW w:w="0" w:type="dxa"/>
            <w:vAlign w:val="bottom"/>
          </w:tcPr>
          <w:p>
            <w:pPr>
              <w:spacing w:after="0"/>
              <w:rPr>
                <w:sz w:val="1"/>
                <w:szCs w:val="1"/>
                <w:color w:val="auto"/>
              </w:rPr>
            </w:pPr>
          </w:p>
        </w:tc>
      </w:tr>
      <w:tr>
        <w:trPr>
          <w:trHeight w:val="174"/>
        </w:trPr>
        <w:tc>
          <w:tcPr>
            <w:tcW w:w="1980" w:type="dxa"/>
            <w:vAlign w:val="bottom"/>
            <w:gridSpan w:val="2"/>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660" w:type="dxa"/>
            <w:vAlign w:val="bottom"/>
            <w:gridSpan w:val="2"/>
            <w:vMerge w:val="continue"/>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Assets</w:t>
            </w:r>
          </w:p>
        </w:tc>
        <w:tc>
          <w:tcPr>
            <w:tcW w:w="560" w:type="dxa"/>
            <w:vAlign w:val="bottom"/>
            <w:gridSpan w:val="2"/>
            <w:vMerge w:val="continue"/>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Depreciation</w:t>
            </w:r>
          </w:p>
        </w:tc>
        <w:tc>
          <w:tcPr>
            <w:tcW w:w="400" w:type="dxa"/>
            <w:vAlign w:val="bottom"/>
            <w:gridSpan w:val="2"/>
            <w:vMerge w:val="continue"/>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(C)</w:t>
            </w:r>
          </w:p>
        </w:tc>
        <w:tc>
          <w:tcPr>
            <w:tcW w:w="0" w:type="dxa"/>
            <w:vAlign w:val="bottom"/>
          </w:tcPr>
          <w:p>
            <w:pPr>
              <w:spacing w:after="0"/>
              <w:rPr>
                <w:sz w:val="1"/>
                <w:szCs w:val="1"/>
                <w:color w:val="auto"/>
              </w:rPr>
            </w:pPr>
          </w:p>
        </w:tc>
      </w:tr>
      <w:tr>
        <w:trPr>
          <w:trHeight w:val="158"/>
        </w:trPr>
        <w:tc>
          <w:tcPr>
            <w:tcW w:w="1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Jellystone Park™ Luray</w:t>
            </w:r>
          </w:p>
        </w:tc>
        <w:tc>
          <w:tcPr>
            <w:tcW w:w="80" w:type="dxa"/>
            <w:vAlign w:val="bottom"/>
          </w:tcPr>
          <w:p>
            <w:pPr>
              <w:spacing w:after="0"/>
              <w:rPr>
                <w:sz w:val="13"/>
                <w:szCs w:val="13"/>
                <w:color w:val="auto"/>
              </w:rPr>
            </w:pPr>
          </w:p>
        </w:tc>
        <w:tc>
          <w:tcPr>
            <w:tcW w:w="1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East Luray, VA</w:t>
            </w:r>
          </w:p>
        </w:tc>
        <w:tc>
          <w:tcPr>
            <w:tcW w:w="80" w:type="dxa"/>
            <w:vAlign w:val="bottom"/>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60" w:type="dxa"/>
            <w:vAlign w:val="bottom"/>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29.6</w:t>
            </w:r>
          </w:p>
        </w:tc>
        <w:tc>
          <w:tcPr>
            <w:tcW w:w="8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12.4</w:t>
            </w:r>
          </w:p>
        </w:tc>
        <w:tc>
          <w:tcPr>
            <w:tcW w:w="18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80" w:type="dxa"/>
            <w:vAlign w:val="bottom"/>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42.0</w:t>
            </w: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45.2</w:t>
            </w:r>
          </w:p>
        </w:tc>
        <w:tc>
          <w:tcPr>
            <w:tcW w:w="60" w:type="dxa"/>
            <w:vAlign w:val="bottom"/>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(11.8)</w:t>
            </w:r>
          </w:p>
        </w:tc>
        <w:tc>
          <w:tcPr>
            <w:tcW w:w="80" w:type="dxa"/>
            <w:vAlign w:val="bottom"/>
          </w:tcPr>
          <w:p>
            <w:pPr>
              <w:spacing w:after="0"/>
              <w:rPr>
                <w:sz w:val="13"/>
                <w:szCs w:val="13"/>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2018</w:t>
            </w:r>
          </w:p>
        </w:tc>
        <w:tc>
          <w:tcPr>
            <w:tcW w:w="60" w:type="dxa"/>
            <w:vAlign w:val="bottom"/>
          </w:tcPr>
          <w:p>
            <w:pPr>
              <w:spacing w:after="0"/>
              <w:rPr>
                <w:sz w:val="13"/>
                <w:szCs w:val="13"/>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Jellystone Park™ Mammoth Cave</w:t>
            </w:r>
          </w:p>
        </w:tc>
        <w:tc>
          <w:tcPr>
            <w:tcW w:w="1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Cave City, KY</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32.5</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33.2</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35.5</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2021</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19"/>
        </w:trPr>
        <w:tc>
          <w:tcPr>
            <w:tcW w:w="1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auto"/>
              </w:rPr>
              <w:t>Jellystone Park™ Natural Bridge</w:t>
            </w:r>
          </w:p>
        </w:tc>
        <w:tc>
          <w:tcPr>
            <w:tcW w:w="1320" w:type="dxa"/>
            <w:vAlign w:val="bottom"/>
            <w:gridSpan w:val="2"/>
          </w:tcPr>
          <w:p>
            <w:pPr>
              <w:spacing w:after="0" w:line="120" w:lineRule="exact"/>
              <w:rPr>
                <w:sz w:val="20"/>
                <w:szCs w:val="20"/>
                <w:color w:val="auto"/>
              </w:rPr>
            </w:pPr>
            <w:r>
              <w:rPr>
                <w:rFonts w:ascii="Times New Roman" w:cs="Times New Roman" w:eastAsia="Times New Roman" w:hAnsi="Times New Roman"/>
                <w:sz w:val="12"/>
                <w:szCs w:val="12"/>
                <w:color w:val="auto"/>
              </w:rPr>
              <w:t>Natural Bridge Station,</w:t>
            </w:r>
          </w:p>
        </w:tc>
        <w:tc>
          <w:tcPr>
            <w:tcW w:w="9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6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11.7</w:t>
            </w:r>
          </w:p>
        </w:tc>
        <w:tc>
          <w:tcPr>
            <w:tcW w:w="80" w:type="dxa"/>
            <w:vAlign w:val="bottom"/>
          </w:tcPr>
          <w:p>
            <w:pPr>
              <w:spacing w:after="0"/>
              <w:rPr>
                <w:sz w:val="10"/>
                <w:szCs w:val="10"/>
                <w:color w:val="auto"/>
              </w:rPr>
            </w:pPr>
          </w:p>
        </w:tc>
        <w:tc>
          <w:tcPr>
            <w:tcW w:w="6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18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8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17.7</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18.6</w:t>
            </w:r>
          </w:p>
        </w:tc>
        <w:tc>
          <w:tcPr>
            <w:tcW w:w="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8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2020</w:t>
            </w:r>
          </w:p>
        </w:tc>
        <w:tc>
          <w:tcPr>
            <w:tcW w:w="60" w:type="dxa"/>
            <w:vAlign w:val="bottom"/>
          </w:tcPr>
          <w:p>
            <w:pPr>
              <w:spacing w:after="0"/>
              <w:rPr>
                <w:sz w:val="10"/>
                <w:szCs w:val="10"/>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5"/>
        </w:trPr>
        <w:tc>
          <w:tcPr>
            <w:tcW w:w="1980" w:type="dxa"/>
            <w:vAlign w:val="bottom"/>
            <w:gridSpan w:val="2"/>
            <w:vMerge w:val="continue"/>
          </w:tcPr>
          <w:p>
            <w:pPr>
              <w:spacing w:after="0"/>
              <w:rPr>
                <w:sz w:val="14"/>
                <w:szCs w:val="1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VA</w:t>
            </w:r>
          </w:p>
        </w:tc>
        <w:tc>
          <w:tcPr>
            <w:tcW w:w="98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980" w:type="dxa"/>
            <w:vAlign w:val="bottom"/>
            <w:gridSpan w:val="2"/>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Jellystone Park™ of Western New</w:t>
            </w:r>
          </w:p>
        </w:tc>
        <w:tc>
          <w:tcPr>
            <w:tcW w:w="1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North Java, NY</w:t>
            </w:r>
          </w:p>
        </w:tc>
        <w:tc>
          <w:tcPr>
            <w:tcW w:w="9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6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w:t>
            </w: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w:t>
            </w:r>
          </w:p>
        </w:tc>
        <w:tc>
          <w:tcPr>
            <w:tcW w:w="18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8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22.9</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23.8</w:t>
            </w:r>
          </w:p>
        </w:tc>
        <w:tc>
          <w:tcPr>
            <w:tcW w:w="6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w:t>
            </w:r>
          </w:p>
        </w:tc>
        <w:tc>
          <w:tcPr>
            <w:tcW w:w="8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2013</w:t>
            </w:r>
          </w:p>
        </w:tc>
        <w:tc>
          <w:tcPr>
            <w:tcW w:w="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70"/>
        </w:trPr>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York</w:t>
            </w:r>
          </w:p>
        </w:tc>
        <w:tc>
          <w:tcPr>
            <w:tcW w:w="132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Jellystone Park™ Petoskey</w:t>
            </w:r>
          </w:p>
        </w:tc>
        <w:tc>
          <w:tcPr>
            <w:tcW w:w="1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Petoskey, MI</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w:t>
            </w: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2018</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Jellystone Park™ Quarryville</w:t>
            </w:r>
          </w:p>
        </w:tc>
        <w:tc>
          <w:tcPr>
            <w:tcW w:w="1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Quarryville, PA</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33.8</w:t>
            </w: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w:t>
            </w: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47.4</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51.3</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2018</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Jellystone Park™ South Jersey</w:t>
            </w:r>
          </w:p>
        </w:tc>
        <w:tc>
          <w:tcPr>
            <w:tcW w:w="1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Williamstown, NJ</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15.6</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21.7</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2021</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8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2"/>
                <w:szCs w:val="12"/>
                <w:color w:val="auto"/>
              </w:rPr>
              <w:t>Jellystone Park™ Tower Park</w:t>
            </w:r>
            <w:r>
              <w:rPr>
                <w:rFonts w:ascii="Times New Roman" w:cs="Times New Roman" w:eastAsia="Times New Roman" w:hAnsi="Times New Roman"/>
                <w:sz w:val="16"/>
                <w:szCs w:val="16"/>
                <w:color w:val="auto"/>
                <w:vertAlign w:val="superscript"/>
              </w:rPr>
              <w:t>(2)</w:t>
            </w:r>
          </w:p>
        </w:tc>
        <w:tc>
          <w:tcPr>
            <w:tcW w:w="1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Lodi, CA</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29.8</w:t>
            </w: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37.3</w:t>
            </w: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67.1</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69.7</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2018</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Jellystone Park™ Waller</w:t>
            </w:r>
          </w:p>
        </w:tc>
        <w:tc>
          <w:tcPr>
            <w:tcW w:w="1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Waller, TX</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19.4</w:t>
            </w:r>
          </w:p>
        </w:tc>
        <w:tc>
          <w:tcPr>
            <w:tcW w:w="8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21.2</w:t>
            </w: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42.4</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2020</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Jellystone Park™ Wichita Falls</w:t>
            </w:r>
          </w:p>
        </w:tc>
        <w:tc>
          <w:tcPr>
            <w:tcW w:w="1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Wichita Falls, TX</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w:t>
            </w: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2021</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Jellystone Park™ Williamsport</w:t>
            </w:r>
          </w:p>
        </w:tc>
        <w:tc>
          <w:tcPr>
            <w:tcW w:w="1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Williamsport, MD</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23.7</w:t>
            </w:r>
          </w:p>
        </w:tc>
        <w:tc>
          <w:tcPr>
            <w:tcW w:w="8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w:t>
            </w: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36.8</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2018</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26"/>
        </w:trPr>
        <w:tc>
          <w:tcPr>
            <w:tcW w:w="198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2"/>
                <w:szCs w:val="12"/>
                <w:color w:val="auto"/>
              </w:rPr>
              <w:t>Jellystone Park™ Chincoteague</w:t>
            </w:r>
          </w:p>
        </w:tc>
        <w:tc>
          <w:tcPr>
            <w:tcW w:w="1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Chincoteague, VA</w:t>
            </w:r>
          </w:p>
        </w:tc>
        <w:tc>
          <w:tcPr>
            <w:tcW w:w="9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6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w:t>
            </w: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16.9</w:t>
            </w:r>
          </w:p>
        </w:tc>
        <w:tc>
          <w:tcPr>
            <w:tcW w:w="18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8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30.7</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36.4</w:t>
            </w:r>
          </w:p>
        </w:tc>
        <w:tc>
          <w:tcPr>
            <w:tcW w:w="6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8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2019</w:t>
            </w:r>
          </w:p>
        </w:tc>
        <w:tc>
          <w:tcPr>
            <w:tcW w:w="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70"/>
        </w:trPr>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Island</w:t>
            </w:r>
          </w:p>
        </w:tc>
        <w:tc>
          <w:tcPr>
            <w:tcW w:w="132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Kensington Meadows</w:t>
            </w:r>
          </w:p>
        </w:tc>
        <w:tc>
          <w:tcPr>
            <w:tcW w:w="1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Lansing, MI</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15.9</w:t>
            </w: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8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w:t>
            </w: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1995</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(A&amp;C)</w:t>
            </w:r>
          </w:p>
        </w:tc>
        <w:tc>
          <w:tcPr>
            <w:tcW w:w="0" w:type="dxa"/>
            <w:vAlign w:val="bottom"/>
          </w:tcPr>
          <w:p>
            <w:pPr>
              <w:spacing w:after="0"/>
              <w:rPr>
                <w:sz w:val="1"/>
                <w:szCs w:val="1"/>
                <w:color w:val="auto"/>
              </w:rPr>
            </w:pPr>
          </w:p>
        </w:tc>
      </w:tr>
      <w:tr>
        <w:trPr>
          <w:trHeight w:val="180"/>
        </w:trPr>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Kimberly Estates</w:t>
            </w:r>
          </w:p>
        </w:tc>
        <w:tc>
          <w:tcPr>
            <w:tcW w:w="1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Newport, MI</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w:t>
            </w: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24.1</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25.4</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King's Court</w:t>
            </w:r>
          </w:p>
        </w:tc>
        <w:tc>
          <w:tcPr>
            <w:tcW w:w="1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Traverse City, MI</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58.5</w:t>
            </w: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w:t>
            </w: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38.4</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(22.6)</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1996</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(A&amp;C)</w:t>
            </w:r>
          </w:p>
        </w:tc>
        <w:tc>
          <w:tcPr>
            <w:tcW w:w="0" w:type="dxa"/>
            <w:vAlign w:val="bottom"/>
          </w:tcPr>
          <w:p>
            <w:pPr>
              <w:spacing w:after="0"/>
              <w:rPr>
                <w:sz w:val="1"/>
                <w:szCs w:val="1"/>
                <w:color w:val="auto"/>
              </w:rPr>
            </w:pPr>
          </w:p>
        </w:tc>
      </w:tr>
      <w:tr>
        <w:trPr>
          <w:trHeight w:val="180"/>
        </w:trPr>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Kings Manor</w:t>
            </w:r>
          </w:p>
        </w:tc>
        <w:tc>
          <w:tcPr>
            <w:tcW w:w="1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Lakeland, FL</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Kings Pointe</w:t>
            </w:r>
          </w:p>
        </w:tc>
        <w:tc>
          <w:tcPr>
            <w:tcW w:w="1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Lake Alfred, FL</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w:t>
            </w:r>
          </w:p>
        </w:tc>
        <w:tc>
          <w:tcPr>
            <w:tcW w:w="8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18.2</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2015</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Kissimmee Gardens</w:t>
            </w:r>
          </w:p>
        </w:tc>
        <w:tc>
          <w:tcPr>
            <w:tcW w:w="1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Kissimmee, FL</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w:t>
            </w: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Kissimmee South</w:t>
            </w:r>
          </w:p>
        </w:tc>
        <w:tc>
          <w:tcPr>
            <w:tcW w:w="1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Davenport, FL</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w:t>
            </w:r>
          </w:p>
        </w:tc>
        <w:tc>
          <w:tcPr>
            <w:tcW w:w="8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w:t>
            </w: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8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2"/>
                <w:szCs w:val="12"/>
                <w:color w:val="auto"/>
              </w:rPr>
              <w:t>Kittatinny K-Camp</w:t>
            </w:r>
            <w:r>
              <w:rPr>
                <w:rFonts w:ascii="Times New Roman" w:cs="Times New Roman" w:eastAsia="Times New Roman" w:hAnsi="Times New Roman"/>
                <w:sz w:val="16"/>
                <w:szCs w:val="16"/>
                <w:color w:val="auto"/>
                <w:vertAlign w:val="superscript"/>
              </w:rPr>
              <w:t>(7)</w:t>
            </w:r>
          </w:p>
        </w:tc>
        <w:tc>
          <w:tcPr>
            <w:tcW w:w="1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Barryville, NY</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2020</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Knollwood Estates</w:t>
            </w:r>
          </w:p>
        </w:tc>
        <w:tc>
          <w:tcPr>
            <w:tcW w:w="1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Allendale, MI</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w:t>
            </w: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8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2001</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La Casa Blanca</w:t>
            </w:r>
          </w:p>
        </w:tc>
        <w:tc>
          <w:tcPr>
            <w:tcW w:w="1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Apache Junction, AZ</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w:t>
            </w: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2014</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La Costa Village</w:t>
            </w:r>
          </w:p>
        </w:tc>
        <w:tc>
          <w:tcPr>
            <w:tcW w:w="1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Port Orange, FL</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45.5</w:t>
            </w: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62.3</w:t>
            </w:r>
          </w:p>
        </w:tc>
        <w:tc>
          <w:tcPr>
            <w:tcW w:w="8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69.9</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(23.4)</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2015</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Lafayette Place</w:t>
            </w:r>
          </w:p>
        </w:tc>
        <w:tc>
          <w:tcPr>
            <w:tcW w:w="1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Warren, MI</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1998</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Lake San Marino RV Resort</w:t>
            </w:r>
          </w:p>
        </w:tc>
        <w:tc>
          <w:tcPr>
            <w:tcW w:w="1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Naples, FL</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30.2</w:t>
            </w: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8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1996</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Lakefront</w:t>
            </w:r>
          </w:p>
        </w:tc>
        <w:tc>
          <w:tcPr>
            <w:tcW w:w="1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Lakeside, CA</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32.4</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17.4</w:t>
            </w: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40.7</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Lakeland</w:t>
            </w:r>
          </w:p>
        </w:tc>
        <w:tc>
          <w:tcPr>
            <w:tcW w:w="1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Lakeland, FL</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8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Lakeridge of Eugene</w:t>
            </w:r>
          </w:p>
        </w:tc>
        <w:tc>
          <w:tcPr>
            <w:tcW w:w="1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Eugene, OR</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23.7</w:t>
            </w: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24.4</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31.2</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2025</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Lakeshore Landings</w:t>
            </w:r>
          </w:p>
        </w:tc>
        <w:tc>
          <w:tcPr>
            <w:tcW w:w="1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Orlando, FL</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w:t>
            </w: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19.5</w:t>
            </w:r>
          </w:p>
        </w:tc>
        <w:tc>
          <w:tcPr>
            <w:tcW w:w="8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24.5</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2014</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Lakeshore Villas</w:t>
            </w:r>
          </w:p>
        </w:tc>
        <w:tc>
          <w:tcPr>
            <w:tcW w:w="1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Tampa, FL</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19.0</w:t>
            </w: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24.4</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2015</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Lakeside Crossing</w:t>
            </w:r>
          </w:p>
        </w:tc>
        <w:tc>
          <w:tcPr>
            <w:tcW w:w="1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Conway, SC</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w:t>
            </w: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31.6</w:t>
            </w:r>
          </w:p>
        </w:tc>
        <w:tc>
          <w:tcPr>
            <w:tcW w:w="8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22.5</w:t>
            </w: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57.6</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2015</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(A&amp;C)</w:t>
            </w:r>
          </w:p>
        </w:tc>
        <w:tc>
          <w:tcPr>
            <w:tcW w:w="0" w:type="dxa"/>
            <w:vAlign w:val="bottom"/>
          </w:tcPr>
          <w:p>
            <w:pPr>
              <w:spacing w:after="0"/>
              <w:rPr>
                <w:sz w:val="1"/>
                <w:szCs w:val="1"/>
                <w:color w:val="auto"/>
              </w:rPr>
            </w:pPr>
          </w:p>
        </w:tc>
      </w:tr>
      <w:tr>
        <w:trPr>
          <w:trHeight w:val="180"/>
        </w:trPr>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Lakeview</w:t>
            </w:r>
          </w:p>
        </w:tc>
        <w:tc>
          <w:tcPr>
            <w:tcW w:w="1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Ypsilanti, MI</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w:t>
            </w: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w:t>
            </w: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23.1</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24.3</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2004</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Lakeview CT</w:t>
            </w:r>
          </w:p>
        </w:tc>
        <w:tc>
          <w:tcPr>
            <w:tcW w:w="1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Danbury, CT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w:t>
            </w:r>
          </w:p>
        </w:tc>
        <w:tc>
          <w:tcPr>
            <w:tcW w:w="8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2019</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Lakeview Estates</w:t>
            </w:r>
          </w:p>
        </w:tc>
        <w:tc>
          <w:tcPr>
            <w:tcW w:w="1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Yucaipa, CA</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22.9</w:t>
            </w: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22.9</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27.0</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2020</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 - 50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05" w:name="page106"/>
    <w:bookmarkEnd w:id="105"/>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REAL ESTATE AND ACCUMULATED DEPRECIATION, SCHEDULE III</w:t>
      </w:r>
    </w:p>
    <w:p>
      <w:pPr>
        <w:spacing w:after="0" w:line="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DECEMBER 31, 2025</w:t>
      </w:r>
    </w:p>
    <w:p>
      <w:pPr>
        <w:spacing w:after="0" w:line="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(amounts in millions)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gridSpan w:val="4"/>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Costs Capitalized</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Initial Cost to</w:t>
            </w:r>
          </w:p>
        </w:tc>
        <w:tc>
          <w:tcPr>
            <w:tcW w:w="1520" w:type="dxa"/>
            <w:vAlign w:val="bottom"/>
            <w:gridSpan w:val="4"/>
          </w:tcPr>
          <w:p>
            <w:pPr>
              <w:jc w:val="center"/>
              <w:ind w:right="180"/>
              <w:spacing w:after="0" w:line="126" w:lineRule="exact"/>
              <w:rPr>
                <w:sz w:val="20"/>
                <w:szCs w:val="20"/>
                <w:color w:val="auto"/>
              </w:rPr>
            </w:pPr>
            <w:r>
              <w:rPr>
                <w:rFonts w:ascii="Times New Roman" w:cs="Times New Roman" w:eastAsia="Times New Roman" w:hAnsi="Times New Roman"/>
                <w:sz w:val="12"/>
                <w:szCs w:val="12"/>
                <w:b w:val="1"/>
                <w:bCs w:val="1"/>
                <w:color w:val="auto"/>
              </w:rPr>
              <w:t>Subsequent to</w:t>
            </w:r>
          </w:p>
        </w:tc>
        <w:tc>
          <w:tcPr>
            <w:tcW w:w="1720" w:type="dxa"/>
            <w:vAlign w:val="bottom"/>
            <w:gridSpan w:val="5"/>
            <w:vMerge w:val="restart"/>
          </w:tcPr>
          <w:p>
            <w:pPr>
              <w:jc w:val="center"/>
              <w:ind w:left="298"/>
              <w:spacing w:after="0"/>
              <w:rPr>
                <w:sz w:val="20"/>
                <w:szCs w:val="20"/>
                <w:color w:val="auto"/>
              </w:rPr>
            </w:pPr>
            <w:r>
              <w:rPr>
                <w:rFonts w:ascii="Times New Roman" w:cs="Times New Roman" w:eastAsia="Times New Roman" w:hAnsi="Times New Roman"/>
                <w:sz w:val="12"/>
                <w:szCs w:val="12"/>
                <w:b w:val="1"/>
                <w:bCs w:val="1"/>
                <w:color w:val="auto"/>
              </w:rPr>
              <w:t>Gross Amount Carried at</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4"/>
            <w:vMerge w:val="continue"/>
          </w:tcPr>
          <w:p>
            <w:pPr>
              <w:spacing w:after="0"/>
              <w:rPr>
                <w:sz w:val="11"/>
                <w:szCs w:val="11"/>
                <w:color w:val="auto"/>
              </w:rPr>
            </w:pPr>
          </w:p>
        </w:tc>
        <w:tc>
          <w:tcPr>
            <w:tcW w:w="1520" w:type="dxa"/>
            <w:vAlign w:val="bottom"/>
            <w:gridSpan w:val="4"/>
          </w:tcPr>
          <w:p>
            <w:pPr>
              <w:jc w:val="center"/>
              <w:ind w:right="200"/>
              <w:spacing w:after="0" w:line="128" w:lineRule="exact"/>
              <w:rPr>
                <w:sz w:val="20"/>
                <w:szCs w:val="20"/>
                <w:color w:val="auto"/>
              </w:rPr>
            </w:pPr>
            <w:r>
              <w:rPr>
                <w:rFonts w:ascii="Times New Roman" w:cs="Times New Roman" w:eastAsia="Times New Roman" w:hAnsi="Times New Roman"/>
                <w:sz w:val="12"/>
                <w:szCs w:val="12"/>
                <w:b w:val="1"/>
                <w:bCs w:val="1"/>
                <w:color w:val="auto"/>
              </w:rPr>
              <w:t>Acquisition</w:t>
            </w:r>
          </w:p>
        </w:tc>
        <w:tc>
          <w:tcPr>
            <w:tcW w:w="1720" w:type="dxa"/>
            <w:vAlign w:val="bottom"/>
            <w:gridSpan w:val="5"/>
            <w:vMerge w:val="continue"/>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4"/>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Company</w:t>
            </w:r>
          </w:p>
        </w:tc>
        <w:tc>
          <w:tcPr>
            <w:tcW w:w="1520" w:type="dxa"/>
            <w:vAlign w:val="bottom"/>
            <w:gridSpan w:val="4"/>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(Improvements)</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w w:val="99"/>
              </w:rPr>
              <w:t>Acquired</w:t>
            </w:r>
          </w:p>
        </w:tc>
        <w:tc>
          <w:tcPr>
            <w:tcW w:w="0" w:type="dxa"/>
            <w:vAlign w:val="bottom"/>
          </w:tcPr>
          <w:p>
            <w:pPr>
              <w:spacing w:after="0"/>
              <w:rPr>
                <w:sz w:val="1"/>
                <w:szCs w:val="1"/>
                <w:color w:val="auto"/>
              </w:rPr>
            </w:pPr>
          </w:p>
        </w:tc>
      </w:tr>
      <w:tr>
        <w:trPr>
          <w:trHeight w:val="126"/>
        </w:trPr>
        <w:tc>
          <w:tcPr>
            <w:tcW w:w="1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Depreciable</w:t>
            </w: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Depreciable</w:t>
            </w: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(A) or</w:t>
            </w:r>
          </w:p>
        </w:tc>
        <w:tc>
          <w:tcPr>
            <w:tcW w:w="0" w:type="dxa"/>
            <w:vAlign w:val="bottom"/>
          </w:tcPr>
          <w:p>
            <w:pPr>
              <w:spacing w:after="0"/>
              <w:rPr>
                <w:sz w:val="1"/>
                <w:szCs w:val="1"/>
                <w:color w:val="auto"/>
              </w:rPr>
            </w:pPr>
          </w:p>
        </w:tc>
      </w:tr>
      <w:tr>
        <w:trPr>
          <w:trHeight w:val="127"/>
        </w:trPr>
        <w:tc>
          <w:tcPr>
            <w:tcW w:w="18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2"/>
                <w:szCs w:val="12"/>
                <w:b w:val="1"/>
                <w:bCs w:val="1"/>
                <w:color w:val="auto"/>
              </w:rPr>
              <w:t>Property Name</w:t>
            </w:r>
          </w:p>
        </w:tc>
        <w:tc>
          <w:tcPr>
            <w:tcW w:w="12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2"/>
                <w:szCs w:val="12"/>
                <w:b w:val="1"/>
                <w:bCs w:val="1"/>
                <w:color w:val="auto"/>
              </w:rPr>
              <w:t>Location</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Encumbrances</w:t>
            </w:r>
            <w:r>
              <w:rPr>
                <w:rFonts w:ascii="Times New Roman" w:cs="Times New Roman" w:eastAsia="Times New Roman" w:hAnsi="Times New Roman"/>
                <w:sz w:val="16"/>
                <w:szCs w:val="16"/>
                <w:b w:val="1"/>
                <w:bCs w:val="1"/>
                <w:color w:val="auto"/>
                <w:vertAlign w:val="superscript"/>
              </w:rPr>
              <w:t>(1)</w:t>
            </w:r>
          </w:p>
        </w:tc>
        <w:tc>
          <w:tcPr>
            <w:tcW w:w="52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Land</w:t>
            </w:r>
          </w:p>
        </w:tc>
        <w:tc>
          <w:tcPr>
            <w:tcW w:w="760" w:type="dxa"/>
            <w:vAlign w:val="bottom"/>
            <w:gridSpan w:val="2"/>
            <w:vMerge w:val="continue"/>
          </w:tcPr>
          <w:p>
            <w:pPr>
              <w:spacing w:after="0"/>
              <w:rPr>
                <w:sz w:val="11"/>
                <w:szCs w:val="11"/>
                <w:color w:val="auto"/>
              </w:rPr>
            </w:pPr>
          </w:p>
        </w:tc>
        <w:tc>
          <w:tcPr>
            <w:tcW w:w="6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Land</w:t>
            </w:r>
          </w:p>
        </w:tc>
        <w:tc>
          <w:tcPr>
            <w:tcW w:w="880" w:type="dxa"/>
            <w:vAlign w:val="bottom"/>
            <w:gridSpan w:val="2"/>
            <w:vMerge w:val="continue"/>
          </w:tcPr>
          <w:p>
            <w:pPr>
              <w:spacing w:after="0"/>
              <w:rPr>
                <w:sz w:val="11"/>
                <w:szCs w:val="11"/>
                <w:color w:val="auto"/>
              </w:rPr>
            </w:pPr>
          </w:p>
        </w:tc>
        <w:tc>
          <w:tcPr>
            <w:tcW w:w="54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Land</w:t>
            </w:r>
          </w:p>
        </w:tc>
        <w:tc>
          <w:tcPr>
            <w:tcW w:w="118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Depreciable Assets</w:t>
            </w:r>
          </w:p>
        </w:tc>
        <w:tc>
          <w:tcPr>
            <w:tcW w:w="4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800" w:type="dxa"/>
            <w:vAlign w:val="bottom"/>
            <w:gridSpan w:val="2"/>
            <w:vMerge w:val="continue"/>
          </w:tcPr>
          <w:p>
            <w:pPr>
              <w:spacing w:after="0"/>
              <w:rPr>
                <w:sz w:val="11"/>
                <w:szCs w:val="11"/>
                <w:color w:val="auto"/>
              </w:rPr>
            </w:pPr>
          </w:p>
        </w:tc>
        <w:tc>
          <w:tcPr>
            <w:tcW w:w="6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2"/>
                <w:szCs w:val="12"/>
                <w:b w:val="1"/>
                <w:bCs w:val="1"/>
                <w:color w:val="auto"/>
              </w:rPr>
              <w:t>Date</w:t>
            </w:r>
          </w:p>
        </w:tc>
        <w:tc>
          <w:tcPr>
            <w:tcW w:w="72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Constructed</w:t>
            </w:r>
          </w:p>
        </w:tc>
        <w:tc>
          <w:tcPr>
            <w:tcW w:w="0" w:type="dxa"/>
            <w:vAlign w:val="bottom"/>
          </w:tcPr>
          <w:p>
            <w:pPr>
              <w:spacing w:after="0"/>
              <w:rPr>
                <w:sz w:val="1"/>
                <w:szCs w:val="1"/>
                <w:color w:val="auto"/>
              </w:rPr>
            </w:pPr>
          </w:p>
        </w:tc>
      </w:tr>
      <w:tr>
        <w:trPr>
          <w:trHeight w:val="174"/>
        </w:trPr>
        <w:tc>
          <w:tcPr>
            <w:tcW w:w="1860" w:type="dxa"/>
            <w:vAlign w:val="bottom"/>
            <w:gridSpan w:val="2"/>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Assets</w:t>
            </w:r>
          </w:p>
        </w:tc>
        <w:tc>
          <w:tcPr>
            <w:tcW w:w="640" w:type="dxa"/>
            <w:vAlign w:val="bottom"/>
            <w:gridSpan w:val="2"/>
            <w:vMerge w:val="continue"/>
          </w:tcPr>
          <w:p>
            <w:pPr>
              <w:spacing w:after="0"/>
              <w:rPr>
                <w:sz w:val="15"/>
                <w:szCs w:val="15"/>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540" w:type="dxa"/>
            <w:vAlign w:val="bottom"/>
            <w:gridSpan w:val="2"/>
            <w:vMerge w:val="continue"/>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Depreciation</w:t>
            </w:r>
          </w:p>
        </w:tc>
        <w:tc>
          <w:tcPr>
            <w:tcW w:w="620" w:type="dxa"/>
            <w:vAlign w:val="bottom"/>
            <w:gridSpan w:val="2"/>
            <w:vMerge w:val="continue"/>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(C)</w:t>
            </w:r>
          </w:p>
        </w:tc>
        <w:tc>
          <w:tcPr>
            <w:tcW w:w="0" w:type="dxa"/>
            <w:vAlign w:val="bottom"/>
          </w:tcPr>
          <w:p>
            <w:pPr>
              <w:spacing w:after="0"/>
              <w:rPr>
                <w:sz w:val="1"/>
                <w:szCs w:val="1"/>
                <w:color w:val="auto"/>
              </w:rPr>
            </w:pPr>
          </w:p>
        </w:tc>
      </w:tr>
      <w:tr>
        <w:trPr>
          <w:trHeight w:val="158"/>
        </w:trPr>
        <w:tc>
          <w:tcPr>
            <w:tcW w:w="1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Lamplighter</w:t>
            </w:r>
          </w:p>
        </w:tc>
        <w:tc>
          <w:tcPr>
            <w:tcW w:w="80" w:type="dxa"/>
            <w:vAlign w:val="bottom"/>
          </w:tcPr>
          <w:p>
            <w:pPr>
              <w:spacing w:after="0"/>
              <w:rPr>
                <w:sz w:val="13"/>
                <w:szCs w:val="13"/>
                <w:color w:val="auto"/>
              </w:rPr>
            </w:pPr>
          </w:p>
        </w:tc>
        <w:tc>
          <w:tcPr>
            <w:tcW w:w="1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Port Orange, FL</w:t>
            </w:r>
          </w:p>
        </w:tc>
        <w:tc>
          <w:tcPr>
            <w:tcW w:w="60" w:type="dxa"/>
            <w:vAlign w:val="bottom"/>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80" w:type="dxa"/>
            <w:vAlign w:val="bottom"/>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12.8</w:t>
            </w:r>
          </w:p>
        </w:tc>
        <w:tc>
          <w:tcPr>
            <w:tcW w:w="6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18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60" w:type="dxa"/>
            <w:vAlign w:val="bottom"/>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14.8</w:t>
            </w: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16.1</w:t>
            </w:r>
          </w:p>
        </w:tc>
        <w:tc>
          <w:tcPr>
            <w:tcW w:w="80" w:type="dxa"/>
            <w:vAlign w:val="bottom"/>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60" w:type="dxa"/>
            <w:vAlign w:val="bottom"/>
          </w:tcPr>
          <w:p>
            <w:pPr>
              <w:spacing w:after="0"/>
              <w:rPr>
                <w:sz w:val="13"/>
                <w:szCs w:val="13"/>
                <w:color w:val="auto"/>
              </w:rPr>
            </w:pPr>
          </w:p>
        </w:tc>
        <w:tc>
          <w:tcPr>
            <w:tcW w:w="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2015</w:t>
            </w:r>
          </w:p>
        </w:tc>
        <w:tc>
          <w:tcPr>
            <w:tcW w:w="60" w:type="dxa"/>
            <w:vAlign w:val="bottom"/>
          </w:tcPr>
          <w:p>
            <w:pPr>
              <w:spacing w:after="0"/>
              <w:rPr>
                <w:sz w:val="13"/>
                <w:szCs w:val="13"/>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8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2"/>
                <w:szCs w:val="12"/>
                <w:color w:val="auto"/>
              </w:rPr>
              <w:t>Lantana Ranch</w:t>
            </w:r>
            <w:r>
              <w:rPr>
                <w:rFonts w:ascii="Times New Roman" w:cs="Times New Roman" w:eastAsia="Times New Roman" w:hAnsi="Times New Roman"/>
                <w:sz w:val="16"/>
                <w:szCs w:val="16"/>
                <w:color w:val="auto"/>
                <w:vertAlign w:val="superscript"/>
              </w:rPr>
              <w:t>(5)(7)</w:t>
            </w:r>
          </w:p>
        </w:tc>
        <w:tc>
          <w:tcPr>
            <w:tcW w:w="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Brookshire, TX</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33.1</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33.4</w:t>
            </w:r>
          </w:p>
        </w:tc>
        <w:tc>
          <w:tcPr>
            <w:tcW w:w="60" w:type="dxa"/>
            <w:vAlign w:val="bottom"/>
            <w:shd w:val="clear" w:color="auto" w:fill="CCEEFF"/>
          </w:tcPr>
          <w:p>
            <w:pPr>
              <w:spacing w:after="0"/>
              <w:rPr>
                <w:sz w:val="15"/>
                <w:szCs w:val="15"/>
                <w:color w:val="auto"/>
              </w:rPr>
            </w:pP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33.4</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2022/2023</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Lazy J Ranch</w:t>
            </w:r>
          </w:p>
        </w:tc>
        <w:tc>
          <w:tcPr>
            <w:tcW w:w="1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Arcata, CA</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w:t>
            </w:r>
          </w:p>
        </w:tc>
        <w:tc>
          <w:tcPr>
            <w:tcW w:w="6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2017</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Leaf Verde</w:t>
            </w:r>
          </w:p>
        </w:tc>
        <w:tc>
          <w:tcPr>
            <w:tcW w:w="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Buckeye, AZ</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2018</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Leisure Village</w:t>
            </w:r>
          </w:p>
        </w:tc>
        <w:tc>
          <w:tcPr>
            <w:tcW w:w="1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Belmont, MI</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w:t>
            </w: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2011</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Lemon Wood</w:t>
            </w:r>
          </w:p>
        </w:tc>
        <w:tc>
          <w:tcPr>
            <w:tcW w:w="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Ventura, CA</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22.4</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w:t>
            </w:r>
          </w:p>
        </w:tc>
        <w:tc>
          <w:tcPr>
            <w:tcW w:w="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28.1</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2016</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Lost Dutchman</w:t>
            </w:r>
          </w:p>
        </w:tc>
        <w:tc>
          <w:tcPr>
            <w:tcW w:w="1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Apache Junction, AZ</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w:t>
            </w: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2014</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Majestic Oaks</w:t>
            </w:r>
          </w:p>
        </w:tc>
        <w:tc>
          <w:tcPr>
            <w:tcW w:w="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Zephyrhills, FL</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w:t>
            </w: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2016</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Maple Brook</w:t>
            </w:r>
          </w:p>
        </w:tc>
        <w:tc>
          <w:tcPr>
            <w:tcW w:w="1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Matteson, IL</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34.5</w:t>
            </w: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48.8</w:t>
            </w:r>
          </w:p>
        </w:tc>
        <w:tc>
          <w:tcPr>
            <w:tcW w:w="6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58.3</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(19.1)</w:t>
            </w:r>
          </w:p>
        </w:tc>
        <w:tc>
          <w:tcPr>
            <w:tcW w:w="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2014</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Maplewood Manor</w:t>
            </w:r>
          </w:p>
        </w:tc>
        <w:tc>
          <w:tcPr>
            <w:tcW w:w="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Brunswick, ME</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w:t>
            </w:r>
          </w:p>
        </w:tc>
        <w:tc>
          <w:tcPr>
            <w:tcW w:w="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17.2</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2014</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Marco Naples</w:t>
            </w:r>
          </w:p>
        </w:tc>
        <w:tc>
          <w:tcPr>
            <w:tcW w:w="1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Naples, FL</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w:t>
            </w:r>
          </w:p>
        </w:tc>
        <w:tc>
          <w:tcPr>
            <w:tcW w:w="6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19.2</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w:t>
            </w:r>
          </w:p>
        </w:tc>
        <w:tc>
          <w:tcPr>
            <w:tcW w:w="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2016</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Marysville Farms</w:t>
            </w:r>
          </w:p>
        </w:tc>
        <w:tc>
          <w:tcPr>
            <w:tcW w:w="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Port Huron, MI</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w:t>
            </w:r>
          </w:p>
        </w:tc>
        <w:tc>
          <w:tcPr>
            <w:tcW w:w="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17.2</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2025</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Meadow Lake</w:t>
            </w:r>
          </w:p>
        </w:tc>
        <w:tc>
          <w:tcPr>
            <w:tcW w:w="1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White Lake, MI</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w:t>
            </w: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w:t>
            </w: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23.0</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w:t>
            </w:r>
          </w:p>
        </w:tc>
        <w:tc>
          <w:tcPr>
            <w:tcW w:w="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1994</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Meadowbrook</w:t>
            </w:r>
          </w:p>
        </w:tc>
        <w:tc>
          <w:tcPr>
            <w:tcW w:w="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Charlotte, NC</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w:t>
            </w: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15.9</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17.2</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w:t>
            </w: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2000</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(A&amp;C)</w:t>
            </w:r>
          </w:p>
        </w:tc>
        <w:tc>
          <w:tcPr>
            <w:tcW w:w="0" w:type="dxa"/>
            <w:vAlign w:val="bottom"/>
          </w:tcPr>
          <w:p>
            <w:pPr>
              <w:spacing w:after="0"/>
              <w:rPr>
                <w:sz w:val="1"/>
                <w:szCs w:val="1"/>
                <w:color w:val="auto"/>
              </w:rPr>
            </w:pPr>
          </w:p>
        </w:tc>
      </w:tr>
      <w:tr>
        <w:trPr>
          <w:trHeight w:val="167"/>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Meadowbrook Estates</w:t>
            </w:r>
          </w:p>
        </w:tc>
        <w:tc>
          <w:tcPr>
            <w:tcW w:w="1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Monroe, MI</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25.3</w:t>
            </w: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29.4</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w:t>
            </w:r>
          </w:p>
        </w:tc>
        <w:tc>
          <w:tcPr>
            <w:tcW w:w="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1986</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Meadowbrook Village</w:t>
            </w:r>
          </w:p>
        </w:tc>
        <w:tc>
          <w:tcPr>
            <w:tcW w:w="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Tampa, FL</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w:t>
            </w:r>
          </w:p>
        </w:tc>
        <w:tc>
          <w:tcPr>
            <w:tcW w:w="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1994</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Meadowlands</w:t>
            </w:r>
          </w:p>
        </w:tc>
        <w:tc>
          <w:tcPr>
            <w:tcW w:w="1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Gibraltar, MI</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w:t>
            </w: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6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2015</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Meadowstone</w:t>
            </w:r>
          </w:p>
        </w:tc>
        <w:tc>
          <w:tcPr>
            <w:tcW w:w="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Hastings, MI</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20.3</w:t>
            </w:r>
          </w:p>
        </w:tc>
        <w:tc>
          <w:tcPr>
            <w:tcW w:w="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20.9</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2021</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Mill Creek</w:t>
            </w:r>
          </w:p>
        </w:tc>
        <w:tc>
          <w:tcPr>
            <w:tcW w:w="1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Kissimmee, FL</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6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2016</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Mountain View</w:t>
            </w:r>
          </w:p>
        </w:tc>
        <w:tc>
          <w:tcPr>
            <w:tcW w:w="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Mesa, AZ</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w:t>
            </w:r>
          </w:p>
        </w:tc>
        <w:tc>
          <w:tcPr>
            <w:tcW w:w="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2014</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Napa Valley</w:t>
            </w:r>
          </w:p>
        </w:tc>
        <w:tc>
          <w:tcPr>
            <w:tcW w:w="1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Napa, CA</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w:t>
            </w: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17.7</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w:t>
            </w:r>
          </w:p>
        </w:tc>
        <w:tc>
          <w:tcPr>
            <w:tcW w:w="6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17.7</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30.8</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2016</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Navarre Village</w:t>
            </w:r>
          </w:p>
        </w:tc>
        <w:tc>
          <w:tcPr>
            <w:tcW w:w="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Navarre, OH</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w:t>
            </w:r>
          </w:p>
        </w:tc>
        <w:tc>
          <w:tcPr>
            <w:tcW w:w="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26.9</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2025</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North Lake</w:t>
            </w:r>
          </w:p>
        </w:tc>
        <w:tc>
          <w:tcPr>
            <w:tcW w:w="1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Moore Haven, FL</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6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2011</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Northville Crossing</w:t>
            </w:r>
          </w:p>
        </w:tc>
        <w:tc>
          <w:tcPr>
            <w:tcW w:w="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Northville, MI</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59.6</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29.5</w:t>
            </w:r>
          </w:p>
        </w:tc>
        <w:tc>
          <w:tcPr>
            <w:tcW w:w="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w:t>
            </w: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37.6</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38.8</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w:t>
            </w: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2012</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Norway Commons</w:t>
            </w:r>
          </w:p>
        </w:tc>
        <w:tc>
          <w:tcPr>
            <w:tcW w:w="1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Norway, ME</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15.9</w:t>
            </w: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18.9</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2022</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Oak Creek</w:t>
            </w:r>
          </w:p>
        </w:tc>
        <w:tc>
          <w:tcPr>
            <w:tcW w:w="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Coarsegold, CA</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w:t>
            </w:r>
          </w:p>
        </w:tc>
        <w:tc>
          <w:tcPr>
            <w:tcW w:w="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18.5</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2014</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Oak Crest</w:t>
            </w:r>
          </w:p>
        </w:tc>
        <w:tc>
          <w:tcPr>
            <w:tcW w:w="1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Austin, TX</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23.7</w:t>
            </w: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w:t>
            </w: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29.7</w:t>
            </w: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51.0</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w:t>
            </w:r>
          </w:p>
        </w:tc>
        <w:tc>
          <w:tcPr>
            <w:tcW w:w="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2002</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(C)</w:t>
            </w:r>
          </w:p>
        </w:tc>
        <w:tc>
          <w:tcPr>
            <w:tcW w:w="0" w:type="dxa"/>
            <w:vAlign w:val="bottom"/>
          </w:tcPr>
          <w:p>
            <w:pPr>
              <w:spacing w:after="0"/>
              <w:rPr>
                <w:sz w:val="1"/>
                <w:szCs w:val="1"/>
                <w:color w:val="auto"/>
              </w:rPr>
            </w:pPr>
          </w:p>
        </w:tc>
      </w:tr>
      <w:tr>
        <w:trPr>
          <w:trHeight w:val="180"/>
        </w:trPr>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Oak Island Village</w:t>
            </w:r>
          </w:p>
        </w:tc>
        <w:tc>
          <w:tcPr>
            <w:tcW w:w="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East Lansing, MI</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w:t>
            </w:r>
          </w:p>
        </w:tc>
        <w:tc>
          <w:tcPr>
            <w:tcW w:w="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2011</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Oak Ridge</w:t>
            </w:r>
          </w:p>
        </w:tc>
        <w:tc>
          <w:tcPr>
            <w:tcW w:w="1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Manteno, IL</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27.5</w:t>
            </w: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36.9</w:t>
            </w:r>
          </w:p>
        </w:tc>
        <w:tc>
          <w:tcPr>
            <w:tcW w:w="6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43.5</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(16.9)</w:t>
            </w:r>
          </w:p>
        </w:tc>
        <w:tc>
          <w:tcPr>
            <w:tcW w:w="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2014</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Oakwood Village</w:t>
            </w:r>
          </w:p>
        </w:tc>
        <w:tc>
          <w:tcPr>
            <w:tcW w:w="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Miamisburg, OH</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32.7</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w:t>
            </w:r>
          </w:p>
        </w:tc>
        <w:tc>
          <w:tcPr>
            <w:tcW w:w="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w:t>
            </w: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24.7</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w:t>
            </w: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1998</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(A&amp;C)</w:t>
            </w:r>
          </w:p>
        </w:tc>
        <w:tc>
          <w:tcPr>
            <w:tcW w:w="0" w:type="dxa"/>
            <w:vAlign w:val="bottom"/>
          </w:tcPr>
          <w:p>
            <w:pPr>
              <w:spacing w:after="0"/>
              <w:rPr>
                <w:sz w:val="1"/>
                <w:szCs w:val="1"/>
                <w:color w:val="auto"/>
              </w:rPr>
            </w:pPr>
          </w:p>
        </w:tc>
      </w:tr>
      <w:tr>
        <w:trPr>
          <w:trHeight w:val="167"/>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Ocean Breeze Resort</w:t>
            </w:r>
          </w:p>
        </w:tc>
        <w:tc>
          <w:tcPr>
            <w:tcW w:w="1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Jensen Beach, FL</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19.0</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w:t>
            </w:r>
          </w:p>
        </w:tc>
        <w:tc>
          <w:tcPr>
            <w:tcW w:w="6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45.5</w:t>
            </w: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19.0</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78.4</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w:t>
            </w:r>
          </w:p>
        </w:tc>
        <w:tc>
          <w:tcPr>
            <w:tcW w:w="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2016</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(A&amp;C)</w:t>
            </w:r>
          </w:p>
        </w:tc>
        <w:tc>
          <w:tcPr>
            <w:tcW w:w="0" w:type="dxa"/>
            <w:vAlign w:val="bottom"/>
          </w:tcPr>
          <w:p>
            <w:pPr>
              <w:spacing w:after="0"/>
              <w:rPr>
                <w:sz w:val="1"/>
                <w:szCs w:val="1"/>
                <w:color w:val="auto"/>
              </w:rPr>
            </w:pPr>
          </w:p>
        </w:tc>
      </w:tr>
      <w:tr>
        <w:trPr>
          <w:trHeight w:val="180"/>
        </w:trPr>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Ocean Pines</w:t>
            </w:r>
          </w:p>
        </w:tc>
        <w:tc>
          <w:tcPr>
            <w:tcW w:w="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Garden City, SC</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35.3</w:t>
            </w:r>
          </w:p>
        </w:tc>
        <w:tc>
          <w:tcPr>
            <w:tcW w:w="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37.6</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45.2</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w:t>
            </w: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2019</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0"/>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Ocean View</w:t>
            </w:r>
          </w:p>
        </w:tc>
        <w:tc>
          <w:tcPr>
            <w:tcW w:w="1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Jensen Beach, FL</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8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22.1</w:t>
            </w:r>
          </w:p>
        </w:tc>
        <w:tc>
          <w:tcPr>
            <w:tcW w:w="1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26.9</w:t>
            </w: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6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2020</w:t>
            </w:r>
          </w:p>
        </w:tc>
        <w:tc>
          <w:tcPr>
            <w:tcW w:w="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 - 51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06" w:name="page107"/>
    <w:bookmarkEnd w:id="106"/>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REAL ESTATE AND ACCUMULATED DEPRECIATION, SCHEDULE III</w:t>
      </w:r>
    </w:p>
    <w:p>
      <w:pPr>
        <w:spacing w:after="0" w:line="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DECEMBER 31, 2025</w:t>
      </w:r>
    </w:p>
    <w:p>
      <w:pPr>
        <w:spacing w:after="0" w:line="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(amounts in millions)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gridSpan w:val="4"/>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Costs Capitalized</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Initial Cost to</w:t>
            </w:r>
          </w:p>
        </w:tc>
        <w:tc>
          <w:tcPr>
            <w:tcW w:w="1580" w:type="dxa"/>
            <w:vAlign w:val="bottom"/>
            <w:gridSpan w:val="4"/>
          </w:tcPr>
          <w:p>
            <w:pPr>
              <w:jc w:val="center"/>
              <w:ind w:right="200"/>
              <w:spacing w:after="0" w:line="126" w:lineRule="exact"/>
              <w:rPr>
                <w:sz w:val="20"/>
                <w:szCs w:val="20"/>
                <w:color w:val="auto"/>
              </w:rPr>
            </w:pPr>
            <w:r>
              <w:rPr>
                <w:rFonts w:ascii="Times New Roman" w:cs="Times New Roman" w:eastAsia="Times New Roman" w:hAnsi="Times New Roman"/>
                <w:sz w:val="12"/>
                <w:szCs w:val="12"/>
                <w:b w:val="1"/>
                <w:bCs w:val="1"/>
                <w:color w:val="auto"/>
              </w:rPr>
              <w:t>Subsequent to</w:t>
            </w:r>
          </w:p>
        </w:tc>
        <w:tc>
          <w:tcPr>
            <w:tcW w:w="1760" w:type="dxa"/>
            <w:vAlign w:val="bottom"/>
            <w:gridSpan w:val="5"/>
            <w:vMerge w:val="restart"/>
          </w:tcPr>
          <w:p>
            <w:pPr>
              <w:jc w:val="center"/>
              <w:ind w:left="318"/>
              <w:spacing w:after="0"/>
              <w:rPr>
                <w:sz w:val="20"/>
                <w:szCs w:val="20"/>
                <w:color w:val="auto"/>
              </w:rPr>
            </w:pPr>
            <w:r>
              <w:rPr>
                <w:rFonts w:ascii="Times New Roman" w:cs="Times New Roman" w:eastAsia="Times New Roman" w:hAnsi="Times New Roman"/>
                <w:sz w:val="12"/>
                <w:szCs w:val="12"/>
                <w:b w:val="1"/>
                <w:bCs w:val="1"/>
                <w:color w:val="auto"/>
              </w:rPr>
              <w:t>Gross Amount Carried at</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4"/>
            <w:vMerge w:val="continue"/>
          </w:tcPr>
          <w:p>
            <w:pPr>
              <w:spacing w:after="0"/>
              <w:rPr>
                <w:sz w:val="11"/>
                <w:szCs w:val="11"/>
                <w:color w:val="auto"/>
              </w:rPr>
            </w:pPr>
          </w:p>
        </w:tc>
        <w:tc>
          <w:tcPr>
            <w:tcW w:w="1580" w:type="dxa"/>
            <w:vAlign w:val="bottom"/>
            <w:gridSpan w:val="4"/>
          </w:tcPr>
          <w:p>
            <w:pPr>
              <w:jc w:val="center"/>
              <w:ind w:right="180"/>
              <w:spacing w:after="0" w:line="128" w:lineRule="exact"/>
              <w:rPr>
                <w:sz w:val="20"/>
                <w:szCs w:val="20"/>
                <w:color w:val="auto"/>
              </w:rPr>
            </w:pPr>
            <w:r>
              <w:rPr>
                <w:rFonts w:ascii="Times New Roman" w:cs="Times New Roman" w:eastAsia="Times New Roman" w:hAnsi="Times New Roman"/>
                <w:sz w:val="12"/>
                <w:szCs w:val="12"/>
                <w:b w:val="1"/>
                <w:bCs w:val="1"/>
                <w:color w:val="auto"/>
              </w:rPr>
              <w:t>Acquisition</w:t>
            </w:r>
          </w:p>
        </w:tc>
        <w:tc>
          <w:tcPr>
            <w:tcW w:w="1760" w:type="dxa"/>
            <w:vAlign w:val="bottom"/>
            <w:gridSpan w:val="5"/>
            <w:vMerge w:val="continue"/>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4"/>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Company</w:t>
            </w:r>
          </w:p>
        </w:tc>
        <w:tc>
          <w:tcPr>
            <w:tcW w:w="1580" w:type="dxa"/>
            <w:vAlign w:val="bottom"/>
            <w:gridSpan w:val="4"/>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(Improvements)</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8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w w:val="99"/>
              </w:rPr>
              <w:t>Acquired</w:t>
            </w:r>
          </w:p>
        </w:tc>
        <w:tc>
          <w:tcPr>
            <w:tcW w:w="0" w:type="dxa"/>
            <w:vAlign w:val="bottom"/>
          </w:tcPr>
          <w:p>
            <w:pPr>
              <w:spacing w:after="0"/>
              <w:rPr>
                <w:sz w:val="1"/>
                <w:szCs w:val="1"/>
                <w:color w:val="auto"/>
              </w:rPr>
            </w:pPr>
          </w:p>
        </w:tc>
      </w:tr>
      <w:tr>
        <w:trPr>
          <w:trHeight w:val="126"/>
        </w:trPr>
        <w:tc>
          <w:tcPr>
            <w:tcW w:w="1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Depreciable</w:t>
            </w: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Depreciable</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(A) or</w:t>
            </w:r>
          </w:p>
        </w:tc>
        <w:tc>
          <w:tcPr>
            <w:tcW w:w="0" w:type="dxa"/>
            <w:vAlign w:val="bottom"/>
          </w:tcPr>
          <w:p>
            <w:pPr>
              <w:spacing w:after="0"/>
              <w:rPr>
                <w:sz w:val="1"/>
                <w:szCs w:val="1"/>
                <w:color w:val="auto"/>
              </w:rPr>
            </w:pPr>
          </w:p>
        </w:tc>
      </w:tr>
      <w:tr>
        <w:trPr>
          <w:trHeight w:val="127"/>
        </w:trPr>
        <w:tc>
          <w:tcPr>
            <w:tcW w:w="19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2"/>
                <w:szCs w:val="12"/>
                <w:b w:val="1"/>
                <w:bCs w:val="1"/>
                <w:color w:val="auto"/>
              </w:rPr>
              <w:t>Property Name</w:t>
            </w:r>
          </w:p>
        </w:tc>
        <w:tc>
          <w:tcPr>
            <w:tcW w:w="13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2"/>
                <w:szCs w:val="12"/>
                <w:b w:val="1"/>
                <w:bCs w:val="1"/>
                <w:color w:val="auto"/>
              </w:rPr>
              <w:t>Location</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Encumbrances</w:t>
            </w:r>
            <w:r>
              <w:rPr>
                <w:rFonts w:ascii="Times New Roman" w:cs="Times New Roman" w:eastAsia="Times New Roman" w:hAnsi="Times New Roman"/>
                <w:sz w:val="16"/>
                <w:szCs w:val="16"/>
                <w:b w:val="1"/>
                <w:bCs w:val="1"/>
                <w:color w:val="auto"/>
                <w:vertAlign w:val="superscript"/>
              </w:rPr>
              <w:t>(1)</w:t>
            </w:r>
          </w:p>
        </w:tc>
        <w:tc>
          <w:tcPr>
            <w:tcW w:w="52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Land</w:t>
            </w:r>
          </w:p>
        </w:tc>
        <w:tc>
          <w:tcPr>
            <w:tcW w:w="760" w:type="dxa"/>
            <w:vAlign w:val="bottom"/>
            <w:gridSpan w:val="2"/>
            <w:vMerge w:val="continue"/>
          </w:tcPr>
          <w:p>
            <w:pPr>
              <w:spacing w:after="0"/>
              <w:rPr>
                <w:sz w:val="11"/>
                <w:szCs w:val="11"/>
                <w:color w:val="auto"/>
              </w:rPr>
            </w:pPr>
          </w:p>
        </w:tc>
        <w:tc>
          <w:tcPr>
            <w:tcW w:w="7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Land</w:t>
            </w:r>
          </w:p>
        </w:tc>
        <w:tc>
          <w:tcPr>
            <w:tcW w:w="880" w:type="dxa"/>
            <w:vAlign w:val="bottom"/>
            <w:gridSpan w:val="2"/>
            <w:vMerge w:val="continue"/>
          </w:tcPr>
          <w:p>
            <w:pPr>
              <w:spacing w:after="0"/>
              <w:rPr>
                <w:sz w:val="11"/>
                <w:szCs w:val="11"/>
                <w:color w:val="auto"/>
              </w:rPr>
            </w:pPr>
          </w:p>
        </w:tc>
        <w:tc>
          <w:tcPr>
            <w:tcW w:w="5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Land</w:t>
            </w:r>
          </w:p>
        </w:tc>
        <w:tc>
          <w:tcPr>
            <w:tcW w:w="120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Depreciable Assets</w:t>
            </w:r>
          </w:p>
        </w:tc>
        <w:tc>
          <w:tcPr>
            <w:tcW w:w="4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820" w:type="dxa"/>
            <w:vAlign w:val="bottom"/>
            <w:gridSpan w:val="2"/>
            <w:vMerge w:val="continue"/>
          </w:tcPr>
          <w:p>
            <w:pPr>
              <w:spacing w:after="0"/>
              <w:rPr>
                <w:sz w:val="11"/>
                <w:szCs w:val="11"/>
                <w:color w:val="auto"/>
              </w:rPr>
            </w:pPr>
          </w:p>
        </w:tc>
        <w:tc>
          <w:tcPr>
            <w:tcW w:w="40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Date</w:t>
            </w:r>
          </w:p>
        </w:tc>
        <w:tc>
          <w:tcPr>
            <w:tcW w:w="72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Constructed</w:t>
            </w:r>
          </w:p>
        </w:tc>
        <w:tc>
          <w:tcPr>
            <w:tcW w:w="0" w:type="dxa"/>
            <w:vAlign w:val="bottom"/>
          </w:tcPr>
          <w:p>
            <w:pPr>
              <w:spacing w:after="0"/>
              <w:rPr>
                <w:sz w:val="1"/>
                <w:szCs w:val="1"/>
                <w:color w:val="auto"/>
              </w:rPr>
            </w:pPr>
          </w:p>
        </w:tc>
      </w:tr>
      <w:tr>
        <w:trPr>
          <w:trHeight w:val="174"/>
        </w:trPr>
        <w:tc>
          <w:tcPr>
            <w:tcW w:w="1900" w:type="dxa"/>
            <w:vAlign w:val="bottom"/>
            <w:gridSpan w:val="2"/>
            <w:vMerge w:val="continue"/>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Assets</w:t>
            </w:r>
          </w:p>
        </w:tc>
        <w:tc>
          <w:tcPr>
            <w:tcW w:w="700" w:type="dxa"/>
            <w:vAlign w:val="bottom"/>
            <w:gridSpan w:val="2"/>
            <w:vMerge w:val="continue"/>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Assets</w:t>
            </w:r>
          </w:p>
        </w:tc>
        <w:tc>
          <w:tcPr>
            <w:tcW w:w="560" w:type="dxa"/>
            <w:vAlign w:val="bottom"/>
            <w:gridSpan w:val="2"/>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Depreciation</w:t>
            </w:r>
          </w:p>
        </w:tc>
        <w:tc>
          <w:tcPr>
            <w:tcW w:w="400" w:type="dxa"/>
            <w:vAlign w:val="bottom"/>
            <w:gridSpan w:val="2"/>
            <w:vMerge w:val="continue"/>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(C)</w:t>
            </w:r>
          </w:p>
        </w:tc>
        <w:tc>
          <w:tcPr>
            <w:tcW w:w="0" w:type="dxa"/>
            <w:vAlign w:val="bottom"/>
          </w:tcPr>
          <w:p>
            <w:pPr>
              <w:spacing w:after="0"/>
              <w:rPr>
                <w:sz w:val="1"/>
                <w:szCs w:val="1"/>
                <w:color w:val="auto"/>
              </w:rPr>
            </w:pPr>
          </w:p>
        </w:tc>
      </w:tr>
      <w:tr>
        <w:trPr>
          <w:trHeight w:val="165"/>
        </w:trPr>
        <w:tc>
          <w:tcPr>
            <w:tcW w:w="1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Ocean West</w:t>
            </w:r>
          </w:p>
        </w:tc>
        <w:tc>
          <w:tcPr>
            <w:tcW w:w="6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McKinleyville, CA</w:t>
            </w:r>
          </w:p>
        </w:tc>
        <w:tc>
          <w:tcPr>
            <w:tcW w:w="6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6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6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20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1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6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w:t>
            </w:r>
          </w:p>
        </w:tc>
        <w:tc>
          <w:tcPr>
            <w:tcW w:w="6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2017</w:t>
            </w:r>
          </w:p>
        </w:tc>
        <w:tc>
          <w:tcPr>
            <w:tcW w:w="6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Orange City</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Orange City, FL</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26.1</w:t>
            </w: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6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2011</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Orange Tree Village</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Orange City, FL</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1994</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Paddock Park South</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Ocala, FL</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6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Palm Creek Resort &amp; Residences</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Casa Grande, AZ</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84.3</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76.1</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33.7</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121.6</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2012</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(A&amp;C)</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Palm Key Village</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Davenport, FL</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w:t>
            </w: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w:t>
            </w:r>
          </w:p>
        </w:tc>
        <w:tc>
          <w:tcPr>
            <w:tcW w:w="6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20.4</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2015</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24"/>
        </w:trPr>
        <w:tc>
          <w:tcPr>
            <w:tcW w:w="1900" w:type="dxa"/>
            <w:vAlign w:val="bottom"/>
            <w:gridSpan w:val="2"/>
            <w:shd w:val="clear" w:color="auto" w:fill="CCEEFF"/>
          </w:tcPr>
          <w:p>
            <w:pPr>
              <w:ind w:left="20"/>
              <w:spacing w:after="0" w:line="124" w:lineRule="exact"/>
              <w:rPr>
                <w:sz w:val="20"/>
                <w:szCs w:val="20"/>
                <w:color w:val="auto"/>
              </w:rPr>
            </w:pPr>
            <w:r>
              <w:rPr>
                <w:rFonts w:ascii="Times New Roman" w:cs="Times New Roman" w:eastAsia="Times New Roman" w:hAnsi="Times New Roman"/>
                <w:sz w:val="12"/>
                <w:szCs w:val="12"/>
                <w:color w:val="auto"/>
              </w:rPr>
              <w:t>Palos Verdes Shores MH &amp; Golf</w:t>
            </w:r>
          </w:p>
        </w:tc>
        <w:tc>
          <w:tcPr>
            <w:tcW w:w="13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San Pedro, CA</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32.4</w:t>
            </w:r>
          </w:p>
        </w:tc>
        <w:tc>
          <w:tcPr>
            <w:tcW w:w="6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21.8</w:t>
            </w:r>
          </w:p>
        </w:tc>
        <w:tc>
          <w:tcPr>
            <w:tcW w:w="6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w:t>
            </w:r>
          </w:p>
        </w:tc>
        <w:tc>
          <w:tcPr>
            <w:tcW w:w="18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30.7</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30.7</w:t>
            </w:r>
          </w:p>
        </w:tc>
        <w:tc>
          <w:tcPr>
            <w:tcW w:w="6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8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72"/>
        </w:trPr>
        <w:tc>
          <w:tcPr>
            <w:tcW w:w="1900" w:type="dxa"/>
            <w:vAlign w:val="bottom"/>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2"/>
                <w:szCs w:val="12"/>
                <w:color w:val="auto"/>
              </w:rPr>
              <w:t>Community</w:t>
            </w:r>
            <w:r>
              <w:rPr>
                <w:rFonts w:ascii="Times New Roman" w:cs="Times New Roman" w:eastAsia="Times New Roman" w:hAnsi="Times New Roman"/>
                <w:sz w:val="16"/>
                <w:szCs w:val="16"/>
                <w:color w:val="auto"/>
                <w:vertAlign w:val="superscript"/>
              </w:rPr>
              <w:t>(2)</w:t>
            </w:r>
          </w:p>
        </w:tc>
        <w:tc>
          <w:tcPr>
            <w:tcW w:w="1340" w:type="dxa"/>
            <w:vAlign w:val="bottom"/>
            <w:gridSpan w:val="2"/>
            <w:vMerge w:val="continue"/>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Park Place</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Sebastian, FL</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48.7</w:t>
            </w: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55.8</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2015</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Park Royale</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Pinellas Park, FL</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29.0</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31.5</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2015</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Parkside Village</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Cheektowaga, NY</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w:t>
            </w:r>
          </w:p>
        </w:tc>
        <w:tc>
          <w:tcPr>
            <w:tcW w:w="6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2014</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Pearwood</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Pearland, TX</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w:t>
            </w: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2021</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Pebble Creek</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Greenwood, IN</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6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2000</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(A&amp;C)</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Pecan Branch</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Georgetown, TX</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21.1</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1999</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(C)</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Pecan Park</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Jacksonville, FL</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(A&amp;C)</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Pelican Bay</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Micco, FL</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2015</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Pembroke Downs</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Chino, CA</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w:t>
            </w: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6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18.1</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Pheasant Ridge</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Lancaster, PA</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45.4</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19.3</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25.2</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2002</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0"/>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Pine Acre Trails</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Conroe, TX</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15.6</w:t>
            </w:r>
          </w:p>
        </w:tc>
        <w:tc>
          <w:tcPr>
            <w:tcW w:w="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w:t>
            </w:r>
          </w:p>
        </w:tc>
        <w:tc>
          <w:tcPr>
            <w:tcW w:w="60" w:type="dxa"/>
            <w:vAlign w:val="bottom"/>
          </w:tcPr>
          <w:p>
            <w:pPr>
              <w:spacing w:after="0"/>
              <w:rPr>
                <w:sz w:val="13"/>
                <w:szCs w:val="13"/>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36.5</w:t>
            </w:r>
          </w:p>
        </w:tc>
        <w:tc>
          <w:tcPr>
            <w:tcW w:w="1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15.6</w:t>
            </w:r>
          </w:p>
        </w:tc>
        <w:tc>
          <w:tcPr>
            <w:tcW w:w="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68.8</w:t>
            </w:r>
          </w:p>
        </w:tc>
        <w:tc>
          <w:tcPr>
            <w:tcW w:w="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54"/>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Pine Ridge</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Prince George, VA</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w:t>
            </w:r>
          </w:p>
        </w:tc>
        <w:tc>
          <w:tcPr>
            <w:tcW w:w="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60" w:type="dxa"/>
            <w:vAlign w:val="bottom"/>
          </w:tcPr>
          <w:p>
            <w:pPr>
              <w:spacing w:after="0"/>
              <w:rPr>
                <w:sz w:val="13"/>
                <w:szCs w:val="13"/>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25.1</w:t>
            </w:r>
          </w:p>
        </w:tc>
        <w:tc>
          <w:tcPr>
            <w:tcW w:w="1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27.9</w:t>
            </w:r>
          </w:p>
        </w:tc>
        <w:tc>
          <w:tcPr>
            <w:tcW w:w="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1986</w:t>
            </w:r>
          </w:p>
        </w:tc>
        <w:tc>
          <w:tcPr>
            <w:tcW w:w="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(A&amp;C)</w:t>
            </w:r>
          </w:p>
        </w:tc>
        <w:tc>
          <w:tcPr>
            <w:tcW w:w="0" w:type="dxa"/>
            <w:vAlign w:val="bottom"/>
          </w:tcPr>
          <w:p>
            <w:pPr>
              <w:spacing w:after="0"/>
              <w:rPr>
                <w:sz w:val="1"/>
                <w:szCs w:val="1"/>
                <w:color w:val="auto"/>
              </w:rPr>
            </w:pPr>
          </w:p>
        </w:tc>
      </w:tr>
      <w:tr>
        <w:trPr>
          <w:trHeight w:val="20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Pine Trace</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Houston, TX</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w:t>
            </w:r>
          </w:p>
        </w:tc>
        <w:tc>
          <w:tcPr>
            <w:tcW w:w="6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 xml:space="preserve">(0.2) </w:t>
            </w:r>
            <w:r>
              <w:rPr>
                <w:rFonts w:ascii="Times New Roman" w:cs="Times New Roman" w:eastAsia="Times New Roman" w:hAnsi="Times New Roman"/>
                <w:sz w:val="16"/>
                <w:szCs w:val="16"/>
                <w:color w:val="auto"/>
                <w:vertAlign w:val="superscript"/>
              </w:rPr>
              <w:t>(3)</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w:t>
            </w: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37.7</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w:t>
            </w:r>
          </w:p>
        </w:tc>
        <w:tc>
          <w:tcPr>
            <w:tcW w:w="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2004</w:t>
            </w:r>
          </w:p>
        </w:tc>
        <w:tc>
          <w:tcPr>
            <w:tcW w:w="6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(A&amp;C)</w:t>
            </w:r>
          </w:p>
        </w:tc>
        <w:tc>
          <w:tcPr>
            <w:tcW w:w="0" w:type="dxa"/>
            <w:vAlign w:val="bottom"/>
          </w:tcPr>
          <w:p>
            <w:pPr>
              <w:spacing w:after="0"/>
              <w:rPr>
                <w:sz w:val="1"/>
                <w:szCs w:val="1"/>
                <w:color w:val="auto"/>
              </w:rPr>
            </w:pPr>
          </w:p>
        </w:tc>
      </w:tr>
      <w:tr>
        <w:trPr>
          <w:trHeight w:val="174"/>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Pineview Estates</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Flint, MI</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57.4</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46.9</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106.2</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2021</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Pismo Dunes Resort</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Pismo Beach, CA</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w:t>
            </w: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w:t>
            </w:r>
          </w:p>
        </w:tc>
        <w:tc>
          <w:tcPr>
            <w:tcW w:w="6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23.2</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2017</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Pleasant Lake RV Resort</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Bradenton, FL</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Presidential Estates</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Hudsonville, MI</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24.6</w:t>
            </w: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6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1996</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Rainbow</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Frostproof, FL</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2012</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Rainbow Village Largo</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Largo, FL</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w:t>
            </w: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w:t>
            </w:r>
          </w:p>
        </w:tc>
        <w:tc>
          <w:tcPr>
            <w:tcW w:w="6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Rainbow Village Zephyrhills</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Zephyrhills, FL</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Rancho Alipaz</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San Juan Capistrano, CA</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w:t>
            </w:r>
          </w:p>
        </w:tc>
        <w:tc>
          <w:tcPr>
            <w:tcW w:w="6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Rancho Caballero</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Riverside, CA</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31.0</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Rancho Mirage</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Apache Junction, AZ</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22.2</w:t>
            </w:r>
          </w:p>
        </w:tc>
        <w:tc>
          <w:tcPr>
            <w:tcW w:w="6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31.1</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2014</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2"/>
                <w:szCs w:val="12"/>
                <w:color w:val="auto"/>
              </w:rPr>
              <w:t>Red Oaks</w:t>
            </w:r>
            <w:r>
              <w:rPr>
                <w:rFonts w:ascii="Times New Roman" w:cs="Times New Roman" w:eastAsia="Times New Roman" w:hAnsi="Times New Roman"/>
                <w:sz w:val="16"/>
                <w:szCs w:val="16"/>
                <w:color w:val="auto"/>
                <w:vertAlign w:val="superscript"/>
              </w:rPr>
              <w:t>(2)</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Bushnell, FL</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34.5</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Reflections on Silver Lake</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Avon Park, FL</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54.6</w:t>
            </w:r>
          </w:p>
        </w:tc>
        <w:tc>
          <w:tcPr>
            <w:tcW w:w="6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69.7</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2025</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Regency Heights</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Clearwater, FL</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24.3</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32.0</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-1652905</wp:posOffset>
            </wp:positionV>
            <wp:extent cx="7144385" cy="1104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0">
                      <a:extLst>
                        <a:ext uri="{28A0092B-C50C-407E-A947-70E740481C1C}"/>
                      </a:extLst>
                    </a:blip>
                    <a:srcRect/>
                    <a:stretch>
                      <a:fillRect/>
                    </a:stretch>
                  </pic:blipFill>
                  <pic:spPr bwMode="auto">
                    <a:xfrm>
                      <a:off x="0" y="0"/>
                      <a:ext cx="7144385" cy="1104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 - 52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07" w:name="page108"/>
    <w:bookmarkEnd w:id="107"/>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REAL ESTATE AND ACCUMULATED DEPRECIATION, SCHEDULE III</w:t>
      </w:r>
    </w:p>
    <w:p>
      <w:pPr>
        <w:spacing w:after="0" w:line="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DECEMBER 31, 2025</w:t>
      </w:r>
    </w:p>
    <w:p>
      <w:pPr>
        <w:spacing w:after="0" w:line="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(amounts in millions)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gridSpan w:val="4"/>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Costs Capitalized</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Initial Cost to</w:t>
            </w:r>
          </w:p>
        </w:tc>
        <w:tc>
          <w:tcPr>
            <w:tcW w:w="1580" w:type="dxa"/>
            <w:vAlign w:val="bottom"/>
            <w:gridSpan w:val="4"/>
          </w:tcPr>
          <w:p>
            <w:pPr>
              <w:jc w:val="center"/>
              <w:ind w:right="200"/>
              <w:spacing w:after="0" w:line="126" w:lineRule="exact"/>
              <w:rPr>
                <w:sz w:val="20"/>
                <w:szCs w:val="20"/>
                <w:color w:val="auto"/>
              </w:rPr>
            </w:pPr>
            <w:r>
              <w:rPr>
                <w:rFonts w:ascii="Times New Roman" w:cs="Times New Roman" w:eastAsia="Times New Roman" w:hAnsi="Times New Roman"/>
                <w:sz w:val="12"/>
                <w:szCs w:val="12"/>
                <w:b w:val="1"/>
                <w:bCs w:val="1"/>
                <w:color w:val="auto"/>
              </w:rPr>
              <w:t>Subsequent to</w:t>
            </w:r>
          </w:p>
        </w:tc>
        <w:tc>
          <w:tcPr>
            <w:tcW w:w="1760" w:type="dxa"/>
            <w:vAlign w:val="bottom"/>
            <w:gridSpan w:val="5"/>
            <w:vMerge w:val="restart"/>
          </w:tcPr>
          <w:p>
            <w:pPr>
              <w:jc w:val="center"/>
              <w:ind w:left="318"/>
              <w:spacing w:after="0"/>
              <w:rPr>
                <w:sz w:val="20"/>
                <w:szCs w:val="20"/>
                <w:color w:val="auto"/>
              </w:rPr>
            </w:pPr>
            <w:r>
              <w:rPr>
                <w:rFonts w:ascii="Times New Roman" w:cs="Times New Roman" w:eastAsia="Times New Roman" w:hAnsi="Times New Roman"/>
                <w:sz w:val="12"/>
                <w:szCs w:val="12"/>
                <w:b w:val="1"/>
                <w:bCs w:val="1"/>
                <w:color w:val="auto"/>
              </w:rPr>
              <w:t>Gross Amount Carried at</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4"/>
            <w:vMerge w:val="continue"/>
          </w:tcPr>
          <w:p>
            <w:pPr>
              <w:spacing w:after="0"/>
              <w:rPr>
                <w:sz w:val="11"/>
                <w:szCs w:val="11"/>
                <w:color w:val="auto"/>
              </w:rPr>
            </w:pPr>
          </w:p>
        </w:tc>
        <w:tc>
          <w:tcPr>
            <w:tcW w:w="1580" w:type="dxa"/>
            <w:vAlign w:val="bottom"/>
            <w:gridSpan w:val="4"/>
          </w:tcPr>
          <w:p>
            <w:pPr>
              <w:jc w:val="center"/>
              <w:ind w:right="180"/>
              <w:spacing w:after="0" w:line="128" w:lineRule="exact"/>
              <w:rPr>
                <w:sz w:val="20"/>
                <w:szCs w:val="20"/>
                <w:color w:val="auto"/>
              </w:rPr>
            </w:pPr>
            <w:r>
              <w:rPr>
                <w:rFonts w:ascii="Times New Roman" w:cs="Times New Roman" w:eastAsia="Times New Roman" w:hAnsi="Times New Roman"/>
                <w:sz w:val="12"/>
                <w:szCs w:val="12"/>
                <w:b w:val="1"/>
                <w:bCs w:val="1"/>
                <w:color w:val="auto"/>
              </w:rPr>
              <w:t>Acquisition</w:t>
            </w:r>
          </w:p>
        </w:tc>
        <w:tc>
          <w:tcPr>
            <w:tcW w:w="1760" w:type="dxa"/>
            <w:vAlign w:val="bottom"/>
            <w:gridSpan w:val="5"/>
            <w:vMerge w:val="continue"/>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4"/>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Company</w:t>
            </w:r>
          </w:p>
        </w:tc>
        <w:tc>
          <w:tcPr>
            <w:tcW w:w="1580" w:type="dxa"/>
            <w:vAlign w:val="bottom"/>
            <w:gridSpan w:val="4"/>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(Improvements)</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8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w w:val="99"/>
              </w:rPr>
              <w:t>Acquired</w:t>
            </w:r>
          </w:p>
        </w:tc>
        <w:tc>
          <w:tcPr>
            <w:tcW w:w="0" w:type="dxa"/>
            <w:vAlign w:val="bottom"/>
          </w:tcPr>
          <w:p>
            <w:pPr>
              <w:spacing w:after="0"/>
              <w:rPr>
                <w:sz w:val="1"/>
                <w:szCs w:val="1"/>
                <w:color w:val="auto"/>
              </w:rPr>
            </w:pPr>
          </w:p>
        </w:tc>
      </w:tr>
      <w:tr>
        <w:trPr>
          <w:trHeight w:val="126"/>
        </w:trPr>
        <w:tc>
          <w:tcPr>
            <w:tcW w:w="1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Depreciable</w:t>
            </w: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Depreciable</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(A) or</w:t>
            </w:r>
          </w:p>
        </w:tc>
        <w:tc>
          <w:tcPr>
            <w:tcW w:w="0" w:type="dxa"/>
            <w:vAlign w:val="bottom"/>
          </w:tcPr>
          <w:p>
            <w:pPr>
              <w:spacing w:after="0"/>
              <w:rPr>
                <w:sz w:val="1"/>
                <w:szCs w:val="1"/>
                <w:color w:val="auto"/>
              </w:rPr>
            </w:pPr>
          </w:p>
        </w:tc>
      </w:tr>
      <w:tr>
        <w:trPr>
          <w:trHeight w:val="127"/>
        </w:trPr>
        <w:tc>
          <w:tcPr>
            <w:tcW w:w="19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2"/>
                <w:szCs w:val="12"/>
                <w:b w:val="1"/>
                <w:bCs w:val="1"/>
                <w:color w:val="auto"/>
              </w:rPr>
              <w:t>Property Name</w:t>
            </w:r>
          </w:p>
        </w:tc>
        <w:tc>
          <w:tcPr>
            <w:tcW w:w="13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2"/>
                <w:szCs w:val="12"/>
                <w:b w:val="1"/>
                <w:bCs w:val="1"/>
                <w:color w:val="auto"/>
              </w:rPr>
              <w:t>Location</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Encumbrances</w:t>
            </w:r>
            <w:r>
              <w:rPr>
                <w:rFonts w:ascii="Times New Roman" w:cs="Times New Roman" w:eastAsia="Times New Roman" w:hAnsi="Times New Roman"/>
                <w:sz w:val="16"/>
                <w:szCs w:val="16"/>
                <w:b w:val="1"/>
                <w:bCs w:val="1"/>
                <w:color w:val="auto"/>
                <w:vertAlign w:val="superscript"/>
              </w:rPr>
              <w:t>(1)</w:t>
            </w:r>
          </w:p>
        </w:tc>
        <w:tc>
          <w:tcPr>
            <w:tcW w:w="52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Land</w:t>
            </w:r>
          </w:p>
        </w:tc>
        <w:tc>
          <w:tcPr>
            <w:tcW w:w="760" w:type="dxa"/>
            <w:vAlign w:val="bottom"/>
            <w:gridSpan w:val="2"/>
            <w:vMerge w:val="continue"/>
          </w:tcPr>
          <w:p>
            <w:pPr>
              <w:spacing w:after="0"/>
              <w:rPr>
                <w:sz w:val="11"/>
                <w:szCs w:val="11"/>
                <w:color w:val="auto"/>
              </w:rPr>
            </w:pPr>
          </w:p>
        </w:tc>
        <w:tc>
          <w:tcPr>
            <w:tcW w:w="7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Land</w:t>
            </w:r>
          </w:p>
        </w:tc>
        <w:tc>
          <w:tcPr>
            <w:tcW w:w="880" w:type="dxa"/>
            <w:vAlign w:val="bottom"/>
            <w:gridSpan w:val="2"/>
            <w:vMerge w:val="continue"/>
          </w:tcPr>
          <w:p>
            <w:pPr>
              <w:spacing w:after="0"/>
              <w:rPr>
                <w:sz w:val="11"/>
                <w:szCs w:val="11"/>
                <w:color w:val="auto"/>
              </w:rPr>
            </w:pPr>
          </w:p>
        </w:tc>
        <w:tc>
          <w:tcPr>
            <w:tcW w:w="5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Land</w:t>
            </w:r>
          </w:p>
        </w:tc>
        <w:tc>
          <w:tcPr>
            <w:tcW w:w="120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Depreciable Assets</w:t>
            </w:r>
          </w:p>
        </w:tc>
        <w:tc>
          <w:tcPr>
            <w:tcW w:w="4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820" w:type="dxa"/>
            <w:vAlign w:val="bottom"/>
            <w:gridSpan w:val="2"/>
            <w:vMerge w:val="continue"/>
          </w:tcPr>
          <w:p>
            <w:pPr>
              <w:spacing w:after="0"/>
              <w:rPr>
                <w:sz w:val="11"/>
                <w:szCs w:val="11"/>
                <w:color w:val="auto"/>
              </w:rPr>
            </w:pPr>
          </w:p>
        </w:tc>
        <w:tc>
          <w:tcPr>
            <w:tcW w:w="40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Date</w:t>
            </w:r>
          </w:p>
        </w:tc>
        <w:tc>
          <w:tcPr>
            <w:tcW w:w="72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Constructed</w:t>
            </w:r>
          </w:p>
        </w:tc>
        <w:tc>
          <w:tcPr>
            <w:tcW w:w="0" w:type="dxa"/>
            <w:vAlign w:val="bottom"/>
          </w:tcPr>
          <w:p>
            <w:pPr>
              <w:spacing w:after="0"/>
              <w:rPr>
                <w:sz w:val="1"/>
                <w:szCs w:val="1"/>
                <w:color w:val="auto"/>
              </w:rPr>
            </w:pPr>
          </w:p>
        </w:tc>
      </w:tr>
      <w:tr>
        <w:trPr>
          <w:trHeight w:val="174"/>
        </w:trPr>
        <w:tc>
          <w:tcPr>
            <w:tcW w:w="1900" w:type="dxa"/>
            <w:vAlign w:val="bottom"/>
            <w:gridSpan w:val="2"/>
            <w:vMerge w:val="continue"/>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Assets</w:t>
            </w:r>
          </w:p>
        </w:tc>
        <w:tc>
          <w:tcPr>
            <w:tcW w:w="700" w:type="dxa"/>
            <w:vAlign w:val="bottom"/>
            <w:gridSpan w:val="2"/>
            <w:vMerge w:val="continue"/>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Assets</w:t>
            </w:r>
          </w:p>
        </w:tc>
        <w:tc>
          <w:tcPr>
            <w:tcW w:w="560" w:type="dxa"/>
            <w:vAlign w:val="bottom"/>
            <w:gridSpan w:val="2"/>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Depreciation</w:t>
            </w:r>
          </w:p>
        </w:tc>
        <w:tc>
          <w:tcPr>
            <w:tcW w:w="400" w:type="dxa"/>
            <w:vAlign w:val="bottom"/>
            <w:gridSpan w:val="2"/>
            <w:vMerge w:val="continue"/>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(C)</w:t>
            </w:r>
          </w:p>
        </w:tc>
        <w:tc>
          <w:tcPr>
            <w:tcW w:w="0" w:type="dxa"/>
            <w:vAlign w:val="bottom"/>
          </w:tcPr>
          <w:p>
            <w:pPr>
              <w:spacing w:after="0"/>
              <w:rPr>
                <w:sz w:val="1"/>
                <w:szCs w:val="1"/>
                <w:color w:val="auto"/>
              </w:rPr>
            </w:pPr>
          </w:p>
        </w:tc>
      </w:tr>
      <w:tr>
        <w:trPr>
          <w:trHeight w:val="158"/>
        </w:trPr>
        <w:tc>
          <w:tcPr>
            <w:tcW w:w="1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Richmond Place</w:t>
            </w:r>
          </w:p>
        </w:tc>
        <w:tc>
          <w:tcPr>
            <w:tcW w:w="60" w:type="dxa"/>
            <w:vAlign w:val="bottom"/>
          </w:tcPr>
          <w:p>
            <w:pPr>
              <w:spacing w:after="0"/>
              <w:rPr>
                <w:sz w:val="13"/>
                <w:szCs w:val="13"/>
                <w:color w:val="auto"/>
              </w:rPr>
            </w:pPr>
          </w:p>
        </w:tc>
        <w:tc>
          <w:tcPr>
            <w:tcW w:w="1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Richmond, MI</w:t>
            </w:r>
          </w:p>
        </w:tc>
        <w:tc>
          <w:tcPr>
            <w:tcW w:w="60" w:type="dxa"/>
            <w:vAlign w:val="bottom"/>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60" w:type="dxa"/>
            <w:vAlign w:val="bottom"/>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60" w:type="dxa"/>
            <w:vAlign w:val="bottom"/>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60" w:type="dxa"/>
            <w:vAlign w:val="bottom"/>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180" w:type="dxa"/>
            <w:vAlign w:val="bottom"/>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60" w:type="dxa"/>
            <w:vAlign w:val="bottom"/>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6.4</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6.9</w:t>
            </w:r>
          </w:p>
        </w:tc>
        <w:tc>
          <w:tcPr>
            <w:tcW w:w="60" w:type="dxa"/>
            <w:vAlign w:val="bottom"/>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80" w:type="dxa"/>
            <w:vAlign w:val="bottom"/>
          </w:tcPr>
          <w:p>
            <w:pPr>
              <w:spacing w:after="0"/>
              <w:rPr>
                <w:sz w:val="13"/>
                <w:szCs w:val="13"/>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1998</w:t>
            </w:r>
          </w:p>
        </w:tc>
        <w:tc>
          <w:tcPr>
            <w:tcW w:w="60" w:type="dxa"/>
            <w:vAlign w:val="bottom"/>
          </w:tcPr>
          <w:p>
            <w:pPr>
              <w:spacing w:after="0"/>
              <w:rPr>
                <w:sz w:val="13"/>
                <w:szCs w:val="13"/>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2"/>
                <w:szCs w:val="12"/>
                <w:color w:val="auto"/>
              </w:rPr>
              <w:t>River Beach Campsites and RV</w:t>
            </w:r>
            <w:r>
              <w:rPr>
                <w:rFonts w:ascii="Times New Roman" w:cs="Times New Roman" w:eastAsia="Times New Roman" w:hAnsi="Times New Roman"/>
                <w:sz w:val="16"/>
                <w:szCs w:val="16"/>
                <w:color w:val="auto"/>
                <w:vertAlign w:val="superscript"/>
              </w:rPr>
              <w:t>(7)</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Milford, PA</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2020</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River Haven</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Grand Haven, MI</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16.9</w:t>
            </w:r>
          </w:p>
        </w:tc>
        <w:tc>
          <w:tcPr>
            <w:tcW w:w="6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37.0</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(22.7)</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2001</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River Pines</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Nashua, NH</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37.8</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41.8</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2019</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River Ranch</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Austin, TX</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39.4</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45.1</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2000</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(A&amp;C)</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River Ridge</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Saline, MI</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26.9</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29.0</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2021</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River Ridge Estates</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Austin, TX</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31.5</w:t>
            </w: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w:t>
            </w:r>
          </w:p>
        </w:tc>
        <w:tc>
          <w:tcPr>
            <w:tcW w:w="6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28.3</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(14.8)</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2002</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(C)</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Riverside Club</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Ruskin, FL</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38.4</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66.2</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22.3</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90.1</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2015</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Riverside Drive Park</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Augusta, ME</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w:t>
            </w:r>
          </w:p>
        </w:tc>
        <w:tc>
          <w:tcPr>
            <w:tcW w:w="6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17.3</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2020</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Rolling Hills</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Storrs, CT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2019</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Roxbury Park</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Goshen, IN</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w:t>
            </w:r>
          </w:p>
        </w:tc>
        <w:tc>
          <w:tcPr>
            <w:tcW w:w="6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23.7</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2001</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Royal Country</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Miami, FL</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20.8</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27.6</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1994</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Royal Palm Village</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Haines City, FL</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27.4</w:t>
            </w:r>
          </w:p>
        </w:tc>
        <w:tc>
          <w:tcPr>
            <w:tcW w:w="6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2015</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2"/>
                <w:szCs w:val="12"/>
                <w:color w:val="auto"/>
              </w:rPr>
              <w:t>Royal Palms</w:t>
            </w:r>
            <w:r>
              <w:rPr>
                <w:rFonts w:ascii="Times New Roman" w:cs="Times New Roman" w:eastAsia="Times New Roman" w:hAnsi="Times New Roman"/>
                <w:sz w:val="16"/>
                <w:szCs w:val="16"/>
                <w:color w:val="auto"/>
                <w:vertAlign w:val="superscript"/>
              </w:rPr>
              <w:t>(2)</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Cathedral City, CA</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1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24.6</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Rudgate Clinton</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Clinton Township, MI</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23.7</w:t>
            </w:r>
          </w:p>
        </w:tc>
        <w:tc>
          <w:tcPr>
            <w:tcW w:w="6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43.4</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(17.3)</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2012</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Rudgate Manor</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Sterling Heights, MI</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31.1</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26.5</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59.0</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2012</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Saddle Oak Club</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Ocala, FL</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w:t>
            </w: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6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1995</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Saddlebrook</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San Marcos, TX</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25.8</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39.3</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2002</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(C)</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Sandy Lake</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Carrollton, TX</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w:t>
            </w:r>
          </w:p>
        </w:tc>
        <w:tc>
          <w:tcPr>
            <w:tcW w:w="6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20.8</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Saralake Estates</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Sarasota, FL</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Savanna Club</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Port St. Lucie, FL</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54.4</w:t>
            </w: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79.9</w:t>
            </w: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97.9</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(28.9)</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2015</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(A&amp;C)</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Scio Farms</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Ann Arbor, MI</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38.1</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1995</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(A&amp;C)</w:t>
            </w:r>
          </w:p>
        </w:tc>
        <w:tc>
          <w:tcPr>
            <w:tcW w:w="0" w:type="dxa"/>
            <w:vAlign w:val="bottom"/>
          </w:tcPr>
          <w:p>
            <w:pPr>
              <w:spacing w:after="0"/>
              <w:rPr>
                <w:sz w:val="1"/>
                <w:szCs w:val="1"/>
                <w:color w:val="auto"/>
              </w:rPr>
            </w:pPr>
          </w:p>
        </w:tc>
      </w:tr>
      <w:tr>
        <w:trPr>
          <w:trHeight w:val="140"/>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Sea Air Village</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Rehoboth Beach, DE</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w:t>
            </w: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1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w:t>
            </w: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w:t>
            </w:r>
          </w:p>
        </w:tc>
        <w:tc>
          <w:tcPr>
            <w:tcW w:w="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1997</w:t>
            </w:r>
          </w:p>
        </w:tc>
        <w:tc>
          <w:tcPr>
            <w:tcW w:w="6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20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Serendipity</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North Fort Myers, FL</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23.5</w:t>
            </w:r>
          </w:p>
        </w:tc>
        <w:tc>
          <w:tcPr>
            <w:tcW w:w="6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 xml:space="preserve">(0.3) </w:t>
            </w:r>
            <w:r>
              <w:rPr>
                <w:rFonts w:ascii="Times New Roman" w:cs="Times New Roman" w:eastAsia="Times New Roman" w:hAnsi="Times New Roman"/>
                <w:sz w:val="16"/>
                <w:szCs w:val="16"/>
                <w:color w:val="auto"/>
                <w:vertAlign w:val="superscript"/>
              </w:rPr>
              <w:t>(3)</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w:t>
            </w: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33.9</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w:t>
            </w:r>
          </w:p>
        </w:tc>
        <w:tc>
          <w:tcPr>
            <w:tcW w:w="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2015</w:t>
            </w:r>
          </w:p>
        </w:tc>
        <w:tc>
          <w:tcPr>
            <w:tcW w:w="6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Settler's Rest</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Zephyrhills, FL</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6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Shadow Wood Village</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Hudson, FL</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17.2</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26.4</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Sheffield Estates</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Auburn Hills, MI</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6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2006</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Shelby Forest</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Shelby Twp, MI</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42.4</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48.5</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2019</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Shelby West</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Shelby Twp, MI</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38.9</w:t>
            </w:r>
          </w:p>
        </w:tc>
        <w:tc>
          <w:tcPr>
            <w:tcW w:w="6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45.9</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2019</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Shell Creek</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Punta Gorda, FL</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17.0</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Sherwood Forest</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Elkton, MD</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6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w:t>
            </w:r>
          </w:p>
        </w:tc>
        <w:tc>
          <w:tcPr>
            <w:tcW w:w="60" w:type="dxa"/>
            <w:vAlign w:val="bottom"/>
          </w:tcPr>
          <w:p>
            <w:pPr>
              <w:spacing w:after="0"/>
              <w:rPr>
                <w:sz w:val="14"/>
                <w:szCs w:val="14"/>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2025</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Silver Springs</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Clinton Township, MI</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22.9</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2012</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Sky Harbor</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Cheektowaga, NY</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24.3</w:t>
            </w:r>
          </w:p>
        </w:tc>
        <w:tc>
          <w:tcPr>
            <w:tcW w:w="6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37.0</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2014</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Skyline</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Fort Collins, CO</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2014</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-1212215</wp:posOffset>
            </wp:positionV>
            <wp:extent cx="7144385" cy="1104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2">
                      <a:extLst>
                        <a:ext uri="{28A0092B-C50C-407E-A947-70E740481C1C}"/>
                      </a:extLst>
                    </a:blip>
                    <a:srcRect/>
                    <a:stretch>
                      <a:fillRect/>
                    </a:stretch>
                  </pic:blipFill>
                  <pic:spPr bwMode="auto">
                    <a:xfrm>
                      <a:off x="0" y="0"/>
                      <a:ext cx="7144385" cy="1104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 - 53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08" w:name="page109"/>
    <w:bookmarkEnd w:id="108"/>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REAL ESTATE AND ACCUMULATED DEPRECIATION, SCHEDULE III</w:t>
      </w:r>
    </w:p>
    <w:p>
      <w:pPr>
        <w:spacing w:after="0" w:line="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DECEMBER 31, 2025</w:t>
      </w:r>
    </w:p>
    <w:p>
      <w:pPr>
        <w:spacing w:after="0" w:line="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(amounts in millions)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rPr>
              <w:t>Costs Capitalized</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Initial Cost to</w:t>
            </w:r>
          </w:p>
        </w:tc>
        <w:tc>
          <w:tcPr>
            <w:tcW w:w="1380" w:type="dxa"/>
            <w:vAlign w:val="bottom"/>
            <w:gridSpan w:val="3"/>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Subsequent to</w:t>
            </w:r>
          </w:p>
        </w:tc>
        <w:tc>
          <w:tcPr>
            <w:tcW w:w="200" w:type="dxa"/>
            <w:vAlign w:val="bottom"/>
          </w:tcPr>
          <w:p>
            <w:pPr>
              <w:spacing w:after="0"/>
              <w:rPr>
                <w:sz w:val="10"/>
                <w:szCs w:val="10"/>
                <w:color w:val="auto"/>
              </w:rPr>
            </w:pPr>
          </w:p>
        </w:tc>
        <w:tc>
          <w:tcPr>
            <w:tcW w:w="1740" w:type="dxa"/>
            <w:vAlign w:val="bottom"/>
            <w:gridSpan w:val="5"/>
            <w:vMerge w:val="restart"/>
          </w:tcPr>
          <w:p>
            <w:pPr>
              <w:jc w:val="center"/>
              <w:ind w:left="318"/>
              <w:spacing w:after="0"/>
              <w:rPr>
                <w:sz w:val="20"/>
                <w:szCs w:val="20"/>
                <w:color w:val="auto"/>
              </w:rPr>
            </w:pPr>
            <w:r>
              <w:rPr>
                <w:rFonts w:ascii="Times New Roman" w:cs="Times New Roman" w:eastAsia="Times New Roman" w:hAnsi="Times New Roman"/>
                <w:sz w:val="12"/>
                <w:szCs w:val="12"/>
                <w:b w:val="1"/>
                <w:bCs w:val="1"/>
                <w:color w:val="auto"/>
              </w:rPr>
              <w:t>Gross Amount Carried at</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4"/>
            <w:vMerge w:val="continue"/>
          </w:tcPr>
          <w:p>
            <w:pPr>
              <w:spacing w:after="0"/>
              <w:rPr>
                <w:sz w:val="11"/>
                <w:szCs w:val="11"/>
                <w:color w:val="auto"/>
              </w:rPr>
            </w:pPr>
          </w:p>
        </w:tc>
        <w:tc>
          <w:tcPr>
            <w:tcW w:w="1380" w:type="dxa"/>
            <w:vAlign w:val="bottom"/>
            <w:gridSpan w:val="3"/>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Acquisition</w:t>
            </w:r>
          </w:p>
        </w:tc>
        <w:tc>
          <w:tcPr>
            <w:tcW w:w="200" w:type="dxa"/>
            <w:vAlign w:val="bottom"/>
          </w:tcPr>
          <w:p>
            <w:pPr>
              <w:spacing w:after="0"/>
              <w:rPr>
                <w:sz w:val="11"/>
                <w:szCs w:val="11"/>
                <w:color w:val="auto"/>
              </w:rPr>
            </w:pPr>
          </w:p>
        </w:tc>
        <w:tc>
          <w:tcPr>
            <w:tcW w:w="1740" w:type="dxa"/>
            <w:vAlign w:val="bottom"/>
            <w:gridSpan w:val="5"/>
            <w:vMerge w:val="continue"/>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4"/>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Company</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rPr>
              <w:t>(Improvements)</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3"/>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w w:val="99"/>
              </w:rPr>
              <w:t>Acquired</w:t>
            </w:r>
          </w:p>
        </w:tc>
        <w:tc>
          <w:tcPr>
            <w:tcW w:w="0" w:type="dxa"/>
            <w:vAlign w:val="bottom"/>
          </w:tcPr>
          <w:p>
            <w:pPr>
              <w:spacing w:after="0"/>
              <w:rPr>
                <w:sz w:val="1"/>
                <w:szCs w:val="1"/>
                <w:color w:val="auto"/>
              </w:rPr>
            </w:pPr>
          </w:p>
        </w:tc>
      </w:tr>
      <w:tr>
        <w:trPr>
          <w:trHeight w:val="126"/>
        </w:trPr>
        <w:tc>
          <w:tcPr>
            <w:tcW w:w="1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Depreciable</w:t>
            </w: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Depreciable</w:t>
            </w: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(A) or</w:t>
            </w:r>
          </w:p>
        </w:tc>
        <w:tc>
          <w:tcPr>
            <w:tcW w:w="0" w:type="dxa"/>
            <w:vAlign w:val="bottom"/>
          </w:tcPr>
          <w:p>
            <w:pPr>
              <w:spacing w:after="0"/>
              <w:rPr>
                <w:sz w:val="1"/>
                <w:szCs w:val="1"/>
                <w:color w:val="auto"/>
              </w:rPr>
            </w:pPr>
          </w:p>
        </w:tc>
      </w:tr>
      <w:tr>
        <w:trPr>
          <w:trHeight w:val="127"/>
        </w:trPr>
        <w:tc>
          <w:tcPr>
            <w:tcW w:w="19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2"/>
                <w:szCs w:val="12"/>
                <w:b w:val="1"/>
                <w:bCs w:val="1"/>
                <w:color w:val="auto"/>
              </w:rPr>
              <w:t>Property Name</w:t>
            </w:r>
          </w:p>
        </w:tc>
        <w:tc>
          <w:tcPr>
            <w:tcW w:w="13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2"/>
                <w:szCs w:val="12"/>
                <w:b w:val="1"/>
                <w:bCs w:val="1"/>
                <w:color w:val="auto"/>
              </w:rPr>
              <w:t>Location</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Encumbrances</w:t>
            </w:r>
            <w:r>
              <w:rPr>
                <w:rFonts w:ascii="Times New Roman" w:cs="Times New Roman" w:eastAsia="Times New Roman" w:hAnsi="Times New Roman"/>
                <w:sz w:val="16"/>
                <w:szCs w:val="16"/>
                <w:b w:val="1"/>
                <w:bCs w:val="1"/>
                <w:color w:val="auto"/>
                <w:vertAlign w:val="superscript"/>
              </w:rPr>
              <w:t>(1)</w:t>
            </w:r>
          </w:p>
        </w:tc>
        <w:tc>
          <w:tcPr>
            <w:tcW w:w="52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Land</w:t>
            </w:r>
          </w:p>
        </w:tc>
        <w:tc>
          <w:tcPr>
            <w:tcW w:w="760" w:type="dxa"/>
            <w:vAlign w:val="bottom"/>
            <w:gridSpan w:val="2"/>
            <w:vMerge w:val="continue"/>
          </w:tcPr>
          <w:p>
            <w:pPr>
              <w:spacing w:after="0"/>
              <w:rPr>
                <w:sz w:val="11"/>
                <w:szCs w:val="11"/>
                <w:color w:val="auto"/>
              </w:rPr>
            </w:pPr>
          </w:p>
        </w:tc>
        <w:tc>
          <w:tcPr>
            <w:tcW w:w="6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Land</w:t>
            </w:r>
          </w:p>
        </w:tc>
        <w:tc>
          <w:tcPr>
            <w:tcW w:w="7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Land</w:t>
            </w:r>
          </w:p>
        </w:tc>
        <w:tc>
          <w:tcPr>
            <w:tcW w:w="120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Depreciable Assets</w:t>
            </w:r>
          </w:p>
        </w:tc>
        <w:tc>
          <w:tcPr>
            <w:tcW w:w="4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820" w:type="dxa"/>
            <w:vAlign w:val="bottom"/>
            <w:gridSpan w:val="2"/>
            <w:vMerge w:val="continue"/>
          </w:tcPr>
          <w:p>
            <w:pPr>
              <w:spacing w:after="0"/>
              <w:rPr>
                <w:sz w:val="11"/>
                <w:szCs w:val="11"/>
                <w:color w:val="auto"/>
              </w:rPr>
            </w:pPr>
          </w:p>
        </w:tc>
        <w:tc>
          <w:tcPr>
            <w:tcW w:w="40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Date</w:t>
            </w:r>
          </w:p>
        </w:tc>
        <w:tc>
          <w:tcPr>
            <w:tcW w:w="72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Constructed</w:t>
            </w:r>
          </w:p>
        </w:tc>
        <w:tc>
          <w:tcPr>
            <w:tcW w:w="0" w:type="dxa"/>
            <w:vAlign w:val="bottom"/>
          </w:tcPr>
          <w:p>
            <w:pPr>
              <w:spacing w:after="0"/>
              <w:rPr>
                <w:sz w:val="1"/>
                <w:szCs w:val="1"/>
                <w:color w:val="auto"/>
              </w:rPr>
            </w:pPr>
          </w:p>
        </w:tc>
      </w:tr>
      <w:tr>
        <w:trPr>
          <w:trHeight w:val="174"/>
        </w:trPr>
        <w:tc>
          <w:tcPr>
            <w:tcW w:w="1900" w:type="dxa"/>
            <w:vAlign w:val="bottom"/>
            <w:gridSpan w:val="2"/>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Assets</w:t>
            </w:r>
          </w:p>
        </w:tc>
        <w:tc>
          <w:tcPr>
            <w:tcW w:w="680" w:type="dxa"/>
            <w:vAlign w:val="bottom"/>
            <w:gridSpan w:val="2"/>
            <w:vMerge w:val="continue"/>
          </w:tcPr>
          <w:p>
            <w:pPr>
              <w:spacing w:after="0"/>
              <w:rPr>
                <w:sz w:val="15"/>
                <w:szCs w:val="15"/>
                <w:color w:val="auto"/>
              </w:rPr>
            </w:pPr>
          </w:p>
        </w:tc>
        <w:tc>
          <w:tcPr>
            <w:tcW w:w="700" w:type="dxa"/>
            <w:vAlign w:val="bottom"/>
          </w:tcPr>
          <w:p>
            <w:pPr>
              <w:jc w:val="right"/>
              <w:ind w:right="138"/>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20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Depreciation</w:t>
            </w:r>
          </w:p>
        </w:tc>
        <w:tc>
          <w:tcPr>
            <w:tcW w:w="400" w:type="dxa"/>
            <w:vAlign w:val="bottom"/>
            <w:gridSpan w:val="2"/>
            <w:vMerge w:val="continue"/>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(C)</w:t>
            </w:r>
          </w:p>
        </w:tc>
        <w:tc>
          <w:tcPr>
            <w:tcW w:w="0" w:type="dxa"/>
            <w:vAlign w:val="bottom"/>
          </w:tcPr>
          <w:p>
            <w:pPr>
              <w:spacing w:after="0"/>
              <w:rPr>
                <w:sz w:val="1"/>
                <w:szCs w:val="1"/>
                <w:color w:val="auto"/>
              </w:rPr>
            </w:pPr>
          </w:p>
        </w:tc>
      </w:tr>
      <w:tr>
        <w:trPr>
          <w:trHeight w:val="158"/>
        </w:trPr>
        <w:tc>
          <w:tcPr>
            <w:tcW w:w="1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Smith Creek Crossing</w:t>
            </w:r>
          </w:p>
        </w:tc>
        <w:tc>
          <w:tcPr>
            <w:tcW w:w="80" w:type="dxa"/>
            <w:vAlign w:val="bottom"/>
          </w:tcPr>
          <w:p>
            <w:pPr>
              <w:spacing w:after="0"/>
              <w:rPr>
                <w:sz w:val="13"/>
                <w:szCs w:val="13"/>
                <w:color w:val="auto"/>
              </w:rPr>
            </w:pPr>
          </w:p>
        </w:tc>
        <w:tc>
          <w:tcPr>
            <w:tcW w:w="1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Granby, CO</w:t>
            </w:r>
          </w:p>
        </w:tc>
        <w:tc>
          <w:tcPr>
            <w:tcW w:w="80" w:type="dxa"/>
            <w:vAlign w:val="bottom"/>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80" w:type="dxa"/>
            <w:vAlign w:val="bottom"/>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64.3</w:t>
            </w:r>
          </w:p>
        </w:tc>
        <w:tc>
          <w:tcPr>
            <w:tcW w:w="20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60" w:type="dxa"/>
            <w:vAlign w:val="bottom"/>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64.3</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65.7</w:t>
            </w:r>
          </w:p>
        </w:tc>
        <w:tc>
          <w:tcPr>
            <w:tcW w:w="60" w:type="dxa"/>
            <w:vAlign w:val="bottom"/>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(11.5)</w:t>
            </w:r>
          </w:p>
        </w:tc>
        <w:tc>
          <w:tcPr>
            <w:tcW w:w="80" w:type="dxa"/>
            <w:vAlign w:val="bottom"/>
          </w:tcPr>
          <w:p>
            <w:pPr>
              <w:spacing w:after="0"/>
              <w:rPr>
                <w:sz w:val="13"/>
                <w:szCs w:val="13"/>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2018</w:t>
            </w:r>
          </w:p>
        </w:tc>
        <w:tc>
          <w:tcPr>
            <w:tcW w:w="60" w:type="dxa"/>
            <w:vAlign w:val="bottom"/>
          </w:tcPr>
          <w:p>
            <w:pPr>
              <w:spacing w:after="0"/>
              <w:rPr>
                <w:sz w:val="13"/>
                <w:szCs w:val="13"/>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Southern Charm</w:t>
            </w: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Zephyrhills, FL</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17.4</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26.4</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Southern Leisure RV Resort</w:t>
            </w:r>
          </w:p>
        </w:tc>
        <w:tc>
          <w:tcPr>
            <w:tcW w:w="13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Chiefland, FL</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14.8</w:t>
            </w:r>
          </w:p>
        </w:tc>
        <w:tc>
          <w:tcPr>
            <w:tcW w:w="8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24.5</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2021</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Southern Palms</w:t>
            </w: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Ladson, SC</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2019</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19"/>
        </w:trPr>
        <w:tc>
          <w:tcPr>
            <w:tcW w:w="190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2"/>
                <w:szCs w:val="12"/>
                <w:color w:val="auto"/>
              </w:rPr>
              <w:t>Southport Springs Golf &amp; Country</w:t>
            </w:r>
          </w:p>
        </w:tc>
        <w:tc>
          <w:tcPr>
            <w:tcW w:w="13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Zephyrhills, FL</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30.5</w:t>
            </w:r>
          </w:p>
        </w:tc>
        <w:tc>
          <w:tcPr>
            <w:tcW w:w="8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15.1</w:t>
            </w:r>
          </w:p>
        </w:tc>
        <w:tc>
          <w:tcPr>
            <w:tcW w:w="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17.2</w:t>
            </w:r>
          </w:p>
        </w:tc>
        <w:tc>
          <w:tcPr>
            <w:tcW w:w="80" w:type="dxa"/>
            <w:vAlign w:val="bottom"/>
          </w:tcPr>
          <w:p>
            <w:pPr>
              <w:spacing w:after="0"/>
              <w:rPr>
                <w:sz w:val="10"/>
                <w:szCs w:val="10"/>
                <w:color w:val="auto"/>
              </w:rPr>
            </w:pPr>
          </w:p>
        </w:tc>
        <w:tc>
          <w:tcPr>
            <w:tcW w:w="6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6.4</w:t>
            </w:r>
          </w:p>
        </w:tc>
        <w:tc>
          <w:tcPr>
            <w:tcW w:w="20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15.1</w:t>
            </w:r>
          </w:p>
        </w:tc>
        <w:tc>
          <w:tcPr>
            <w:tcW w:w="6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23.6</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38.7</w:t>
            </w:r>
          </w:p>
        </w:tc>
        <w:tc>
          <w:tcPr>
            <w:tcW w:w="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(8.2)</w:t>
            </w:r>
          </w:p>
        </w:tc>
        <w:tc>
          <w:tcPr>
            <w:tcW w:w="8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2015</w:t>
            </w:r>
          </w:p>
        </w:tc>
        <w:tc>
          <w:tcPr>
            <w:tcW w:w="60" w:type="dxa"/>
            <w:vAlign w:val="bottom"/>
          </w:tcPr>
          <w:p>
            <w:pPr>
              <w:spacing w:after="0"/>
              <w:rPr>
                <w:sz w:val="10"/>
                <w:szCs w:val="10"/>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(A&amp;C)</w:t>
            </w:r>
          </w:p>
        </w:tc>
        <w:tc>
          <w:tcPr>
            <w:tcW w:w="0" w:type="dxa"/>
            <w:vAlign w:val="bottom"/>
          </w:tcPr>
          <w:p>
            <w:pPr>
              <w:spacing w:after="0"/>
              <w:rPr>
                <w:sz w:val="1"/>
                <w:szCs w:val="1"/>
                <w:color w:val="auto"/>
              </w:rPr>
            </w:pPr>
          </w:p>
        </w:tc>
      </w:tr>
      <w:tr>
        <w:trPr>
          <w:trHeight w:val="165"/>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Club</w:t>
            </w:r>
          </w:p>
        </w:tc>
        <w:tc>
          <w:tcPr>
            <w:tcW w:w="13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Southwood Village</w:t>
            </w: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Grand Rapids, MI</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2011</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Space City Ellington</w:t>
            </w:r>
          </w:p>
        </w:tc>
        <w:tc>
          <w:tcPr>
            <w:tcW w:w="13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Houston, TX</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w:t>
            </w:r>
          </w:p>
        </w:tc>
        <w:tc>
          <w:tcPr>
            <w:tcW w:w="8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18.1</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2021</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Spanish Main</w:t>
            </w: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Thonotasassa, FL</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17.2</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40"/>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Springrove</w:t>
            </w:r>
          </w:p>
        </w:tc>
        <w:tc>
          <w:tcPr>
            <w:tcW w:w="13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Davisburg, MI</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34.4</w:t>
            </w:r>
          </w:p>
        </w:tc>
        <w:tc>
          <w:tcPr>
            <w:tcW w:w="80" w:type="dxa"/>
            <w:vAlign w:val="bottom"/>
          </w:tcPr>
          <w:p>
            <w:pPr>
              <w:spacing w:after="0"/>
              <w:rPr>
                <w:sz w:val="12"/>
                <w:szCs w:val="12"/>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2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43.7</w:t>
            </w: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2025</w:t>
            </w:r>
          </w:p>
        </w:tc>
        <w:tc>
          <w:tcPr>
            <w:tcW w:w="6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20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Stonebridge</w:t>
            </w:r>
          </w:p>
        </w:tc>
        <w:tc>
          <w:tcPr>
            <w:tcW w:w="13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San Antonio, TX</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8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 xml:space="preserve">(0.6) </w:t>
            </w:r>
            <w:r>
              <w:rPr>
                <w:rFonts w:ascii="Times New Roman" w:cs="Times New Roman" w:eastAsia="Times New Roman" w:hAnsi="Times New Roman"/>
                <w:sz w:val="16"/>
                <w:szCs w:val="16"/>
                <w:color w:val="auto"/>
                <w:vertAlign w:val="superscript"/>
              </w:rPr>
              <w:t>(3)</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2000</w:t>
            </w:r>
          </w:p>
        </w:tc>
        <w:tc>
          <w:tcPr>
            <w:tcW w:w="6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(A&amp;C)</w:t>
            </w:r>
          </w:p>
        </w:tc>
        <w:tc>
          <w:tcPr>
            <w:tcW w:w="0" w:type="dxa"/>
            <w:vAlign w:val="bottom"/>
          </w:tcPr>
          <w:p>
            <w:pPr>
              <w:spacing w:after="0"/>
              <w:rPr>
                <w:sz w:val="1"/>
                <w:szCs w:val="1"/>
                <w:color w:val="auto"/>
              </w:rPr>
            </w:pPr>
          </w:p>
        </w:tc>
      </w:tr>
      <w:tr>
        <w:trPr>
          <w:trHeight w:val="160"/>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Stonebrook</w:t>
            </w:r>
          </w:p>
        </w:tc>
        <w:tc>
          <w:tcPr>
            <w:tcW w:w="13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Homosassa, FL</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w:t>
            </w:r>
          </w:p>
        </w:tc>
        <w:tc>
          <w:tcPr>
            <w:tcW w:w="80" w:type="dxa"/>
            <w:vAlign w:val="bottom"/>
          </w:tcPr>
          <w:p>
            <w:pPr>
              <w:spacing w:after="0"/>
              <w:rPr>
                <w:sz w:val="13"/>
                <w:szCs w:val="13"/>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2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w:t>
            </w:r>
          </w:p>
        </w:tc>
        <w:tc>
          <w:tcPr>
            <w:tcW w:w="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2015</w:t>
            </w:r>
          </w:p>
        </w:tc>
        <w:tc>
          <w:tcPr>
            <w:tcW w:w="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54"/>
        </w:trPr>
        <w:tc>
          <w:tcPr>
            <w:tcW w:w="190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2"/>
                <w:szCs w:val="12"/>
                <w:color w:val="auto"/>
              </w:rPr>
              <w:t>Stoneridge Villas</w:t>
            </w:r>
            <w:r>
              <w:rPr>
                <w:rFonts w:ascii="Times New Roman" w:cs="Times New Roman" w:eastAsia="Times New Roman" w:hAnsi="Times New Roman"/>
                <w:sz w:val="16"/>
                <w:szCs w:val="16"/>
                <w:color w:val="auto"/>
                <w:vertAlign w:val="superscript"/>
              </w:rPr>
              <w:t>(5)(7)</w:t>
            </w:r>
          </w:p>
        </w:tc>
        <w:tc>
          <w:tcPr>
            <w:tcW w:w="13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Gardnerville, NV</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8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60" w:type="dxa"/>
            <w:vAlign w:val="bottom"/>
          </w:tcPr>
          <w:p>
            <w:pPr>
              <w:spacing w:after="0"/>
              <w:rPr>
                <w:sz w:val="13"/>
                <w:szCs w:val="13"/>
                <w:color w:val="auto"/>
              </w:rPr>
            </w:pP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60" w:type="dxa"/>
            <w:vAlign w:val="bottom"/>
          </w:tcPr>
          <w:p>
            <w:pPr>
              <w:spacing w:after="0"/>
              <w:rPr>
                <w:sz w:val="13"/>
                <w:szCs w:val="13"/>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20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Summit Ridge</w:t>
            </w:r>
          </w:p>
        </w:tc>
        <w:tc>
          <w:tcPr>
            <w:tcW w:w="13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Converse, TX</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8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 xml:space="preserve">(0.9) </w:t>
            </w:r>
            <w:r>
              <w:rPr>
                <w:rFonts w:ascii="Times New Roman" w:cs="Times New Roman" w:eastAsia="Times New Roman" w:hAnsi="Times New Roman"/>
                <w:sz w:val="16"/>
                <w:szCs w:val="16"/>
                <w:color w:val="auto"/>
                <w:vertAlign w:val="superscript"/>
              </w:rPr>
              <w:t>(3)</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22.3</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w:t>
            </w:r>
          </w:p>
        </w:tc>
        <w:tc>
          <w:tcPr>
            <w:tcW w:w="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2000</w:t>
            </w:r>
          </w:p>
        </w:tc>
        <w:tc>
          <w:tcPr>
            <w:tcW w:w="6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(A&amp;C)</w:t>
            </w:r>
          </w:p>
        </w:tc>
        <w:tc>
          <w:tcPr>
            <w:tcW w:w="0" w:type="dxa"/>
            <w:vAlign w:val="bottom"/>
          </w:tcPr>
          <w:p>
            <w:pPr>
              <w:spacing w:after="0"/>
              <w:rPr>
                <w:sz w:val="1"/>
                <w:szCs w:val="1"/>
                <w:color w:val="auto"/>
              </w:rPr>
            </w:pPr>
          </w:p>
        </w:tc>
      </w:tr>
      <w:tr>
        <w:trPr>
          <w:trHeight w:val="174"/>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Sun Outdoors Arches Gateway</w:t>
            </w: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Moab, UT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2018</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Sun Outdoors Association Island</w:t>
            </w:r>
          </w:p>
        </w:tc>
        <w:tc>
          <w:tcPr>
            <w:tcW w:w="13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Henderson, NY</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w:t>
            </w:r>
          </w:p>
        </w:tc>
        <w:tc>
          <w:tcPr>
            <w:tcW w:w="8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21.7</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2021</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2"/>
                <w:szCs w:val="12"/>
                <w:color w:val="auto"/>
              </w:rPr>
              <w:t>Sun Outdoors Bend</w:t>
            </w:r>
            <w:r>
              <w:rPr>
                <w:rFonts w:ascii="Times New Roman" w:cs="Times New Roman" w:eastAsia="Times New Roman" w:hAnsi="Times New Roman"/>
                <w:sz w:val="16"/>
                <w:szCs w:val="16"/>
                <w:color w:val="auto"/>
                <w:vertAlign w:val="superscript"/>
              </w:rPr>
              <w:t>(2)</w:t>
            </w: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Bend, OR</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2020</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19"/>
        </w:trPr>
        <w:tc>
          <w:tcPr>
            <w:tcW w:w="190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2"/>
                <w:szCs w:val="12"/>
                <w:color w:val="auto"/>
              </w:rPr>
              <w:t>Sun Outdoors Canyonlands</w:t>
            </w:r>
          </w:p>
        </w:tc>
        <w:tc>
          <w:tcPr>
            <w:tcW w:w="13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Moab, UT</w:t>
            </w: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80" w:type="dxa"/>
            <w:vAlign w:val="bottom"/>
          </w:tcPr>
          <w:p>
            <w:pPr>
              <w:spacing w:after="0"/>
              <w:rPr>
                <w:sz w:val="10"/>
                <w:szCs w:val="10"/>
                <w:color w:val="auto"/>
              </w:rPr>
            </w:pPr>
          </w:p>
        </w:tc>
        <w:tc>
          <w:tcPr>
            <w:tcW w:w="6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20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6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9.5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15.8</w:t>
            </w:r>
          </w:p>
        </w:tc>
        <w:tc>
          <w:tcPr>
            <w:tcW w:w="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8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2018</w:t>
            </w:r>
          </w:p>
        </w:tc>
        <w:tc>
          <w:tcPr>
            <w:tcW w:w="60" w:type="dxa"/>
            <w:vAlign w:val="bottom"/>
          </w:tcPr>
          <w:p>
            <w:pPr>
              <w:spacing w:after="0"/>
              <w:rPr>
                <w:sz w:val="10"/>
                <w:szCs w:val="10"/>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5"/>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Gateway</w:t>
            </w:r>
          </w:p>
        </w:tc>
        <w:tc>
          <w:tcPr>
            <w:tcW w:w="136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Sun Outdoors Cape Charles</w:t>
            </w: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Cape Charles, VA</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38.7</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w:t>
            </w: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70.5</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2021</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Sun Outdoors Cape May</w:t>
            </w:r>
          </w:p>
        </w:tc>
        <w:tc>
          <w:tcPr>
            <w:tcW w:w="13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Cape May, NJ</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27.5</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29.5</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2021</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26"/>
        </w:trPr>
        <w:tc>
          <w:tcPr>
            <w:tcW w:w="190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2"/>
                <w:szCs w:val="12"/>
                <w:color w:val="auto"/>
              </w:rPr>
              <w:t>Sun Outdoors Central Coast Wine</w:t>
            </w:r>
          </w:p>
        </w:tc>
        <w:tc>
          <w:tcPr>
            <w:tcW w:w="13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Paso Robles, CA</w:t>
            </w: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w:t>
            </w:r>
          </w:p>
        </w:tc>
        <w:tc>
          <w:tcPr>
            <w:tcW w:w="8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20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6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w:t>
            </w:r>
          </w:p>
        </w:tc>
        <w:tc>
          <w:tcPr>
            <w:tcW w:w="6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8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2014</w:t>
            </w:r>
          </w:p>
        </w:tc>
        <w:tc>
          <w:tcPr>
            <w:tcW w:w="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(A&amp;C)</w:t>
            </w:r>
          </w:p>
        </w:tc>
        <w:tc>
          <w:tcPr>
            <w:tcW w:w="0" w:type="dxa"/>
            <w:vAlign w:val="bottom"/>
          </w:tcPr>
          <w:p>
            <w:pPr>
              <w:spacing w:after="0"/>
              <w:rPr>
                <w:sz w:val="1"/>
                <w:szCs w:val="1"/>
                <w:color w:val="auto"/>
              </w:rPr>
            </w:pPr>
          </w:p>
        </w:tc>
      </w:tr>
      <w:tr>
        <w:trPr>
          <w:trHeight w:val="17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Country</w:t>
            </w:r>
          </w:p>
        </w:tc>
        <w:tc>
          <w:tcPr>
            <w:tcW w:w="136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Sun Outdoors Frontier Town</w:t>
            </w:r>
          </w:p>
        </w:tc>
        <w:tc>
          <w:tcPr>
            <w:tcW w:w="13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Berlin, MD</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19.0</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43.2</w:t>
            </w:r>
          </w:p>
        </w:tc>
        <w:tc>
          <w:tcPr>
            <w:tcW w:w="8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w:t>
            </w: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19.0</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102.2</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(28.9)</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2015</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Sun Outdoors Garden City Utah</w:t>
            </w: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Garden City, UT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2021</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Sun Outdoors Gig Harbor</w:t>
            </w:r>
          </w:p>
        </w:tc>
        <w:tc>
          <w:tcPr>
            <w:tcW w:w="13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Gig Harbor, WA</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w:t>
            </w:r>
          </w:p>
        </w:tc>
        <w:tc>
          <w:tcPr>
            <w:tcW w:w="8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17.3</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2020</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Sun Outdoors Islamorada</w:t>
            </w: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Islamorada, FL</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37.3</w:t>
            </w: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57.1</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0"/>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Sun Outdoors Kensington Valley</w:t>
            </w:r>
          </w:p>
        </w:tc>
        <w:tc>
          <w:tcPr>
            <w:tcW w:w="13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New Hudson, MI</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w:t>
            </w: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200" w:type="dxa"/>
            <w:vAlign w:val="bottom"/>
            <w:vMerge w:val="restart"/>
          </w:tcPr>
          <w:p>
            <w:pPr>
              <w:jc w:val="right"/>
              <w:ind w:right="60"/>
              <w:spacing w:after="0"/>
              <w:rPr>
                <w:sz w:val="20"/>
                <w:szCs w:val="20"/>
                <w:color w:val="auto"/>
              </w:rPr>
            </w:pPr>
            <w:r>
              <w:rPr>
                <w:rFonts w:ascii="Times New Roman" w:cs="Times New Roman" w:eastAsia="Times New Roman" w:hAnsi="Times New Roman"/>
                <w:sz w:val="8"/>
                <w:szCs w:val="8"/>
                <w:color w:val="auto"/>
                <w:w w:val="85"/>
              </w:rPr>
              <w:t>(9)</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24.6</w:t>
            </w:r>
          </w:p>
        </w:tc>
        <w:tc>
          <w:tcPr>
            <w:tcW w:w="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2021</w:t>
            </w:r>
          </w:p>
        </w:tc>
        <w:tc>
          <w:tcPr>
            <w:tcW w:w="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5"/>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Sun Outdoors Lake Rudolph</w:t>
            </w:r>
          </w:p>
        </w:tc>
        <w:tc>
          <w:tcPr>
            <w:tcW w:w="13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Santa Claus, IN</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28.1</w:t>
            </w:r>
          </w:p>
        </w:tc>
        <w:tc>
          <w:tcPr>
            <w:tcW w:w="8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w:t>
            </w:r>
          </w:p>
        </w:tc>
        <w:tc>
          <w:tcPr>
            <w:tcW w:w="200" w:type="dxa"/>
            <w:vAlign w:val="bottom"/>
            <w:vMerge w:val="continue"/>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47.1</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(22.3)</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2014</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(A&amp;C)</w:t>
            </w:r>
          </w:p>
        </w:tc>
        <w:tc>
          <w:tcPr>
            <w:tcW w:w="0" w:type="dxa"/>
            <w:vAlign w:val="bottom"/>
          </w:tcPr>
          <w:p>
            <w:pPr>
              <w:spacing w:after="0"/>
              <w:rPr>
                <w:sz w:val="1"/>
                <w:szCs w:val="1"/>
                <w:color w:val="auto"/>
              </w:rPr>
            </w:pPr>
          </w:p>
        </w:tc>
      </w:tr>
      <w:tr>
        <w:trPr>
          <w:trHeight w:val="174"/>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Sun Outdoors Lake Travis</w:t>
            </w:r>
          </w:p>
        </w:tc>
        <w:tc>
          <w:tcPr>
            <w:tcW w:w="13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Austin, TX</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22.2</w:t>
            </w:r>
          </w:p>
        </w:tc>
        <w:tc>
          <w:tcPr>
            <w:tcW w:w="80" w:type="dxa"/>
            <w:vAlign w:val="bottom"/>
          </w:tcPr>
          <w:p>
            <w:pPr>
              <w:spacing w:after="0"/>
              <w:rPr>
                <w:sz w:val="15"/>
                <w:szCs w:val="15"/>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2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26.5</w:t>
            </w:r>
          </w:p>
        </w:tc>
        <w:tc>
          <w:tcPr>
            <w:tcW w:w="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w:t>
            </w:r>
          </w:p>
        </w:tc>
        <w:tc>
          <w:tcPr>
            <w:tcW w:w="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2015</w:t>
            </w:r>
          </w:p>
        </w:tc>
        <w:tc>
          <w:tcPr>
            <w:tcW w:w="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22"/>
        </w:trPr>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Sun Outdoors Marathon</w:t>
            </w: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Marathon, FL</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w:t>
            </w: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15.9</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Sun Outdoors Moab Downtown</w:t>
            </w:r>
          </w:p>
        </w:tc>
        <w:tc>
          <w:tcPr>
            <w:tcW w:w="13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Moab, UT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w:t>
            </w:r>
          </w:p>
        </w:tc>
        <w:tc>
          <w:tcPr>
            <w:tcW w:w="8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2018</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Sun Outdoors Myrtle Beach</w:t>
            </w: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Conway, SC</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107.6</w:t>
            </w: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114.2</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2017</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(A&amp;C)</w:t>
            </w:r>
          </w:p>
        </w:tc>
        <w:tc>
          <w:tcPr>
            <w:tcW w:w="0" w:type="dxa"/>
            <w:vAlign w:val="bottom"/>
          </w:tcPr>
          <w:p>
            <w:pPr>
              <w:spacing w:after="0"/>
              <w:rPr>
                <w:sz w:val="1"/>
                <w:szCs w:val="1"/>
                <w:color w:val="auto"/>
              </w:rPr>
            </w:pPr>
          </w:p>
        </w:tc>
      </w:tr>
      <w:tr>
        <w:trPr>
          <w:trHeight w:val="119"/>
        </w:trPr>
        <w:tc>
          <w:tcPr>
            <w:tcW w:w="190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2"/>
                <w:szCs w:val="12"/>
                <w:color w:val="auto"/>
              </w:rPr>
              <w:t>Sun Outdoors New Orleans North</w:t>
            </w:r>
          </w:p>
        </w:tc>
        <w:tc>
          <w:tcPr>
            <w:tcW w:w="13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Ponchatoula, LA</w:t>
            </w: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16.1</w:t>
            </w:r>
          </w:p>
        </w:tc>
        <w:tc>
          <w:tcPr>
            <w:tcW w:w="80" w:type="dxa"/>
            <w:vAlign w:val="bottom"/>
          </w:tcPr>
          <w:p>
            <w:pPr>
              <w:spacing w:after="0"/>
              <w:rPr>
                <w:sz w:val="10"/>
                <w:szCs w:val="10"/>
                <w:color w:val="auto"/>
              </w:rPr>
            </w:pPr>
          </w:p>
        </w:tc>
        <w:tc>
          <w:tcPr>
            <w:tcW w:w="6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11.8</w:t>
            </w:r>
          </w:p>
        </w:tc>
        <w:tc>
          <w:tcPr>
            <w:tcW w:w="20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6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27.9</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35.6</w:t>
            </w:r>
          </w:p>
        </w:tc>
        <w:tc>
          <w:tcPr>
            <w:tcW w:w="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8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2019</w:t>
            </w:r>
          </w:p>
        </w:tc>
        <w:tc>
          <w:tcPr>
            <w:tcW w:w="60" w:type="dxa"/>
            <w:vAlign w:val="bottom"/>
          </w:tcPr>
          <w:p>
            <w:pPr>
              <w:spacing w:after="0"/>
              <w:rPr>
                <w:sz w:val="10"/>
                <w:szCs w:val="10"/>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5"/>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Shore</w:t>
            </w:r>
          </w:p>
        </w:tc>
        <w:tc>
          <w:tcPr>
            <w:tcW w:w="136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Sun Outdoors North Moab</w:t>
            </w: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Moab, UT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w:t>
            </w: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2019</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Sun Outdoors Ocean City</w:t>
            </w:r>
          </w:p>
        </w:tc>
        <w:tc>
          <w:tcPr>
            <w:tcW w:w="13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Berlin, MD</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22.3</w:t>
            </w:r>
          </w:p>
        </w:tc>
        <w:tc>
          <w:tcPr>
            <w:tcW w:w="8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w:t>
            </w: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45.8</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2014</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(A&amp;C)</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Sun Outdoors Ocean City Gateway</w:t>
            </w: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Whaleyville, MD</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19.0</w:t>
            </w: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24.7</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2015</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-2976245</wp:posOffset>
            </wp:positionV>
            <wp:extent cx="7144385" cy="1104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4">
                      <a:extLst>
                        <a:ext uri="{28A0092B-C50C-407E-A947-70E740481C1C}"/>
                      </a:extLst>
                    </a:blip>
                    <a:srcRect/>
                    <a:stretch>
                      <a:fillRect/>
                    </a:stretch>
                  </pic:blipFill>
                  <pic:spPr bwMode="auto">
                    <a:xfrm>
                      <a:off x="0" y="0"/>
                      <a:ext cx="7144385" cy="1104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-2755900</wp:posOffset>
            </wp:positionV>
            <wp:extent cx="7144385" cy="1104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5">
                      <a:extLst>
                        <a:ext uri="{28A0092B-C50C-407E-A947-70E740481C1C}"/>
                      </a:extLst>
                    </a:blip>
                    <a:srcRect/>
                    <a:stretch>
                      <a:fillRect/>
                    </a:stretch>
                  </pic:blipFill>
                  <pic:spPr bwMode="auto">
                    <a:xfrm>
                      <a:off x="0" y="0"/>
                      <a:ext cx="7144385" cy="1104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-1064895</wp:posOffset>
            </wp:positionV>
            <wp:extent cx="7144385" cy="1104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6">
                      <a:extLst>
                        <a:ext uri="{28A0092B-C50C-407E-A947-70E740481C1C}"/>
                      </a:extLst>
                    </a:blip>
                    <a:srcRect/>
                    <a:stretch>
                      <a:fillRect/>
                    </a:stretch>
                  </pic:blipFill>
                  <pic:spPr bwMode="auto">
                    <a:xfrm>
                      <a:off x="0" y="0"/>
                      <a:ext cx="7144385" cy="1104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 - 54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09" w:name="page110"/>
    <w:bookmarkEnd w:id="109"/>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REAL ESTATE AND ACCUMULATED DEPRECIATION, SCHEDULE III</w:t>
      </w:r>
    </w:p>
    <w:p>
      <w:pPr>
        <w:spacing w:after="0" w:line="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DECEMBER 31, 2025</w:t>
      </w:r>
    </w:p>
    <w:p>
      <w:pPr>
        <w:spacing w:after="0" w:line="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(amounts in millions)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gridSpan w:val="4"/>
          </w:tcPr>
          <w:p>
            <w:pPr>
              <w:ind w:left="220"/>
              <w:spacing w:after="0"/>
              <w:rPr>
                <w:sz w:val="20"/>
                <w:szCs w:val="20"/>
                <w:color w:val="auto"/>
              </w:rPr>
            </w:pPr>
            <w:r>
              <w:rPr>
                <w:rFonts w:ascii="Times New Roman" w:cs="Times New Roman" w:eastAsia="Times New Roman" w:hAnsi="Times New Roman"/>
                <w:sz w:val="12"/>
                <w:szCs w:val="12"/>
                <w:b w:val="1"/>
                <w:bCs w:val="1"/>
                <w:color w:val="auto"/>
              </w:rPr>
              <w:t>Costs Capitalized</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Initial Cost to</w:t>
            </w:r>
          </w:p>
        </w:tc>
        <w:tc>
          <w:tcPr>
            <w:tcW w:w="1580" w:type="dxa"/>
            <w:vAlign w:val="bottom"/>
            <w:gridSpan w:val="4"/>
          </w:tcPr>
          <w:p>
            <w:pPr>
              <w:jc w:val="center"/>
              <w:ind w:right="200"/>
              <w:spacing w:after="0" w:line="126" w:lineRule="exact"/>
              <w:rPr>
                <w:sz w:val="20"/>
                <w:szCs w:val="20"/>
                <w:color w:val="auto"/>
              </w:rPr>
            </w:pPr>
            <w:r>
              <w:rPr>
                <w:rFonts w:ascii="Times New Roman" w:cs="Times New Roman" w:eastAsia="Times New Roman" w:hAnsi="Times New Roman"/>
                <w:sz w:val="12"/>
                <w:szCs w:val="12"/>
                <w:b w:val="1"/>
                <w:bCs w:val="1"/>
                <w:color w:val="auto"/>
              </w:rPr>
              <w:t>Subsequent to</w:t>
            </w:r>
          </w:p>
        </w:tc>
        <w:tc>
          <w:tcPr>
            <w:tcW w:w="1760" w:type="dxa"/>
            <w:vAlign w:val="bottom"/>
            <w:gridSpan w:val="5"/>
            <w:vMerge w:val="restart"/>
          </w:tcPr>
          <w:p>
            <w:pPr>
              <w:jc w:val="center"/>
              <w:ind w:left="318"/>
              <w:spacing w:after="0"/>
              <w:rPr>
                <w:sz w:val="20"/>
                <w:szCs w:val="20"/>
                <w:color w:val="auto"/>
              </w:rPr>
            </w:pPr>
            <w:r>
              <w:rPr>
                <w:rFonts w:ascii="Times New Roman" w:cs="Times New Roman" w:eastAsia="Times New Roman" w:hAnsi="Times New Roman"/>
                <w:sz w:val="12"/>
                <w:szCs w:val="12"/>
                <w:b w:val="1"/>
                <w:bCs w:val="1"/>
                <w:color w:val="auto"/>
              </w:rPr>
              <w:t>Gross Amount Carried at</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4"/>
            <w:vMerge w:val="continue"/>
          </w:tcPr>
          <w:p>
            <w:pPr>
              <w:spacing w:after="0"/>
              <w:rPr>
                <w:sz w:val="11"/>
                <w:szCs w:val="11"/>
                <w:color w:val="auto"/>
              </w:rPr>
            </w:pPr>
          </w:p>
        </w:tc>
        <w:tc>
          <w:tcPr>
            <w:tcW w:w="1580" w:type="dxa"/>
            <w:vAlign w:val="bottom"/>
            <w:gridSpan w:val="4"/>
          </w:tcPr>
          <w:p>
            <w:pPr>
              <w:jc w:val="center"/>
              <w:ind w:right="200"/>
              <w:spacing w:after="0" w:line="128" w:lineRule="exact"/>
              <w:rPr>
                <w:sz w:val="20"/>
                <w:szCs w:val="20"/>
                <w:color w:val="auto"/>
              </w:rPr>
            </w:pPr>
            <w:r>
              <w:rPr>
                <w:rFonts w:ascii="Times New Roman" w:cs="Times New Roman" w:eastAsia="Times New Roman" w:hAnsi="Times New Roman"/>
                <w:sz w:val="12"/>
                <w:szCs w:val="12"/>
                <w:b w:val="1"/>
                <w:bCs w:val="1"/>
                <w:color w:val="auto"/>
              </w:rPr>
              <w:t>Acquisition</w:t>
            </w:r>
          </w:p>
        </w:tc>
        <w:tc>
          <w:tcPr>
            <w:tcW w:w="1760" w:type="dxa"/>
            <w:vAlign w:val="bottom"/>
            <w:gridSpan w:val="5"/>
            <w:vMerge w:val="continue"/>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4"/>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Company</w:t>
            </w:r>
          </w:p>
        </w:tc>
        <w:tc>
          <w:tcPr>
            <w:tcW w:w="1580" w:type="dxa"/>
            <w:vAlign w:val="bottom"/>
            <w:gridSpan w:val="4"/>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(Improvements)</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8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w w:val="99"/>
              </w:rPr>
              <w:t>Acquired</w:t>
            </w:r>
          </w:p>
        </w:tc>
        <w:tc>
          <w:tcPr>
            <w:tcW w:w="0" w:type="dxa"/>
            <w:vAlign w:val="bottom"/>
          </w:tcPr>
          <w:p>
            <w:pPr>
              <w:spacing w:after="0"/>
              <w:rPr>
                <w:sz w:val="1"/>
                <w:szCs w:val="1"/>
                <w:color w:val="auto"/>
              </w:rPr>
            </w:pPr>
          </w:p>
        </w:tc>
      </w:tr>
      <w:tr>
        <w:trPr>
          <w:trHeight w:val="126"/>
        </w:trPr>
        <w:tc>
          <w:tcPr>
            <w:tcW w:w="1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Depreciable</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Depreciable</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(A) or</w:t>
            </w:r>
          </w:p>
        </w:tc>
        <w:tc>
          <w:tcPr>
            <w:tcW w:w="0" w:type="dxa"/>
            <w:vAlign w:val="bottom"/>
          </w:tcPr>
          <w:p>
            <w:pPr>
              <w:spacing w:after="0"/>
              <w:rPr>
                <w:sz w:val="1"/>
                <w:szCs w:val="1"/>
                <w:color w:val="auto"/>
              </w:rPr>
            </w:pPr>
          </w:p>
        </w:tc>
      </w:tr>
      <w:tr>
        <w:trPr>
          <w:trHeight w:val="127"/>
        </w:trPr>
        <w:tc>
          <w:tcPr>
            <w:tcW w:w="1860" w:type="dxa"/>
            <w:vAlign w:val="bottom"/>
            <w:vMerge w:val="restart"/>
          </w:tcPr>
          <w:p>
            <w:pPr>
              <w:ind w:left="520"/>
              <w:spacing w:after="0"/>
              <w:rPr>
                <w:sz w:val="20"/>
                <w:szCs w:val="20"/>
                <w:color w:val="auto"/>
              </w:rPr>
            </w:pPr>
            <w:r>
              <w:rPr>
                <w:rFonts w:ascii="Times New Roman" w:cs="Times New Roman" w:eastAsia="Times New Roman" w:hAnsi="Times New Roman"/>
                <w:sz w:val="12"/>
                <w:szCs w:val="12"/>
                <w:b w:val="1"/>
                <w:bCs w:val="1"/>
                <w:color w:val="auto"/>
              </w:rPr>
              <w:t>Property Name</w:t>
            </w:r>
          </w:p>
        </w:tc>
        <w:tc>
          <w:tcPr>
            <w:tcW w:w="60" w:type="dxa"/>
            <w:vAlign w:val="bottom"/>
            <w:vMerge w:val="restart"/>
          </w:tcPr>
          <w:p>
            <w:pPr>
              <w:spacing w:after="0"/>
              <w:rPr>
                <w:sz w:val="11"/>
                <w:szCs w:val="11"/>
                <w:color w:val="auto"/>
              </w:rPr>
            </w:pPr>
          </w:p>
        </w:tc>
        <w:tc>
          <w:tcPr>
            <w:tcW w:w="1260" w:type="dxa"/>
            <w:vAlign w:val="bottom"/>
            <w:vMerge w:val="restart"/>
          </w:tcPr>
          <w:p>
            <w:pPr>
              <w:ind w:left="400"/>
              <w:spacing w:after="0"/>
              <w:rPr>
                <w:sz w:val="20"/>
                <w:szCs w:val="20"/>
                <w:color w:val="auto"/>
              </w:rPr>
            </w:pPr>
            <w:r>
              <w:rPr>
                <w:rFonts w:ascii="Times New Roman" w:cs="Times New Roman" w:eastAsia="Times New Roman" w:hAnsi="Times New Roman"/>
                <w:sz w:val="12"/>
                <w:szCs w:val="12"/>
                <w:b w:val="1"/>
                <w:bCs w:val="1"/>
                <w:color w:val="auto"/>
              </w:rPr>
              <w:t>Location</w:t>
            </w:r>
          </w:p>
        </w:tc>
        <w:tc>
          <w:tcPr>
            <w:tcW w:w="60" w:type="dxa"/>
            <w:vAlign w:val="bottom"/>
            <w:vMerge w:val="restart"/>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w w:val="98"/>
              </w:rPr>
              <w:t>Encumbrances</w:t>
            </w:r>
            <w:r>
              <w:rPr>
                <w:rFonts w:ascii="Times New Roman" w:cs="Times New Roman" w:eastAsia="Times New Roman" w:hAnsi="Times New Roman"/>
                <w:sz w:val="16"/>
                <w:szCs w:val="16"/>
                <w:b w:val="1"/>
                <w:bCs w:val="1"/>
                <w:color w:val="auto"/>
                <w:w w:val="98"/>
                <w:vertAlign w:val="superscript"/>
              </w:rPr>
              <w:t>(1)</w:t>
            </w:r>
          </w:p>
        </w:tc>
        <w:tc>
          <w:tcPr>
            <w:tcW w:w="60" w:type="dxa"/>
            <w:vAlign w:val="bottom"/>
            <w:vMerge w:val="restart"/>
          </w:tcPr>
          <w:p>
            <w:pPr>
              <w:spacing w:after="0"/>
              <w:rPr>
                <w:sz w:val="11"/>
                <w:szCs w:val="11"/>
                <w:color w:val="auto"/>
              </w:rPr>
            </w:pPr>
          </w:p>
        </w:tc>
        <w:tc>
          <w:tcPr>
            <w:tcW w:w="460" w:type="dxa"/>
            <w:vAlign w:val="bottom"/>
            <w:vMerge w:val="restart"/>
          </w:tcPr>
          <w:p>
            <w:pPr>
              <w:jc w:val="right"/>
              <w:ind w:right="38"/>
              <w:spacing w:after="0"/>
              <w:rPr>
                <w:sz w:val="20"/>
                <w:szCs w:val="20"/>
                <w:color w:val="auto"/>
              </w:rPr>
            </w:pPr>
            <w:r>
              <w:rPr>
                <w:rFonts w:ascii="Times New Roman" w:cs="Times New Roman" w:eastAsia="Times New Roman" w:hAnsi="Times New Roman"/>
                <w:sz w:val="12"/>
                <w:szCs w:val="12"/>
                <w:b w:val="1"/>
                <w:bCs w:val="1"/>
                <w:color w:val="auto"/>
              </w:rPr>
              <w:t>Land</w:t>
            </w:r>
          </w:p>
        </w:tc>
        <w:tc>
          <w:tcPr>
            <w:tcW w:w="60" w:type="dxa"/>
            <w:vAlign w:val="bottom"/>
            <w:vMerge w:val="restart"/>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500" w:type="dxa"/>
            <w:vAlign w:val="bottom"/>
            <w:vMerge w:val="restart"/>
          </w:tcPr>
          <w:p>
            <w:pPr>
              <w:jc w:val="right"/>
              <w:ind w:right="58"/>
              <w:spacing w:after="0"/>
              <w:rPr>
                <w:sz w:val="20"/>
                <w:szCs w:val="20"/>
                <w:color w:val="auto"/>
              </w:rPr>
            </w:pPr>
            <w:r>
              <w:rPr>
                <w:rFonts w:ascii="Times New Roman" w:cs="Times New Roman" w:eastAsia="Times New Roman" w:hAnsi="Times New Roman"/>
                <w:sz w:val="12"/>
                <w:szCs w:val="12"/>
                <w:b w:val="1"/>
                <w:bCs w:val="1"/>
                <w:color w:val="auto"/>
              </w:rPr>
              <w:t>Land</w:t>
            </w:r>
          </w:p>
        </w:tc>
        <w:tc>
          <w:tcPr>
            <w:tcW w:w="180" w:type="dxa"/>
            <w:vAlign w:val="bottom"/>
            <w:vMerge w:val="restart"/>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500" w:type="dxa"/>
            <w:vAlign w:val="bottom"/>
            <w:vMerge w:val="restart"/>
          </w:tcPr>
          <w:p>
            <w:pPr>
              <w:jc w:val="right"/>
              <w:ind w:right="58"/>
              <w:spacing w:after="0"/>
              <w:rPr>
                <w:sz w:val="20"/>
                <w:szCs w:val="20"/>
                <w:color w:val="auto"/>
              </w:rPr>
            </w:pPr>
            <w:r>
              <w:rPr>
                <w:rFonts w:ascii="Times New Roman" w:cs="Times New Roman" w:eastAsia="Times New Roman" w:hAnsi="Times New Roman"/>
                <w:sz w:val="12"/>
                <w:szCs w:val="12"/>
                <w:b w:val="1"/>
                <w:bCs w:val="1"/>
                <w:color w:val="auto"/>
              </w:rPr>
              <w:t>Land</w:t>
            </w:r>
          </w:p>
        </w:tc>
        <w:tc>
          <w:tcPr>
            <w:tcW w:w="60" w:type="dxa"/>
            <w:vAlign w:val="bottom"/>
            <w:vMerge w:val="restart"/>
          </w:tcPr>
          <w:p>
            <w:pPr>
              <w:spacing w:after="0"/>
              <w:rPr>
                <w:sz w:val="11"/>
                <w:szCs w:val="11"/>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Depreciable Assets</w:t>
            </w:r>
          </w:p>
        </w:tc>
        <w:tc>
          <w:tcPr>
            <w:tcW w:w="8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400" w:type="dxa"/>
            <w:vAlign w:val="bottom"/>
            <w:vMerge w:val="restart"/>
          </w:tcPr>
          <w:p>
            <w:pPr>
              <w:jc w:val="right"/>
              <w:ind w:right="58"/>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60" w:type="dxa"/>
            <w:vAlign w:val="bottom"/>
            <w:vMerge w:val="restart"/>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Date</w:t>
            </w:r>
          </w:p>
        </w:tc>
        <w:tc>
          <w:tcPr>
            <w:tcW w:w="60" w:type="dxa"/>
            <w:vAlign w:val="bottom"/>
            <w:vMerge w:val="restart"/>
          </w:tcPr>
          <w:p>
            <w:pPr>
              <w:spacing w:after="0"/>
              <w:rPr>
                <w:sz w:val="11"/>
                <w:szCs w:val="11"/>
                <w:color w:val="auto"/>
              </w:rPr>
            </w:pPr>
          </w:p>
        </w:tc>
        <w:tc>
          <w:tcPr>
            <w:tcW w:w="72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Constructed</w:t>
            </w:r>
          </w:p>
        </w:tc>
        <w:tc>
          <w:tcPr>
            <w:tcW w:w="0" w:type="dxa"/>
            <w:vAlign w:val="bottom"/>
          </w:tcPr>
          <w:p>
            <w:pPr>
              <w:spacing w:after="0"/>
              <w:rPr>
                <w:sz w:val="1"/>
                <w:szCs w:val="1"/>
                <w:color w:val="auto"/>
              </w:rPr>
            </w:pPr>
          </w:p>
        </w:tc>
      </w:tr>
      <w:tr>
        <w:trPr>
          <w:trHeight w:val="174"/>
        </w:trPr>
        <w:tc>
          <w:tcPr>
            <w:tcW w:w="186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7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60" w:type="dxa"/>
            <w:vAlign w:val="bottom"/>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7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200" w:type="dxa"/>
            <w:vAlign w:val="bottom"/>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40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Depreciation</w:t>
            </w:r>
          </w:p>
        </w:tc>
        <w:tc>
          <w:tcPr>
            <w:tcW w:w="80" w:type="dxa"/>
            <w:vAlign w:val="bottom"/>
          </w:tcPr>
          <w:p>
            <w:pPr>
              <w:spacing w:after="0"/>
              <w:rPr>
                <w:sz w:val="15"/>
                <w:szCs w:val="15"/>
                <w:color w:val="auto"/>
              </w:rPr>
            </w:pPr>
          </w:p>
        </w:tc>
        <w:tc>
          <w:tcPr>
            <w:tcW w:w="34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(C)</w:t>
            </w:r>
          </w:p>
        </w:tc>
        <w:tc>
          <w:tcPr>
            <w:tcW w:w="0" w:type="dxa"/>
            <w:vAlign w:val="bottom"/>
          </w:tcPr>
          <w:p>
            <w:pPr>
              <w:spacing w:after="0"/>
              <w:rPr>
                <w:sz w:val="1"/>
                <w:szCs w:val="1"/>
                <w:color w:val="auto"/>
              </w:rPr>
            </w:pPr>
          </w:p>
        </w:tc>
      </w:tr>
      <w:tr>
        <w:trPr>
          <w:trHeight w:val="111"/>
        </w:trPr>
        <w:tc>
          <w:tcPr>
            <w:tcW w:w="1860" w:type="dxa"/>
            <w:vAlign w:val="bottom"/>
          </w:tcPr>
          <w:p>
            <w:pPr>
              <w:ind w:left="20"/>
              <w:spacing w:after="0" w:line="111" w:lineRule="exact"/>
              <w:rPr>
                <w:sz w:val="20"/>
                <w:szCs w:val="20"/>
                <w:color w:val="auto"/>
              </w:rPr>
            </w:pPr>
            <w:r>
              <w:rPr>
                <w:rFonts w:ascii="Times New Roman" w:cs="Times New Roman" w:eastAsia="Times New Roman" w:hAnsi="Times New Roman"/>
                <w:sz w:val="12"/>
                <w:szCs w:val="12"/>
                <w:color w:val="auto"/>
              </w:rPr>
              <w:t>Sun Outdoors Old Orchard Beach</w:t>
            </w:r>
          </w:p>
        </w:tc>
        <w:tc>
          <w:tcPr>
            <w:tcW w:w="60" w:type="dxa"/>
            <w:vAlign w:val="bottom"/>
          </w:tcPr>
          <w:p>
            <w:pPr>
              <w:spacing w:after="0"/>
              <w:rPr>
                <w:sz w:val="9"/>
                <w:szCs w:val="9"/>
                <w:color w:val="auto"/>
              </w:rPr>
            </w:pP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auto"/>
              </w:rPr>
              <w:t>Old Orchard Beach, ME</w:t>
            </w:r>
          </w:p>
        </w:tc>
        <w:tc>
          <w:tcPr>
            <w:tcW w:w="10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6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60" w:type="dxa"/>
            <w:vAlign w:val="bottom"/>
          </w:tcPr>
          <w:p>
            <w:pPr>
              <w:spacing w:after="0"/>
              <w:rPr>
                <w:sz w:val="9"/>
                <w:szCs w:val="9"/>
                <w:color w:val="auto"/>
              </w:rPr>
            </w:pPr>
          </w:p>
        </w:tc>
        <w:tc>
          <w:tcPr>
            <w:tcW w:w="6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2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6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13.2</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15.2</w:t>
            </w:r>
          </w:p>
        </w:tc>
        <w:tc>
          <w:tcPr>
            <w:tcW w:w="6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80" w:type="dxa"/>
            <w:vAlign w:val="bottom"/>
          </w:tcPr>
          <w:p>
            <w:pPr>
              <w:spacing w:after="0"/>
              <w:rPr>
                <w:sz w:val="9"/>
                <w:szCs w:val="9"/>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2019</w:t>
            </w:r>
          </w:p>
        </w:tc>
        <w:tc>
          <w:tcPr>
            <w:tcW w:w="60" w:type="dxa"/>
            <w:vAlign w:val="bottom"/>
          </w:tcPr>
          <w:p>
            <w:pPr>
              <w:spacing w:after="0"/>
              <w:rPr>
                <w:sz w:val="9"/>
                <w:szCs w:val="9"/>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5"/>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Downtown</w:t>
            </w:r>
          </w:p>
        </w:tc>
        <w:tc>
          <w:tcPr>
            <w:tcW w:w="13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Sun Outdoors Orange Beach</w:t>
            </w:r>
          </w:p>
        </w:tc>
        <w:tc>
          <w:tcPr>
            <w:tcW w:w="1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Orange Beach, AL</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34.8</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55.9</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2019</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74"/>
        </w:trPr>
        <w:tc>
          <w:tcPr>
            <w:tcW w:w="192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2"/>
                <w:szCs w:val="12"/>
                <w:color w:val="auto"/>
              </w:rPr>
              <w:t>Sun Outdoors Panama City Beach</w:t>
            </w:r>
            <w:r>
              <w:rPr>
                <w:rFonts w:ascii="Times New Roman" w:cs="Times New Roman" w:eastAsia="Times New Roman" w:hAnsi="Times New Roman"/>
                <w:sz w:val="16"/>
                <w:szCs w:val="16"/>
                <w:color w:val="auto"/>
                <w:vertAlign w:val="superscript"/>
              </w:rPr>
              <w:t>(2)</w:t>
            </w: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Panama City Beach, FL</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w:t>
            </w:r>
          </w:p>
        </w:tc>
        <w:tc>
          <w:tcPr>
            <w:tcW w:w="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w:t>
            </w:r>
          </w:p>
        </w:tc>
        <w:tc>
          <w:tcPr>
            <w:tcW w:w="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w:t>
            </w:r>
          </w:p>
        </w:tc>
        <w:tc>
          <w:tcPr>
            <w:tcW w:w="60" w:type="dxa"/>
            <w:vAlign w:val="bottom"/>
          </w:tcPr>
          <w:p>
            <w:pPr>
              <w:spacing w:after="0"/>
              <w:rPr>
                <w:sz w:val="15"/>
                <w:szCs w:val="15"/>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w:t>
            </w:r>
          </w:p>
        </w:tc>
        <w:tc>
          <w:tcPr>
            <w:tcW w:w="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23.3</w:t>
            </w:r>
          </w:p>
        </w:tc>
        <w:tc>
          <w:tcPr>
            <w:tcW w:w="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2017</w:t>
            </w:r>
          </w:p>
        </w:tc>
        <w:tc>
          <w:tcPr>
            <w:tcW w:w="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74"/>
        </w:trPr>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Sun Outdoors Paso Robles</w:t>
            </w:r>
          </w:p>
        </w:tc>
        <w:tc>
          <w:tcPr>
            <w:tcW w:w="1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Paso Robles, CA</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44.7</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46.1</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2014</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(C)</w:t>
            </w:r>
          </w:p>
        </w:tc>
        <w:tc>
          <w:tcPr>
            <w:tcW w:w="0" w:type="dxa"/>
            <w:vAlign w:val="bottom"/>
          </w:tcPr>
          <w:p>
            <w:pPr>
              <w:spacing w:after="0"/>
              <w:rPr>
                <w:sz w:val="1"/>
                <w:szCs w:val="1"/>
                <w:color w:val="auto"/>
              </w:rPr>
            </w:pPr>
          </w:p>
        </w:tc>
      </w:tr>
      <w:tr>
        <w:trPr>
          <w:trHeight w:val="167"/>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Sun Outdoors Pigeon Forge</w:t>
            </w: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Sevierville, TN</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w:t>
            </w:r>
          </w:p>
        </w:tc>
        <w:tc>
          <w:tcPr>
            <w:tcW w:w="6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27.0</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2019</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Sun Outdoors Portland South</w:t>
            </w:r>
          </w:p>
        </w:tc>
        <w:tc>
          <w:tcPr>
            <w:tcW w:w="1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Wilsonville, OR</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19.0</w:t>
            </w: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(8.5)</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19.8</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2021</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40"/>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Sun Outdoors Rehoboth Bay</w:t>
            </w: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Millsboro, DE</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w:t>
            </w: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21.7</w:t>
            </w:r>
          </w:p>
        </w:tc>
        <w:tc>
          <w:tcPr>
            <w:tcW w:w="2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44.6</w:t>
            </w: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w:t>
            </w:r>
          </w:p>
        </w:tc>
        <w:tc>
          <w:tcPr>
            <w:tcW w:w="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2019</w:t>
            </w:r>
          </w:p>
        </w:tc>
        <w:tc>
          <w:tcPr>
            <w:tcW w:w="6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207"/>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Sun Outdoors Rocky Mountains</w:t>
            </w:r>
            <w:r>
              <w:rPr>
                <w:rFonts w:ascii="Times New Roman" w:cs="Times New Roman" w:eastAsia="Times New Roman" w:hAnsi="Times New Roman"/>
                <w:sz w:val="16"/>
                <w:szCs w:val="16"/>
                <w:color w:val="auto"/>
                <w:vertAlign w:val="superscript"/>
              </w:rPr>
              <w:t>(7)</w:t>
            </w: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Granby, CO</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w:t>
            </w:r>
          </w:p>
        </w:tc>
        <w:tc>
          <w:tcPr>
            <w:tcW w:w="6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 xml:space="preserve">(3.1) </w:t>
            </w:r>
            <w:r>
              <w:rPr>
                <w:rFonts w:ascii="Times New Roman" w:cs="Times New Roman" w:eastAsia="Times New Roman" w:hAnsi="Times New Roman"/>
                <w:sz w:val="16"/>
                <w:szCs w:val="16"/>
                <w:color w:val="auto"/>
                <w:vertAlign w:val="superscript"/>
              </w:rPr>
              <w:t>(7)</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w:t>
            </w:r>
          </w:p>
        </w:tc>
        <w:tc>
          <w:tcPr>
            <w:tcW w:w="2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2018</w:t>
            </w:r>
          </w:p>
        </w:tc>
        <w:tc>
          <w:tcPr>
            <w:tcW w:w="6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(C)</w:t>
            </w:r>
          </w:p>
        </w:tc>
        <w:tc>
          <w:tcPr>
            <w:tcW w:w="0" w:type="dxa"/>
            <w:vAlign w:val="bottom"/>
          </w:tcPr>
          <w:p>
            <w:pPr>
              <w:spacing w:after="0"/>
              <w:rPr>
                <w:sz w:val="1"/>
                <w:szCs w:val="1"/>
                <w:color w:val="auto"/>
              </w:rPr>
            </w:pPr>
          </w:p>
        </w:tc>
      </w:tr>
      <w:tr>
        <w:trPr>
          <w:trHeight w:val="119"/>
        </w:trPr>
        <w:tc>
          <w:tcPr>
            <w:tcW w:w="192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2"/>
                <w:szCs w:val="12"/>
                <w:color w:val="auto"/>
              </w:rPr>
              <w:t>Sun Outdoors Saco Old Orchard</w:t>
            </w: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auto"/>
              </w:rPr>
              <w:t>Saco, ME</w:t>
            </w:r>
          </w:p>
        </w:tc>
        <w:tc>
          <w:tcPr>
            <w:tcW w:w="10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6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60" w:type="dxa"/>
            <w:vAlign w:val="bottom"/>
          </w:tcPr>
          <w:p>
            <w:pPr>
              <w:spacing w:after="0"/>
              <w:rPr>
                <w:sz w:val="10"/>
                <w:szCs w:val="10"/>
                <w:color w:val="auto"/>
              </w:rPr>
            </w:pPr>
          </w:p>
        </w:tc>
        <w:tc>
          <w:tcPr>
            <w:tcW w:w="6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20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6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9.9</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10.7</w:t>
            </w:r>
          </w:p>
        </w:tc>
        <w:tc>
          <w:tcPr>
            <w:tcW w:w="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8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2014</w:t>
            </w:r>
          </w:p>
        </w:tc>
        <w:tc>
          <w:tcPr>
            <w:tcW w:w="60" w:type="dxa"/>
            <w:vAlign w:val="bottom"/>
          </w:tcPr>
          <w:p>
            <w:pPr>
              <w:spacing w:after="0"/>
              <w:rPr>
                <w:sz w:val="10"/>
                <w:szCs w:val="10"/>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5"/>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Beach</w:t>
            </w:r>
          </w:p>
        </w:tc>
        <w:tc>
          <w:tcPr>
            <w:tcW w:w="13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Sun Outdoors Salt Lake City</w:t>
            </w:r>
          </w:p>
        </w:tc>
        <w:tc>
          <w:tcPr>
            <w:tcW w:w="1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North Salt Lake, UT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2018</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74"/>
        </w:trPr>
        <w:tc>
          <w:tcPr>
            <w:tcW w:w="192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2"/>
                <w:szCs w:val="12"/>
                <w:color w:val="auto"/>
              </w:rPr>
              <w:t>Sun Outdoors San Diego Bay</w:t>
            </w:r>
            <w:r>
              <w:rPr>
                <w:rFonts w:ascii="Times New Roman" w:cs="Times New Roman" w:eastAsia="Times New Roman" w:hAnsi="Times New Roman"/>
                <w:sz w:val="16"/>
                <w:szCs w:val="16"/>
                <w:color w:val="auto"/>
                <w:vertAlign w:val="superscript"/>
              </w:rPr>
              <w:t>(2)</w:t>
            </w: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San Diego, CA</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69.1</w:t>
            </w:r>
          </w:p>
        </w:tc>
        <w:tc>
          <w:tcPr>
            <w:tcW w:w="20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69.1</w:t>
            </w:r>
          </w:p>
        </w:tc>
        <w:tc>
          <w:tcPr>
            <w:tcW w:w="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w:t>
            </w:r>
          </w:p>
        </w:tc>
        <w:tc>
          <w:tcPr>
            <w:tcW w:w="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2019</w:t>
            </w:r>
          </w:p>
        </w:tc>
        <w:tc>
          <w:tcPr>
            <w:tcW w:w="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40"/>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Sun Outdoors Santa Barbara</w:t>
            </w: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Goleta, CA</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w:t>
            </w: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6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2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w:t>
            </w:r>
          </w:p>
        </w:tc>
        <w:tc>
          <w:tcPr>
            <w:tcW w:w="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23.0</w:t>
            </w: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2020</w:t>
            </w:r>
          </w:p>
        </w:tc>
        <w:tc>
          <w:tcPr>
            <w:tcW w:w="6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207"/>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Sun Outdoors Sarasota</w:t>
            </w: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Sarasota, FL</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51.0</w:t>
            </w:r>
          </w:p>
        </w:tc>
        <w:tc>
          <w:tcPr>
            <w:tcW w:w="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117.5</w:t>
            </w:r>
          </w:p>
        </w:tc>
        <w:tc>
          <w:tcPr>
            <w:tcW w:w="60" w:type="dxa"/>
            <w:vAlign w:val="bottom"/>
          </w:tcPr>
          <w:p>
            <w:pPr>
              <w:spacing w:after="0"/>
              <w:rPr>
                <w:sz w:val="17"/>
                <w:szCs w:val="17"/>
                <w:color w:val="auto"/>
              </w:rPr>
            </w:pPr>
          </w:p>
        </w:tc>
        <w:tc>
          <w:tcPr>
            <w:tcW w:w="6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 xml:space="preserve">(0.2) </w:t>
            </w:r>
            <w:r>
              <w:rPr>
                <w:rFonts w:ascii="Times New Roman" w:cs="Times New Roman" w:eastAsia="Times New Roman" w:hAnsi="Times New Roman"/>
                <w:sz w:val="16"/>
                <w:szCs w:val="16"/>
                <w:color w:val="auto"/>
                <w:vertAlign w:val="superscript"/>
              </w:rPr>
              <w:t>(3)</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w:t>
            </w:r>
          </w:p>
        </w:tc>
        <w:tc>
          <w:tcPr>
            <w:tcW w:w="2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50.8</w:t>
            </w:r>
          </w:p>
        </w:tc>
        <w:tc>
          <w:tcPr>
            <w:tcW w:w="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187.9</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(46.9)</w:t>
            </w:r>
          </w:p>
        </w:tc>
        <w:tc>
          <w:tcPr>
            <w:tcW w:w="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6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74"/>
        </w:trPr>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Sun Outdoors St. Augustine</w:t>
            </w:r>
          </w:p>
        </w:tc>
        <w:tc>
          <w:tcPr>
            <w:tcW w:w="1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 Augustine, FL</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w:t>
            </w:r>
          </w:p>
        </w:tc>
        <w:tc>
          <w:tcPr>
            <w:tcW w:w="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16.9</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2018</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Sun Outdoors Wells Beach</w:t>
            </w: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Wells, ME</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w:t>
            </w:r>
          </w:p>
        </w:tc>
        <w:tc>
          <w:tcPr>
            <w:tcW w:w="6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2021</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Sun Outdoors Yellowstone North</w:t>
            </w:r>
          </w:p>
        </w:tc>
        <w:tc>
          <w:tcPr>
            <w:tcW w:w="1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Gardiner, MT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w:t>
            </w: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(5.3)</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2021</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17"/>
        </w:trPr>
        <w:tc>
          <w:tcPr>
            <w:tcW w:w="192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2"/>
                <w:szCs w:val="12"/>
                <w:color w:val="auto"/>
              </w:rPr>
              <w:t>Sun Resorts &amp; Residences Fort</w:t>
            </w: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auto"/>
              </w:rPr>
              <w:t>Ft. Myers Beach, FL</w:t>
            </w:r>
          </w:p>
        </w:tc>
        <w:tc>
          <w:tcPr>
            <w:tcW w:w="10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6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34.7</w:t>
            </w:r>
          </w:p>
        </w:tc>
        <w:tc>
          <w:tcPr>
            <w:tcW w:w="60" w:type="dxa"/>
            <w:vAlign w:val="bottom"/>
          </w:tcPr>
          <w:p>
            <w:pPr>
              <w:spacing w:after="0"/>
              <w:rPr>
                <w:sz w:val="10"/>
                <w:szCs w:val="10"/>
                <w:color w:val="auto"/>
              </w:rPr>
            </w:pPr>
          </w:p>
        </w:tc>
        <w:tc>
          <w:tcPr>
            <w:tcW w:w="6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20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6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41.2</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45.0</w:t>
            </w:r>
          </w:p>
        </w:tc>
        <w:tc>
          <w:tcPr>
            <w:tcW w:w="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(10.1)</w:t>
            </w:r>
          </w:p>
        </w:tc>
        <w:tc>
          <w:tcPr>
            <w:tcW w:w="8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1996</w:t>
            </w:r>
          </w:p>
        </w:tc>
        <w:tc>
          <w:tcPr>
            <w:tcW w:w="60" w:type="dxa"/>
            <w:vAlign w:val="bottom"/>
          </w:tcPr>
          <w:p>
            <w:pPr>
              <w:spacing w:after="0"/>
              <w:rPr>
                <w:sz w:val="10"/>
                <w:szCs w:val="10"/>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72"/>
        </w:trPr>
        <w:tc>
          <w:tcPr>
            <w:tcW w:w="1920" w:type="dxa"/>
            <w:vAlign w:val="bottom"/>
            <w:gridSpan w:val="2"/>
          </w:tcPr>
          <w:p>
            <w:pPr>
              <w:ind w:left="20"/>
              <w:spacing w:after="0" w:line="172" w:lineRule="exact"/>
              <w:rPr>
                <w:sz w:val="20"/>
                <w:szCs w:val="20"/>
                <w:color w:val="auto"/>
              </w:rPr>
            </w:pPr>
            <w:r>
              <w:rPr>
                <w:rFonts w:ascii="Times New Roman" w:cs="Times New Roman" w:eastAsia="Times New Roman" w:hAnsi="Times New Roman"/>
                <w:sz w:val="12"/>
                <w:szCs w:val="12"/>
                <w:color w:val="auto"/>
              </w:rPr>
              <w:t>Myers Beach</w:t>
            </w:r>
            <w:r>
              <w:rPr>
                <w:rFonts w:ascii="Times New Roman" w:cs="Times New Roman" w:eastAsia="Times New Roman" w:hAnsi="Times New Roman"/>
                <w:sz w:val="16"/>
                <w:szCs w:val="16"/>
                <w:color w:val="auto"/>
                <w:vertAlign w:val="superscript"/>
              </w:rPr>
              <w:t>(6)</w:t>
            </w:r>
          </w:p>
        </w:tc>
        <w:tc>
          <w:tcPr>
            <w:tcW w:w="13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192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2"/>
                <w:szCs w:val="12"/>
                <w:color w:val="auto"/>
              </w:rPr>
              <w:t>Sun Resorts &amp; Residences Sanibel</w:t>
            </w: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auto"/>
              </w:rPr>
              <w:t>Ft. Myers, FL</w:t>
            </w:r>
          </w:p>
        </w:tc>
        <w:tc>
          <w:tcPr>
            <w:tcW w:w="10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6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18.5</w:t>
            </w:r>
          </w:p>
        </w:tc>
        <w:tc>
          <w:tcPr>
            <w:tcW w:w="60" w:type="dxa"/>
            <w:vAlign w:val="bottom"/>
          </w:tcPr>
          <w:p>
            <w:pPr>
              <w:spacing w:after="0"/>
              <w:rPr>
                <w:sz w:val="10"/>
                <w:szCs w:val="10"/>
                <w:color w:val="auto"/>
              </w:rPr>
            </w:pPr>
          </w:p>
        </w:tc>
        <w:tc>
          <w:tcPr>
            <w:tcW w:w="6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11.9</w:t>
            </w:r>
          </w:p>
        </w:tc>
        <w:tc>
          <w:tcPr>
            <w:tcW w:w="20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6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30.4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32.5</w:t>
            </w:r>
          </w:p>
        </w:tc>
        <w:tc>
          <w:tcPr>
            <w:tcW w:w="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8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1996</w:t>
            </w:r>
          </w:p>
        </w:tc>
        <w:tc>
          <w:tcPr>
            <w:tcW w:w="60" w:type="dxa"/>
            <w:vAlign w:val="bottom"/>
          </w:tcPr>
          <w:p>
            <w:pPr>
              <w:spacing w:after="0"/>
              <w:rPr>
                <w:sz w:val="10"/>
                <w:szCs w:val="10"/>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39"/>
        </w:trPr>
        <w:tc>
          <w:tcPr>
            <w:tcW w:w="192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2"/>
                <w:szCs w:val="12"/>
                <w:color w:val="auto"/>
              </w:rPr>
              <w:t>Gateway</w:t>
            </w:r>
            <w:r>
              <w:rPr>
                <w:rFonts w:ascii="Times New Roman" w:cs="Times New Roman" w:eastAsia="Times New Roman" w:hAnsi="Times New Roman"/>
                <w:sz w:val="16"/>
                <w:szCs w:val="16"/>
                <w:color w:val="auto"/>
                <w:vertAlign w:val="superscript"/>
              </w:rPr>
              <w:t>(6)</w:t>
            </w:r>
          </w:p>
        </w:tc>
        <w:tc>
          <w:tcPr>
            <w:tcW w:w="132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Sun Retreats Amherstburg</w:t>
            </w:r>
            <w:r>
              <w:rPr>
                <w:rFonts w:ascii="Times New Roman" w:cs="Times New Roman" w:eastAsia="Times New Roman" w:hAnsi="Times New Roman"/>
                <w:sz w:val="16"/>
                <w:szCs w:val="16"/>
                <w:color w:val="auto"/>
                <w:vertAlign w:val="superscript"/>
              </w:rPr>
              <w:t>(7)</w:t>
            </w: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Amherstburg, ON</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60" w:type="dxa"/>
            <w:vAlign w:val="bottom"/>
          </w:tcPr>
          <w:p>
            <w:pPr>
              <w:spacing w:after="0"/>
              <w:rPr>
                <w:sz w:val="17"/>
                <w:szCs w:val="17"/>
                <w:color w:val="auto"/>
              </w:rPr>
            </w:pPr>
          </w:p>
        </w:tc>
        <w:tc>
          <w:tcPr>
            <w:tcW w:w="6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 xml:space="preserve">(0.7) </w:t>
            </w:r>
            <w:r>
              <w:rPr>
                <w:rFonts w:ascii="Times New Roman" w:cs="Times New Roman" w:eastAsia="Times New Roman" w:hAnsi="Times New Roman"/>
                <w:sz w:val="16"/>
                <w:szCs w:val="16"/>
                <w:color w:val="auto"/>
                <w:vertAlign w:val="superscript"/>
              </w:rPr>
              <w:t>(4)</w:t>
            </w:r>
          </w:p>
        </w:tc>
        <w:tc>
          <w:tcPr>
            <w:tcW w:w="90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 xml:space="preserve">(1.5) </w:t>
            </w:r>
            <w:r>
              <w:rPr>
                <w:rFonts w:ascii="Times New Roman" w:cs="Times New Roman" w:eastAsia="Times New Roman" w:hAnsi="Times New Roman"/>
                <w:sz w:val="8"/>
                <w:szCs w:val="8"/>
                <w:color w:val="auto"/>
              </w:rPr>
              <w:t>(7)</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60" w:type="dxa"/>
            <w:vAlign w:val="bottom"/>
          </w:tcPr>
          <w:p>
            <w:pPr>
              <w:spacing w:after="0"/>
              <w:rPr>
                <w:sz w:val="17"/>
                <w:szCs w:val="17"/>
                <w:color w:val="auto"/>
              </w:rPr>
            </w:pP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60" w:type="dxa"/>
            <w:vAlign w:val="bottom"/>
          </w:tcPr>
          <w:p>
            <w:pPr>
              <w:spacing w:after="0"/>
              <w:rPr>
                <w:sz w:val="17"/>
                <w:szCs w:val="17"/>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6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19"/>
        </w:trPr>
        <w:tc>
          <w:tcPr>
            <w:tcW w:w="1920" w:type="dxa"/>
            <w:vAlign w:val="bottom"/>
            <w:gridSpan w:val="2"/>
            <w:shd w:val="clear" w:color="auto" w:fill="CCEEFF"/>
          </w:tcPr>
          <w:p>
            <w:pPr>
              <w:ind w:left="20"/>
              <w:spacing w:after="0" w:line="120" w:lineRule="exact"/>
              <w:rPr>
                <w:sz w:val="20"/>
                <w:szCs w:val="20"/>
                <w:color w:val="auto"/>
              </w:rPr>
            </w:pPr>
            <w:r>
              <w:rPr>
                <w:rFonts w:ascii="Times New Roman" w:cs="Times New Roman" w:eastAsia="Times New Roman" w:hAnsi="Times New Roman"/>
                <w:sz w:val="12"/>
                <w:szCs w:val="12"/>
                <w:color w:val="auto"/>
              </w:rPr>
              <w:t>Sun Retreats Avalon</w:t>
            </w:r>
          </w:p>
        </w:tc>
        <w:tc>
          <w:tcPr>
            <w:tcW w:w="1320" w:type="dxa"/>
            <w:vAlign w:val="bottom"/>
            <w:gridSpan w:val="2"/>
            <w:shd w:val="clear" w:color="auto" w:fill="CCEEFF"/>
          </w:tcPr>
          <w:p>
            <w:pPr>
              <w:ind w:left="20"/>
              <w:spacing w:after="0" w:line="120" w:lineRule="exact"/>
              <w:rPr>
                <w:sz w:val="20"/>
                <w:szCs w:val="20"/>
                <w:color w:val="auto"/>
              </w:rPr>
            </w:pPr>
            <w:r>
              <w:rPr>
                <w:rFonts w:ascii="Times New Roman" w:cs="Times New Roman" w:eastAsia="Times New Roman" w:hAnsi="Times New Roman"/>
                <w:sz w:val="12"/>
                <w:szCs w:val="12"/>
                <w:color w:val="auto"/>
              </w:rPr>
              <w:t>Cape May Court House,</w:t>
            </w:r>
          </w:p>
        </w:tc>
        <w:tc>
          <w:tcPr>
            <w:tcW w:w="10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6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w:t>
            </w:r>
          </w:p>
        </w:tc>
        <w:tc>
          <w:tcPr>
            <w:tcW w:w="6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20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6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26.3</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26.9</w:t>
            </w:r>
          </w:p>
        </w:tc>
        <w:tc>
          <w:tcPr>
            <w:tcW w:w="6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w:t>
            </w:r>
          </w:p>
        </w:tc>
        <w:tc>
          <w:tcPr>
            <w:tcW w:w="8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2013</w:t>
            </w:r>
          </w:p>
        </w:tc>
        <w:tc>
          <w:tcPr>
            <w:tcW w:w="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70"/>
        </w:trPr>
        <w:tc>
          <w:tcPr>
            <w:tcW w:w="1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NJ</w:t>
            </w:r>
          </w:p>
        </w:tc>
        <w:tc>
          <w:tcPr>
            <w:tcW w:w="1000" w:type="dxa"/>
            <w:vAlign w:val="bottom"/>
            <w:gridSpan w:val="2"/>
            <w:vMerge w:val="continue"/>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92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2"/>
                <w:szCs w:val="12"/>
                <w:color w:val="auto"/>
              </w:rPr>
              <w:t>Sun Retreats Birch Bay</w:t>
            </w:r>
            <w:r>
              <w:rPr>
                <w:rFonts w:ascii="Times New Roman" w:cs="Times New Roman" w:eastAsia="Times New Roman" w:hAnsi="Times New Roman"/>
                <w:sz w:val="16"/>
                <w:szCs w:val="16"/>
                <w:color w:val="auto"/>
                <w:vertAlign w:val="superscript"/>
              </w:rPr>
              <w:t>(7)</w:t>
            </w: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Blaine, WA</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w:t>
            </w:r>
          </w:p>
        </w:tc>
        <w:tc>
          <w:tcPr>
            <w:tcW w:w="60" w:type="dxa"/>
            <w:vAlign w:val="bottom"/>
          </w:tcPr>
          <w:p>
            <w:pPr>
              <w:spacing w:after="0"/>
              <w:rPr>
                <w:sz w:val="15"/>
                <w:szCs w:val="15"/>
                <w:color w:val="auto"/>
              </w:rPr>
            </w:pPr>
          </w:p>
        </w:tc>
        <w:tc>
          <w:tcPr>
            <w:tcW w:w="6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 xml:space="preserve">(7.5) </w:t>
            </w:r>
            <w:r>
              <w:rPr>
                <w:rFonts w:ascii="Times New Roman" w:cs="Times New Roman" w:eastAsia="Times New Roman" w:hAnsi="Times New Roman"/>
                <w:sz w:val="8"/>
                <w:szCs w:val="8"/>
                <w:color w:val="auto"/>
              </w:rPr>
              <w:t>(7)</w:t>
            </w:r>
          </w:p>
        </w:tc>
        <w:tc>
          <w:tcPr>
            <w:tcW w:w="90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 xml:space="preserve">(7.6) </w:t>
            </w:r>
            <w:r>
              <w:rPr>
                <w:rFonts w:ascii="Times New Roman" w:cs="Times New Roman" w:eastAsia="Times New Roman" w:hAnsi="Times New Roman"/>
                <w:sz w:val="8"/>
                <w:szCs w:val="8"/>
                <w:color w:val="auto"/>
              </w:rPr>
              <w:t>(7)</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2021</w:t>
            </w:r>
          </w:p>
        </w:tc>
        <w:tc>
          <w:tcPr>
            <w:tcW w:w="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74"/>
        </w:trPr>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Sun Retreats Cape Cod</w:t>
            </w:r>
          </w:p>
        </w:tc>
        <w:tc>
          <w:tcPr>
            <w:tcW w:w="1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East Falmouth, MA</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w:t>
            </w:r>
          </w:p>
        </w:tc>
        <w:tc>
          <w:tcPr>
            <w:tcW w:w="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2020</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Sun Retreats Cape May Wildwood</w:t>
            </w: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Cape May, NJ</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6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2013</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Sun Retreats Crystal River</w:t>
            </w:r>
          </w:p>
        </w:tc>
        <w:tc>
          <w:tcPr>
            <w:tcW w:w="1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Crystal River, FL</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2015</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Sun Retreats Daytona Beach</w:t>
            </w: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Port Orange, FL</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6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Sun Retreats Dennis Port</w:t>
            </w:r>
          </w:p>
        </w:tc>
        <w:tc>
          <w:tcPr>
            <w:tcW w:w="1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Dennisport, MA</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w:t>
            </w:r>
          </w:p>
        </w:tc>
        <w:tc>
          <w:tcPr>
            <w:tcW w:w="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35.6</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Sun Retreats Dunedin</w:t>
            </w: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Dunedin, FL</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w:t>
            </w: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16.9</w:t>
            </w:r>
          </w:p>
        </w:tc>
        <w:tc>
          <w:tcPr>
            <w:tcW w:w="6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22.7</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Sun Retreats Estero Bay</w:t>
            </w:r>
          </w:p>
        </w:tc>
        <w:tc>
          <w:tcPr>
            <w:tcW w:w="1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Fort Myers, FL</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20.6</w:t>
            </w:r>
          </w:p>
        </w:tc>
        <w:tc>
          <w:tcPr>
            <w:tcW w:w="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28.4</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2020</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Sun Retreats Fort Myers Beach</w:t>
            </w: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Ft. Myers, FL</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6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1997</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26"/>
        </w:trPr>
        <w:tc>
          <w:tcPr>
            <w:tcW w:w="19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Sun Retreats Geneva on the Lake</w:t>
            </w:r>
          </w:p>
        </w:tc>
        <w:tc>
          <w:tcPr>
            <w:tcW w:w="132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2"/>
                <w:szCs w:val="12"/>
                <w:color w:val="auto"/>
              </w:rPr>
              <w:t>Geneva on the Lake,</w:t>
            </w:r>
          </w:p>
        </w:tc>
        <w:tc>
          <w:tcPr>
            <w:tcW w:w="10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6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20.8</w:t>
            </w:r>
          </w:p>
        </w:tc>
        <w:tc>
          <w:tcPr>
            <w:tcW w:w="6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w:t>
            </w:r>
          </w:p>
        </w:tc>
        <w:tc>
          <w:tcPr>
            <w:tcW w:w="20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6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32.4</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32.8</w:t>
            </w:r>
          </w:p>
        </w:tc>
        <w:tc>
          <w:tcPr>
            <w:tcW w:w="6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w:t>
            </w:r>
          </w:p>
        </w:tc>
        <w:tc>
          <w:tcPr>
            <w:tcW w:w="8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2013</w:t>
            </w:r>
          </w:p>
        </w:tc>
        <w:tc>
          <w:tcPr>
            <w:tcW w:w="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(A&amp;C)</w:t>
            </w:r>
          </w:p>
        </w:tc>
        <w:tc>
          <w:tcPr>
            <w:tcW w:w="0" w:type="dxa"/>
            <w:vAlign w:val="bottom"/>
          </w:tcPr>
          <w:p>
            <w:pPr>
              <w:spacing w:after="0"/>
              <w:rPr>
                <w:sz w:val="1"/>
                <w:szCs w:val="1"/>
                <w:color w:val="auto"/>
              </w:rPr>
            </w:pPr>
          </w:p>
        </w:tc>
      </w:tr>
      <w:tr>
        <w:trPr>
          <w:trHeight w:val="170"/>
        </w:trPr>
        <w:tc>
          <w:tcPr>
            <w:tcW w:w="1920" w:type="dxa"/>
            <w:vAlign w:val="bottom"/>
            <w:gridSpan w:val="2"/>
            <w:vMerge w:val="continue"/>
            <w:shd w:val="clear" w:color="auto" w:fill="CCEEFF"/>
          </w:tcPr>
          <w:p>
            <w:pPr>
              <w:spacing w:after="0"/>
              <w:rPr>
                <w:sz w:val="14"/>
                <w:szCs w:val="14"/>
                <w:color w:val="auto"/>
              </w:rPr>
            </w:pPr>
          </w:p>
        </w:tc>
        <w:tc>
          <w:tcPr>
            <w:tcW w:w="1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OH</w:t>
            </w:r>
          </w:p>
        </w:tc>
        <w:tc>
          <w:tcPr>
            <w:tcW w:w="1000" w:type="dxa"/>
            <w:vAlign w:val="bottom"/>
            <w:gridSpan w:val="2"/>
            <w:vMerge w:val="continue"/>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Sun Retreats Homosassa River</w:t>
            </w: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Homosassa Springs, FL</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6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Sun Retreats Lancaster County</w:t>
            </w:r>
          </w:p>
        </w:tc>
        <w:tc>
          <w:tcPr>
            <w:tcW w:w="1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Narvon, PA</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w:t>
            </w:r>
          </w:p>
        </w:tc>
        <w:tc>
          <w:tcPr>
            <w:tcW w:w="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2012</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-3123565</wp:posOffset>
            </wp:positionV>
            <wp:extent cx="7144385" cy="1104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8">
                      <a:extLst>
                        <a:ext uri="{28A0092B-C50C-407E-A947-70E740481C1C}"/>
                      </a:extLst>
                    </a:blip>
                    <a:srcRect/>
                    <a:stretch>
                      <a:fillRect/>
                    </a:stretch>
                  </pic:blipFill>
                  <pic:spPr bwMode="auto">
                    <a:xfrm>
                      <a:off x="0" y="0"/>
                      <a:ext cx="7144385" cy="1104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-2608580</wp:posOffset>
            </wp:positionV>
            <wp:extent cx="7144385" cy="1104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9">
                      <a:extLst>
                        <a:ext uri="{28A0092B-C50C-407E-A947-70E740481C1C}"/>
                      </a:extLst>
                    </a:blip>
                    <a:srcRect/>
                    <a:stretch>
                      <a:fillRect/>
                    </a:stretch>
                  </pic:blipFill>
                  <pic:spPr bwMode="auto">
                    <a:xfrm>
                      <a:off x="0" y="0"/>
                      <a:ext cx="7144385" cy="1104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-1873885</wp:posOffset>
            </wp:positionV>
            <wp:extent cx="7144385" cy="1835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0">
                      <a:extLst>
                        <a:ext uri="{28A0092B-C50C-407E-A947-70E740481C1C}"/>
                      </a:extLst>
                    </a:blip>
                    <a:srcRect/>
                    <a:stretch>
                      <a:fillRect/>
                    </a:stretch>
                  </pic:blipFill>
                  <pic:spPr bwMode="auto">
                    <a:xfrm>
                      <a:off x="0" y="0"/>
                      <a:ext cx="7144385" cy="18351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 - 55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10" w:name="page111"/>
    <w:bookmarkEnd w:id="110"/>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REAL ESTATE AND ACCUMULATED DEPRECIATION, SCHEDULE III</w:t>
      </w:r>
    </w:p>
    <w:p>
      <w:pPr>
        <w:spacing w:after="0" w:line="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DECEMBER 31, 2025</w:t>
      </w:r>
    </w:p>
    <w:p>
      <w:pPr>
        <w:spacing w:after="0" w:line="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(amounts in millions)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4"/>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Costs Capitalized</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Initial Cost to</w:t>
            </w:r>
          </w:p>
        </w:tc>
        <w:tc>
          <w:tcPr>
            <w:tcW w:w="1560" w:type="dxa"/>
            <w:vAlign w:val="bottom"/>
            <w:gridSpan w:val="4"/>
          </w:tcPr>
          <w:p>
            <w:pPr>
              <w:jc w:val="center"/>
              <w:ind w:right="200"/>
              <w:spacing w:after="0" w:line="126" w:lineRule="exact"/>
              <w:rPr>
                <w:sz w:val="20"/>
                <w:szCs w:val="20"/>
                <w:color w:val="auto"/>
              </w:rPr>
            </w:pPr>
            <w:r>
              <w:rPr>
                <w:rFonts w:ascii="Times New Roman" w:cs="Times New Roman" w:eastAsia="Times New Roman" w:hAnsi="Times New Roman"/>
                <w:sz w:val="12"/>
                <w:szCs w:val="12"/>
                <w:b w:val="1"/>
                <w:bCs w:val="1"/>
                <w:color w:val="auto"/>
              </w:rPr>
              <w:t>Subsequent to</w:t>
            </w:r>
          </w:p>
        </w:tc>
        <w:tc>
          <w:tcPr>
            <w:tcW w:w="1760" w:type="dxa"/>
            <w:vAlign w:val="bottom"/>
            <w:gridSpan w:val="5"/>
            <w:vMerge w:val="restart"/>
          </w:tcPr>
          <w:p>
            <w:pPr>
              <w:jc w:val="center"/>
              <w:ind w:left="318"/>
              <w:spacing w:after="0"/>
              <w:rPr>
                <w:sz w:val="20"/>
                <w:szCs w:val="20"/>
                <w:color w:val="auto"/>
              </w:rPr>
            </w:pPr>
            <w:r>
              <w:rPr>
                <w:rFonts w:ascii="Times New Roman" w:cs="Times New Roman" w:eastAsia="Times New Roman" w:hAnsi="Times New Roman"/>
                <w:sz w:val="12"/>
                <w:szCs w:val="12"/>
                <w:b w:val="1"/>
                <w:bCs w:val="1"/>
                <w:color w:val="auto"/>
              </w:rPr>
              <w:t>Gross Amount Carried at</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4"/>
            <w:vMerge w:val="continue"/>
          </w:tcPr>
          <w:p>
            <w:pPr>
              <w:spacing w:after="0"/>
              <w:rPr>
                <w:sz w:val="11"/>
                <w:szCs w:val="11"/>
                <w:color w:val="auto"/>
              </w:rPr>
            </w:pPr>
          </w:p>
        </w:tc>
        <w:tc>
          <w:tcPr>
            <w:tcW w:w="1560" w:type="dxa"/>
            <w:vAlign w:val="bottom"/>
            <w:gridSpan w:val="4"/>
          </w:tcPr>
          <w:p>
            <w:pPr>
              <w:jc w:val="center"/>
              <w:ind w:right="200"/>
              <w:spacing w:after="0" w:line="128" w:lineRule="exact"/>
              <w:rPr>
                <w:sz w:val="20"/>
                <w:szCs w:val="20"/>
                <w:color w:val="auto"/>
              </w:rPr>
            </w:pPr>
            <w:r>
              <w:rPr>
                <w:rFonts w:ascii="Times New Roman" w:cs="Times New Roman" w:eastAsia="Times New Roman" w:hAnsi="Times New Roman"/>
                <w:sz w:val="12"/>
                <w:szCs w:val="12"/>
                <w:b w:val="1"/>
                <w:bCs w:val="1"/>
                <w:color w:val="auto"/>
              </w:rPr>
              <w:t>Acquisition</w:t>
            </w:r>
          </w:p>
        </w:tc>
        <w:tc>
          <w:tcPr>
            <w:tcW w:w="1760" w:type="dxa"/>
            <w:vAlign w:val="bottom"/>
            <w:gridSpan w:val="5"/>
            <w:vMerge w:val="continue"/>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4"/>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Company</w:t>
            </w:r>
          </w:p>
        </w:tc>
        <w:tc>
          <w:tcPr>
            <w:tcW w:w="1560" w:type="dxa"/>
            <w:vAlign w:val="bottom"/>
            <w:gridSpan w:val="4"/>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(Improvements)</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w w:val="99"/>
              </w:rPr>
              <w:t>Acquired</w:t>
            </w:r>
          </w:p>
        </w:tc>
        <w:tc>
          <w:tcPr>
            <w:tcW w:w="0" w:type="dxa"/>
            <w:vAlign w:val="bottom"/>
          </w:tcPr>
          <w:p>
            <w:pPr>
              <w:spacing w:after="0"/>
              <w:rPr>
                <w:sz w:val="1"/>
                <w:szCs w:val="1"/>
                <w:color w:val="auto"/>
              </w:rPr>
            </w:pPr>
          </w:p>
        </w:tc>
      </w:tr>
      <w:tr>
        <w:trPr>
          <w:trHeight w:val="126"/>
        </w:trPr>
        <w:tc>
          <w:tcPr>
            <w:tcW w:w="1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Depreciable</w:t>
            </w: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Depreciable</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(A) or</w:t>
            </w:r>
          </w:p>
        </w:tc>
        <w:tc>
          <w:tcPr>
            <w:tcW w:w="0" w:type="dxa"/>
            <w:vAlign w:val="bottom"/>
          </w:tcPr>
          <w:p>
            <w:pPr>
              <w:spacing w:after="0"/>
              <w:rPr>
                <w:sz w:val="1"/>
                <w:szCs w:val="1"/>
                <w:color w:val="auto"/>
              </w:rPr>
            </w:pPr>
          </w:p>
        </w:tc>
      </w:tr>
      <w:tr>
        <w:trPr>
          <w:trHeight w:val="127"/>
        </w:trPr>
        <w:tc>
          <w:tcPr>
            <w:tcW w:w="19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2"/>
                <w:szCs w:val="12"/>
                <w:b w:val="1"/>
                <w:bCs w:val="1"/>
                <w:color w:val="auto"/>
              </w:rPr>
              <w:t>Property Name</w:t>
            </w:r>
          </w:p>
        </w:tc>
        <w:tc>
          <w:tcPr>
            <w:tcW w:w="13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2"/>
                <w:szCs w:val="12"/>
                <w:b w:val="1"/>
                <w:bCs w:val="1"/>
                <w:color w:val="auto"/>
              </w:rPr>
              <w:t>Location</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Encumbrances</w:t>
            </w:r>
            <w:r>
              <w:rPr>
                <w:rFonts w:ascii="Times New Roman" w:cs="Times New Roman" w:eastAsia="Times New Roman" w:hAnsi="Times New Roman"/>
                <w:sz w:val="16"/>
                <w:szCs w:val="16"/>
                <w:b w:val="1"/>
                <w:bCs w:val="1"/>
                <w:color w:val="auto"/>
                <w:vertAlign w:val="superscript"/>
              </w:rPr>
              <w:t>(1)</w:t>
            </w:r>
          </w:p>
        </w:tc>
        <w:tc>
          <w:tcPr>
            <w:tcW w:w="52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Land</w:t>
            </w:r>
          </w:p>
        </w:tc>
        <w:tc>
          <w:tcPr>
            <w:tcW w:w="760" w:type="dxa"/>
            <w:vAlign w:val="bottom"/>
            <w:gridSpan w:val="2"/>
            <w:vMerge w:val="continue"/>
          </w:tcPr>
          <w:p>
            <w:pPr>
              <w:spacing w:after="0"/>
              <w:rPr>
                <w:sz w:val="11"/>
                <w:szCs w:val="11"/>
                <w:color w:val="auto"/>
              </w:rPr>
            </w:pPr>
          </w:p>
        </w:tc>
        <w:tc>
          <w:tcPr>
            <w:tcW w:w="6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Land</w:t>
            </w:r>
          </w:p>
        </w:tc>
        <w:tc>
          <w:tcPr>
            <w:tcW w:w="880" w:type="dxa"/>
            <w:vAlign w:val="bottom"/>
            <w:gridSpan w:val="2"/>
            <w:vMerge w:val="continue"/>
          </w:tcPr>
          <w:p>
            <w:pPr>
              <w:spacing w:after="0"/>
              <w:rPr>
                <w:sz w:val="11"/>
                <w:szCs w:val="11"/>
                <w:color w:val="auto"/>
              </w:rPr>
            </w:pPr>
          </w:p>
        </w:tc>
        <w:tc>
          <w:tcPr>
            <w:tcW w:w="5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Land</w:t>
            </w:r>
          </w:p>
        </w:tc>
        <w:tc>
          <w:tcPr>
            <w:tcW w:w="120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Depreciable Assets</w:t>
            </w:r>
          </w:p>
        </w:tc>
        <w:tc>
          <w:tcPr>
            <w:tcW w:w="4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820" w:type="dxa"/>
            <w:vAlign w:val="bottom"/>
            <w:gridSpan w:val="2"/>
            <w:vMerge w:val="continue"/>
          </w:tcPr>
          <w:p>
            <w:pPr>
              <w:spacing w:after="0"/>
              <w:rPr>
                <w:sz w:val="11"/>
                <w:szCs w:val="11"/>
                <w:color w:val="auto"/>
              </w:rPr>
            </w:pPr>
          </w:p>
        </w:tc>
        <w:tc>
          <w:tcPr>
            <w:tcW w:w="40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Date</w:t>
            </w:r>
          </w:p>
        </w:tc>
        <w:tc>
          <w:tcPr>
            <w:tcW w:w="72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Constructed</w:t>
            </w:r>
          </w:p>
        </w:tc>
        <w:tc>
          <w:tcPr>
            <w:tcW w:w="0" w:type="dxa"/>
            <w:vAlign w:val="bottom"/>
          </w:tcPr>
          <w:p>
            <w:pPr>
              <w:spacing w:after="0"/>
              <w:rPr>
                <w:sz w:val="1"/>
                <w:szCs w:val="1"/>
                <w:color w:val="auto"/>
              </w:rPr>
            </w:pPr>
          </w:p>
        </w:tc>
      </w:tr>
      <w:tr>
        <w:trPr>
          <w:trHeight w:val="174"/>
        </w:trPr>
        <w:tc>
          <w:tcPr>
            <w:tcW w:w="1940" w:type="dxa"/>
            <w:vAlign w:val="bottom"/>
            <w:gridSpan w:val="2"/>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Assets</w:t>
            </w:r>
          </w:p>
        </w:tc>
        <w:tc>
          <w:tcPr>
            <w:tcW w:w="680" w:type="dxa"/>
            <w:vAlign w:val="bottom"/>
            <w:gridSpan w:val="2"/>
            <w:vMerge w:val="continue"/>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Assets</w:t>
            </w:r>
          </w:p>
        </w:tc>
        <w:tc>
          <w:tcPr>
            <w:tcW w:w="560" w:type="dxa"/>
            <w:vAlign w:val="bottom"/>
            <w:gridSpan w:val="2"/>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Depreciation</w:t>
            </w:r>
          </w:p>
        </w:tc>
        <w:tc>
          <w:tcPr>
            <w:tcW w:w="400" w:type="dxa"/>
            <w:vAlign w:val="bottom"/>
            <w:gridSpan w:val="2"/>
            <w:vMerge w:val="continue"/>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(C)</w:t>
            </w:r>
          </w:p>
        </w:tc>
        <w:tc>
          <w:tcPr>
            <w:tcW w:w="0" w:type="dxa"/>
            <w:vAlign w:val="bottom"/>
          </w:tcPr>
          <w:p>
            <w:pPr>
              <w:spacing w:after="0"/>
              <w:rPr>
                <w:sz w:val="1"/>
                <w:szCs w:val="1"/>
                <w:color w:val="auto"/>
              </w:rPr>
            </w:pPr>
          </w:p>
        </w:tc>
      </w:tr>
      <w:tr>
        <w:trPr>
          <w:trHeight w:val="158"/>
        </w:trPr>
        <w:tc>
          <w:tcPr>
            <w:tcW w:w="1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Sun Retreats Naples</w:t>
            </w:r>
          </w:p>
        </w:tc>
        <w:tc>
          <w:tcPr>
            <w:tcW w:w="80" w:type="dxa"/>
            <w:vAlign w:val="bottom"/>
          </w:tcPr>
          <w:p>
            <w:pPr>
              <w:spacing w:after="0"/>
              <w:rPr>
                <w:sz w:val="13"/>
                <w:szCs w:val="13"/>
                <w:color w:val="auto"/>
              </w:rPr>
            </w:pPr>
          </w:p>
        </w:tc>
        <w:tc>
          <w:tcPr>
            <w:tcW w:w="1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Naples, FL</w:t>
            </w:r>
          </w:p>
        </w:tc>
        <w:tc>
          <w:tcPr>
            <w:tcW w:w="80" w:type="dxa"/>
            <w:vAlign w:val="bottom"/>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10.6</w:t>
            </w:r>
          </w:p>
        </w:tc>
        <w:tc>
          <w:tcPr>
            <w:tcW w:w="80" w:type="dxa"/>
            <w:vAlign w:val="bottom"/>
          </w:tcPr>
          <w:p>
            <w:pPr>
              <w:spacing w:after="0"/>
              <w:rPr>
                <w:sz w:val="13"/>
                <w:szCs w:val="13"/>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80" w:type="dxa"/>
            <w:vAlign w:val="bottom"/>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8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180" w:type="dxa"/>
            <w:vAlign w:val="bottom"/>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60" w:type="dxa"/>
            <w:vAlign w:val="bottom"/>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8.6</w:t>
            </w:r>
          </w:p>
        </w:tc>
        <w:tc>
          <w:tcPr>
            <w:tcW w:w="60" w:type="dxa"/>
            <w:vAlign w:val="bottom"/>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80" w:type="dxa"/>
            <w:vAlign w:val="bottom"/>
          </w:tcPr>
          <w:p>
            <w:pPr>
              <w:spacing w:after="0"/>
              <w:rPr>
                <w:sz w:val="13"/>
                <w:szCs w:val="13"/>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2011</w:t>
            </w:r>
          </w:p>
        </w:tc>
        <w:tc>
          <w:tcPr>
            <w:tcW w:w="60" w:type="dxa"/>
            <w:vAlign w:val="bottom"/>
          </w:tcPr>
          <w:p>
            <w:pPr>
              <w:spacing w:after="0"/>
              <w:rPr>
                <w:sz w:val="13"/>
                <w:szCs w:val="13"/>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Sun Retreats Naples East</w:t>
            </w:r>
          </w:p>
        </w:tc>
        <w:tc>
          <w:tcPr>
            <w:tcW w:w="1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Naples, FL</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2011</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Sun Retreats New Point</w:t>
            </w:r>
          </w:p>
        </w:tc>
        <w:tc>
          <w:tcPr>
            <w:tcW w:w="1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New Point, VA</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8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2013</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Sun Retreats Ocala Orange Lake</w:t>
            </w:r>
          </w:p>
        </w:tc>
        <w:tc>
          <w:tcPr>
            <w:tcW w:w="1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Citra, FL</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2012</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Sun Retreats Old Orchard Beach</w:t>
            </w:r>
          </w:p>
        </w:tc>
        <w:tc>
          <w:tcPr>
            <w:tcW w:w="1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Old Orchard Beach, ME</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8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2013</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26"/>
        </w:trPr>
        <w:tc>
          <w:tcPr>
            <w:tcW w:w="194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2"/>
                <w:szCs w:val="12"/>
                <w:color w:val="auto"/>
              </w:rPr>
              <w:t>Sun Retreats Orlando</w:t>
            </w:r>
          </w:p>
        </w:tc>
        <w:tc>
          <w:tcPr>
            <w:tcW w:w="1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Davenport, FL</w:t>
            </w: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20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w:t>
            </w:r>
          </w:p>
        </w:tc>
        <w:tc>
          <w:tcPr>
            <w:tcW w:w="18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6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23.7</w:t>
            </w:r>
          </w:p>
        </w:tc>
        <w:tc>
          <w:tcPr>
            <w:tcW w:w="6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8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2020</w:t>
            </w:r>
          </w:p>
        </w:tc>
        <w:tc>
          <w:tcPr>
            <w:tcW w:w="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70"/>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ChampionsGate</w:t>
            </w:r>
          </w:p>
        </w:tc>
        <w:tc>
          <w:tcPr>
            <w:tcW w:w="132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Sun Retreats Peters Pond</w:t>
            </w:r>
          </w:p>
        </w:tc>
        <w:tc>
          <w:tcPr>
            <w:tcW w:w="1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Sandwich, MA</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22.8</w:t>
            </w:r>
          </w:p>
        </w:tc>
        <w:tc>
          <w:tcPr>
            <w:tcW w:w="8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32.2</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2013</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Sun Retreats Pleasant Acres Farm</w:t>
            </w:r>
          </w:p>
        </w:tc>
        <w:tc>
          <w:tcPr>
            <w:tcW w:w="1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Sussex, NJ</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2021</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Sun Retreats Rehoboth Bay</w:t>
            </w:r>
          </w:p>
        </w:tc>
        <w:tc>
          <w:tcPr>
            <w:tcW w:w="1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Millsboro, DE</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41.3</w:t>
            </w:r>
          </w:p>
        </w:tc>
        <w:tc>
          <w:tcPr>
            <w:tcW w:w="8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47.2</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2019</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Sun Retreats Rock River</w:t>
            </w:r>
          </w:p>
        </w:tc>
        <w:tc>
          <w:tcPr>
            <w:tcW w:w="1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Hillsdale, IL</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2017</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Sun Retreats Sea Isle</w:t>
            </w:r>
          </w:p>
        </w:tc>
        <w:tc>
          <w:tcPr>
            <w:tcW w:w="1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Clermont, NJ</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29.9</w:t>
            </w:r>
          </w:p>
        </w:tc>
        <w:tc>
          <w:tcPr>
            <w:tcW w:w="8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35.7</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2014</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Sun Retreats Seashore</w:t>
            </w:r>
          </w:p>
        </w:tc>
        <w:tc>
          <w:tcPr>
            <w:tcW w:w="1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Cape May, NJ</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23.2</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28.0</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2014</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40"/>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Sun Retreats Shenandoah Valley</w:t>
            </w:r>
          </w:p>
        </w:tc>
        <w:tc>
          <w:tcPr>
            <w:tcW w:w="1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Stuarts Draft, VA</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w:t>
            </w:r>
          </w:p>
        </w:tc>
        <w:tc>
          <w:tcPr>
            <w:tcW w:w="1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22.4</w:t>
            </w: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2020</w:t>
            </w:r>
          </w:p>
        </w:tc>
        <w:tc>
          <w:tcPr>
            <w:tcW w:w="6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207"/>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Sun Retreats Sherkston Shores</w:t>
            </w:r>
          </w:p>
        </w:tc>
        <w:tc>
          <w:tcPr>
            <w:tcW w:w="1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Sherkston, ON</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22.8</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97.2</w:t>
            </w:r>
          </w:p>
        </w:tc>
        <w:tc>
          <w:tcPr>
            <w:tcW w:w="8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 xml:space="preserve">(1.3) </w:t>
            </w:r>
            <w:r>
              <w:rPr>
                <w:rFonts w:ascii="Times New Roman" w:cs="Times New Roman" w:eastAsia="Times New Roman" w:hAnsi="Times New Roman"/>
                <w:sz w:val="16"/>
                <w:szCs w:val="16"/>
                <w:color w:val="auto"/>
                <w:vertAlign w:val="superscript"/>
              </w:rPr>
              <w:t>(4)</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43.7</w:t>
            </w: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21.5</w:t>
            </w:r>
          </w:p>
        </w:tc>
        <w:tc>
          <w:tcPr>
            <w:tcW w:w="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162.4</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(40.5)</w:t>
            </w:r>
          </w:p>
        </w:tc>
        <w:tc>
          <w:tcPr>
            <w:tcW w:w="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6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Sun Retreats Texas Hill Country</w:t>
            </w:r>
          </w:p>
        </w:tc>
        <w:tc>
          <w:tcPr>
            <w:tcW w:w="1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New Braunfels, TX</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27.2</w:t>
            </w:r>
          </w:p>
        </w:tc>
        <w:tc>
          <w:tcPr>
            <w:tcW w:w="8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34.1</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(A&amp;C)</w:t>
            </w:r>
          </w:p>
        </w:tc>
        <w:tc>
          <w:tcPr>
            <w:tcW w:w="0" w:type="dxa"/>
            <w:vAlign w:val="bottom"/>
          </w:tcPr>
          <w:p>
            <w:pPr>
              <w:spacing w:after="0"/>
              <w:rPr>
                <w:sz w:val="1"/>
                <w:szCs w:val="1"/>
                <w:color w:val="auto"/>
              </w:rPr>
            </w:pPr>
          </w:p>
        </w:tc>
      </w:tr>
      <w:tr>
        <w:trPr>
          <w:trHeight w:val="180"/>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Sun Retreats Westward Shores</w:t>
            </w:r>
          </w:p>
        </w:tc>
        <w:tc>
          <w:tcPr>
            <w:tcW w:w="1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West Ossipee, NH</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32.5</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2018</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0"/>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Sun Retreats Wild Acres</w:t>
            </w:r>
          </w:p>
        </w:tc>
        <w:tc>
          <w:tcPr>
            <w:tcW w:w="1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Old Orchard Beach, ME</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26.8</w:t>
            </w:r>
          </w:p>
        </w:tc>
        <w:tc>
          <w:tcPr>
            <w:tcW w:w="80" w:type="dxa"/>
            <w:vAlign w:val="bottom"/>
          </w:tcPr>
          <w:p>
            <w:pPr>
              <w:spacing w:after="0"/>
              <w:rPr>
                <w:sz w:val="13"/>
                <w:szCs w:val="13"/>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w:t>
            </w:r>
          </w:p>
        </w:tc>
        <w:tc>
          <w:tcPr>
            <w:tcW w:w="1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37.5</w:t>
            </w:r>
          </w:p>
        </w:tc>
        <w:tc>
          <w:tcPr>
            <w:tcW w:w="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2013</w:t>
            </w:r>
          </w:p>
        </w:tc>
        <w:tc>
          <w:tcPr>
            <w:tcW w:w="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54"/>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Sun Valley</w:t>
            </w:r>
          </w:p>
        </w:tc>
        <w:tc>
          <w:tcPr>
            <w:tcW w:w="1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Apache Junction, AZ</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w:t>
            </w: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18.4</w:t>
            </w:r>
          </w:p>
        </w:tc>
        <w:tc>
          <w:tcPr>
            <w:tcW w:w="80" w:type="dxa"/>
            <w:vAlign w:val="bottom"/>
          </w:tcPr>
          <w:p>
            <w:pPr>
              <w:spacing w:after="0"/>
              <w:rPr>
                <w:sz w:val="13"/>
                <w:szCs w:val="13"/>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23.5</w:t>
            </w:r>
          </w:p>
        </w:tc>
        <w:tc>
          <w:tcPr>
            <w:tcW w:w="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2014</w:t>
            </w:r>
          </w:p>
        </w:tc>
        <w:tc>
          <w:tcPr>
            <w:tcW w:w="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207"/>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Sun Villa Estates</w:t>
            </w:r>
          </w:p>
        </w:tc>
        <w:tc>
          <w:tcPr>
            <w:tcW w:w="1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Reno, NV</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w:t>
            </w: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w:t>
            </w:r>
          </w:p>
        </w:tc>
        <w:tc>
          <w:tcPr>
            <w:tcW w:w="8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 xml:space="preserve">(1.1) </w:t>
            </w:r>
            <w:r>
              <w:rPr>
                <w:rFonts w:ascii="Times New Roman" w:cs="Times New Roman" w:eastAsia="Times New Roman" w:hAnsi="Times New Roman"/>
                <w:sz w:val="16"/>
                <w:szCs w:val="16"/>
                <w:color w:val="auto"/>
                <w:vertAlign w:val="superscript"/>
              </w:rPr>
              <w:t>(3)</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w:t>
            </w:r>
          </w:p>
        </w:tc>
        <w:tc>
          <w:tcPr>
            <w:tcW w:w="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1998</w:t>
            </w:r>
          </w:p>
        </w:tc>
        <w:tc>
          <w:tcPr>
            <w:tcW w:w="6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74"/>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Sunlake Estates</w:t>
            </w:r>
          </w:p>
        </w:tc>
        <w:tc>
          <w:tcPr>
            <w:tcW w:w="1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Grand Island, FL</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24.1</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35.3</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2015</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Sunrise Estates</w:t>
            </w:r>
          </w:p>
        </w:tc>
        <w:tc>
          <w:tcPr>
            <w:tcW w:w="1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Banning, CA</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w:t>
            </w:r>
          </w:p>
        </w:tc>
        <w:tc>
          <w:tcPr>
            <w:tcW w:w="8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24.4</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Sunset Ridge</w:t>
            </w:r>
          </w:p>
        </w:tc>
        <w:tc>
          <w:tcPr>
            <w:tcW w:w="1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Portland, MI</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48.8</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50.8</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1998</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(C)</w:t>
            </w:r>
          </w:p>
        </w:tc>
        <w:tc>
          <w:tcPr>
            <w:tcW w:w="0" w:type="dxa"/>
            <w:vAlign w:val="bottom"/>
          </w:tcPr>
          <w:p>
            <w:pPr>
              <w:spacing w:after="0"/>
              <w:rPr>
                <w:sz w:val="1"/>
                <w:szCs w:val="1"/>
                <w:color w:val="auto"/>
              </w:rPr>
            </w:pPr>
          </w:p>
        </w:tc>
      </w:tr>
      <w:tr>
        <w:trPr>
          <w:trHeight w:val="167"/>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Sunset Ridge TX</w:t>
            </w:r>
          </w:p>
        </w:tc>
        <w:tc>
          <w:tcPr>
            <w:tcW w:w="1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Kyle, TX</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8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51.9</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56.9</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2000</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(A&amp;C)</w:t>
            </w:r>
          </w:p>
        </w:tc>
        <w:tc>
          <w:tcPr>
            <w:tcW w:w="0" w:type="dxa"/>
            <w:vAlign w:val="bottom"/>
          </w:tcPr>
          <w:p>
            <w:pPr>
              <w:spacing w:after="0"/>
              <w:rPr>
                <w:sz w:val="1"/>
                <w:szCs w:val="1"/>
                <w:color w:val="auto"/>
              </w:rPr>
            </w:pPr>
          </w:p>
        </w:tc>
      </w:tr>
      <w:tr>
        <w:trPr>
          <w:trHeight w:val="180"/>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Swan Meadow Village</w:t>
            </w:r>
          </w:p>
        </w:tc>
        <w:tc>
          <w:tcPr>
            <w:tcW w:w="1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Dillon, CO</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19.7</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2014</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Sweetwater</w:t>
            </w:r>
          </w:p>
        </w:tc>
        <w:tc>
          <w:tcPr>
            <w:tcW w:w="1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Zephyrhills, FL</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w:t>
            </w:r>
          </w:p>
        </w:tc>
        <w:tc>
          <w:tcPr>
            <w:tcW w:w="8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Sycamore Village</w:t>
            </w:r>
          </w:p>
        </w:tc>
        <w:tc>
          <w:tcPr>
            <w:tcW w:w="1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Mason, MI</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2011</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Sylvan Crossing</w:t>
            </w:r>
          </w:p>
        </w:tc>
        <w:tc>
          <w:tcPr>
            <w:tcW w:w="1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Chelsea, MI</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22.4</w:t>
            </w:r>
          </w:p>
        </w:tc>
        <w:tc>
          <w:tcPr>
            <w:tcW w:w="8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30.4</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2021</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Sylvan Glen Estates</w:t>
            </w:r>
          </w:p>
        </w:tc>
        <w:tc>
          <w:tcPr>
            <w:tcW w:w="1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Brighton, MI</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31.1</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2021</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Tallowwood Isle</w:t>
            </w:r>
          </w:p>
        </w:tc>
        <w:tc>
          <w:tcPr>
            <w:tcW w:w="1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Coconut Creek, FL</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20.8</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38.4</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Tamarac Village</w:t>
            </w:r>
          </w:p>
        </w:tc>
        <w:tc>
          <w:tcPr>
            <w:tcW w:w="1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Ludington, MI</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16.9</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2011</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Tampa East</w:t>
            </w:r>
          </w:p>
        </w:tc>
        <w:tc>
          <w:tcPr>
            <w:tcW w:w="1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Dover, FL</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2005</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Tanglewood Village</w:t>
            </w:r>
          </w:p>
        </w:tc>
        <w:tc>
          <w:tcPr>
            <w:tcW w:w="1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Brownstown, MI</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24.6</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2021</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74"/>
        </w:trPr>
        <w:tc>
          <w:tcPr>
            <w:tcW w:w="194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2"/>
                <w:szCs w:val="12"/>
                <w:color w:val="auto"/>
              </w:rPr>
              <w:t>The Foothills</w:t>
            </w:r>
            <w:r>
              <w:rPr>
                <w:rFonts w:ascii="Times New Roman" w:cs="Times New Roman" w:eastAsia="Times New Roman" w:hAnsi="Times New Roman"/>
                <w:sz w:val="16"/>
                <w:szCs w:val="16"/>
                <w:color w:val="auto"/>
                <w:vertAlign w:val="superscript"/>
              </w:rPr>
              <w:t>(5)(7)</w:t>
            </w:r>
          </w:p>
        </w:tc>
        <w:tc>
          <w:tcPr>
            <w:tcW w:w="1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Fort Collins, CO</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8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20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60" w:type="dxa"/>
            <w:vAlign w:val="bottom"/>
          </w:tcPr>
          <w:p>
            <w:pPr>
              <w:spacing w:after="0"/>
              <w:rPr>
                <w:sz w:val="15"/>
                <w:szCs w:val="15"/>
                <w:color w:val="auto"/>
              </w:rPr>
            </w:pP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60" w:type="dxa"/>
            <w:vAlign w:val="bottom"/>
          </w:tcPr>
          <w:p>
            <w:pPr>
              <w:spacing w:after="0"/>
              <w:rPr>
                <w:sz w:val="15"/>
                <w:szCs w:val="15"/>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2021</w:t>
            </w:r>
          </w:p>
        </w:tc>
        <w:tc>
          <w:tcPr>
            <w:tcW w:w="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(C)</w:t>
            </w:r>
          </w:p>
        </w:tc>
        <w:tc>
          <w:tcPr>
            <w:tcW w:w="0" w:type="dxa"/>
            <w:vAlign w:val="bottom"/>
          </w:tcPr>
          <w:p>
            <w:pPr>
              <w:spacing w:after="0"/>
              <w:rPr>
                <w:sz w:val="1"/>
                <w:szCs w:val="1"/>
                <w:color w:val="auto"/>
              </w:rPr>
            </w:pPr>
          </w:p>
        </w:tc>
      </w:tr>
      <w:tr>
        <w:trPr>
          <w:trHeight w:val="174"/>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The Grove at Alta Ridge</w:t>
            </w:r>
          </w:p>
        </w:tc>
        <w:tc>
          <w:tcPr>
            <w:tcW w:w="1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Thornton, CO</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37.1</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43.6</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2014</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-2314575</wp:posOffset>
            </wp:positionV>
            <wp:extent cx="7144385" cy="1104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2">
                      <a:extLst>
                        <a:ext uri="{28A0092B-C50C-407E-A947-70E740481C1C}"/>
                      </a:extLst>
                    </a:blip>
                    <a:srcRect/>
                    <a:stretch>
                      <a:fillRect/>
                    </a:stretch>
                  </pic:blipFill>
                  <pic:spPr bwMode="auto">
                    <a:xfrm>
                      <a:off x="0" y="0"/>
                      <a:ext cx="7144385" cy="1104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-1873885</wp:posOffset>
            </wp:positionV>
            <wp:extent cx="7144385" cy="1104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3">
                      <a:extLst>
                        <a:ext uri="{28A0092B-C50C-407E-A947-70E740481C1C}"/>
                      </a:extLst>
                    </a:blip>
                    <a:srcRect/>
                    <a:stretch>
                      <a:fillRect/>
                    </a:stretch>
                  </pic:blipFill>
                  <pic:spPr bwMode="auto">
                    <a:xfrm>
                      <a:off x="0" y="0"/>
                      <a:ext cx="7144385" cy="1104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 - 56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11" w:name="page112"/>
    <w:bookmarkEnd w:id="111"/>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REAL ESTATE AND ACCUMULATED DEPRECIATION, SCHEDULE III</w:t>
      </w:r>
    </w:p>
    <w:p>
      <w:pPr>
        <w:spacing w:after="0" w:line="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DECEMBER 31, 2025</w:t>
      </w:r>
    </w:p>
    <w:p>
      <w:pPr>
        <w:spacing w:after="0" w:line="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(amounts in millions)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rPr>
              <w:t>Costs Capitalized</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Initial Cost to</w:t>
            </w:r>
          </w:p>
        </w:tc>
        <w:tc>
          <w:tcPr>
            <w:tcW w:w="1380" w:type="dxa"/>
            <w:vAlign w:val="bottom"/>
            <w:gridSpan w:val="3"/>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Subsequent to</w:t>
            </w:r>
          </w:p>
        </w:tc>
        <w:tc>
          <w:tcPr>
            <w:tcW w:w="200" w:type="dxa"/>
            <w:vAlign w:val="bottom"/>
          </w:tcPr>
          <w:p>
            <w:pPr>
              <w:spacing w:after="0"/>
              <w:rPr>
                <w:sz w:val="10"/>
                <w:szCs w:val="10"/>
                <w:color w:val="auto"/>
              </w:rPr>
            </w:pPr>
          </w:p>
        </w:tc>
        <w:tc>
          <w:tcPr>
            <w:tcW w:w="1760" w:type="dxa"/>
            <w:vAlign w:val="bottom"/>
            <w:gridSpan w:val="5"/>
            <w:vMerge w:val="restart"/>
          </w:tcPr>
          <w:p>
            <w:pPr>
              <w:jc w:val="center"/>
              <w:ind w:left="318"/>
              <w:spacing w:after="0"/>
              <w:rPr>
                <w:sz w:val="20"/>
                <w:szCs w:val="20"/>
                <w:color w:val="auto"/>
              </w:rPr>
            </w:pPr>
            <w:r>
              <w:rPr>
                <w:rFonts w:ascii="Times New Roman" w:cs="Times New Roman" w:eastAsia="Times New Roman" w:hAnsi="Times New Roman"/>
                <w:sz w:val="12"/>
                <w:szCs w:val="12"/>
                <w:b w:val="1"/>
                <w:bCs w:val="1"/>
                <w:color w:val="auto"/>
              </w:rPr>
              <w:t>Gross Amount Carried at</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4"/>
            <w:vMerge w:val="continue"/>
          </w:tcPr>
          <w:p>
            <w:pPr>
              <w:spacing w:after="0"/>
              <w:rPr>
                <w:sz w:val="11"/>
                <w:szCs w:val="11"/>
                <w:color w:val="auto"/>
              </w:rPr>
            </w:pPr>
          </w:p>
        </w:tc>
        <w:tc>
          <w:tcPr>
            <w:tcW w:w="1380" w:type="dxa"/>
            <w:vAlign w:val="bottom"/>
            <w:gridSpan w:val="3"/>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Acquisition</w:t>
            </w:r>
          </w:p>
        </w:tc>
        <w:tc>
          <w:tcPr>
            <w:tcW w:w="200" w:type="dxa"/>
            <w:vAlign w:val="bottom"/>
          </w:tcPr>
          <w:p>
            <w:pPr>
              <w:spacing w:after="0"/>
              <w:rPr>
                <w:sz w:val="11"/>
                <w:szCs w:val="11"/>
                <w:color w:val="auto"/>
              </w:rPr>
            </w:pPr>
          </w:p>
        </w:tc>
        <w:tc>
          <w:tcPr>
            <w:tcW w:w="1760" w:type="dxa"/>
            <w:vAlign w:val="bottom"/>
            <w:gridSpan w:val="5"/>
            <w:vMerge w:val="continue"/>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4"/>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Company</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rPr>
              <w:t>(Improvements)</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8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w w:val="99"/>
              </w:rPr>
              <w:t>Acquired</w:t>
            </w:r>
          </w:p>
        </w:tc>
        <w:tc>
          <w:tcPr>
            <w:tcW w:w="0" w:type="dxa"/>
            <w:vAlign w:val="bottom"/>
          </w:tcPr>
          <w:p>
            <w:pPr>
              <w:spacing w:after="0"/>
              <w:rPr>
                <w:sz w:val="1"/>
                <w:szCs w:val="1"/>
                <w:color w:val="auto"/>
              </w:rPr>
            </w:pPr>
          </w:p>
        </w:tc>
      </w:tr>
      <w:tr>
        <w:trPr>
          <w:trHeight w:val="126"/>
        </w:trPr>
        <w:tc>
          <w:tcPr>
            <w:tcW w:w="1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Depreciable</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Depreciable</w:t>
            </w: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(A) or</w:t>
            </w:r>
          </w:p>
        </w:tc>
        <w:tc>
          <w:tcPr>
            <w:tcW w:w="0" w:type="dxa"/>
            <w:vAlign w:val="bottom"/>
          </w:tcPr>
          <w:p>
            <w:pPr>
              <w:spacing w:after="0"/>
              <w:rPr>
                <w:sz w:val="1"/>
                <w:szCs w:val="1"/>
                <w:color w:val="auto"/>
              </w:rPr>
            </w:pPr>
          </w:p>
        </w:tc>
      </w:tr>
      <w:tr>
        <w:trPr>
          <w:trHeight w:val="127"/>
        </w:trPr>
        <w:tc>
          <w:tcPr>
            <w:tcW w:w="1840" w:type="dxa"/>
            <w:vAlign w:val="bottom"/>
            <w:vMerge w:val="restart"/>
          </w:tcPr>
          <w:p>
            <w:pPr>
              <w:ind w:left="500"/>
              <w:spacing w:after="0"/>
              <w:rPr>
                <w:sz w:val="20"/>
                <w:szCs w:val="20"/>
                <w:color w:val="auto"/>
              </w:rPr>
            </w:pPr>
            <w:r>
              <w:rPr>
                <w:rFonts w:ascii="Times New Roman" w:cs="Times New Roman" w:eastAsia="Times New Roman" w:hAnsi="Times New Roman"/>
                <w:sz w:val="12"/>
                <w:szCs w:val="12"/>
                <w:b w:val="1"/>
                <w:bCs w:val="1"/>
                <w:color w:val="auto"/>
              </w:rPr>
              <w:t>Property Name</w:t>
            </w:r>
          </w:p>
        </w:tc>
        <w:tc>
          <w:tcPr>
            <w:tcW w:w="60" w:type="dxa"/>
            <w:vAlign w:val="bottom"/>
            <w:vMerge w:val="restart"/>
          </w:tcPr>
          <w:p>
            <w:pPr>
              <w:spacing w:after="0"/>
              <w:rPr>
                <w:sz w:val="11"/>
                <w:szCs w:val="11"/>
                <w:color w:val="auto"/>
              </w:rPr>
            </w:pPr>
          </w:p>
        </w:tc>
        <w:tc>
          <w:tcPr>
            <w:tcW w:w="1280" w:type="dxa"/>
            <w:vAlign w:val="bottom"/>
            <w:vMerge w:val="restart"/>
          </w:tcPr>
          <w:p>
            <w:pPr>
              <w:ind w:left="400"/>
              <w:spacing w:after="0"/>
              <w:rPr>
                <w:sz w:val="20"/>
                <w:szCs w:val="20"/>
                <w:color w:val="auto"/>
              </w:rPr>
            </w:pPr>
            <w:r>
              <w:rPr>
                <w:rFonts w:ascii="Times New Roman" w:cs="Times New Roman" w:eastAsia="Times New Roman" w:hAnsi="Times New Roman"/>
                <w:sz w:val="12"/>
                <w:szCs w:val="12"/>
                <w:b w:val="1"/>
                <w:bCs w:val="1"/>
                <w:color w:val="auto"/>
              </w:rPr>
              <w:t>Location</w:t>
            </w:r>
          </w:p>
        </w:tc>
        <w:tc>
          <w:tcPr>
            <w:tcW w:w="60" w:type="dxa"/>
            <w:vAlign w:val="bottom"/>
            <w:vMerge w:val="restart"/>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w w:val="98"/>
              </w:rPr>
              <w:t>Encumbrances</w:t>
            </w:r>
            <w:r>
              <w:rPr>
                <w:rFonts w:ascii="Times New Roman" w:cs="Times New Roman" w:eastAsia="Times New Roman" w:hAnsi="Times New Roman"/>
                <w:sz w:val="16"/>
                <w:szCs w:val="16"/>
                <w:b w:val="1"/>
                <w:bCs w:val="1"/>
                <w:color w:val="auto"/>
                <w:w w:val="98"/>
                <w:vertAlign w:val="superscript"/>
              </w:rPr>
              <w:t>(1)</w:t>
            </w:r>
          </w:p>
        </w:tc>
        <w:tc>
          <w:tcPr>
            <w:tcW w:w="60" w:type="dxa"/>
            <w:vAlign w:val="bottom"/>
            <w:vMerge w:val="restart"/>
          </w:tcPr>
          <w:p>
            <w:pPr>
              <w:spacing w:after="0"/>
              <w:rPr>
                <w:sz w:val="11"/>
                <w:szCs w:val="11"/>
                <w:color w:val="auto"/>
              </w:rPr>
            </w:pPr>
          </w:p>
        </w:tc>
        <w:tc>
          <w:tcPr>
            <w:tcW w:w="460" w:type="dxa"/>
            <w:vAlign w:val="bottom"/>
            <w:vMerge w:val="restart"/>
          </w:tcPr>
          <w:p>
            <w:pPr>
              <w:jc w:val="right"/>
              <w:ind w:right="38"/>
              <w:spacing w:after="0"/>
              <w:rPr>
                <w:sz w:val="20"/>
                <w:szCs w:val="20"/>
                <w:color w:val="auto"/>
              </w:rPr>
            </w:pPr>
            <w:r>
              <w:rPr>
                <w:rFonts w:ascii="Times New Roman" w:cs="Times New Roman" w:eastAsia="Times New Roman" w:hAnsi="Times New Roman"/>
                <w:sz w:val="12"/>
                <w:szCs w:val="12"/>
                <w:b w:val="1"/>
                <w:bCs w:val="1"/>
                <w:color w:val="auto"/>
              </w:rPr>
              <w:t>Land</w:t>
            </w:r>
          </w:p>
        </w:tc>
        <w:tc>
          <w:tcPr>
            <w:tcW w:w="60" w:type="dxa"/>
            <w:vAlign w:val="bottom"/>
            <w:vMerge w:val="restart"/>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500" w:type="dxa"/>
            <w:vAlign w:val="bottom"/>
            <w:vMerge w:val="restart"/>
          </w:tcPr>
          <w:p>
            <w:pPr>
              <w:jc w:val="right"/>
              <w:ind w:right="58"/>
              <w:spacing w:after="0"/>
              <w:rPr>
                <w:sz w:val="20"/>
                <w:szCs w:val="20"/>
                <w:color w:val="auto"/>
              </w:rPr>
            </w:pPr>
            <w:r>
              <w:rPr>
                <w:rFonts w:ascii="Times New Roman" w:cs="Times New Roman" w:eastAsia="Times New Roman" w:hAnsi="Times New Roman"/>
                <w:sz w:val="12"/>
                <w:szCs w:val="12"/>
                <w:b w:val="1"/>
                <w:bCs w:val="1"/>
                <w:color w:val="auto"/>
              </w:rPr>
              <w:t>Land</w:t>
            </w:r>
          </w:p>
        </w:tc>
        <w:tc>
          <w:tcPr>
            <w:tcW w:w="180" w:type="dxa"/>
            <w:vAlign w:val="bottom"/>
            <w:vMerge w:val="restart"/>
          </w:tcPr>
          <w:p>
            <w:pPr>
              <w:spacing w:after="0"/>
              <w:rPr>
                <w:sz w:val="11"/>
                <w:szCs w:val="11"/>
                <w:color w:val="auto"/>
              </w:rPr>
            </w:pPr>
          </w:p>
        </w:tc>
        <w:tc>
          <w:tcPr>
            <w:tcW w:w="7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vMerge w:val="restart"/>
          </w:tcPr>
          <w:p>
            <w:pPr>
              <w:jc w:val="right"/>
              <w:ind w:right="58"/>
              <w:spacing w:after="0"/>
              <w:rPr>
                <w:sz w:val="20"/>
                <w:szCs w:val="20"/>
                <w:color w:val="auto"/>
              </w:rPr>
            </w:pPr>
            <w:r>
              <w:rPr>
                <w:rFonts w:ascii="Times New Roman" w:cs="Times New Roman" w:eastAsia="Times New Roman" w:hAnsi="Times New Roman"/>
                <w:sz w:val="12"/>
                <w:szCs w:val="12"/>
                <w:b w:val="1"/>
                <w:bCs w:val="1"/>
                <w:color w:val="auto"/>
              </w:rPr>
              <w:t>Land</w:t>
            </w:r>
          </w:p>
        </w:tc>
        <w:tc>
          <w:tcPr>
            <w:tcW w:w="60" w:type="dxa"/>
            <w:vAlign w:val="bottom"/>
            <w:vMerge w:val="restart"/>
          </w:tcPr>
          <w:p>
            <w:pPr>
              <w:spacing w:after="0"/>
              <w:rPr>
                <w:sz w:val="11"/>
                <w:szCs w:val="11"/>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Depreciable Assets</w:t>
            </w:r>
          </w:p>
        </w:tc>
        <w:tc>
          <w:tcPr>
            <w:tcW w:w="8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400" w:type="dxa"/>
            <w:vAlign w:val="bottom"/>
            <w:vMerge w:val="restart"/>
          </w:tcPr>
          <w:p>
            <w:pPr>
              <w:jc w:val="right"/>
              <w:ind w:right="58"/>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60" w:type="dxa"/>
            <w:vAlign w:val="bottom"/>
            <w:vMerge w:val="restart"/>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Date</w:t>
            </w:r>
          </w:p>
        </w:tc>
        <w:tc>
          <w:tcPr>
            <w:tcW w:w="60" w:type="dxa"/>
            <w:vAlign w:val="bottom"/>
            <w:vMerge w:val="restart"/>
          </w:tcPr>
          <w:p>
            <w:pPr>
              <w:spacing w:after="0"/>
              <w:rPr>
                <w:sz w:val="11"/>
                <w:szCs w:val="11"/>
                <w:color w:val="auto"/>
              </w:rPr>
            </w:pPr>
          </w:p>
        </w:tc>
        <w:tc>
          <w:tcPr>
            <w:tcW w:w="72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Constructed</w:t>
            </w:r>
          </w:p>
        </w:tc>
        <w:tc>
          <w:tcPr>
            <w:tcW w:w="0" w:type="dxa"/>
            <w:vAlign w:val="bottom"/>
          </w:tcPr>
          <w:p>
            <w:pPr>
              <w:spacing w:after="0"/>
              <w:rPr>
                <w:sz w:val="1"/>
                <w:szCs w:val="1"/>
                <w:color w:val="auto"/>
              </w:rPr>
            </w:pPr>
          </w:p>
        </w:tc>
      </w:tr>
      <w:tr>
        <w:trPr>
          <w:trHeight w:val="174"/>
        </w:trPr>
        <w:tc>
          <w:tcPr>
            <w:tcW w:w="184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7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60" w:type="dxa"/>
            <w:vAlign w:val="bottom"/>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7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200" w:type="dxa"/>
            <w:vAlign w:val="bottom"/>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40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Depreciation</w:t>
            </w:r>
          </w:p>
        </w:tc>
        <w:tc>
          <w:tcPr>
            <w:tcW w:w="80" w:type="dxa"/>
            <w:vAlign w:val="bottom"/>
          </w:tcPr>
          <w:p>
            <w:pPr>
              <w:spacing w:after="0"/>
              <w:rPr>
                <w:sz w:val="15"/>
                <w:szCs w:val="15"/>
                <w:color w:val="auto"/>
              </w:rPr>
            </w:pPr>
          </w:p>
        </w:tc>
        <w:tc>
          <w:tcPr>
            <w:tcW w:w="34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(C)</w:t>
            </w:r>
          </w:p>
        </w:tc>
        <w:tc>
          <w:tcPr>
            <w:tcW w:w="0" w:type="dxa"/>
            <w:vAlign w:val="bottom"/>
          </w:tcPr>
          <w:p>
            <w:pPr>
              <w:spacing w:after="0"/>
              <w:rPr>
                <w:sz w:val="1"/>
                <w:szCs w:val="1"/>
                <w:color w:val="auto"/>
              </w:rPr>
            </w:pPr>
          </w:p>
        </w:tc>
      </w:tr>
      <w:tr>
        <w:trPr>
          <w:trHeight w:val="111"/>
        </w:trPr>
        <w:tc>
          <w:tcPr>
            <w:tcW w:w="1840" w:type="dxa"/>
            <w:vAlign w:val="bottom"/>
          </w:tcPr>
          <w:p>
            <w:pPr>
              <w:ind w:left="20"/>
              <w:spacing w:after="0" w:line="111" w:lineRule="exact"/>
              <w:rPr>
                <w:sz w:val="20"/>
                <w:szCs w:val="20"/>
                <w:color w:val="auto"/>
              </w:rPr>
            </w:pPr>
            <w:r>
              <w:rPr>
                <w:rFonts w:ascii="Times New Roman" w:cs="Times New Roman" w:eastAsia="Times New Roman" w:hAnsi="Times New Roman"/>
                <w:sz w:val="12"/>
                <w:szCs w:val="12"/>
                <w:color w:val="auto"/>
              </w:rPr>
              <w:t>The Hamptons Golf &amp; Country</w:t>
            </w:r>
          </w:p>
        </w:tc>
        <w:tc>
          <w:tcPr>
            <w:tcW w:w="60" w:type="dxa"/>
            <w:vAlign w:val="bottom"/>
          </w:tcPr>
          <w:p>
            <w:pPr>
              <w:spacing w:after="0"/>
              <w:rPr>
                <w:sz w:val="9"/>
                <w:szCs w:val="9"/>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auto"/>
              </w:rPr>
              <w:t>Auburndale, FL</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60.9</w:t>
            </w:r>
          </w:p>
        </w:tc>
        <w:tc>
          <w:tcPr>
            <w:tcW w:w="6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15.9</w:t>
            </w:r>
          </w:p>
        </w:tc>
        <w:tc>
          <w:tcPr>
            <w:tcW w:w="6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67.6</w:t>
            </w:r>
          </w:p>
        </w:tc>
        <w:tc>
          <w:tcPr>
            <w:tcW w:w="60" w:type="dxa"/>
            <w:vAlign w:val="bottom"/>
          </w:tcPr>
          <w:p>
            <w:pPr>
              <w:spacing w:after="0"/>
              <w:rPr>
                <w:sz w:val="9"/>
                <w:szCs w:val="9"/>
                <w:color w:val="auto"/>
              </w:rPr>
            </w:pPr>
          </w:p>
        </w:tc>
        <w:tc>
          <w:tcPr>
            <w:tcW w:w="6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7.4</w:t>
            </w:r>
          </w:p>
        </w:tc>
        <w:tc>
          <w:tcPr>
            <w:tcW w:w="200" w:type="dxa"/>
            <w:vAlign w:val="bottom"/>
            <w:vMerge w:val="restart"/>
          </w:tcPr>
          <w:p>
            <w:pPr>
              <w:jc w:val="right"/>
              <w:ind w:right="60"/>
              <w:spacing w:after="0"/>
              <w:rPr>
                <w:sz w:val="20"/>
                <w:szCs w:val="20"/>
                <w:color w:val="auto"/>
              </w:rPr>
            </w:pPr>
            <w:r>
              <w:rPr>
                <w:rFonts w:ascii="Times New Roman" w:cs="Times New Roman" w:eastAsia="Times New Roman" w:hAnsi="Times New Roman"/>
                <w:sz w:val="8"/>
                <w:szCs w:val="8"/>
                <w:color w:val="auto"/>
                <w:w w:val="85"/>
              </w:rPr>
              <w:t>(9)</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15.9</w:t>
            </w:r>
          </w:p>
        </w:tc>
        <w:tc>
          <w:tcPr>
            <w:tcW w:w="6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75.0</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90.9</w:t>
            </w:r>
          </w:p>
        </w:tc>
        <w:tc>
          <w:tcPr>
            <w:tcW w:w="6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(26.1)</w:t>
            </w:r>
          </w:p>
        </w:tc>
        <w:tc>
          <w:tcPr>
            <w:tcW w:w="80" w:type="dxa"/>
            <w:vAlign w:val="bottom"/>
          </w:tcPr>
          <w:p>
            <w:pPr>
              <w:spacing w:after="0"/>
              <w:rPr>
                <w:sz w:val="9"/>
                <w:szCs w:val="9"/>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2015</w:t>
            </w:r>
          </w:p>
        </w:tc>
        <w:tc>
          <w:tcPr>
            <w:tcW w:w="60" w:type="dxa"/>
            <w:vAlign w:val="bottom"/>
          </w:tcPr>
          <w:p>
            <w:pPr>
              <w:spacing w:after="0"/>
              <w:rPr>
                <w:sz w:val="9"/>
                <w:szCs w:val="9"/>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5"/>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Club</w:t>
            </w:r>
          </w:p>
        </w:tc>
        <w:tc>
          <w:tcPr>
            <w:tcW w:w="134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The Landings at Lake Henry</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Haines City, FL</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31.0</w:t>
            </w:r>
          </w:p>
        </w:tc>
        <w:tc>
          <w:tcPr>
            <w:tcW w:w="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37.8</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2015</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74"/>
        </w:trPr>
        <w:tc>
          <w:tcPr>
            <w:tcW w:w="190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2"/>
                <w:szCs w:val="12"/>
                <w:color w:val="auto"/>
              </w:rPr>
              <w:t>The Preserve</w:t>
            </w:r>
            <w:r>
              <w:rPr>
                <w:rFonts w:ascii="Times New Roman" w:cs="Times New Roman" w:eastAsia="Times New Roman" w:hAnsi="Times New Roman"/>
                <w:sz w:val="16"/>
                <w:szCs w:val="16"/>
                <w:color w:val="auto"/>
                <w:vertAlign w:val="superscript"/>
              </w:rPr>
              <w:t>(2)</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Lake Suzy, FL</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40.5</w:t>
            </w:r>
          </w:p>
        </w:tc>
        <w:tc>
          <w:tcPr>
            <w:tcW w:w="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w:t>
            </w:r>
          </w:p>
        </w:tc>
        <w:tc>
          <w:tcPr>
            <w:tcW w:w="60" w:type="dxa"/>
            <w:vAlign w:val="bottom"/>
          </w:tcPr>
          <w:p>
            <w:pPr>
              <w:spacing w:after="0"/>
              <w:rPr>
                <w:sz w:val="15"/>
                <w:szCs w:val="15"/>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40.5</w:t>
            </w:r>
          </w:p>
        </w:tc>
        <w:tc>
          <w:tcPr>
            <w:tcW w:w="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57.3</w:t>
            </w:r>
          </w:p>
        </w:tc>
        <w:tc>
          <w:tcPr>
            <w:tcW w:w="60" w:type="dxa"/>
            <w:vAlign w:val="bottom"/>
          </w:tcPr>
          <w:p>
            <w:pPr>
              <w:spacing w:after="0"/>
              <w:rPr>
                <w:sz w:val="15"/>
                <w:szCs w:val="15"/>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2025</w:t>
            </w:r>
          </w:p>
        </w:tc>
        <w:tc>
          <w:tcPr>
            <w:tcW w:w="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74"/>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The Ridge</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Davenport, FL</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33.0</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35.5</w:t>
            </w:r>
          </w:p>
        </w:tc>
        <w:tc>
          <w:tcPr>
            <w:tcW w:w="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46.8</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2015</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The Valley</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Apopka, FL</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6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The Villas at Calla Pointe</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Cheektowaga, NY</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w:t>
            </w:r>
          </w:p>
        </w:tc>
        <w:tc>
          <w:tcPr>
            <w:tcW w:w="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2014</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The Willows</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Goshen, IN</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w:t>
            </w:r>
          </w:p>
        </w:tc>
        <w:tc>
          <w:tcPr>
            <w:tcW w:w="6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2021</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Themeworld RV Resort</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Davenport, FL</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24.1</w:t>
            </w:r>
          </w:p>
        </w:tc>
        <w:tc>
          <w:tcPr>
            <w:tcW w:w="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32.3</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2021</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Three Lakes</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Hudson, FL</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6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2012</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Timber Ridge</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Ft. Collins, CO</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33.2</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w:t>
            </w:r>
          </w:p>
        </w:tc>
        <w:tc>
          <w:tcPr>
            <w:tcW w:w="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1996</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Timberline Estates</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Coopersville, MI</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w:t>
            </w: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6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1994</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2"/>
                <w:szCs w:val="12"/>
                <w:color w:val="auto"/>
              </w:rPr>
              <w:t>Traveler's World</w:t>
            </w:r>
            <w:r>
              <w:rPr>
                <w:rFonts w:ascii="Times New Roman" w:cs="Times New Roman" w:eastAsia="Times New Roman" w:hAnsi="Times New Roman"/>
                <w:sz w:val="16"/>
                <w:szCs w:val="16"/>
                <w:color w:val="auto"/>
                <w:vertAlign w:val="superscript"/>
              </w:rPr>
              <w:t>(7)</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San Antonio, TX</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w:t>
            </w:r>
          </w:p>
        </w:tc>
        <w:tc>
          <w:tcPr>
            <w:tcW w:w="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 xml:space="preserve">(6.1) </w:t>
            </w:r>
            <w:r>
              <w:rPr>
                <w:rFonts w:ascii="Times New Roman" w:cs="Times New Roman" w:eastAsia="Times New Roman" w:hAnsi="Times New Roman"/>
                <w:sz w:val="8"/>
                <w:szCs w:val="8"/>
                <w:color w:val="auto"/>
              </w:rPr>
              <w:t>(7)</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Treetops</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Arlington, TX</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w:t>
            </w:r>
          </w:p>
        </w:tc>
        <w:tc>
          <w:tcPr>
            <w:tcW w:w="6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Troy Villa</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Troy, MI</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w:t>
            </w:r>
          </w:p>
        </w:tc>
        <w:tc>
          <w:tcPr>
            <w:tcW w:w="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29.5</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2020</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Vallecito</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Newbury Park, CA</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26.5</w:t>
            </w: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w:t>
            </w:r>
          </w:p>
        </w:tc>
        <w:tc>
          <w:tcPr>
            <w:tcW w:w="6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37.1</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Victor Villa</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Victorville, CA</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w:t>
            </w:r>
          </w:p>
        </w:tc>
        <w:tc>
          <w:tcPr>
            <w:tcW w:w="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24.4</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Vista Del Lago</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Scotts Valley, CA</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w:t>
            </w: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w:t>
            </w:r>
          </w:p>
        </w:tc>
        <w:tc>
          <w:tcPr>
            <w:tcW w:w="6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29.2</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Vista Del Lago MH &amp; RV Resort</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Bradenton, FL</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Walden Woods</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Homosassa, FL</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w:t>
            </w: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26.4</w:t>
            </w: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30.4</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2015</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Warren Dunes Village</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Bridgman, MI</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15.9</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2011</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(A&amp;C)</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Water Oak Country Club Estates</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Lady Lake, FL</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69.1</w:t>
            </w: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w:t>
            </w: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91.6</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114.2</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(35.9)</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1993</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(A&amp;C)</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Waverly Shores Village</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Holland, MI</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2011</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(A&amp;C)</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West Village Estates</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Romulus, MI</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19.8</w:t>
            </w:r>
          </w:p>
        </w:tc>
        <w:tc>
          <w:tcPr>
            <w:tcW w:w="6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28.8</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2012</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Westbrook Senior Village</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Toledo, OH</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2001</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Westbrook Village</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Toledo, OH</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22.7</w:t>
            </w: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w:t>
            </w:r>
          </w:p>
        </w:tc>
        <w:tc>
          <w:tcPr>
            <w:tcW w:w="6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1999</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Westside Ridge</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Auburndale, FL</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w:t>
            </w:r>
          </w:p>
        </w:tc>
        <w:tc>
          <w:tcPr>
            <w:tcW w:w="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2015</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White Lake</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White Lake, MI</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22.4</w:t>
            </w: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6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22.0</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1997</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(A&amp;C)</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Willow Crossing</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Fort Lupton, CO</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80.7</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85.8</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2021</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(C)</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Willowbrook Place</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Toledo, OH</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w:t>
            </w: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w:t>
            </w:r>
          </w:p>
        </w:tc>
        <w:tc>
          <w:tcPr>
            <w:tcW w:w="6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18.4</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1997</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Windham Hills</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Jackson, MI</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22.4</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27.5</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1998</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(A&amp;C)</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Windmill Village</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Davenport, FL</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40.7</w:t>
            </w: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36.3</w:t>
            </w:r>
          </w:p>
        </w:tc>
        <w:tc>
          <w:tcPr>
            <w:tcW w:w="6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45.6</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2015</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Woodhaven Place</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Woodhaven, MI</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1998</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Woodlake Trails</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San Antonio, TX</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6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24.2</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25.6</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2000</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(A&amp;C)</w:t>
            </w:r>
          </w:p>
        </w:tc>
        <w:tc>
          <w:tcPr>
            <w:tcW w:w="0" w:type="dxa"/>
            <w:vAlign w:val="bottom"/>
          </w:tcPr>
          <w:p>
            <w:pPr>
              <w:spacing w:after="0"/>
              <w:rPr>
                <w:sz w:val="1"/>
                <w:szCs w:val="1"/>
                <w:color w:val="auto"/>
              </w:rPr>
            </w:pPr>
          </w:p>
        </w:tc>
      </w:tr>
      <w:tr>
        <w:trPr>
          <w:trHeight w:val="18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Woodland Park Estates</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Eugene, OR</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w:t>
            </w:r>
          </w:p>
        </w:tc>
        <w:tc>
          <w:tcPr>
            <w:tcW w:w="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1998</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 - 57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REAL ESTATE AND ACCUMULATED DEPRECIATION, SCHEDULE III</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DECEMBER 31, 2025</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(amounts in millions)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5"/>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Costs Capitalized</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Initial Cost to</w:t>
            </w:r>
          </w:p>
        </w:tc>
        <w:tc>
          <w:tcPr>
            <w:tcW w:w="80" w:type="dxa"/>
            <w:vAlign w:val="bottom"/>
          </w:tcPr>
          <w:p>
            <w:pPr>
              <w:spacing w:after="0"/>
              <w:rPr>
                <w:sz w:val="10"/>
                <w:szCs w:val="10"/>
                <w:color w:val="auto"/>
              </w:rPr>
            </w:pPr>
          </w:p>
        </w:tc>
        <w:tc>
          <w:tcPr>
            <w:tcW w:w="1440" w:type="dxa"/>
            <w:vAlign w:val="bottom"/>
            <w:gridSpan w:val="5"/>
          </w:tcPr>
          <w:p>
            <w:pPr>
              <w:jc w:val="center"/>
              <w:ind w:right="260"/>
              <w:spacing w:after="0" w:line="126" w:lineRule="exact"/>
              <w:rPr>
                <w:sz w:val="20"/>
                <w:szCs w:val="20"/>
                <w:color w:val="auto"/>
              </w:rPr>
            </w:pPr>
            <w:r>
              <w:rPr>
                <w:rFonts w:ascii="Times New Roman" w:cs="Times New Roman" w:eastAsia="Times New Roman" w:hAnsi="Times New Roman"/>
                <w:sz w:val="12"/>
                <w:szCs w:val="12"/>
                <w:b w:val="1"/>
                <w:bCs w:val="1"/>
                <w:color w:val="auto"/>
              </w:rPr>
              <w:t>Subsequent to</w:t>
            </w:r>
          </w:p>
        </w:tc>
        <w:tc>
          <w:tcPr>
            <w:tcW w:w="2360" w:type="dxa"/>
            <w:vAlign w:val="bottom"/>
            <w:gridSpan w:val="7"/>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Gross Amount Carried at</w:t>
            </w: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5"/>
            <w:vMerge w:val="continue"/>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5"/>
          </w:tcPr>
          <w:p>
            <w:pPr>
              <w:jc w:val="center"/>
              <w:ind w:right="280"/>
              <w:spacing w:after="0" w:line="128" w:lineRule="exact"/>
              <w:rPr>
                <w:sz w:val="20"/>
                <w:szCs w:val="20"/>
                <w:color w:val="auto"/>
              </w:rPr>
            </w:pPr>
            <w:r>
              <w:rPr>
                <w:rFonts w:ascii="Times New Roman" w:cs="Times New Roman" w:eastAsia="Times New Roman" w:hAnsi="Times New Roman"/>
                <w:sz w:val="12"/>
                <w:szCs w:val="12"/>
                <w:b w:val="1"/>
                <w:bCs w:val="1"/>
                <w:color w:val="auto"/>
              </w:rPr>
              <w:t>Acquisition</w:t>
            </w:r>
          </w:p>
        </w:tc>
        <w:tc>
          <w:tcPr>
            <w:tcW w:w="2360" w:type="dxa"/>
            <w:vAlign w:val="bottom"/>
            <w:gridSpan w:val="7"/>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5"/>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Company</w:t>
            </w:r>
          </w:p>
        </w:tc>
        <w:tc>
          <w:tcPr>
            <w:tcW w:w="80" w:type="dxa"/>
            <w:vAlign w:val="bottom"/>
          </w:tcPr>
          <w:p>
            <w:pPr>
              <w:spacing w:after="0"/>
              <w:rPr>
                <w:sz w:val="14"/>
                <w:szCs w:val="14"/>
                <w:color w:val="auto"/>
              </w:rPr>
            </w:pPr>
          </w:p>
        </w:tc>
        <w:tc>
          <w:tcPr>
            <w:tcW w:w="1440" w:type="dxa"/>
            <w:vAlign w:val="bottom"/>
            <w:gridSpan w:val="5"/>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(Improvements)</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3"/>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w w:val="99"/>
              </w:rPr>
              <w:t>Acquired</w:t>
            </w:r>
          </w:p>
        </w:tc>
        <w:tc>
          <w:tcPr>
            <w:tcW w:w="0" w:type="dxa"/>
            <w:vAlign w:val="bottom"/>
          </w:tcPr>
          <w:p>
            <w:pPr>
              <w:spacing w:after="0"/>
              <w:rPr>
                <w:sz w:val="1"/>
                <w:szCs w:val="1"/>
                <w:color w:val="auto"/>
              </w:rPr>
            </w:pPr>
          </w:p>
        </w:tc>
      </w:tr>
      <w:tr>
        <w:trPr>
          <w:trHeight w:val="126"/>
        </w:trPr>
        <w:tc>
          <w:tcPr>
            <w:tcW w:w="1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Depreciable</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Depreciable</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(A) or</w:t>
            </w:r>
          </w:p>
        </w:tc>
        <w:tc>
          <w:tcPr>
            <w:tcW w:w="0" w:type="dxa"/>
            <w:vAlign w:val="bottom"/>
          </w:tcPr>
          <w:p>
            <w:pPr>
              <w:spacing w:after="0"/>
              <w:rPr>
                <w:sz w:val="1"/>
                <w:szCs w:val="1"/>
                <w:color w:val="auto"/>
              </w:rPr>
            </w:pPr>
          </w:p>
        </w:tc>
      </w:tr>
      <w:tr>
        <w:trPr>
          <w:trHeight w:val="127"/>
        </w:trPr>
        <w:tc>
          <w:tcPr>
            <w:tcW w:w="18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2"/>
                <w:szCs w:val="12"/>
                <w:b w:val="1"/>
                <w:bCs w:val="1"/>
                <w:color w:val="auto"/>
              </w:rPr>
              <w:t>Property Name</w:t>
            </w:r>
          </w:p>
        </w:tc>
        <w:tc>
          <w:tcPr>
            <w:tcW w:w="12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2"/>
                <w:szCs w:val="12"/>
                <w:b w:val="1"/>
                <w:bCs w:val="1"/>
                <w:color w:val="auto"/>
              </w:rPr>
              <w:t>Location</w:t>
            </w: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Encumbrances</w:t>
            </w:r>
            <w:r>
              <w:rPr>
                <w:rFonts w:ascii="Times New Roman" w:cs="Times New Roman" w:eastAsia="Times New Roman" w:hAnsi="Times New Roman"/>
                <w:sz w:val="16"/>
                <w:szCs w:val="16"/>
                <w:b w:val="1"/>
                <w:bCs w:val="1"/>
                <w:color w:val="auto"/>
                <w:vertAlign w:val="superscript"/>
              </w:rPr>
              <w:t>(1)</w:t>
            </w:r>
          </w:p>
        </w:tc>
        <w:tc>
          <w:tcPr>
            <w:tcW w:w="6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rPr>
              <w:t>Land</w:t>
            </w:r>
          </w:p>
        </w:tc>
        <w:tc>
          <w:tcPr>
            <w:tcW w:w="76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Land</w:t>
            </w:r>
          </w:p>
        </w:tc>
        <w:tc>
          <w:tcPr>
            <w:tcW w:w="860" w:type="dxa"/>
            <w:vAlign w:val="bottom"/>
            <w:gridSpan w:val="3"/>
            <w:vMerge w:val="continue"/>
          </w:tcPr>
          <w:p>
            <w:pPr>
              <w:spacing w:after="0"/>
              <w:rPr>
                <w:sz w:val="11"/>
                <w:szCs w:val="11"/>
                <w:color w:val="auto"/>
              </w:rPr>
            </w:pPr>
          </w:p>
        </w:tc>
        <w:tc>
          <w:tcPr>
            <w:tcW w:w="6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rPr>
              <w:t>Land</w:t>
            </w:r>
          </w:p>
        </w:tc>
        <w:tc>
          <w:tcPr>
            <w:tcW w:w="1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Depreciable Assets</w:t>
            </w:r>
          </w:p>
        </w:tc>
        <w:tc>
          <w:tcPr>
            <w:tcW w:w="6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7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Date</w:t>
            </w:r>
          </w:p>
        </w:tc>
        <w:tc>
          <w:tcPr>
            <w:tcW w:w="72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Constructed</w:t>
            </w:r>
          </w:p>
        </w:tc>
        <w:tc>
          <w:tcPr>
            <w:tcW w:w="0" w:type="dxa"/>
            <w:vAlign w:val="bottom"/>
          </w:tcPr>
          <w:p>
            <w:pPr>
              <w:spacing w:after="0"/>
              <w:rPr>
                <w:sz w:val="1"/>
                <w:szCs w:val="1"/>
                <w:color w:val="auto"/>
              </w:rPr>
            </w:pPr>
          </w:p>
        </w:tc>
      </w:tr>
      <w:tr>
        <w:trPr>
          <w:trHeight w:val="174"/>
        </w:trPr>
        <w:tc>
          <w:tcPr>
            <w:tcW w:w="1840" w:type="dxa"/>
            <w:vAlign w:val="bottom"/>
            <w:gridSpan w:val="2"/>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8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9"/>
              </w:rPr>
              <w:t>Assets</w:t>
            </w:r>
          </w:p>
        </w:tc>
        <w:tc>
          <w:tcPr>
            <w:tcW w:w="600" w:type="dxa"/>
            <w:vAlign w:val="bottom"/>
            <w:gridSpan w:val="2"/>
            <w:vMerge w:val="continue"/>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Depreciation</w:t>
            </w:r>
          </w:p>
        </w:tc>
        <w:tc>
          <w:tcPr>
            <w:tcW w:w="6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(C)</w:t>
            </w:r>
          </w:p>
        </w:tc>
        <w:tc>
          <w:tcPr>
            <w:tcW w:w="0" w:type="dxa"/>
            <w:vAlign w:val="bottom"/>
          </w:tcPr>
          <w:p>
            <w:pPr>
              <w:spacing w:after="0"/>
              <w:rPr>
                <w:sz w:val="1"/>
                <w:szCs w:val="1"/>
                <w:color w:val="auto"/>
              </w:rPr>
            </w:pPr>
          </w:p>
        </w:tc>
      </w:tr>
      <w:tr>
        <w:trPr>
          <w:trHeight w:val="158"/>
        </w:trPr>
        <w:tc>
          <w:tcPr>
            <w:tcW w:w="1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Woodlands at Church Lake</w:t>
            </w:r>
          </w:p>
        </w:tc>
        <w:tc>
          <w:tcPr>
            <w:tcW w:w="60" w:type="dxa"/>
            <w:vAlign w:val="bottom"/>
          </w:tcPr>
          <w:p>
            <w:pPr>
              <w:spacing w:after="0"/>
              <w:rPr>
                <w:sz w:val="13"/>
                <w:szCs w:val="13"/>
                <w:color w:val="auto"/>
              </w:rPr>
            </w:pPr>
          </w:p>
        </w:tc>
        <w:tc>
          <w:tcPr>
            <w:tcW w:w="1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Groveland, FL</w:t>
            </w:r>
          </w:p>
        </w:tc>
        <w:tc>
          <w:tcPr>
            <w:tcW w:w="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9.1</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8.3</w:t>
            </w:r>
          </w:p>
        </w:tc>
        <w:tc>
          <w:tcPr>
            <w:tcW w:w="160" w:type="dxa"/>
            <w:vAlign w:val="bottom"/>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17.4</w:t>
            </w:r>
          </w:p>
        </w:tc>
        <w:tc>
          <w:tcPr>
            <w:tcW w:w="80" w:type="dxa"/>
            <w:vAlign w:val="bottom"/>
          </w:tcPr>
          <w:p>
            <w:pPr>
              <w:spacing w:after="0"/>
              <w:rPr>
                <w:sz w:val="13"/>
                <w:szCs w:val="13"/>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19.9</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60" w:type="dxa"/>
            <w:vAlign w:val="bottom"/>
          </w:tcPr>
          <w:p>
            <w:pPr>
              <w:spacing w:after="0"/>
              <w:rPr>
                <w:sz w:val="13"/>
                <w:szCs w:val="13"/>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2015</w:t>
            </w:r>
          </w:p>
        </w:tc>
        <w:tc>
          <w:tcPr>
            <w:tcW w:w="60" w:type="dxa"/>
            <w:vAlign w:val="bottom"/>
          </w:tcPr>
          <w:p>
            <w:pPr>
              <w:spacing w:after="0"/>
              <w:rPr>
                <w:sz w:val="13"/>
                <w:szCs w:val="13"/>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Woodside Terrace</w:t>
            </w:r>
          </w:p>
        </w:tc>
        <w:tc>
          <w:tcPr>
            <w:tcW w:w="1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Holland, OH</w:t>
            </w: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26.2</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19.8</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29.4</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1997</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Wymberly</w:t>
            </w: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Martinez, GA</w:t>
            </w:r>
          </w:p>
        </w:tc>
        <w:tc>
          <w:tcPr>
            <w:tcW w:w="2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w:t>
            </w: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28.0</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2019</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72"/>
        </w:trPr>
        <w:tc>
          <w:tcPr>
            <w:tcW w:w="17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2,438.7</w:t>
            </w:r>
          </w:p>
        </w:tc>
        <w:tc>
          <w:tcPr>
            <w:tcW w:w="8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$ 1,676.3</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5,957.7</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72.6</w:t>
            </w: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3,862.6</w:t>
            </w:r>
          </w:p>
        </w:tc>
        <w:tc>
          <w:tcPr>
            <w:tcW w:w="16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$ 1,748.9</w:t>
            </w:r>
          </w:p>
        </w:tc>
        <w:tc>
          <w:tcPr>
            <w:tcW w:w="6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9,820.3</w:t>
            </w:r>
          </w:p>
        </w:tc>
        <w:tc>
          <w:tcPr>
            <w:tcW w:w="8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$ 11,569.2</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(3,308.0)</w:t>
            </w:r>
          </w:p>
        </w:tc>
        <w:tc>
          <w:tcPr>
            <w:tcW w:w="6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1840" w:type="dxa"/>
            <w:vAlign w:val="bottom"/>
            <w:gridSpan w:val="2"/>
          </w:tcPr>
          <w:p>
            <w:pPr>
              <w:ind w:left="20"/>
              <w:spacing w:after="0" w:line="97" w:lineRule="exact"/>
              <w:rPr>
                <w:sz w:val="20"/>
                <w:szCs w:val="20"/>
                <w:color w:val="auto"/>
              </w:rPr>
            </w:pPr>
            <w:r>
              <w:rPr>
                <w:rFonts w:ascii="Times New Roman" w:cs="Times New Roman" w:eastAsia="Times New Roman" w:hAnsi="Times New Roman"/>
                <w:sz w:val="11"/>
                <w:szCs w:val="11"/>
                <w:color w:val="auto"/>
              </w:rPr>
              <w:t>Corporate Headquarters and</w:t>
            </w:r>
          </w:p>
        </w:tc>
        <w:tc>
          <w:tcPr>
            <w:tcW w:w="1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auto"/>
              </w:rPr>
              <w:t>Southfield, MI</w:t>
            </w:r>
          </w:p>
        </w:tc>
        <w:tc>
          <w:tcPr>
            <w:tcW w:w="28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63.2</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209.7</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283.7</w:t>
            </w:r>
          </w:p>
        </w:tc>
        <w:tc>
          <w:tcPr>
            <w:tcW w:w="16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61.6</w:t>
            </w: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493.4</w:t>
            </w:r>
          </w:p>
        </w:tc>
        <w:tc>
          <w:tcPr>
            <w:tcW w:w="8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555.0</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(197.6)</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1840" w:type="dxa"/>
            <w:vAlign w:val="bottom"/>
            <w:gridSpan w:val="2"/>
          </w:tcPr>
          <w:p>
            <w:pPr>
              <w:ind w:left="20"/>
              <w:spacing w:after="0" w:line="172" w:lineRule="exact"/>
              <w:rPr>
                <w:sz w:val="20"/>
                <w:szCs w:val="20"/>
                <w:color w:val="auto"/>
              </w:rPr>
            </w:pPr>
            <w:r>
              <w:rPr>
                <w:rFonts w:ascii="Times New Roman" w:cs="Times New Roman" w:eastAsia="Times New Roman" w:hAnsi="Times New Roman"/>
                <w:sz w:val="12"/>
                <w:szCs w:val="12"/>
                <w:color w:val="auto"/>
              </w:rPr>
              <w:t>Miscellaneous Investments</w:t>
            </w:r>
            <w:r>
              <w:rPr>
                <w:rFonts w:ascii="Times New Roman" w:cs="Times New Roman" w:eastAsia="Times New Roman" w:hAnsi="Times New Roman"/>
                <w:sz w:val="16"/>
                <w:szCs w:val="16"/>
                <w:color w:val="auto"/>
                <w:vertAlign w:val="superscript"/>
              </w:rPr>
              <w:t>(8)</w:t>
            </w:r>
          </w:p>
        </w:tc>
        <w:tc>
          <w:tcPr>
            <w:tcW w:w="12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78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1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2,438.7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$ 1,739.5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6,167.4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70.7</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4,146.3</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$ 1,810.5</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10,313.7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$ 12,124.2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(3,505.6)</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7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ind w:left="200" w:hanging="135"/>
        <w:spacing w:after="0"/>
        <w:tabs>
          <w:tab w:leader="none" w:pos="200" w:val="left"/>
        </w:tabs>
        <w:numPr>
          <w:ilvl w:val="0"/>
          <w:numId w:val="6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Balance outstanding represents total amount due at maturity and excludes any premiums or discounts and deferred financing costs.</w:t>
      </w:r>
    </w:p>
    <w:p>
      <w:pPr>
        <w:spacing w:after="0" w:line="4" w:lineRule="exact"/>
        <w:rPr>
          <w:rFonts w:ascii="Times New Roman" w:cs="Times New Roman" w:eastAsia="Times New Roman" w:hAnsi="Times New Roman"/>
          <w:sz w:val="16"/>
          <w:szCs w:val="16"/>
          <w:color w:val="auto"/>
          <w:vertAlign w:val="superscript"/>
        </w:rPr>
      </w:pPr>
    </w:p>
    <w:p>
      <w:pPr>
        <w:ind w:left="200" w:hanging="135"/>
        <w:spacing w:after="0" w:line="190" w:lineRule="auto"/>
        <w:tabs>
          <w:tab w:leader="none" w:pos="200" w:val="left"/>
        </w:tabs>
        <w:numPr>
          <w:ilvl w:val="0"/>
          <w:numId w:val="6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All or part of this property is subject to a ground lease.</w:t>
      </w:r>
    </w:p>
    <w:p>
      <w:pPr>
        <w:spacing w:after="0" w:line="4" w:lineRule="exact"/>
        <w:rPr>
          <w:rFonts w:ascii="Times New Roman" w:cs="Times New Roman" w:eastAsia="Times New Roman" w:hAnsi="Times New Roman"/>
          <w:sz w:val="16"/>
          <w:szCs w:val="16"/>
          <w:color w:val="auto"/>
          <w:vertAlign w:val="superscript"/>
        </w:rPr>
      </w:pPr>
    </w:p>
    <w:p>
      <w:pPr>
        <w:ind w:left="200" w:hanging="135"/>
        <w:spacing w:after="0" w:line="181" w:lineRule="auto"/>
        <w:tabs>
          <w:tab w:leader="none" w:pos="200" w:val="left"/>
        </w:tabs>
        <w:numPr>
          <w:ilvl w:val="0"/>
          <w:numId w:val="6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Gross amount carried at December 31, 2025 has decreased at this property due to a partial disposition of land or depreciable assets, as applicable.</w:t>
      </w:r>
    </w:p>
    <w:p>
      <w:pPr>
        <w:ind w:left="200" w:hanging="135"/>
        <w:spacing w:after="0"/>
        <w:tabs>
          <w:tab w:leader="none" w:pos="200" w:val="left"/>
        </w:tabs>
        <w:numPr>
          <w:ilvl w:val="0"/>
          <w:numId w:val="66"/>
        </w:numPr>
        <w:rPr>
          <w:rFonts w:ascii="Times New Roman" w:cs="Times New Roman" w:eastAsia="Times New Roman" w:hAnsi="Times New Roman"/>
          <w:sz w:val="8"/>
          <w:szCs w:val="8"/>
          <w:color w:val="auto"/>
        </w:rPr>
      </w:pPr>
      <w:r>
        <w:rPr>
          <w:rFonts w:ascii="Times New Roman" w:cs="Times New Roman" w:eastAsia="Times New Roman" w:hAnsi="Times New Roman"/>
          <w:sz w:val="12"/>
          <w:szCs w:val="12"/>
          <w:color w:val="auto"/>
        </w:rPr>
        <w:t>Gross amount carried at December 31, 2025 at our Canadian properties reflects the impact of foreign currency translation.</w:t>
      </w:r>
    </w:p>
    <w:p>
      <w:pPr>
        <w:spacing w:after="0" w:line="7" w:lineRule="exact"/>
        <w:rPr>
          <w:rFonts w:ascii="Times New Roman" w:cs="Times New Roman" w:eastAsia="Times New Roman" w:hAnsi="Times New Roman"/>
          <w:sz w:val="8"/>
          <w:szCs w:val="8"/>
          <w:color w:val="auto"/>
        </w:rPr>
      </w:pPr>
    </w:p>
    <w:p>
      <w:pPr>
        <w:ind w:left="200" w:hanging="135"/>
        <w:spacing w:after="0" w:line="196" w:lineRule="auto"/>
        <w:tabs>
          <w:tab w:leader="none" w:pos="200" w:val="left"/>
        </w:tabs>
        <w:numPr>
          <w:ilvl w:val="0"/>
          <w:numId w:val="6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This property was not included in our community count as of December 31, 2025 as it was not fully developed.</w:t>
      </w:r>
    </w:p>
    <w:p>
      <w:pPr>
        <w:spacing w:after="0" w:line="4" w:lineRule="exact"/>
        <w:rPr>
          <w:rFonts w:ascii="Times New Roman" w:cs="Times New Roman" w:eastAsia="Times New Roman" w:hAnsi="Times New Roman"/>
          <w:sz w:val="16"/>
          <w:szCs w:val="16"/>
          <w:color w:val="auto"/>
          <w:vertAlign w:val="superscript"/>
        </w:rPr>
      </w:pPr>
    </w:p>
    <w:p>
      <w:pPr>
        <w:ind w:left="200" w:hanging="135"/>
        <w:spacing w:after="0" w:line="190" w:lineRule="auto"/>
        <w:tabs>
          <w:tab w:leader="none" w:pos="200" w:val="left"/>
        </w:tabs>
        <w:numPr>
          <w:ilvl w:val="0"/>
          <w:numId w:val="6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This property had a name change during the year ended December 31, 2025.</w:t>
      </w:r>
    </w:p>
    <w:p>
      <w:pPr>
        <w:spacing w:after="0" w:line="4" w:lineRule="exact"/>
        <w:rPr>
          <w:rFonts w:ascii="Times New Roman" w:cs="Times New Roman" w:eastAsia="Times New Roman" w:hAnsi="Times New Roman"/>
          <w:sz w:val="16"/>
          <w:szCs w:val="16"/>
          <w:color w:val="auto"/>
          <w:vertAlign w:val="superscript"/>
        </w:rPr>
      </w:pPr>
    </w:p>
    <w:p>
      <w:pPr>
        <w:ind w:left="200" w:hanging="135"/>
        <w:spacing w:after="0" w:line="190" w:lineRule="auto"/>
        <w:tabs>
          <w:tab w:leader="none" w:pos="200" w:val="left"/>
        </w:tabs>
        <w:numPr>
          <w:ilvl w:val="0"/>
          <w:numId w:val="6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We recorded asset impairment charges during the year ended December 31, 2025 in association with the specified property. Refer to Note 14, "Fair Value Measurements," for additional information.</w:t>
      </w:r>
    </w:p>
    <w:p>
      <w:pPr>
        <w:spacing w:after="0" w:line="4" w:lineRule="exact"/>
        <w:rPr>
          <w:rFonts w:ascii="Times New Roman" w:cs="Times New Roman" w:eastAsia="Times New Roman" w:hAnsi="Times New Roman"/>
          <w:sz w:val="16"/>
          <w:szCs w:val="16"/>
          <w:color w:val="auto"/>
          <w:vertAlign w:val="superscript"/>
        </w:rPr>
      </w:pPr>
    </w:p>
    <w:p>
      <w:pPr>
        <w:ind w:left="200" w:hanging="135"/>
        <w:spacing w:after="0" w:line="190" w:lineRule="auto"/>
        <w:tabs>
          <w:tab w:leader="none" w:pos="200" w:val="left"/>
        </w:tabs>
        <w:numPr>
          <w:ilvl w:val="0"/>
          <w:numId w:val="6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We classified certain smaller operating properties within this category in an amount not exceeding 5% of the Total Gross Amount Carried at December 31, 2025, in accordance with SEC Regulation S-X, Item 12.</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tables set forth real estate and accumulated depreciation relating to our UK properties.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5"/>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Costs Capitalized</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Initial Cost to</w:t>
            </w:r>
          </w:p>
        </w:tc>
        <w:tc>
          <w:tcPr>
            <w:tcW w:w="80" w:type="dxa"/>
            <w:vAlign w:val="bottom"/>
          </w:tcPr>
          <w:p>
            <w:pPr>
              <w:spacing w:after="0"/>
              <w:rPr>
                <w:sz w:val="11"/>
                <w:szCs w:val="11"/>
                <w:color w:val="auto"/>
              </w:rPr>
            </w:pPr>
          </w:p>
        </w:tc>
        <w:tc>
          <w:tcPr>
            <w:tcW w:w="1040" w:type="dxa"/>
            <w:vAlign w:val="bottom"/>
            <w:gridSpan w:val="3"/>
          </w:tcPr>
          <w:p>
            <w:pPr>
              <w:jc w:val="center"/>
              <w:ind w:left="118"/>
              <w:spacing w:after="0" w:line="128" w:lineRule="exact"/>
              <w:rPr>
                <w:sz w:val="20"/>
                <w:szCs w:val="20"/>
                <w:color w:val="auto"/>
              </w:rPr>
            </w:pPr>
            <w:r>
              <w:rPr>
                <w:rFonts w:ascii="Times New Roman" w:cs="Times New Roman" w:eastAsia="Times New Roman" w:hAnsi="Times New Roman"/>
                <w:sz w:val="12"/>
                <w:szCs w:val="12"/>
                <w:b w:val="1"/>
                <w:bCs w:val="1"/>
                <w:color w:val="auto"/>
              </w:rPr>
              <w:t>Subsequent to</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60" w:type="dxa"/>
            <w:vAlign w:val="bottom"/>
            <w:gridSpan w:val="6"/>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Gross Amount Carried at</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3"/>
          </w:tcPr>
          <w:p>
            <w:pPr>
              <w:jc w:val="center"/>
              <w:ind w:left="98"/>
              <w:spacing w:after="0" w:line="126" w:lineRule="exact"/>
              <w:rPr>
                <w:sz w:val="20"/>
                <w:szCs w:val="20"/>
                <w:color w:val="auto"/>
              </w:rPr>
            </w:pPr>
            <w:r>
              <w:rPr>
                <w:rFonts w:ascii="Times New Roman" w:cs="Times New Roman" w:eastAsia="Times New Roman" w:hAnsi="Times New Roman"/>
                <w:sz w:val="12"/>
                <w:szCs w:val="12"/>
                <w:b w:val="1"/>
                <w:bCs w:val="1"/>
                <w:color w:val="auto"/>
              </w:rPr>
              <w:t>Acquisition</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60" w:type="dxa"/>
            <w:vAlign w:val="bottom"/>
            <w:gridSpan w:val="6"/>
            <w:vMerge w:val="continue"/>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gridSpan w:val="5"/>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Company</w:t>
            </w:r>
          </w:p>
        </w:tc>
        <w:tc>
          <w:tcPr>
            <w:tcW w:w="80" w:type="dxa"/>
            <w:vAlign w:val="bottom"/>
          </w:tcPr>
          <w:p>
            <w:pPr>
              <w:spacing w:after="0"/>
              <w:rPr>
                <w:sz w:val="14"/>
                <w:szCs w:val="14"/>
                <w:color w:val="auto"/>
              </w:rPr>
            </w:pPr>
          </w:p>
        </w:tc>
        <w:tc>
          <w:tcPr>
            <w:tcW w:w="1040" w:type="dxa"/>
            <w:vAlign w:val="bottom"/>
            <w:gridSpan w:val="3"/>
          </w:tcPr>
          <w:p>
            <w:pPr>
              <w:jc w:val="center"/>
              <w:ind w:left="118"/>
              <w:spacing w:after="0"/>
              <w:rPr>
                <w:sz w:val="20"/>
                <w:szCs w:val="20"/>
                <w:color w:val="auto"/>
              </w:rPr>
            </w:pPr>
            <w:r>
              <w:rPr>
                <w:rFonts w:ascii="Times New Roman" w:cs="Times New Roman" w:eastAsia="Times New Roman" w:hAnsi="Times New Roman"/>
                <w:sz w:val="12"/>
                <w:szCs w:val="12"/>
                <w:b w:val="1"/>
                <w:bCs w:val="1"/>
                <w:color w:val="auto"/>
              </w:rPr>
              <w:t>(Improvements)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w w:val="99"/>
              </w:rPr>
              <w:t>Acquired</w:t>
            </w:r>
          </w:p>
        </w:tc>
        <w:tc>
          <w:tcPr>
            <w:tcW w:w="0" w:type="dxa"/>
            <w:vAlign w:val="bottom"/>
          </w:tcPr>
          <w:p>
            <w:pPr>
              <w:spacing w:after="0"/>
              <w:rPr>
                <w:sz w:val="1"/>
                <w:szCs w:val="1"/>
                <w:color w:val="auto"/>
              </w:rPr>
            </w:pPr>
          </w:p>
        </w:tc>
      </w:tr>
      <w:tr>
        <w:trPr>
          <w:trHeight w:val="127"/>
        </w:trPr>
        <w:tc>
          <w:tcPr>
            <w:tcW w:w="1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Depreciable</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Depreciable</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(A) or</w:t>
            </w:r>
          </w:p>
        </w:tc>
        <w:tc>
          <w:tcPr>
            <w:tcW w:w="0" w:type="dxa"/>
            <w:vAlign w:val="bottom"/>
          </w:tcPr>
          <w:p>
            <w:pPr>
              <w:spacing w:after="0"/>
              <w:rPr>
                <w:sz w:val="1"/>
                <w:szCs w:val="1"/>
                <w:color w:val="auto"/>
              </w:rPr>
            </w:pPr>
          </w:p>
        </w:tc>
      </w:tr>
      <w:tr>
        <w:trPr>
          <w:trHeight w:val="126"/>
        </w:trPr>
        <w:tc>
          <w:tcPr>
            <w:tcW w:w="18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2"/>
                <w:szCs w:val="12"/>
                <w:b w:val="1"/>
                <w:bCs w:val="1"/>
                <w:color w:val="auto"/>
              </w:rPr>
              <w:t>Property Name</w:t>
            </w:r>
          </w:p>
        </w:tc>
        <w:tc>
          <w:tcPr>
            <w:tcW w:w="1580" w:type="dxa"/>
            <w:vAlign w:val="bottom"/>
            <w:gridSpan w:val="2"/>
            <w:vMerge w:val="restart"/>
          </w:tcPr>
          <w:p>
            <w:pPr>
              <w:ind w:left="520"/>
              <w:spacing w:after="0"/>
              <w:rPr>
                <w:sz w:val="20"/>
                <w:szCs w:val="20"/>
                <w:color w:val="auto"/>
              </w:rPr>
            </w:pPr>
            <w:r>
              <w:rPr>
                <w:rFonts w:ascii="Times New Roman" w:cs="Times New Roman" w:eastAsia="Times New Roman" w:hAnsi="Times New Roman"/>
                <w:sz w:val="12"/>
                <w:szCs w:val="12"/>
                <w:b w:val="1"/>
                <w:bCs w:val="1"/>
                <w:color w:val="auto"/>
              </w:rPr>
              <w:t>Location</w:t>
            </w:r>
          </w:p>
        </w:tc>
        <w:tc>
          <w:tcPr>
            <w:tcW w:w="920" w:type="dxa"/>
            <w:vAlign w:val="bottom"/>
            <w:gridSpan w:val="3"/>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Encumbrances</w:t>
            </w:r>
          </w:p>
        </w:tc>
        <w:tc>
          <w:tcPr>
            <w:tcW w:w="5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rPr>
              <w:t>Land</w:t>
            </w:r>
          </w:p>
        </w:tc>
        <w:tc>
          <w:tcPr>
            <w:tcW w:w="7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Land</w:t>
            </w:r>
          </w:p>
        </w:tc>
        <w:tc>
          <w:tcPr>
            <w:tcW w:w="780" w:type="dxa"/>
            <w:vAlign w:val="bottom"/>
            <w:gridSpan w:val="3"/>
            <w:vMerge w:val="continue"/>
          </w:tcPr>
          <w:p>
            <w:pPr>
              <w:spacing w:after="0"/>
              <w:rPr>
                <w:sz w:val="10"/>
                <w:szCs w:val="10"/>
                <w:color w:val="auto"/>
              </w:rPr>
            </w:pPr>
          </w:p>
        </w:tc>
        <w:tc>
          <w:tcPr>
            <w:tcW w:w="5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Land</w:t>
            </w:r>
          </w:p>
        </w:tc>
        <w:tc>
          <w:tcPr>
            <w:tcW w:w="1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Depreciable Assets</w:t>
            </w:r>
          </w:p>
        </w:tc>
        <w:tc>
          <w:tcPr>
            <w:tcW w:w="120" w:type="dxa"/>
            <w:vAlign w:val="bottom"/>
          </w:tcPr>
          <w:p>
            <w:pPr>
              <w:spacing w:after="0"/>
              <w:rPr>
                <w:sz w:val="10"/>
                <w:szCs w:val="10"/>
                <w:color w:val="auto"/>
              </w:rPr>
            </w:pPr>
          </w:p>
        </w:tc>
        <w:tc>
          <w:tcPr>
            <w:tcW w:w="4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800" w:type="dxa"/>
            <w:vAlign w:val="bottom"/>
            <w:gridSpan w:val="3"/>
            <w:vMerge w:val="continue"/>
          </w:tcPr>
          <w:p>
            <w:pPr>
              <w:spacing w:after="0"/>
              <w:rPr>
                <w:sz w:val="10"/>
                <w:szCs w:val="10"/>
                <w:color w:val="auto"/>
              </w:rPr>
            </w:pPr>
          </w:p>
        </w:tc>
        <w:tc>
          <w:tcPr>
            <w:tcW w:w="40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Date</w:t>
            </w:r>
          </w:p>
        </w:tc>
        <w:tc>
          <w:tcPr>
            <w:tcW w:w="72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Constructed</w:t>
            </w:r>
          </w:p>
        </w:tc>
        <w:tc>
          <w:tcPr>
            <w:tcW w:w="0" w:type="dxa"/>
            <w:vAlign w:val="bottom"/>
          </w:tcPr>
          <w:p>
            <w:pPr>
              <w:spacing w:after="0"/>
              <w:rPr>
                <w:sz w:val="1"/>
                <w:szCs w:val="1"/>
                <w:color w:val="auto"/>
              </w:rPr>
            </w:pPr>
          </w:p>
        </w:tc>
      </w:tr>
      <w:tr>
        <w:trPr>
          <w:trHeight w:val="168"/>
        </w:trPr>
        <w:tc>
          <w:tcPr>
            <w:tcW w:w="1820" w:type="dxa"/>
            <w:vAlign w:val="bottom"/>
            <w:gridSpan w:val="2"/>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Assets</w:t>
            </w: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780" w:type="dxa"/>
            <w:vAlign w:val="bottom"/>
            <w:gridSpan w:val="3"/>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Assets</w:t>
            </w:r>
          </w:p>
        </w:tc>
        <w:tc>
          <w:tcPr>
            <w:tcW w:w="560" w:type="dxa"/>
            <w:vAlign w:val="bottom"/>
            <w:gridSpan w:val="2"/>
            <w:vMerge w:val="continue"/>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Depreciation</w:t>
            </w:r>
          </w:p>
        </w:tc>
        <w:tc>
          <w:tcPr>
            <w:tcW w:w="400" w:type="dxa"/>
            <w:vAlign w:val="bottom"/>
            <w:gridSpan w:val="2"/>
            <w:vMerge w:val="continue"/>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(C)</w:t>
            </w:r>
          </w:p>
        </w:tc>
        <w:tc>
          <w:tcPr>
            <w:tcW w:w="0" w:type="dxa"/>
            <w:vAlign w:val="bottom"/>
          </w:tcPr>
          <w:p>
            <w:pPr>
              <w:spacing w:after="0"/>
              <w:rPr>
                <w:sz w:val="1"/>
                <w:szCs w:val="1"/>
                <w:color w:val="auto"/>
              </w:rPr>
            </w:pPr>
          </w:p>
        </w:tc>
      </w:tr>
      <w:tr>
        <w:trPr>
          <w:trHeight w:val="170"/>
        </w:trPr>
        <w:tc>
          <w:tcPr>
            <w:tcW w:w="1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Alberta</w:t>
            </w:r>
          </w:p>
        </w:tc>
        <w:tc>
          <w:tcPr>
            <w:tcW w:w="6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Whitstable, Kent, England</w:t>
            </w:r>
          </w:p>
        </w:tc>
        <w:tc>
          <w:tcPr>
            <w:tcW w:w="6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24.7</w:t>
            </w: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ind w:right="298"/>
              <w:spacing w:after="0"/>
              <w:rPr>
                <w:sz w:val="20"/>
                <w:szCs w:val="20"/>
                <w:color w:val="auto"/>
              </w:rPr>
            </w:pPr>
            <w:r>
              <w:rPr>
                <w:rFonts w:ascii="Times New Roman" w:cs="Times New Roman" w:eastAsia="Times New Roman" w:hAnsi="Times New Roman"/>
                <w:sz w:val="12"/>
                <w:szCs w:val="12"/>
                <w:color w:val="auto"/>
                <w:w w:val="9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8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25.7</w:t>
            </w:r>
          </w:p>
        </w:tc>
        <w:tc>
          <w:tcPr>
            <w:tcW w:w="8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32.0</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6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6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19"/>
        </w:trPr>
        <w:tc>
          <w:tcPr>
            <w:tcW w:w="182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Amble Links</w:t>
            </w:r>
          </w:p>
        </w:tc>
        <w:tc>
          <w:tcPr>
            <w:tcW w:w="158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2"/>
                <w:szCs w:val="12"/>
                <w:color w:val="auto"/>
              </w:rPr>
              <w:t>Amble, Northumberland,</w:t>
            </w:r>
          </w:p>
        </w:tc>
        <w:tc>
          <w:tcPr>
            <w:tcW w:w="380" w:type="dxa"/>
            <w:vAlign w:val="bottom"/>
          </w:tcPr>
          <w:p>
            <w:pPr>
              <w:spacing w:after="0"/>
              <w:rPr>
                <w:sz w:val="10"/>
                <w:szCs w:val="10"/>
                <w:color w:val="auto"/>
              </w:rPr>
            </w:pPr>
          </w:p>
        </w:tc>
        <w:tc>
          <w:tcPr>
            <w:tcW w:w="5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62.8</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0"/>
                <w:szCs w:val="10"/>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8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62.8</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69.1</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6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60" w:type="dxa"/>
            <w:vAlign w:val="bottom"/>
          </w:tcPr>
          <w:p>
            <w:pPr>
              <w:spacing w:after="0"/>
              <w:rPr>
                <w:sz w:val="10"/>
                <w:szCs w:val="10"/>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5"/>
        </w:trPr>
        <w:tc>
          <w:tcPr>
            <w:tcW w:w="1820" w:type="dxa"/>
            <w:vAlign w:val="bottom"/>
            <w:gridSpan w:val="2"/>
            <w:vMerge w:val="continue"/>
          </w:tcPr>
          <w:p>
            <w:pPr>
              <w:spacing w:after="0"/>
              <w:rPr>
                <w:sz w:val="14"/>
                <w:szCs w:val="14"/>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England</w:t>
            </w:r>
          </w:p>
        </w:tc>
        <w:tc>
          <w:tcPr>
            <w:tcW w:w="38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8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Ashbourne Heights</w:t>
            </w:r>
          </w:p>
        </w:tc>
        <w:tc>
          <w:tcPr>
            <w:tcW w:w="1580" w:type="dxa"/>
            <w:vAlign w:val="bottom"/>
            <w:gridSpan w:val="2"/>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Ashbourne, Derbyshire,</w:t>
            </w:r>
          </w:p>
        </w:tc>
        <w:tc>
          <w:tcPr>
            <w:tcW w:w="38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0"/>
                <w:szCs w:val="10"/>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8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w:t>
            </w: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6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70"/>
        </w:trPr>
        <w:tc>
          <w:tcPr>
            <w:tcW w:w="1820" w:type="dxa"/>
            <w:vAlign w:val="bottom"/>
            <w:gridSpan w:val="2"/>
            <w:vMerge w:val="continue"/>
            <w:shd w:val="clear" w:color="auto" w:fill="CCEEFF"/>
          </w:tcPr>
          <w:p>
            <w:pPr>
              <w:spacing w:after="0"/>
              <w:rPr>
                <w:sz w:val="14"/>
                <w:szCs w:val="14"/>
                <w:color w:val="auto"/>
              </w:rPr>
            </w:pPr>
          </w:p>
        </w:tc>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England</w:t>
            </w:r>
          </w:p>
        </w:tc>
        <w:tc>
          <w:tcPr>
            <w:tcW w:w="38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Beauport</w:t>
            </w: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Hastings, Sussex, England</w:t>
            </w:r>
          </w:p>
        </w:tc>
        <w:tc>
          <w:tcPr>
            <w:tcW w:w="380" w:type="dxa"/>
            <w:vAlign w:val="bottom"/>
          </w:tcPr>
          <w:p>
            <w:pPr>
              <w:spacing w:after="0"/>
              <w:rPr>
                <w:sz w:val="14"/>
                <w:szCs w:val="14"/>
                <w:color w:val="auto"/>
              </w:rPr>
            </w:pPr>
          </w:p>
        </w:tc>
        <w:tc>
          <w:tcPr>
            <w:tcW w:w="540" w:type="dxa"/>
            <w:vAlign w:val="bottom"/>
            <w:gridSpan w:val="2"/>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76.9</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76.9</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Birchington Vale</w:t>
            </w:r>
            <w:r>
              <w:rPr>
                <w:rFonts w:ascii="Times New Roman" w:cs="Times New Roman" w:eastAsia="Times New Roman" w:hAnsi="Times New Roman"/>
                <w:sz w:val="8"/>
                <w:szCs w:val="8"/>
                <w:color w:val="auto"/>
              </w:rPr>
              <w:t>(3)</w:t>
            </w:r>
          </w:p>
        </w:tc>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Birchington, Kent, England</w:t>
            </w:r>
          </w:p>
        </w:tc>
        <w:tc>
          <w:tcPr>
            <w:tcW w:w="3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19"/>
        </w:trPr>
        <w:tc>
          <w:tcPr>
            <w:tcW w:w="1820" w:type="dxa"/>
            <w:vAlign w:val="bottom"/>
            <w:gridSpan w:val="2"/>
          </w:tcPr>
          <w:p>
            <w:pPr>
              <w:spacing w:after="0" w:line="120" w:lineRule="exact"/>
              <w:rPr>
                <w:sz w:val="20"/>
                <w:szCs w:val="20"/>
                <w:color w:val="auto"/>
              </w:rPr>
            </w:pPr>
            <w:r>
              <w:rPr>
                <w:rFonts w:ascii="Times New Roman" w:cs="Times New Roman" w:eastAsia="Times New Roman" w:hAnsi="Times New Roman"/>
                <w:sz w:val="12"/>
                <w:szCs w:val="12"/>
                <w:color w:val="auto"/>
              </w:rPr>
              <w:t>Bodmin Holiday Park (formerly</w:t>
            </w:r>
          </w:p>
        </w:tc>
        <w:tc>
          <w:tcPr>
            <w:tcW w:w="1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auto"/>
              </w:rPr>
              <w:t>Bodmin, Cornwall, England</w:t>
            </w:r>
          </w:p>
        </w:tc>
        <w:tc>
          <w:tcPr>
            <w:tcW w:w="380" w:type="dxa"/>
            <w:vAlign w:val="bottom"/>
          </w:tcPr>
          <w:p>
            <w:pPr>
              <w:spacing w:after="0"/>
              <w:rPr>
                <w:sz w:val="10"/>
                <w:szCs w:val="10"/>
                <w:color w:val="auto"/>
              </w:rPr>
            </w:pPr>
          </w:p>
        </w:tc>
        <w:tc>
          <w:tcPr>
            <w:tcW w:w="5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0"/>
                <w:szCs w:val="10"/>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8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11.9</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19.2</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6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60" w:type="dxa"/>
            <w:vAlign w:val="bottom"/>
          </w:tcPr>
          <w:p>
            <w:pPr>
              <w:spacing w:after="0"/>
              <w:rPr>
                <w:sz w:val="10"/>
                <w:szCs w:val="10"/>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5"/>
        </w:trPr>
        <w:tc>
          <w:tcPr>
            <w:tcW w:w="1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Cornwall)</w:t>
            </w:r>
          </w:p>
        </w:tc>
        <w:tc>
          <w:tcPr>
            <w:tcW w:w="158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Bowland Fell</w:t>
            </w:r>
          </w:p>
        </w:tc>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Skipton, Yorkshire, England</w:t>
            </w:r>
          </w:p>
        </w:tc>
        <w:tc>
          <w:tcPr>
            <w:tcW w:w="3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11.0</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25.5</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Broadland Sands</w:t>
            </w: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Lowestoft, Suffolk, England</w:t>
            </w:r>
          </w:p>
        </w:tc>
        <w:tc>
          <w:tcPr>
            <w:tcW w:w="380" w:type="dxa"/>
            <w:vAlign w:val="bottom"/>
          </w:tcPr>
          <w:p>
            <w:pPr>
              <w:spacing w:after="0"/>
              <w:rPr>
                <w:sz w:val="14"/>
                <w:szCs w:val="14"/>
                <w:color w:val="auto"/>
              </w:rPr>
            </w:pPr>
          </w:p>
        </w:tc>
        <w:tc>
          <w:tcPr>
            <w:tcW w:w="540" w:type="dxa"/>
            <w:vAlign w:val="bottom"/>
            <w:gridSpan w:val="2"/>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38.2</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40.1</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20.6</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Brynteg</w:t>
            </w:r>
          </w:p>
        </w:tc>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Llanryg, Caernafon, Wales</w:t>
            </w:r>
          </w:p>
        </w:tc>
        <w:tc>
          <w:tcPr>
            <w:tcW w:w="3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26.3</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26.3</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37.4</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19"/>
        </w:trPr>
        <w:tc>
          <w:tcPr>
            <w:tcW w:w="1820" w:type="dxa"/>
            <w:vAlign w:val="bottom"/>
            <w:gridSpan w:val="2"/>
          </w:tcPr>
          <w:p>
            <w:pPr>
              <w:spacing w:after="0" w:line="120" w:lineRule="exact"/>
              <w:rPr>
                <w:sz w:val="20"/>
                <w:szCs w:val="20"/>
                <w:color w:val="auto"/>
              </w:rPr>
            </w:pPr>
            <w:r>
              <w:rPr>
                <w:rFonts w:ascii="Times New Roman" w:cs="Times New Roman" w:eastAsia="Times New Roman" w:hAnsi="Times New Roman"/>
                <w:sz w:val="12"/>
                <w:szCs w:val="12"/>
                <w:color w:val="auto"/>
              </w:rPr>
              <w:t>Burghead / Lossiemouth / Silver</w:t>
            </w:r>
          </w:p>
        </w:tc>
        <w:tc>
          <w:tcPr>
            <w:tcW w:w="1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auto"/>
              </w:rPr>
              <w:t>Burghead, Moray, Scotland</w:t>
            </w:r>
          </w:p>
        </w:tc>
        <w:tc>
          <w:tcPr>
            <w:tcW w:w="380" w:type="dxa"/>
            <w:vAlign w:val="bottom"/>
          </w:tcPr>
          <w:p>
            <w:pPr>
              <w:spacing w:after="0"/>
              <w:rPr>
                <w:sz w:val="10"/>
                <w:szCs w:val="10"/>
                <w:color w:val="auto"/>
              </w:rPr>
            </w:pPr>
          </w:p>
        </w:tc>
        <w:tc>
          <w:tcPr>
            <w:tcW w:w="5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36.2</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0"/>
                <w:szCs w:val="10"/>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85"/>
              </w:rPr>
              <w:t>13.9</w:t>
            </w:r>
          </w:p>
        </w:tc>
        <w:tc>
          <w:tcPr>
            <w:tcW w:w="8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36.2</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22.3</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58.5</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6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60" w:type="dxa"/>
            <w:vAlign w:val="bottom"/>
          </w:tcPr>
          <w:p>
            <w:pPr>
              <w:spacing w:after="0"/>
              <w:rPr>
                <w:sz w:val="10"/>
                <w:szCs w:val="10"/>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5"/>
        </w:trPr>
        <w:tc>
          <w:tcPr>
            <w:tcW w:w="1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Sands</w:t>
            </w:r>
          </w:p>
        </w:tc>
        <w:tc>
          <w:tcPr>
            <w:tcW w:w="158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8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Carlton Meres</w:t>
            </w:r>
          </w:p>
        </w:tc>
        <w:tc>
          <w:tcPr>
            <w:tcW w:w="1580" w:type="dxa"/>
            <w:vAlign w:val="bottom"/>
            <w:gridSpan w:val="2"/>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Saxmundham, Suffolk,</w:t>
            </w:r>
          </w:p>
        </w:tc>
        <w:tc>
          <w:tcPr>
            <w:tcW w:w="38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35.8</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0"/>
                <w:szCs w:val="10"/>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w:t>
            </w:r>
          </w:p>
        </w:tc>
        <w:tc>
          <w:tcPr>
            <w:tcW w:w="8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35.8</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18.8</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54.6</w:t>
            </w: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6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70"/>
        </w:trPr>
        <w:tc>
          <w:tcPr>
            <w:tcW w:w="1820" w:type="dxa"/>
            <w:vAlign w:val="bottom"/>
            <w:gridSpan w:val="2"/>
            <w:vMerge w:val="continue"/>
            <w:shd w:val="clear" w:color="auto" w:fill="CCEEFF"/>
          </w:tcPr>
          <w:p>
            <w:pPr>
              <w:spacing w:after="0"/>
              <w:rPr>
                <w:sz w:val="14"/>
                <w:szCs w:val="14"/>
                <w:color w:val="auto"/>
              </w:rPr>
            </w:pPr>
          </w:p>
        </w:tc>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England</w:t>
            </w:r>
          </w:p>
        </w:tc>
        <w:tc>
          <w:tcPr>
            <w:tcW w:w="38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2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Chantry</w:t>
            </w:r>
            <w:r>
              <w:rPr>
                <w:rFonts w:ascii="Times New Roman" w:cs="Times New Roman" w:eastAsia="Times New Roman" w:hAnsi="Times New Roman"/>
                <w:sz w:val="8"/>
                <w:szCs w:val="8"/>
                <w:color w:val="auto"/>
              </w:rPr>
              <w:t>(1)</w:t>
            </w:r>
          </w:p>
        </w:tc>
        <w:tc>
          <w:tcPr>
            <w:tcW w:w="158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2"/>
                <w:szCs w:val="12"/>
                <w:color w:val="auto"/>
              </w:rPr>
              <w:t>West Witton, Yorkshire,</w:t>
            </w:r>
          </w:p>
        </w:tc>
        <w:tc>
          <w:tcPr>
            <w:tcW w:w="380" w:type="dxa"/>
            <w:vAlign w:val="bottom"/>
          </w:tcPr>
          <w:p>
            <w:pPr>
              <w:spacing w:after="0"/>
              <w:rPr>
                <w:sz w:val="10"/>
                <w:szCs w:val="10"/>
                <w:color w:val="auto"/>
              </w:rPr>
            </w:pPr>
          </w:p>
        </w:tc>
        <w:tc>
          <w:tcPr>
            <w:tcW w:w="5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11.4</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2"/>
                <w:szCs w:val="12"/>
                <w:color w:val="auto"/>
              </w:rPr>
              <w:t xml:space="preserve">(8.0) </w:t>
            </w:r>
            <w:r>
              <w:rPr>
                <w:rFonts w:ascii="Times New Roman" w:cs="Times New Roman" w:eastAsia="Times New Roman" w:hAnsi="Times New Roman"/>
                <w:sz w:val="8"/>
                <w:szCs w:val="8"/>
                <w:color w:val="auto"/>
              </w:rPr>
              <w:t>(1)</w:t>
            </w:r>
          </w:p>
        </w:tc>
        <w:tc>
          <w:tcPr>
            <w:tcW w:w="440" w:type="dxa"/>
            <w:vAlign w:val="bottom"/>
          </w:tcPr>
          <w:p>
            <w:pPr>
              <w:spacing w:after="0"/>
              <w:rPr>
                <w:sz w:val="10"/>
                <w:szCs w:val="10"/>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5"/>
              </w:rPr>
              <w:t>(0.9)</w:t>
            </w:r>
          </w:p>
        </w:tc>
        <w:tc>
          <w:tcPr>
            <w:tcW w:w="8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6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60" w:type="dxa"/>
            <w:vAlign w:val="bottom"/>
          </w:tcPr>
          <w:p>
            <w:pPr>
              <w:spacing w:after="0"/>
              <w:rPr>
                <w:sz w:val="10"/>
                <w:szCs w:val="10"/>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5"/>
        </w:trPr>
        <w:tc>
          <w:tcPr>
            <w:tcW w:w="1820" w:type="dxa"/>
            <w:vAlign w:val="bottom"/>
            <w:gridSpan w:val="2"/>
            <w:vMerge w:val="continue"/>
          </w:tcPr>
          <w:p>
            <w:pPr>
              <w:spacing w:after="0"/>
              <w:rPr>
                <w:sz w:val="14"/>
                <w:szCs w:val="14"/>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England</w:t>
            </w:r>
          </w:p>
        </w:tc>
        <w:tc>
          <w:tcPr>
            <w:tcW w:w="38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Chichester Lakeside</w:t>
            </w:r>
          </w:p>
        </w:tc>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Chichester, Sussex, England</w:t>
            </w:r>
          </w:p>
        </w:tc>
        <w:tc>
          <w:tcPr>
            <w:tcW w:w="3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75.1</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75.1</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17.2</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 - 58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13" w:name="page114"/>
    <w:bookmarkEnd w:id="113"/>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REAL ESTATE AND ACCUMULATED DEPRECIATION, SCHEDULE III</w:t>
      </w:r>
    </w:p>
    <w:p>
      <w:pPr>
        <w:spacing w:after="0" w:line="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DECEMBER 31, 2025</w:t>
      </w:r>
    </w:p>
    <w:p>
      <w:pPr>
        <w:spacing w:after="0" w:line="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(amounts in millions)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gridSpan w:val="4"/>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Costs Capitalized</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Initial Cost to</w:t>
            </w:r>
          </w:p>
        </w:tc>
        <w:tc>
          <w:tcPr>
            <w:tcW w:w="1480" w:type="dxa"/>
            <w:vAlign w:val="bottom"/>
            <w:gridSpan w:val="4"/>
          </w:tcPr>
          <w:p>
            <w:pPr>
              <w:jc w:val="center"/>
              <w:ind w:right="80"/>
              <w:spacing w:after="0" w:line="126" w:lineRule="exact"/>
              <w:rPr>
                <w:sz w:val="20"/>
                <w:szCs w:val="20"/>
                <w:color w:val="auto"/>
              </w:rPr>
            </w:pPr>
            <w:r>
              <w:rPr>
                <w:rFonts w:ascii="Times New Roman" w:cs="Times New Roman" w:eastAsia="Times New Roman" w:hAnsi="Times New Roman"/>
                <w:sz w:val="12"/>
                <w:szCs w:val="12"/>
                <w:b w:val="1"/>
                <w:bCs w:val="1"/>
                <w:color w:val="auto"/>
              </w:rPr>
              <w:t>Subsequent to</w:t>
            </w:r>
          </w:p>
        </w:tc>
        <w:tc>
          <w:tcPr>
            <w:tcW w:w="1760" w:type="dxa"/>
            <w:vAlign w:val="bottom"/>
            <w:gridSpan w:val="5"/>
            <w:vMerge w:val="restart"/>
          </w:tcPr>
          <w:p>
            <w:pPr>
              <w:jc w:val="center"/>
              <w:ind w:left="318"/>
              <w:spacing w:after="0"/>
              <w:rPr>
                <w:sz w:val="20"/>
                <w:szCs w:val="20"/>
                <w:color w:val="auto"/>
              </w:rPr>
            </w:pPr>
            <w:r>
              <w:rPr>
                <w:rFonts w:ascii="Times New Roman" w:cs="Times New Roman" w:eastAsia="Times New Roman" w:hAnsi="Times New Roman"/>
                <w:sz w:val="12"/>
                <w:szCs w:val="12"/>
                <w:b w:val="1"/>
                <w:bCs w:val="1"/>
                <w:color w:val="auto"/>
              </w:rPr>
              <w:t>Gross Amount Carried at</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4"/>
            <w:vMerge w:val="continue"/>
          </w:tcPr>
          <w:p>
            <w:pPr>
              <w:spacing w:after="0"/>
              <w:rPr>
                <w:sz w:val="11"/>
                <w:szCs w:val="11"/>
                <w:color w:val="auto"/>
              </w:rPr>
            </w:pPr>
          </w:p>
        </w:tc>
        <w:tc>
          <w:tcPr>
            <w:tcW w:w="1480" w:type="dxa"/>
            <w:vAlign w:val="bottom"/>
            <w:gridSpan w:val="4"/>
          </w:tcPr>
          <w:p>
            <w:pPr>
              <w:jc w:val="center"/>
              <w:ind w:right="80"/>
              <w:spacing w:after="0" w:line="128" w:lineRule="exact"/>
              <w:rPr>
                <w:sz w:val="20"/>
                <w:szCs w:val="20"/>
                <w:color w:val="auto"/>
              </w:rPr>
            </w:pPr>
            <w:r>
              <w:rPr>
                <w:rFonts w:ascii="Times New Roman" w:cs="Times New Roman" w:eastAsia="Times New Roman" w:hAnsi="Times New Roman"/>
                <w:sz w:val="12"/>
                <w:szCs w:val="12"/>
                <w:b w:val="1"/>
                <w:bCs w:val="1"/>
                <w:color w:val="auto"/>
              </w:rPr>
              <w:t>Acquisition</w:t>
            </w:r>
          </w:p>
        </w:tc>
        <w:tc>
          <w:tcPr>
            <w:tcW w:w="1760" w:type="dxa"/>
            <w:vAlign w:val="bottom"/>
            <w:gridSpan w:val="5"/>
            <w:vMerge w:val="continue"/>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4"/>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Company</w:t>
            </w:r>
          </w:p>
        </w:tc>
        <w:tc>
          <w:tcPr>
            <w:tcW w:w="1480" w:type="dxa"/>
            <w:vAlign w:val="bottom"/>
            <w:gridSpan w:val="4"/>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(Improvements)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w w:val="99"/>
              </w:rPr>
              <w:t>Acquired</w:t>
            </w:r>
          </w:p>
        </w:tc>
        <w:tc>
          <w:tcPr>
            <w:tcW w:w="0" w:type="dxa"/>
            <w:vAlign w:val="bottom"/>
          </w:tcPr>
          <w:p>
            <w:pPr>
              <w:spacing w:after="0"/>
              <w:rPr>
                <w:sz w:val="1"/>
                <w:szCs w:val="1"/>
                <w:color w:val="auto"/>
              </w:rPr>
            </w:pPr>
          </w:p>
        </w:tc>
      </w:tr>
      <w:tr>
        <w:trPr>
          <w:trHeight w:val="126"/>
        </w:trPr>
        <w:tc>
          <w:tcPr>
            <w:tcW w:w="1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Depreciable</w:t>
            </w: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Depreciable</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(A) or</w:t>
            </w:r>
          </w:p>
        </w:tc>
        <w:tc>
          <w:tcPr>
            <w:tcW w:w="0" w:type="dxa"/>
            <w:vAlign w:val="bottom"/>
          </w:tcPr>
          <w:p>
            <w:pPr>
              <w:spacing w:after="0"/>
              <w:rPr>
                <w:sz w:val="1"/>
                <w:szCs w:val="1"/>
                <w:color w:val="auto"/>
              </w:rPr>
            </w:pPr>
          </w:p>
        </w:tc>
      </w:tr>
      <w:tr>
        <w:trPr>
          <w:trHeight w:val="127"/>
        </w:trPr>
        <w:tc>
          <w:tcPr>
            <w:tcW w:w="18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2"/>
                <w:szCs w:val="12"/>
                <w:b w:val="1"/>
                <w:bCs w:val="1"/>
                <w:color w:val="auto"/>
              </w:rPr>
              <w:t>Property Name</w:t>
            </w:r>
          </w:p>
        </w:tc>
        <w:tc>
          <w:tcPr>
            <w:tcW w:w="15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2"/>
                <w:szCs w:val="12"/>
                <w:b w:val="1"/>
                <w:bCs w:val="1"/>
                <w:color w:val="auto"/>
              </w:rPr>
              <w:t>Location</w:t>
            </w: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Encumbrances</w:t>
            </w:r>
          </w:p>
        </w:tc>
        <w:tc>
          <w:tcPr>
            <w:tcW w:w="5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Land</w:t>
            </w:r>
          </w:p>
        </w:tc>
        <w:tc>
          <w:tcPr>
            <w:tcW w:w="760" w:type="dxa"/>
            <w:vAlign w:val="bottom"/>
            <w:gridSpan w:val="2"/>
            <w:vMerge w:val="continue"/>
          </w:tcPr>
          <w:p>
            <w:pPr>
              <w:spacing w:after="0"/>
              <w:rPr>
                <w:sz w:val="11"/>
                <w:szCs w:val="11"/>
                <w:color w:val="auto"/>
              </w:rPr>
            </w:pPr>
          </w:p>
        </w:tc>
        <w:tc>
          <w:tcPr>
            <w:tcW w:w="7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Land</w:t>
            </w:r>
          </w:p>
        </w:tc>
        <w:tc>
          <w:tcPr>
            <w:tcW w:w="780" w:type="dxa"/>
            <w:vAlign w:val="bottom"/>
            <w:gridSpan w:val="2"/>
            <w:vMerge w:val="continue"/>
          </w:tcPr>
          <w:p>
            <w:pPr>
              <w:spacing w:after="0"/>
              <w:rPr>
                <w:sz w:val="11"/>
                <w:szCs w:val="11"/>
                <w:color w:val="auto"/>
              </w:rPr>
            </w:pPr>
          </w:p>
        </w:tc>
        <w:tc>
          <w:tcPr>
            <w:tcW w:w="5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Land</w:t>
            </w:r>
          </w:p>
        </w:tc>
        <w:tc>
          <w:tcPr>
            <w:tcW w:w="120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Depreciable Assets</w:t>
            </w:r>
          </w:p>
        </w:tc>
        <w:tc>
          <w:tcPr>
            <w:tcW w:w="4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800" w:type="dxa"/>
            <w:vAlign w:val="bottom"/>
            <w:gridSpan w:val="2"/>
            <w:vMerge w:val="continue"/>
          </w:tcPr>
          <w:p>
            <w:pPr>
              <w:spacing w:after="0"/>
              <w:rPr>
                <w:sz w:val="11"/>
                <w:szCs w:val="11"/>
                <w:color w:val="auto"/>
              </w:rPr>
            </w:pPr>
          </w:p>
        </w:tc>
        <w:tc>
          <w:tcPr>
            <w:tcW w:w="40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Date</w:t>
            </w:r>
          </w:p>
        </w:tc>
        <w:tc>
          <w:tcPr>
            <w:tcW w:w="72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Constructed</w:t>
            </w:r>
          </w:p>
        </w:tc>
        <w:tc>
          <w:tcPr>
            <w:tcW w:w="0" w:type="dxa"/>
            <w:vAlign w:val="bottom"/>
          </w:tcPr>
          <w:p>
            <w:pPr>
              <w:spacing w:after="0"/>
              <w:rPr>
                <w:sz w:val="1"/>
                <w:szCs w:val="1"/>
                <w:color w:val="auto"/>
              </w:rPr>
            </w:pPr>
          </w:p>
        </w:tc>
      </w:tr>
      <w:tr>
        <w:trPr>
          <w:trHeight w:val="168"/>
        </w:trPr>
        <w:tc>
          <w:tcPr>
            <w:tcW w:w="1840" w:type="dxa"/>
            <w:vAlign w:val="bottom"/>
            <w:gridSpan w:val="2"/>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Assets</w:t>
            </w:r>
          </w:p>
        </w:tc>
        <w:tc>
          <w:tcPr>
            <w:tcW w:w="700" w:type="dxa"/>
            <w:vAlign w:val="bottom"/>
            <w:gridSpan w:val="2"/>
            <w:vMerge w:val="continue"/>
          </w:tcPr>
          <w:p>
            <w:pPr>
              <w:spacing w:after="0"/>
              <w:rPr>
                <w:sz w:val="14"/>
                <w:szCs w:val="14"/>
                <w:color w:val="auto"/>
              </w:rPr>
            </w:pP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Assets</w:t>
            </w:r>
          </w:p>
        </w:tc>
        <w:tc>
          <w:tcPr>
            <w:tcW w:w="560" w:type="dxa"/>
            <w:vAlign w:val="bottom"/>
            <w:gridSpan w:val="2"/>
            <w:vMerge w:val="continue"/>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Depreciation</w:t>
            </w:r>
          </w:p>
        </w:tc>
        <w:tc>
          <w:tcPr>
            <w:tcW w:w="400" w:type="dxa"/>
            <w:vAlign w:val="bottom"/>
            <w:gridSpan w:val="2"/>
            <w:vMerge w:val="continue"/>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(C)</w:t>
            </w:r>
          </w:p>
        </w:tc>
        <w:tc>
          <w:tcPr>
            <w:tcW w:w="0" w:type="dxa"/>
            <w:vAlign w:val="bottom"/>
          </w:tcPr>
          <w:p>
            <w:pPr>
              <w:spacing w:after="0"/>
              <w:rPr>
                <w:sz w:val="1"/>
                <w:szCs w:val="1"/>
                <w:color w:val="auto"/>
              </w:rPr>
            </w:pPr>
          </w:p>
        </w:tc>
      </w:tr>
      <w:tr>
        <w:trPr>
          <w:trHeight w:val="164"/>
        </w:trPr>
        <w:tc>
          <w:tcPr>
            <w:tcW w:w="1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Coghurst Hall</w:t>
            </w:r>
          </w:p>
        </w:tc>
        <w:tc>
          <w:tcPr>
            <w:tcW w:w="60" w:type="dxa"/>
            <w:vAlign w:val="bottom"/>
          </w:tcPr>
          <w:p>
            <w:pPr>
              <w:spacing w:after="0"/>
              <w:rPr>
                <w:sz w:val="14"/>
                <w:szCs w:val="14"/>
                <w:color w:val="auto"/>
              </w:rPr>
            </w:pPr>
          </w:p>
        </w:tc>
        <w:tc>
          <w:tcPr>
            <w:tcW w:w="1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Hastings, Sussex, England</w:t>
            </w:r>
          </w:p>
        </w:tc>
        <w:tc>
          <w:tcPr>
            <w:tcW w:w="80" w:type="dxa"/>
            <w:vAlign w:val="bottom"/>
          </w:tcPr>
          <w:p>
            <w:pPr>
              <w:spacing w:after="0"/>
              <w:rPr>
                <w:sz w:val="14"/>
                <w:szCs w:val="14"/>
                <w:color w:val="auto"/>
              </w:rPr>
            </w:pPr>
          </w:p>
        </w:tc>
        <w:tc>
          <w:tcPr>
            <w:tcW w:w="84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50.0</w:t>
            </w:r>
          </w:p>
        </w:tc>
        <w:tc>
          <w:tcPr>
            <w:tcW w:w="80" w:type="dxa"/>
            <w:vAlign w:val="bottom"/>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60" w:type="dxa"/>
            <w:vAlign w:val="bottom"/>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80" w:type="dxa"/>
            <w:vAlign w:val="bottom"/>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50.0</w:t>
            </w:r>
          </w:p>
        </w:tc>
        <w:tc>
          <w:tcPr>
            <w:tcW w:w="80" w:type="dxa"/>
            <w:vAlign w:val="bottom"/>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9.9</w:t>
            </w: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59.9</w:t>
            </w:r>
          </w:p>
        </w:tc>
        <w:tc>
          <w:tcPr>
            <w:tcW w:w="80" w:type="dxa"/>
            <w:vAlign w:val="bottom"/>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60" w:type="dxa"/>
            <w:vAlign w:val="bottom"/>
          </w:tcPr>
          <w:p>
            <w:pPr>
              <w:spacing w:after="0"/>
              <w:rPr>
                <w:sz w:val="14"/>
                <w:szCs w:val="14"/>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60" w:type="dxa"/>
            <w:vAlign w:val="bottom"/>
          </w:tcPr>
          <w:p>
            <w:pPr>
              <w:spacing w:after="0"/>
              <w:rPr>
                <w:sz w:val="14"/>
                <w:szCs w:val="14"/>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Dawlish Sands</w:t>
            </w:r>
          </w:p>
        </w:tc>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Dawlish, Devon, England</w:t>
            </w:r>
          </w:p>
        </w:tc>
        <w:tc>
          <w:tcPr>
            <w:tcW w:w="9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Dovercourt</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Harwich, Essex, England</w:t>
            </w: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w:t>
            </w:r>
          </w:p>
        </w:tc>
        <w:tc>
          <w:tcPr>
            <w:tcW w:w="6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54.0</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Felixstowe Beach</w:t>
            </w:r>
          </w:p>
        </w:tc>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Felixstowe, Suffolk, England</w:t>
            </w:r>
          </w:p>
        </w:tc>
        <w:tc>
          <w:tcPr>
            <w:tcW w:w="9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25.5</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221"/>
        </w:trPr>
        <w:tc>
          <w:tcPr>
            <w:tcW w:w="1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Glendale</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Wigton, Cumbria, England</w:t>
            </w: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19.0</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w:t>
            </w:r>
          </w:p>
        </w:tc>
        <w:tc>
          <w:tcPr>
            <w:tcW w:w="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19.1</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37.1</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6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22"/>
        </w:trPr>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Golden Sands</w:t>
            </w:r>
          </w:p>
        </w:tc>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Dawlish, Devon, England</w:t>
            </w:r>
          </w:p>
        </w:tc>
        <w:tc>
          <w:tcPr>
            <w:tcW w:w="9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36.3</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36.3</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51.1</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19"/>
        </w:trPr>
        <w:tc>
          <w:tcPr>
            <w:tcW w:w="18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Harts</w:t>
            </w:r>
          </w:p>
        </w:tc>
        <w:tc>
          <w:tcPr>
            <w:tcW w:w="156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2"/>
                <w:szCs w:val="12"/>
                <w:color w:val="auto"/>
              </w:rPr>
              <w:t>Isle of Sheppey, Kent,</w:t>
            </w:r>
          </w:p>
        </w:tc>
        <w:tc>
          <w:tcPr>
            <w:tcW w:w="920" w:type="dxa"/>
            <w:vAlign w:val="bottom"/>
            <w:gridSpan w:val="2"/>
            <w:vMerge w:val="restart"/>
          </w:tcPr>
          <w:p>
            <w:pPr>
              <w:ind w:left="66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30.5</w:t>
            </w:r>
          </w:p>
        </w:tc>
        <w:tc>
          <w:tcPr>
            <w:tcW w:w="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9.3</w:t>
            </w:r>
          </w:p>
        </w:tc>
        <w:tc>
          <w:tcPr>
            <w:tcW w:w="60" w:type="dxa"/>
            <w:vAlign w:val="bottom"/>
          </w:tcPr>
          <w:p>
            <w:pPr>
              <w:spacing w:after="0"/>
              <w:rPr>
                <w:sz w:val="10"/>
                <w:szCs w:val="10"/>
                <w:color w:val="auto"/>
              </w:rPr>
            </w:pPr>
          </w:p>
        </w:tc>
        <w:tc>
          <w:tcPr>
            <w:tcW w:w="7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8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30.5</w:t>
            </w:r>
          </w:p>
        </w:tc>
        <w:tc>
          <w:tcPr>
            <w:tcW w:w="8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12.2</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42.7</w:t>
            </w:r>
          </w:p>
        </w:tc>
        <w:tc>
          <w:tcPr>
            <w:tcW w:w="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6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60" w:type="dxa"/>
            <w:vAlign w:val="bottom"/>
          </w:tcPr>
          <w:p>
            <w:pPr>
              <w:spacing w:after="0"/>
              <w:rPr>
                <w:sz w:val="10"/>
                <w:szCs w:val="10"/>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5"/>
        </w:trPr>
        <w:tc>
          <w:tcPr>
            <w:tcW w:w="1840" w:type="dxa"/>
            <w:vAlign w:val="bottom"/>
            <w:gridSpan w:val="2"/>
            <w:vMerge w:val="continue"/>
          </w:tcPr>
          <w:p>
            <w:pPr>
              <w:spacing w:after="0"/>
              <w:rPr>
                <w:sz w:val="14"/>
                <w:szCs w:val="14"/>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England</w:t>
            </w:r>
          </w:p>
        </w:tc>
        <w:tc>
          <w:tcPr>
            <w:tcW w:w="92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Hedley Wood</w:t>
            </w:r>
          </w:p>
        </w:tc>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Holsworthy, Devon, England</w:t>
            </w:r>
          </w:p>
        </w:tc>
        <w:tc>
          <w:tcPr>
            <w:tcW w:w="9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17.0</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74"/>
        </w:trPr>
        <w:tc>
          <w:tcPr>
            <w:tcW w:w="1840" w:type="dxa"/>
            <w:vAlign w:val="bottom"/>
            <w:gridSpan w:val="2"/>
          </w:tcPr>
          <w:p>
            <w:pPr>
              <w:spacing w:after="0" w:line="174" w:lineRule="exact"/>
              <w:rPr>
                <w:sz w:val="20"/>
                <w:szCs w:val="20"/>
                <w:color w:val="auto"/>
              </w:rPr>
            </w:pPr>
            <w:r>
              <w:rPr>
                <w:rFonts w:ascii="Times New Roman" w:cs="Times New Roman" w:eastAsia="Times New Roman" w:hAnsi="Times New Roman"/>
                <w:sz w:val="12"/>
                <w:szCs w:val="12"/>
                <w:color w:val="auto"/>
              </w:rPr>
              <w:t>Hengar Manor</w:t>
            </w:r>
            <w:r>
              <w:rPr>
                <w:rFonts w:ascii="Times New Roman" w:cs="Times New Roman" w:eastAsia="Times New Roman" w:hAnsi="Times New Roman"/>
                <w:sz w:val="16"/>
                <w:szCs w:val="16"/>
                <w:color w:val="auto"/>
                <w:vertAlign w:val="superscript"/>
              </w:rPr>
              <w:t>(1)</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Bodmin, Cornwall, England</w:t>
            </w: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6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 xml:space="preserve">(6.4) </w:t>
            </w:r>
            <w:r>
              <w:rPr>
                <w:rFonts w:ascii="Times New Roman" w:cs="Times New Roman" w:eastAsia="Times New Roman" w:hAnsi="Times New Roman"/>
                <w:sz w:val="8"/>
                <w:szCs w:val="8"/>
                <w:color w:val="auto"/>
              </w:rPr>
              <w:t>(1)</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19"/>
        </w:trPr>
        <w:tc>
          <w:tcPr>
            <w:tcW w:w="18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Malvern View</w:t>
            </w:r>
          </w:p>
        </w:tc>
        <w:tc>
          <w:tcPr>
            <w:tcW w:w="1560" w:type="dxa"/>
            <w:vAlign w:val="bottom"/>
            <w:gridSpan w:val="2"/>
            <w:shd w:val="clear" w:color="auto" w:fill="CCEEFF"/>
          </w:tcPr>
          <w:p>
            <w:pPr>
              <w:ind w:left="20"/>
              <w:spacing w:after="0" w:line="120" w:lineRule="exact"/>
              <w:rPr>
                <w:sz w:val="20"/>
                <w:szCs w:val="20"/>
                <w:color w:val="auto"/>
              </w:rPr>
            </w:pPr>
            <w:r>
              <w:rPr>
                <w:rFonts w:ascii="Times New Roman" w:cs="Times New Roman" w:eastAsia="Times New Roman" w:hAnsi="Times New Roman"/>
                <w:sz w:val="12"/>
                <w:szCs w:val="12"/>
                <w:color w:val="auto"/>
              </w:rPr>
              <w:t>Stanford Bishop, Worcester,</w:t>
            </w:r>
          </w:p>
        </w:tc>
        <w:tc>
          <w:tcPr>
            <w:tcW w:w="92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w:t>
            </w:r>
          </w:p>
        </w:tc>
        <w:tc>
          <w:tcPr>
            <w:tcW w:w="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w:t>
            </w:r>
          </w:p>
        </w:tc>
        <w:tc>
          <w:tcPr>
            <w:tcW w:w="6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8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w:t>
            </w:r>
          </w:p>
        </w:tc>
        <w:tc>
          <w:tcPr>
            <w:tcW w:w="8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33.2</w:t>
            </w:r>
          </w:p>
        </w:tc>
        <w:tc>
          <w:tcPr>
            <w:tcW w:w="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6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70"/>
        </w:trPr>
        <w:tc>
          <w:tcPr>
            <w:tcW w:w="1840" w:type="dxa"/>
            <w:vAlign w:val="bottom"/>
            <w:gridSpan w:val="2"/>
            <w:vMerge w:val="continue"/>
            <w:shd w:val="clear" w:color="auto" w:fill="CCEEFF"/>
          </w:tcPr>
          <w:p>
            <w:pPr>
              <w:spacing w:after="0"/>
              <w:rPr>
                <w:sz w:val="14"/>
                <w:szCs w:val="14"/>
                <w:color w:val="auto"/>
              </w:rPr>
            </w:pPr>
          </w:p>
        </w:tc>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England</w:t>
            </w:r>
          </w:p>
        </w:tc>
        <w:tc>
          <w:tcPr>
            <w:tcW w:w="920" w:type="dxa"/>
            <w:vAlign w:val="bottom"/>
            <w:gridSpan w:val="2"/>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Marlie</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Romney, Kent, England</w:t>
            </w: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43.2</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w:t>
            </w:r>
          </w:p>
        </w:tc>
        <w:tc>
          <w:tcPr>
            <w:tcW w:w="6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43.2</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54.5</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New Beach</w:t>
            </w:r>
          </w:p>
        </w:tc>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Dymchurch, Kent, England</w:t>
            </w:r>
          </w:p>
        </w:tc>
        <w:tc>
          <w:tcPr>
            <w:tcW w:w="9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55.5</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55.5</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16.2</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71.7</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19"/>
        </w:trPr>
        <w:tc>
          <w:tcPr>
            <w:tcW w:w="18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Oaklands</w:t>
            </w:r>
          </w:p>
        </w:tc>
        <w:tc>
          <w:tcPr>
            <w:tcW w:w="156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2"/>
                <w:szCs w:val="12"/>
                <w:color w:val="auto"/>
              </w:rPr>
              <w:t>Clacton on Sea, Essex,</w:t>
            </w:r>
          </w:p>
        </w:tc>
        <w:tc>
          <w:tcPr>
            <w:tcW w:w="920" w:type="dxa"/>
            <w:vAlign w:val="bottom"/>
            <w:gridSpan w:val="2"/>
            <w:vMerge w:val="restart"/>
          </w:tcPr>
          <w:p>
            <w:pPr>
              <w:ind w:left="66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21.5</w:t>
            </w:r>
          </w:p>
        </w:tc>
        <w:tc>
          <w:tcPr>
            <w:tcW w:w="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60" w:type="dxa"/>
            <w:vAlign w:val="bottom"/>
          </w:tcPr>
          <w:p>
            <w:pPr>
              <w:spacing w:after="0"/>
              <w:rPr>
                <w:sz w:val="10"/>
                <w:szCs w:val="10"/>
                <w:color w:val="auto"/>
              </w:rPr>
            </w:pPr>
          </w:p>
        </w:tc>
        <w:tc>
          <w:tcPr>
            <w:tcW w:w="7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8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21.5</w:t>
            </w:r>
          </w:p>
        </w:tc>
        <w:tc>
          <w:tcPr>
            <w:tcW w:w="8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26.1</w:t>
            </w:r>
          </w:p>
        </w:tc>
        <w:tc>
          <w:tcPr>
            <w:tcW w:w="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6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60" w:type="dxa"/>
            <w:vAlign w:val="bottom"/>
          </w:tcPr>
          <w:p>
            <w:pPr>
              <w:spacing w:after="0"/>
              <w:rPr>
                <w:sz w:val="10"/>
                <w:szCs w:val="10"/>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5"/>
        </w:trPr>
        <w:tc>
          <w:tcPr>
            <w:tcW w:w="1840" w:type="dxa"/>
            <w:vAlign w:val="bottom"/>
            <w:gridSpan w:val="2"/>
            <w:vMerge w:val="continue"/>
          </w:tcPr>
          <w:p>
            <w:pPr>
              <w:spacing w:after="0"/>
              <w:rPr>
                <w:sz w:val="14"/>
                <w:szCs w:val="14"/>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England</w:t>
            </w:r>
          </w:p>
        </w:tc>
        <w:tc>
          <w:tcPr>
            <w:tcW w:w="92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840" w:type="dxa"/>
            <w:vAlign w:val="bottom"/>
            <w:gridSpan w:val="2"/>
            <w:shd w:val="clear" w:color="auto" w:fill="CCEEFF"/>
          </w:tcPr>
          <w:p>
            <w:pPr>
              <w:spacing w:after="0" w:line="179" w:lineRule="exact"/>
              <w:rPr>
                <w:sz w:val="20"/>
                <w:szCs w:val="20"/>
                <w:color w:val="auto"/>
              </w:rPr>
            </w:pPr>
            <w:r>
              <w:rPr>
                <w:rFonts w:ascii="Times New Roman" w:cs="Times New Roman" w:eastAsia="Times New Roman" w:hAnsi="Times New Roman"/>
                <w:sz w:val="12"/>
                <w:szCs w:val="12"/>
                <w:color w:val="auto"/>
              </w:rPr>
              <w:t>Old Kerrow</w:t>
            </w:r>
            <w:r>
              <w:rPr>
                <w:rFonts w:ascii="Times New Roman" w:cs="Times New Roman" w:eastAsia="Times New Roman" w:hAnsi="Times New Roman"/>
                <w:sz w:val="16"/>
                <w:szCs w:val="16"/>
                <w:color w:val="auto"/>
                <w:vertAlign w:val="superscript"/>
              </w:rPr>
              <w:t>(1)(2)(4)</w:t>
            </w:r>
          </w:p>
        </w:tc>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Llfracombe, Devon, England</w:t>
            </w:r>
          </w:p>
        </w:tc>
        <w:tc>
          <w:tcPr>
            <w:tcW w:w="9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28.0</w:t>
            </w: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(27.7)</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2023</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Oyster Bay</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Truro, Cornwall, England</w:t>
            </w: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6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24.2</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Pakefield</w:t>
            </w:r>
          </w:p>
        </w:tc>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Pakefield, Suffolk, England</w:t>
            </w:r>
          </w:p>
        </w:tc>
        <w:tc>
          <w:tcPr>
            <w:tcW w:w="9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24.2</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37.2</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7"/>
        </w:trPr>
        <w:tc>
          <w:tcPr>
            <w:tcW w:w="1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Pentire</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Bude, Cornwall, England</w:t>
            </w: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18.1</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6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18.1</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24.7</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26"/>
        </w:trPr>
        <w:tc>
          <w:tcPr>
            <w:tcW w:w="18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Pevensey Bay</w:t>
            </w:r>
          </w:p>
        </w:tc>
        <w:tc>
          <w:tcPr>
            <w:tcW w:w="156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2"/>
                <w:szCs w:val="12"/>
                <w:color w:val="auto"/>
              </w:rPr>
              <w:t>Pevensey Bay, Sussex,</w:t>
            </w:r>
          </w:p>
        </w:tc>
        <w:tc>
          <w:tcPr>
            <w:tcW w:w="92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46.5</w:t>
            </w:r>
          </w:p>
        </w:tc>
        <w:tc>
          <w:tcPr>
            <w:tcW w:w="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6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8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46.5</w:t>
            </w:r>
          </w:p>
        </w:tc>
        <w:tc>
          <w:tcPr>
            <w:tcW w:w="8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59.6</w:t>
            </w:r>
          </w:p>
        </w:tc>
        <w:tc>
          <w:tcPr>
            <w:tcW w:w="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6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70"/>
        </w:trPr>
        <w:tc>
          <w:tcPr>
            <w:tcW w:w="1840" w:type="dxa"/>
            <w:vAlign w:val="bottom"/>
            <w:gridSpan w:val="2"/>
            <w:vMerge w:val="continue"/>
            <w:shd w:val="clear" w:color="auto" w:fill="CCEEFF"/>
          </w:tcPr>
          <w:p>
            <w:pPr>
              <w:spacing w:after="0"/>
              <w:rPr>
                <w:sz w:val="14"/>
                <w:szCs w:val="14"/>
                <w:color w:val="auto"/>
              </w:rPr>
            </w:pPr>
          </w:p>
        </w:tc>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England</w:t>
            </w:r>
          </w:p>
        </w:tc>
        <w:tc>
          <w:tcPr>
            <w:tcW w:w="920" w:type="dxa"/>
            <w:vAlign w:val="bottom"/>
            <w:gridSpan w:val="2"/>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Plas Coch</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Llanedwen, Anglesey, Wales</w:t>
            </w: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32.5</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w:t>
            </w:r>
          </w:p>
        </w:tc>
        <w:tc>
          <w:tcPr>
            <w:tcW w:w="6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32.5</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45.9</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26"/>
        </w:trPr>
        <w:tc>
          <w:tcPr>
            <w:tcW w:w="18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Ribble Valley</w:t>
            </w:r>
          </w:p>
        </w:tc>
        <w:tc>
          <w:tcPr>
            <w:tcW w:w="156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2"/>
                <w:szCs w:val="12"/>
                <w:color w:val="auto"/>
              </w:rPr>
              <w:t>Clitheroe, Lancashire,</w:t>
            </w:r>
          </w:p>
        </w:tc>
        <w:tc>
          <w:tcPr>
            <w:tcW w:w="92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26.9</w:t>
            </w:r>
          </w:p>
        </w:tc>
        <w:tc>
          <w:tcPr>
            <w:tcW w:w="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6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8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26.9</w:t>
            </w:r>
          </w:p>
        </w:tc>
        <w:tc>
          <w:tcPr>
            <w:tcW w:w="8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30.6</w:t>
            </w:r>
          </w:p>
        </w:tc>
        <w:tc>
          <w:tcPr>
            <w:tcW w:w="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6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70"/>
        </w:trPr>
        <w:tc>
          <w:tcPr>
            <w:tcW w:w="1840" w:type="dxa"/>
            <w:vAlign w:val="bottom"/>
            <w:gridSpan w:val="2"/>
            <w:vMerge w:val="continue"/>
            <w:shd w:val="clear" w:color="auto" w:fill="CCEEFF"/>
          </w:tcPr>
          <w:p>
            <w:pPr>
              <w:spacing w:after="0"/>
              <w:rPr>
                <w:sz w:val="14"/>
                <w:szCs w:val="14"/>
                <w:color w:val="auto"/>
              </w:rPr>
            </w:pPr>
          </w:p>
        </w:tc>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England</w:t>
            </w:r>
          </w:p>
        </w:tc>
        <w:tc>
          <w:tcPr>
            <w:tcW w:w="920" w:type="dxa"/>
            <w:vAlign w:val="bottom"/>
            <w:gridSpan w:val="2"/>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Rye Harbour</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Rye, Sussex, England</w:t>
            </w: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34.5</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6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34.5</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45.1</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Sand le Mere</w:t>
            </w:r>
          </w:p>
        </w:tc>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Hull, Yorkshire, England</w:t>
            </w:r>
          </w:p>
        </w:tc>
        <w:tc>
          <w:tcPr>
            <w:tcW w:w="9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26.5</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26.5</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45.7</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19"/>
        </w:trPr>
        <w:tc>
          <w:tcPr>
            <w:tcW w:w="18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Sandhills</w:t>
            </w:r>
          </w:p>
        </w:tc>
        <w:tc>
          <w:tcPr>
            <w:tcW w:w="156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2"/>
                <w:szCs w:val="12"/>
                <w:color w:val="auto"/>
              </w:rPr>
              <w:t>Christchurch, Dorset,</w:t>
            </w:r>
          </w:p>
        </w:tc>
        <w:tc>
          <w:tcPr>
            <w:tcW w:w="920" w:type="dxa"/>
            <w:vAlign w:val="bottom"/>
            <w:gridSpan w:val="2"/>
            <w:vMerge w:val="restart"/>
          </w:tcPr>
          <w:p>
            <w:pPr>
              <w:ind w:left="66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38.2</w:t>
            </w:r>
          </w:p>
        </w:tc>
        <w:tc>
          <w:tcPr>
            <w:tcW w:w="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60" w:type="dxa"/>
            <w:vAlign w:val="bottom"/>
          </w:tcPr>
          <w:p>
            <w:pPr>
              <w:spacing w:after="0"/>
              <w:rPr>
                <w:sz w:val="10"/>
                <w:szCs w:val="10"/>
                <w:color w:val="auto"/>
              </w:rPr>
            </w:pPr>
          </w:p>
        </w:tc>
        <w:tc>
          <w:tcPr>
            <w:tcW w:w="7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8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38.2</w:t>
            </w:r>
          </w:p>
        </w:tc>
        <w:tc>
          <w:tcPr>
            <w:tcW w:w="8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41.7</w:t>
            </w:r>
          </w:p>
        </w:tc>
        <w:tc>
          <w:tcPr>
            <w:tcW w:w="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6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60" w:type="dxa"/>
            <w:vAlign w:val="bottom"/>
          </w:tcPr>
          <w:p>
            <w:pPr>
              <w:spacing w:after="0"/>
              <w:rPr>
                <w:sz w:val="10"/>
                <w:szCs w:val="10"/>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5"/>
        </w:trPr>
        <w:tc>
          <w:tcPr>
            <w:tcW w:w="1840" w:type="dxa"/>
            <w:vAlign w:val="bottom"/>
            <w:gridSpan w:val="2"/>
            <w:vMerge w:val="continue"/>
          </w:tcPr>
          <w:p>
            <w:pPr>
              <w:spacing w:after="0"/>
              <w:rPr>
                <w:sz w:val="14"/>
                <w:szCs w:val="14"/>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England</w:t>
            </w:r>
          </w:p>
        </w:tc>
        <w:tc>
          <w:tcPr>
            <w:tcW w:w="92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8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Sandy Bay</w:t>
            </w:r>
          </w:p>
        </w:tc>
        <w:tc>
          <w:tcPr>
            <w:tcW w:w="1560" w:type="dxa"/>
            <w:vAlign w:val="bottom"/>
            <w:gridSpan w:val="2"/>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Canvey Island, Essex,</w:t>
            </w:r>
          </w:p>
        </w:tc>
        <w:tc>
          <w:tcPr>
            <w:tcW w:w="92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235.7</w:t>
            </w:r>
          </w:p>
        </w:tc>
        <w:tc>
          <w:tcPr>
            <w:tcW w:w="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w:t>
            </w:r>
          </w:p>
        </w:tc>
        <w:tc>
          <w:tcPr>
            <w:tcW w:w="6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w:t>
            </w:r>
          </w:p>
        </w:tc>
        <w:tc>
          <w:tcPr>
            <w:tcW w:w="20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22.9</w:t>
            </w:r>
          </w:p>
        </w:tc>
        <w:tc>
          <w:tcPr>
            <w:tcW w:w="8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248.1</w:t>
            </w:r>
          </w:p>
        </w:tc>
        <w:tc>
          <w:tcPr>
            <w:tcW w:w="8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35.2</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283.3</w:t>
            </w:r>
          </w:p>
        </w:tc>
        <w:tc>
          <w:tcPr>
            <w:tcW w:w="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6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70"/>
        </w:trPr>
        <w:tc>
          <w:tcPr>
            <w:tcW w:w="1840" w:type="dxa"/>
            <w:vAlign w:val="bottom"/>
            <w:gridSpan w:val="2"/>
            <w:vMerge w:val="continue"/>
            <w:shd w:val="clear" w:color="auto" w:fill="CCEEFF"/>
          </w:tcPr>
          <w:p>
            <w:pPr>
              <w:spacing w:after="0"/>
              <w:rPr>
                <w:sz w:val="14"/>
                <w:szCs w:val="14"/>
                <w:color w:val="auto"/>
              </w:rPr>
            </w:pPr>
          </w:p>
        </w:tc>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England</w:t>
            </w:r>
          </w:p>
        </w:tc>
        <w:tc>
          <w:tcPr>
            <w:tcW w:w="920" w:type="dxa"/>
            <w:vAlign w:val="bottom"/>
            <w:gridSpan w:val="2"/>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Seaview</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Whitstable, Kent, England</w:t>
            </w: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57.1</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6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57.1</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64.1</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26"/>
        </w:trPr>
        <w:tc>
          <w:tcPr>
            <w:tcW w:w="18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Seawick</w:t>
            </w:r>
          </w:p>
        </w:tc>
        <w:tc>
          <w:tcPr>
            <w:tcW w:w="156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2"/>
                <w:szCs w:val="12"/>
                <w:color w:val="auto"/>
              </w:rPr>
              <w:t>Clacton on Sea, Essex,</w:t>
            </w:r>
          </w:p>
        </w:tc>
        <w:tc>
          <w:tcPr>
            <w:tcW w:w="92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31.4</w:t>
            </w:r>
          </w:p>
        </w:tc>
        <w:tc>
          <w:tcPr>
            <w:tcW w:w="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w:t>
            </w:r>
          </w:p>
        </w:tc>
        <w:tc>
          <w:tcPr>
            <w:tcW w:w="6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8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31.4</w:t>
            </w:r>
          </w:p>
        </w:tc>
        <w:tc>
          <w:tcPr>
            <w:tcW w:w="8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43.5</w:t>
            </w:r>
          </w:p>
        </w:tc>
        <w:tc>
          <w:tcPr>
            <w:tcW w:w="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6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70"/>
        </w:trPr>
        <w:tc>
          <w:tcPr>
            <w:tcW w:w="1840" w:type="dxa"/>
            <w:vAlign w:val="bottom"/>
            <w:gridSpan w:val="2"/>
            <w:vMerge w:val="continue"/>
            <w:shd w:val="clear" w:color="auto" w:fill="CCEEFF"/>
          </w:tcPr>
          <w:p>
            <w:pPr>
              <w:spacing w:after="0"/>
              <w:rPr>
                <w:sz w:val="14"/>
                <w:szCs w:val="14"/>
                <w:color w:val="auto"/>
              </w:rPr>
            </w:pPr>
          </w:p>
        </w:tc>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England</w:t>
            </w:r>
          </w:p>
        </w:tc>
        <w:tc>
          <w:tcPr>
            <w:tcW w:w="920" w:type="dxa"/>
            <w:vAlign w:val="bottom"/>
            <w:gridSpan w:val="2"/>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Solent Breezes</w:t>
            </w:r>
          </w:p>
        </w:tc>
        <w:tc>
          <w:tcPr>
            <w:tcW w:w="156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2"/>
                <w:szCs w:val="12"/>
                <w:color w:val="auto"/>
              </w:rPr>
              <w:t>Fareham, Hampshire,</w:t>
            </w:r>
          </w:p>
        </w:tc>
        <w:tc>
          <w:tcPr>
            <w:tcW w:w="920" w:type="dxa"/>
            <w:vAlign w:val="bottom"/>
            <w:gridSpan w:val="2"/>
            <w:vMerge w:val="restart"/>
          </w:tcPr>
          <w:p>
            <w:pPr>
              <w:ind w:left="66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32.1</w:t>
            </w:r>
          </w:p>
        </w:tc>
        <w:tc>
          <w:tcPr>
            <w:tcW w:w="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60" w:type="dxa"/>
            <w:vAlign w:val="bottom"/>
          </w:tcPr>
          <w:p>
            <w:pPr>
              <w:spacing w:after="0"/>
              <w:rPr>
                <w:sz w:val="10"/>
                <w:szCs w:val="10"/>
                <w:color w:val="auto"/>
              </w:rPr>
            </w:pPr>
          </w:p>
        </w:tc>
        <w:tc>
          <w:tcPr>
            <w:tcW w:w="7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8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32.1</w:t>
            </w:r>
          </w:p>
        </w:tc>
        <w:tc>
          <w:tcPr>
            <w:tcW w:w="8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37.8</w:t>
            </w:r>
          </w:p>
        </w:tc>
        <w:tc>
          <w:tcPr>
            <w:tcW w:w="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6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60" w:type="dxa"/>
            <w:vAlign w:val="bottom"/>
          </w:tcPr>
          <w:p>
            <w:pPr>
              <w:spacing w:after="0"/>
              <w:rPr>
                <w:sz w:val="10"/>
                <w:szCs w:val="10"/>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5"/>
        </w:trPr>
        <w:tc>
          <w:tcPr>
            <w:tcW w:w="1840" w:type="dxa"/>
            <w:vAlign w:val="bottom"/>
            <w:gridSpan w:val="2"/>
            <w:vMerge w:val="continue"/>
          </w:tcPr>
          <w:p>
            <w:pPr>
              <w:spacing w:after="0"/>
              <w:rPr>
                <w:sz w:val="14"/>
                <w:szCs w:val="14"/>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England</w:t>
            </w:r>
          </w:p>
        </w:tc>
        <w:tc>
          <w:tcPr>
            <w:tcW w:w="92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8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St. Osyth Beach / Martello Beach</w:t>
            </w:r>
          </w:p>
        </w:tc>
        <w:tc>
          <w:tcPr>
            <w:tcW w:w="1560" w:type="dxa"/>
            <w:vAlign w:val="bottom"/>
            <w:gridSpan w:val="2"/>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Clacton on Sea, Essex,</w:t>
            </w:r>
          </w:p>
        </w:tc>
        <w:tc>
          <w:tcPr>
            <w:tcW w:w="92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55.7</w:t>
            </w:r>
          </w:p>
        </w:tc>
        <w:tc>
          <w:tcPr>
            <w:tcW w:w="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w:t>
            </w:r>
          </w:p>
        </w:tc>
        <w:tc>
          <w:tcPr>
            <w:tcW w:w="6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18.3</w:t>
            </w:r>
          </w:p>
        </w:tc>
        <w:tc>
          <w:tcPr>
            <w:tcW w:w="8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55.7</w:t>
            </w:r>
          </w:p>
        </w:tc>
        <w:tc>
          <w:tcPr>
            <w:tcW w:w="8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33.1</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88.8</w:t>
            </w:r>
          </w:p>
        </w:tc>
        <w:tc>
          <w:tcPr>
            <w:tcW w:w="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6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70"/>
        </w:trPr>
        <w:tc>
          <w:tcPr>
            <w:tcW w:w="1840" w:type="dxa"/>
            <w:vAlign w:val="bottom"/>
            <w:gridSpan w:val="2"/>
            <w:vMerge w:val="continue"/>
            <w:shd w:val="clear" w:color="auto" w:fill="CCEEFF"/>
          </w:tcPr>
          <w:p>
            <w:pPr>
              <w:spacing w:after="0"/>
              <w:rPr>
                <w:sz w:val="14"/>
                <w:szCs w:val="14"/>
                <w:color w:val="auto"/>
              </w:rPr>
            </w:pPr>
          </w:p>
        </w:tc>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England</w:t>
            </w:r>
          </w:p>
        </w:tc>
        <w:tc>
          <w:tcPr>
            <w:tcW w:w="920" w:type="dxa"/>
            <w:vAlign w:val="bottom"/>
            <w:gridSpan w:val="2"/>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Steeple Bay</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Sothminster, Essex, England</w:t>
            </w: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6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32.8</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80"/>
        </w:trPr>
        <w:tc>
          <w:tcPr>
            <w:tcW w:w="184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2"/>
                <w:szCs w:val="12"/>
                <w:color w:val="auto"/>
              </w:rPr>
              <w:t>Stowford</w:t>
            </w:r>
            <w:r>
              <w:rPr>
                <w:rFonts w:ascii="Times New Roman" w:cs="Times New Roman" w:eastAsia="Times New Roman" w:hAnsi="Times New Roman"/>
                <w:sz w:val="16"/>
                <w:szCs w:val="16"/>
                <w:color w:val="auto"/>
                <w:vertAlign w:val="superscript"/>
              </w:rPr>
              <w:t>(4)</w:t>
            </w:r>
          </w:p>
        </w:tc>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Llfracombe, Devon, England</w:t>
            </w:r>
          </w:p>
        </w:tc>
        <w:tc>
          <w:tcPr>
            <w:tcW w:w="9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145.4</w:t>
            </w: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151.6</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(107.7)</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151.6</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37.7</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189.3</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2023</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19"/>
        </w:trPr>
        <w:tc>
          <w:tcPr>
            <w:tcW w:w="18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Trevella</w:t>
            </w:r>
            <w:r>
              <w:rPr>
                <w:rFonts w:ascii="Times New Roman" w:cs="Times New Roman" w:eastAsia="Times New Roman" w:hAnsi="Times New Roman"/>
                <w:sz w:val="16"/>
                <w:szCs w:val="16"/>
                <w:color w:val="auto"/>
                <w:vertAlign w:val="superscript"/>
              </w:rPr>
              <w:t>(3)</w:t>
            </w:r>
          </w:p>
        </w:tc>
        <w:tc>
          <w:tcPr>
            <w:tcW w:w="156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2"/>
                <w:szCs w:val="12"/>
                <w:color w:val="auto"/>
              </w:rPr>
              <w:t>Newquay, Cornwall,</w:t>
            </w:r>
          </w:p>
        </w:tc>
        <w:tc>
          <w:tcPr>
            <w:tcW w:w="920" w:type="dxa"/>
            <w:vAlign w:val="bottom"/>
            <w:gridSpan w:val="2"/>
            <w:vMerge w:val="restart"/>
          </w:tcPr>
          <w:p>
            <w:pPr>
              <w:ind w:left="66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9.7</w:t>
            </w:r>
          </w:p>
        </w:tc>
        <w:tc>
          <w:tcPr>
            <w:tcW w:w="60" w:type="dxa"/>
            <w:vAlign w:val="bottom"/>
          </w:tcPr>
          <w:p>
            <w:pPr>
              <w:spacing w:after="0"/>
              <w:rPr>
                <w:sz w:val="10"/>
                <w:szCs w:val="10"/>
                <w:color w:val="auto"/>
              </w:rPr>
            </w:pPr>
          </w:p>
        </w:tc>
        <w:tc>
          <w:tcPr>
            <w:tcW w:w="7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80" w:type="dxa"/>
            <w:vAlign w:val="bottom"/>
          </w:tcPr>
          <w:p>
            <w:pPr>
              <w:spacing w:after="0"/>
              <w:rPr>
                <w:sz w:val="10"/>
                <w:szCs w:val="10"/>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13.5</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13.5</w:t>
            </w:r>
          </w:p>
        </w:tc>
        <w:tc>
          <w:tcPr>
            <w:tcW w:w="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6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60" w:type="dxa"/>
            <w:vAlign w:val="bottom"/>
          </w:tcPr>
          <w:p>
            <w:pPr>
              <w:spacing w:after="0"/>
              <w:rPr>
                <w:sz w:val="10"/>
                <w:szCs w:val="10"/>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70"/>
        </w:trPr>
        <w:tc>
          <w:tcPr>
            <w:tcW w:w="1840" w:type="dxa"/>
            <w:vAlign w:val="bottom"/>
            <w:gridSpan w:val="2"/>
            <w:vMerge w:val="continue"/>
          </w:tcPr>
          <w:p>
            <w:pPr>
              <w:spacing w:after="0"/>
              <w:rPr>
                <w:sz w:val="14"/>
                <w:szCs w:val="14"/>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England</w:t>
            </w:r>
          </w:p>
        </w:tc>
        <w:tc>
          <w:tcPr>
            <w:tcW w:w="92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840" w:type="dxa"/>
            <w:vAlign w:val="bottom"/>
            <w:gridSpan w:val="2"/>
            <w:shd w:val="clear" w:color="auto" w:fill="CCEEFF"/>
          </w:tcPr>
          <w:p>
            <w:pPr>
              <w:spacing w:after="0" w:line="174" w:lineRule="exact"/>
              <w:rPr>
                <w:sz w:val="20"/>
                <w:szCs w:val="20"/>
                <w:color w:val="auto"/>
              </w:rPr>
            </w:pPr>
            <w:r>
              <w:rPr>
                <w:rFonts w:ascii="Times New Roman" w:cs="Times New Roman" w:eastAsia="Times New Roman" w:hAnsi="Times New Roman"/>
                <w:sz w:val="12"/>
                <w:szCs w:val="12"/>
                <w:color w:val="auto"/>
              </w:rPr>
              <w:t>Waterside</w:t>
            </w:r>
            <w:r>
              <w:rPr>
                <w:rFonts w:ascii="Times New Roman" w:cs="Times New Roman" w:eastAsia="Times New Roman" w:hAnsi="Times New Roman"/>
                <w:sz w:val="16"/>
                <w:szCs w:val="16"/>
                <w:color w:val="auto"/>
                <w:vertAlign w:val="superscript"/>
              </w:rPr>
              <w:t>(3)</w:t>
            </w:r>
          </w:p>
        </w:tc>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Paignton, Devon, England</w:t>
            </w:r>
          </w:p>
        </w:tc>
        <w:tc>
          <w:tcPr>
            <w:tcW w:w="9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19"/>
        </w:trPr>
        <w:tc>
          <w:tcPr>
            <w:tcW w:w="18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West Mersea</w:t>
            </w:r>
          </w:p>
        </w:tc>
        <w:tc>
          <w:tcPr>
            <w:tcW w:w="156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2"/>
                <w:szCs w:val="12"/>
                <w:color w:val="auto"/>
              </w:rPr>
              <w:t>West Mersea, Essex,</w:t>
            </w:r>
          </w:p>
        </w:tc>
        <w:tc>
          <w:tcPr>
            <w:tcW w:w="920" w:type="dxa"/>
            <w:vAlign w:val="bottom"/>
            <w:gridSpan w:val="2"/>
            <w:vMerge w:val="restart"/>
          </w:tcPr>
          <w:p>
            <w:pPr>
              <w:ind w:left="66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21.0</w:t>
            </w:r>
          </w:p>
        </w:tc>
        <w:tc>
          <w:tcPr>
            <w:tcW w:w="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60" w:type="dxa"/>
            <w:vAlign w:val="bottom"/>
          </w:tcPr>
          <w:p>
            <w:pPr>
              <w:spacing w:after="0"/>
              <w:rPr>
                <w:sz w:val="10"/>
                <w:szCs w:val="10"/>
                <w:color w:val="auto"/>
              </w:rPr>
            </w:pPr>
          </w:p>
        </w:tc>
        <w:tc>
          <w:tcPr>
            <w:tcW w:w="7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8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21.0</w:t>
            </w:r>
          </w:p>
        </w:tc>
        <w:tc>
          <w:tcPr>
            <w:tcW w:w="8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24.5</w:t>
            </w:r>
          </w:p>
        </w:tc>
        <w:tc>
          <w:tcPr>
            <w:tcW w:w="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6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60" w:type="dxa"/>
            <w:vAlign w:val="bottom"/>
          </w:tcPr>
          <w:p>
            <w:pPr>
              <w:spacing w:after="0"/>
              <w:rPr>
                <w:sz w:val="10"/>
                <w:szCs w:val="10"/>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0"/>
        </w:trPr>
        <w:tc>
          <w:tcPr>
            <w:tcW w:w="1840" w:type="dxa"/>
            <w:vAlign w:val="bottom"/>
            <w:gridSpan w:val="2"/>
            <w:vMerge w:val="continue"/>
          </w:tcPr>
          <w:p>
            <w:pPr>
              <w:spacing w:after="0"/>
              <w:rPr>
                <w:sz w:val="13"/>
                <w:szCs w:val="13"/>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England</w:t>
            </w:r>
          </w:p>
        </w:tc>
        <w:tc>
          <w:tcPr>
            <w:tcW w:w="920" w:type="dxa"/>
            <w:vAlign w:val="bottom"/>
            <w:gridSpan w:val="2"/>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 - 59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121920</wp:posOffset>
            </wp:positionV>
            <wp:extent cx="7177405" cy="400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14" w:name="page115"/>
    <w:bookmarkEnd w:id="114"/>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REAL ESTATE AND ACCUMULATED DEPRECIATION, SCHEDULE III</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DECEMBER 31, 2025</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(amounts in millions)</w:t>
      </w:r>
    </w:p>
    <w:p>
      <w:pPr>
        <w:spacing w:after="0" w:line="200" w:lineRule="exact"/>
        <w:rPr>
          <w:sz w:val="20"/>
          <w:szCs w:val="20"/>
          <w:color w:val="auto"/>
        </w:rPr>
      </w:pPr>
    </w:p>
    <w:p>
      <w:pPr>
        <w:spacing w:after="0" w:line="209"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1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5"/>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Costs Capitalized</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gridSpan w:val="5"/>
            <w:vMerge w:val="restart"/>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Initial Cost to</w:t>
            </w:r>
          </w:p>
        </w:tc>
        <w:tc>
          <w:tcPr>
            <w:tcW w:w="80" w:type="dxa"/>
            <w:vAlign w:val="bottom"/>
          </w:tcPr>
          <w:p>
            <w:pPr>
              <w:spacing w:after="0"/>
              <w:rPr>
                <w:sz w:val="10"/>
                <w:szCs w:val="10"/>
                <w:color w:val="auto"/>
              </w:rPr>
            </w:pPr>
          </w:p>
        </w:tc>
        <w:tc>
          <w:tcPr>
            <w:tcW w:w="1380" w:type="dxa"/>
            <w:vAlign w:val="bottom"/>
            <w:gridSpan w:val="5"/>
          </w:tcPr>
          <w:p>
            <w:pPr>
              <w:jc w:val="center"/>
              <w:ind w:right="160"/>
              <w:spacing w:after="0" w:line="126" w:lineRule="exact"/>
              <w:rPr>
                <w:sz w:val="20"/>
                <w:szCs w:val="20"/>
                <w:color w:val="auto"/>
              </w:rPr>
            </w:pPr>
            <w:r>
              <w:rPr>
                <w:rFonts w:ascii="Times New Roman" w:cs="Times New Roman" w:eastAsia="Times New Roman" w:hAnsi="Times New Roman"/>
                <w:sz w:val="12"/>
                <w:szCs w:val="12"/>
                <w:b w:val="1"/>
                <w:bCs w:val="1"/>
                <w:color w:val="auto"/>
              </w:rPr>
              <w:t>Subsequent to</w:t>
            </w:r>
          </w:p>
        </w:tc>
        <w:tc>
          <w:tcPr>
            <w:tcW w:w="2300" w:type="dxa"/>
            <w:vAlign w:val="bottom"/>
            <w:gridSpan w:val="7"/>
            <w:vMerge w:val="restart"/>
          </w:tcPr>
          <w:p>
            <w:pPr>
              <w:ind w:left="440"/>
              <w:spacing w:after="0"/>
              <w:rPr>
                <w:sz w:val="20"/>
                <w:szCs w:val="20"/>
                <w:color w:val="auto"/>
              </w:rPr>
            </w:pPr>
            <w:r>
              <w:rPr>
                <w:rFonts w:ascii="Times New Roman" w:cs="Times New Roman" w:eastAsia="Times New Roman" w:hAnsi="Times New Roman"/>
                <w:sz w:val="12"/>
                <w:szCs w:val="12"/>
                <w:b w:val="1"/>
                <w:bCs w:val="1"/>
                <w:color w:val="auto"/>
              </w:rPr>
              <w:t>Gross Amount Carried at</w:t>
            </w: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gridSpan w:val="5"/>
            <w:vMerge w:val="continue"/>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gridSpan w:val="5"/>
          </w:tcPr>
          <w:p>
            <w:pPr>
              <w:jc w:val="center"/>
              <w:ind w:right="140"/>
              <w:spacing w:after="0" w:line="128" w:lineRule="exact"/>
              <w:rPr>
                <w:sz w:val="20"/>
                <w:szCs w:val="20"/>
                <w:color w:val="auto"/>
              </w:rPr>
            </w:pPr>
            <w:r>
              <w:rPr>
                <w:rFonts w:ascii="Times New Roman" w:cs="Times New Roman" w:eastAsia="Times New Roman" w:hAnsi="Times New Roman"/>
                <w:sz w:val="12"/>
                <w:szCs w:val="12"/>
                <w:b w:val="1"/>
                <w:bCs w:val="1"/>
                <w:color w:val="auto"/>
              </w:rPr>
              <w:t>Acquisition</w:t>
            </w:r>
          </w:p>
        </w:tc>
        <w:tc>
          <w:tcPr>
            <w:tcW w:w="2300" w:type="dxa"/>
            <w:vAlign w:val="bottom"/>
            <w:gridSpan w:val="7"/>
            <w:vMerge w:val="continue"/>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gridSpan w:val="5"/>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Company</w:t>
            </w:r>
          </w:p>
        </w:tc>
        <w:tc>
          <w:tcPr>
            <w:tcW w:w="80" w:type="dxa"/>
            <w:vAlign w:val="bottom"/>
          </w:tcPr>
          <w:p>
            <w:pPr>
              <w:spacing w:after="0"/>
              <w:rPr>
                <w:sz w:val="14"/>
                <w:szCs w:val="14"/>
                <w:color w:val="auto"/>
              </w:rPr>
            </w:pPr>
          </w:p>
        </w:tc>
        <w:tc>
          <w:tcPr>
            <w:tcW w:w="1380" w:type="dxa"/>
            <w:vAlign w:val="bottom"/>
            <w:gridSpan w:val="5"/>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(Improvements)</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7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w w:val="99"/>
              </w:rPr>
              <w:t>Acquired</w:t>
            </w:r>
          </w:p>
        </w:tc>
        <w:tc>
          <w:tcPr>
            <w:tcW w:w="0" w:type="dxa"/>
            <w:vAlign w:val="bottom"/>
          </w:tcPr>
          <w:p>
            <w:pPr>
              <w:spacing w:after="0"/>
              <w:rPr>
                <w:sz w:val="1"/>
                <w:szCs w:val="1"/>
                <w:color w:val="auto"/>
              </w:rPr>
            </w:pPr>
          </w:p>
        </w:tc>
      </w:tr>
      <w:tr>
        <w:trPr>
          <w:trHeight w:val="126"/>
        </w:trPr>
        <w:tc>
          <w:tcPr>
            <w:tcW w:w="1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3"/>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Depreciable</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gridSpan w:val="3"/>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Depreciable</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(A) or</w:t>
            </w:r>
          </w:p>
        </w:tc>
        <w:tc>
          <w:tcPr>
            <w:tcW w:w="0" w:type="dxa"/>
            <w:vAlign w:val="bottom"/>
          </w:tcPr>
          <w:p>
            <w:pPr>
              <w:spacing w:after="0"/>
              <w:rPr>
                <w:sz w:val="1"/>
                <w:szCs w:val="1"/>
                <w:color w:val="auto"/>
              </w:rPr>
            </w:pPr>
          </w:p>
        </w:tc>
      </w:tr>
      <w:tr>
        <w:trPr>
          <w:trHeight w:val="127"/>
        </w:trPr>
        <w:tc>
          <w:tcPr>
            <w:tcW w:w="1740" w:type="dxa"/>
            <w:vAlign w:val="bottom"/>
            <w:vMerge w:val="restart"/>
          </w:tcPr>
          <w:p>
            <w:pPr>
              <w:ind w:left="460"/>
              <w:spacing w:after="0"/>
              <w:rPr>
                <w:sz w:val="20"/>
                <w:szCs w:val="20"/>
                <w:color w:val="auto"/>
              </w:rPr>
            </w:pPr>
            <w:r>
              <w:rPr>
                <w:rFonts w:ascii="Times New Roman" w:cs="Times New Roman" w:eastAsia="Times New Roman" w:hAnsi="Times New Roman"/>
                <w:sz w:val="12"/>
                <w:szCs w:val="12"/>
                <w:b w:val="1"/>
                <w:bCs w:val="1"/>
                <w:color w:val="auto"/>
              </w:rPr>
              <w:t>Property Name</w:t>
            </w:r>
          </w:p>
        </w:tc>
        <w:tc>
          <w:tcPr>
            <w:tcW w:w="60" w:type="dxa"/>
            <w:vAlign w:val="bottom"/>
            <w:vMerge w:val="restart"/>
          </w:tcPr>
          <w:p>
            <w:pPr>
              <w:spacing w:after="0"/>
              <w:rPr>
                <w:sz w:val="11"/>
                <w:szCs w:val="11"/>
                <w:color w:val="auto"/>
              </w:rPr>
            </w:pPr>
          </w:p>
        </w:tc>
        <w:tc>
          <w:tcPr>
            <w:tcW w:w="1420" w:type="dxa"/>
            <w:vAlign w:val="bottom"/>
            <w:vMerge w:val="restart"/>
          </w:tcPr>
          <w:p>
            <w:pPr>
              <w:ind w:left="480"/>
              <w:spacing w:after="0"/>
              <w:rPr>
                <w:sz w:val="20"/>
                <w:szCs w:val="20"/>
                <w:color w:val="auto"/>
              </w:rPr>
            </w:pPr>
            <w:r>
              <w:rPr>
                <w:rFonts w:ascii="Times New Roman" w:cs="Times New Roman" w:eastAsia="Times New Roman" w:hAnsi="Times New Roman"/>
                <w:sz w:val="12"/>
                <w:szCs w:val="12"/>
                <w:b w:val="1"/>
                <w:bCs w:val="1"/>
                <w:color w:val="auto"/>
              </w:rPr>
              <w:t>Location</w:t>
            </w:r>
          </w:p>
        </w:tc>
        <w:tc>
          <w:tcPr>
            <w:tcW w:w="80" w:type="dxa"/>
            <w:vAlign w:val="bottom"/>
            <w:vMerge w:val="restart"/>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Encumbrances</w:t>
            </w:r>
          </w:p>
        </w:tc>
        <w:tc>
          <w:tcPr>
            <w:tcW w:w="60" w:type="dxa"/>
            <w:vAlign w:val="bottom"/>
            <w:vMerge w:val="restart"/>
          </w:tcPr>
          <w:p>
            <w:pPr>
              <w:spacing w:after="0"/>
              <w:rPr>
                <w:sz w:val="11"/>
                <w:szCs w:val="11"/>
                <w:color w:val="auto"/>
              </w:rPr>
            </w:pPr>
          </w:p>
        </w:tc>
        <w:tc>
          <w:tcPr>
            <w:tcW w:w="540" w:type="dxa"/>
            <w:vAlign w:val="bottom"/>
            <w:vMerge w:val="restart"/>
          </w:tcPr>
          <w:p>
            <w:pPr>
              <w:jc w:val="right"/>
              <w:ind w:right="58"/>
              <w:spacing w:after="0"/>
              <w:rPr>
                <w:sz w:val="20"/>
                <w:szCs w:val="20"/>
                <w:color w:val="auto"/>
              </w:rPr>
            </w:pPr>
            <w:r>
              <w:rPr>
                <w:rFonts w:ascii="Times New Roman" w:cs="Times New Roman" w:eastAsia="Times New Roman" w:hAnsi="Times New Roman"/>
                <w:sz w:val="12"/>
                <w:szCs w:val="12"/>
                <w:b w:val="1"/>
                <w:bCs w:val="1"/>
                <w:color w:val="auto"/>
              </w:rPr>
              <w:t>Land</w:t>
            </w:r>
          </w:p>
        </w:tc>
        <w:tc>
          <w:tcPr>
            <w:tcW w:w="60" w:type="dxa"/>
            <w:vAlign w:val="bottom"/>
            <w:vMerge w:val="restart"/>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vMerge w:val="restart"/>
          </w:tcPr>
          <w:p>
            <w:pPr>
              <w:jc w:val="right"/>
              <w:ind w:right="58"/>
              <w:spacing w:after="0"/>
              <w:rPr>
                <w:sz w:val="20"/>
                <w:szCs w:val="20"/>
                <w:color w:val="auto"/>
              </w:rPr>
            </w:pPr>
            <w:r>
              <w:rPr>
                <w:rFonts w:ascii="Times New Roman" w:cs="Times New Roman" w:eastAsia="Times New Roman" w:hAnsi="Times New Roman"/>
                <w:sz w:val="12"/>
                <w:szCs w:val="12"/>
                <w:b w:val="1"/>
                <w:bCs w:val="1"/>
                <w:color w:val="auto"/>
              </w:rPr>
              <w:t>Land</w:t>
            </w:r>
          </w:p>
        </w:tc>
        <w:tc>
          <w:tcPr>
            <w:tcW w:w="200" w:type="dxa"/>
            <w:vAlign w:val="bottom"/>
            <w:vMerge w:val="restart"/>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540" w:type="dxa"/>
            <w:vAlign w:val="bottom"/>
            <w:vMerge w:val="restart"/>
          </w:tcPr>
          <w:p>
            <w:pPr>
              <w:jc w:val="right"/>
              <w:ind w:right="78"/>
              <w:spacing w:after="0"/>
              <w:rPr>
                <w:sz w:val="20"/>
                <w:szCs w:val="20"/>
                <w:color w:val="auto"/>
              </w:rPr>
            </w:pPr>
            <w:r>
              <w:rPr>
                <w:rFonts w:ascii="Times New Roman" w:cs="Times New Roman" w:eastAsia="Times New Roman" w:hAnsi="Times New Roman"/>
                <w:sz w:val="12"/>
                <w:szCs w:val="12"/>
                <w:b w:val="1"/>
                <w:bCs w:val="1"/>
                <w:color w:val="auto"/>
              </w:rPr>
              <w:t>Land</w:t>
            </w:r>
          </w:p>
        </w:tc>
        <w:tc>
          <w:tcPr>
            <w:tcW w:w="60" w:type="dxa"/>
            <w:vAlign w:val="bottom"/>
            <w:vMerge w:val="restart"/>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Depreciable Assets</w:t>
            </w:r>
          </w:p>
        </w:tc>
        <w:tc>
          <w:tcPr>
            <w:tcW w:w="80" w:type="dxa"/>
            <w:vAlign w:val="bottom"/>
            <w:vMerge w:val="restart"/>
          </w:tcPr>
          <w:p>
            <w:pPr>
              <w:spacing w:after="0"/>
              <w:rPr>
                <w:sz w:val="11"/>
                <w:szCs w:val="11"/>
                <w:color w:val="auto"/>
              </w:rPr>
            </w:pPr>
          </w:p>
        </w:tc>
        <w:tc>
          <w:tcPr>
            <w:tcW w:w="520" w:type="dxa"/>
            <w:vAlign w:val="bottom"/>
            <w:vMerge w:val="restart"/>
          </w:tcPr>
          <w:p>
            <w:pPr>
              <w:jc w:val="right"/>
              <w:ind w:right="58"/>
              <w:spacing w:after="0"/>
              <w:rPr>
                <w:sz w:val="20"/>
                <w:szCs w:val="20"/>
                <w:color w:val="auto"/>
              </w:rPr>
            </w:pPr>
            <w:r>
              <w:rPr>
                <w:rFonts w:ascii="Times New Roman" w:cs="Times New Roman" w:eastAsia="Times New Roman" w:hAnsi="Times New Roman"/>
                <w:sz w:val="12"/>
                <w:szCs w:val="12"/>
                <w:b w:val="1"/>
                <w:bCs w:val="1"/>
                <w:color w:val="auto"/>
              </w:rPr>
              <w:t>Total</w:t>
            </w:r>
          </w:p>
        </w:tc>
        <w:tc>
          <w:tcPr>
            <w:tcW w:w="80" w:type="dxa"/>
            <w:vAlign w:val="bottom"/>
            <w:vMerge w:val="restart"/>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Date</w:t>
            </w:r>
          </w:p>
        </w:tc>
        <w:tc>
          <w:tcPr>
            <w:tcW w:w="60" w:type="dxa"/>
            <w:vAlign w:val="bottom"/>
            <w:vMerge w:val="restart"/>
          </w:tcPr>
          <w:p>
            <w:pPr>
              <w:spacing w:after="0"/>
              <w:rPr>
                <w:sz w:val="11"/>
                <w:szCs w:val="11"/>
                <w:color w:val="auto"/>
              </w:rPr>
            </w:pPr>
          </w:p>
        </w:tc>
        <w:tc>
          <w:tcPr>
            <w:tcW w:w="72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Constructed</w:t>
            </w:r>
          </w:p>
        </w:tc>
        <w:tc>
          <w:tcPr>
            <w:tcW w:w="0" w:type="dxa"/>
            <w:vAlign w:val="bottom"/>
          </w:tcPr>
          <w:p>
            <w:pPr>
              <w:spacing w:after="0"/>
              <w:rPr>
                <w:sz w:val="1"/>
                <w:szCs w:val="1"/>
                <w:color w:val="auto"/>
              </w:rPr>
            </w:pPr>
          </w:p>
        </w:tc>
      </w:tr>
      <w:tr>
        <w:trPr>
          <w:trHeight w:val="168"/>
        </w:trPr>
        <w:tc>
          <w:tcPr>
            <w:tcW w:w="174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14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840" w:type="dxa"/>
            <w:vAlign w:val="bottom"/>
            <w:tcBorders>
              <w:bottom w:val="single" w:sz="8" w:color="auto"/>
            </w:tcBorders>
            <w:gridSpan w:val="2"/>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102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7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Depreciation</w:t>
            </w:r>
          </w:p>
        </w:tc>
        <w:tc>
          <w:tcPr>
            <w:tcW w:w="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(C)</w:t>
            </w:r>
          </w:p>
        </w:tc>
        <w:tc>
          <w:tcPr>
            <w:tcW w:w="0" w:type="dxa"/>
            <w:vAlign w:val="bottom"/>
          </w:tcPr>
          <w:p>
            <w:pPr>
              <w:spacing w:after="0"/>
              <w:rPr>
                <w:sz w:val="1"/>
                <w:szCs w:val="1"/>
                <w:color w:val="auto"/>
              </w:rPr>
            </w:pPr>
          </w:p>
        </w:tc>
      </w:tr>
      <w:tr>
        <w:trPr>
          <w:trHeight w:val="116"/>
        </w:trPr>
        <w:tc>
          <w:tcPr>
            <w:tcW w:w="18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Winchelsea Sands</w:t>
            </w:r>
          </w:p>
        </w:tc>
        <w:tc>
          <w:tcPr>
            <w:tcW w:w="1420" w:type="dxa"/>
            <w:vAlign w:val="bottom"/>
            <w:shd w:val="clear" w:color="auto" w:fill="CCEEFF"/>
          </w:tcPr>
          <w:p>
            <w:pPr>
              <w:ind w:left="20"/>
              <w:spacing w:after="0" w:line="116" w:lineRule="exact"/>
              <w:rPr>
                <w:sz w:val="20"/>
                <w:szCs w:val="20"/>
                <w:color w:val="auto"/>
              </w:rPr>
            </w:pPr>
            <w:r>
              <w:rPr>
                <w:rFonts w:ascii="Times New Roman" w:cs="Times New Roman" w:eastAsia="Times New Roman" w:hAnsi="Times New Roman"/>
                <w:sz w:val="12"/>
                <w:szCs w:val="12"/>
                <w:color w:val="auto"/>
              </w:rPr>
              <w:t>Winchelsea, Sussex,</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16.9</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6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16.9</w:t>
            </w: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w:t>
            </w:r>
          </w:p>
        </w:tc>
        <w:tc>
          <w:tcPr>
            <w:tcW w:w="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26.1</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4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70"/>
        </w:trPr>
        <w:tc>
          <w:tcPr>
            <w:tcW w:w="1800" w:type="dxa"/>
            <w:vAlign w:val="bottom"/>
            <w:gridSpan w:val="2"/>
            <w:vMerge w:val="continue"/>
            <w:shd w:val="clear" w:color="auto" w:fill="CCEEFF"/>
          </w:tcPr>
          <w:p>
            <w:pPr>
              <w:spacing w:after="0"/>
              <w:rPr>
                <w:sz w:val="14"/>
                <w:szCs w:val="14"/>
                <w:color w:val="auto"/>
              </w:rPr>
            </w:pP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England</w:t>
            </w:r>
          </w:p>
        </w:tc>
        <w:tc>
          <w:tcPr>
            <w:tcW w:w="36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Wood Farm</w:t>
            </w:r>
          </w:p>
        </w:tc>
        <w:tc>
          <w:tcPr>
            <w:tcW w:w="150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2"/>
                <w:szCs w:val="12"/>
                <w:color w:val="auto"/>
              </w:rPr>
              <w:t>Charmouth, Dorset,</w:t>
            </w:r>
          </w:p>
        </w:tc>
        <w:tc>
          <w:tcPr>
            <w:tcW w:w="360" w:type="dxa"/>
            <w:vAlign w:val="bottom"/>
          </w:tcPr>
          <w:p>
            <w:pPr>
              <w:spacing w:after="0"/>
              <w:rPr>
                <w:sz w:val="10"/>
                <w:szCs w:val="10"/>
                <w:color w:val="auto"/>
              </w:rPr>
            </w:pPr>
          </w:p>
        </w:tc>
        <w:tc>
          <w:tcPr>
            <w:tcW w:w="5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12.6</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12.6</w:t>
            </w: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8.0</w:t>
            </w:r>
          </w:p>
        </w:tc>
        <w:tc>
          <w:tcPr>
            <w:tcW w:w="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20.6</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60" w:type="dxa"/>
            <w:vAlign w:val="bottom"/>
          </w:tcPr>
          <w:p>
            <w:pPr>
              <w:spacing w:after="0"/>
              <w:rPr>
                <w:sz w:val="10"/>
                <w:szCs w:val="10"/>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65"/>
        </w:trPr>
        <w:tc>
          <w:tcPr>
            <w:tcW w:w="1800" w:type="dxa"/>
            <w:vAlign w:val="bottom"/>
            <w:gridSpan w:val="2"/>
            <w:vMerge w:val="continue"/>
          </w:tcPr>
          <w:p>
            <w:pPr>
              <w:spacing w:after="0"/>
              <w:rPr>
                <w:sz w:val="14"/>
                <w:szCs w:val="14"/>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England</w:t>
            </w:r>
          </w:p>
        </w:tc>
        <w:tc>
          <w:tcPr>
            <w:tcW w:w="36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8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Yorkshire Dales</w:t>
            </w:r>
            <w:r>
              <w:rPr>
                <w:rFonts w:ascii="Times New Roman" w:cs="Times New Roman" w:eastAsia="Times New Roman" w:hAnsi="Times New Roman"/>
                <w:sz w:val="16"/>
                <w:szCs w:val="16"/>
                <w:color w:val="auto"/>
                <w:vertAlign w:val="superscript"/>
              </w:rPr>
              <w:t>(1)</w:t>
            </w:r>
          </w:p>
        </w:tc>
        <w:tc>
          <w:tcPr>
            <w:tcW w:w="1500" w:type="dxa"/>
            <w:vAlign w:val="bottom"/>
            <w:gridSpan w:val="2"/>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Leyburn, Yorkshire,</w:t>
            </w:r>
          </w:p>
        </w:tc>
        <w:tc>
          <w:tcPr>
            <w:tcW w:w="36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 xml:space="preserve">(6.1) </w:t>
            </w:r>
            <w:r>
              <w:rPr>
                <w:rFonts w:ascii="Times New Roman" w:cs="Times New Roman" w:eastAsia="Times New Roman" w:hAnsi="Times New Roman"/>
                <w:sz w:val="8"/>
                <w:szCs w:val="8"/>
                <w:color w:val="auto"/>
              </w:rPr>
              <w:t>(1)</w:t>
            </w:r>
          </w:p>
        </w:tc>
        <w:tc>
          <w:tcPr>
            <w:tcW w:w="12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6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4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w:t>
            </w:r>
          </w:p>
        </w:tc>
        <w:tc>
          <w:tcPr>
            <w:tcW w:w="0" w:type="dxa"/>
            <w:vAlign w:val="bottom"/>
          </w:tcPr>
          <w:p>
            <w:pPr>
              <w:spacing w:after="0"/>
              <w:rPr>
                <w:sz w:val="1"/>
                <w:szCs w:val="1"/>
                <w:color w:val="auto"/>
              </w:rPr>
            </w:pPr>
          </w:p>
        </w:tc>
      </w:tr>
      <w:tr>
        <w:trPr>
          <w:trHeight w:val="170"/>
        </w:trPr>
        <w:tc>
          <w:tcPr>
            <w:tcW w:w="1800" w:type="dxa"/>
            <w:vAlign w:val="bottom"/>
            <w:gridSpan w:val="2"/>
            <w:vMerge w:val="continue"/>
            <w:shd w:val="clear" w:color="auto" w:fill="CCEEFF"/>
          </w:tcPr>
          <w:p>
            <w:pPr>
              <w:spacing w:after="0"/>
              <w:rPr>
                <w:sz w:val="14"/>
                <w:szCs w:val="14"/>
                <w:color w:val="auto"/>
              </w:rPr>
            </w:pP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England</w:t>
            </w:r>
          </w:p>
        </w:tc>
        <w:tc>
          <w:tcPr>
            <w:tcW w:w="36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7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4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$ 1,522.4</w:t>
            </w:r>
          </w:p>
        </w:tc>
        <w:tc>
          <w:tcPr>
            <w:tcW w:w="6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489.5</w:t>
            </w:r>
          </w:p>
        </w:tc>
        <w:tc>
          <w:tcPr>
            <w:tcW w:w="8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149.0</w:t>
            </w:r>
          </w:p>
        </w:tc>
        <w:tc>
          <w:tcPr>
            <w:tcW w:w="2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100.7</w:t>
            </w:r>
          </w:p>
        </w:tc>
        <w:tc>
          <w:tcPr>
            <w:tcW w:w="60" w:type="dxa"/>
            <w:vAlign w:val="bottom"/>
            <w:tcBorders>
              <w:bottom w:val="single" w:sz="8" w:color="CCEEFF"/>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$ 1,671.4</w:t>
            </w:r>
          </w:p>
        </w:tc>
        <w:tc>
          <w:tcPr>
            <w:tcW w:w="60" w:type="dxa"/>
            <w:vAlign w:val="bottom"/>
            <w:tcBorders>
              <w:bottom w:val="single" w:sz="8" w:color="CCEEFF"/>
            </w:tcBorders>
          </w:tcPr>
          <w:p>
            <w:pPr>
              <w:spacing w:after="0"/>
              <w:rPr>
                <w:sz w:val="13"/>
                <w:szCs w:val="13"/>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590.2</w:t>
            </w:r>
          </w:p>
        </w:tc>
        <w:tc>
          <w:tcPr>
            <w:tcW w:w="80" w:type="dxa"/>
            <w:vAlign w:val="bottom"/>
            <w:tcBorders>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$ 2,261.6</w:t>
            </w:r>
          </w:p>
        </w:tc>
        <w:tc>
          <w:tcPr>
            <w:tcW w:w="8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(73.0)</w:t>
            </w:r>
          </w:p>
        </w:tc>
        <w:tc>
          <w:tcPr>
            <w:tcW w:w="6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7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1800" w:type="dxa"/>
            <w:vAlign w:val="bottom"/>
            <w:gridSpan w:val="2"/>
            <w:shd w:val="clear" w:color="auto" w:fill="CCEEFF"/>
          </w:tcPr>
          <w:p>
            <w:pPr>
              <w:spacing w:after="0" w:line="105" w:lineRule="exact"/>
              <w:rPr>
                <w:sz w:val="20"/>
                <w:szCs w:val="20"/>
                <w:color w:val="auto"/>
              </w:rPr>
            </w:pPr>
            <w:r>
              <w:rPr>
                <w:rFonts w:ascii="Times New Roman" w:cs="Times New Roman" w:eastAsia="Times New Roman" w:hAnsi="Times New Roman"/>
                <w:sz w:val="12"/>
                <w:szCs w:val="12"/>
                <w:color w:val="auto"/>
              </w:rPr>
              <w:t>UK Headquarters and</w:t>
            </w:r>
          </w:p>
        </w:tc>
        <w:tc>
          <w:tcPr>
            <w:tcW w:w="15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Sussex, England</w:t>
            </w:r>
          </w:p>
        </w:tc>
        <w:tc>
          <w:tcPr>
            <w:tcW w:w="36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w:t>
            </w: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34.7</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w:t>
            </w: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58.2</w:t>
            </w:r>
          </w:p>
        </w:tc>
        <w:tc>
          <w:tcPr>
            <w:tcW w:w="6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w:t>
            </w: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92.9</w:t>
            </w:r>
          </w:p>
        </w:tc>
        <w:tc>
          <w:tcPr>
            <w:tcW w:w="8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114.2</w:t>
            </w: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w:t>
            </w: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180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2"/>
                <w:szCs w:val="12"/>
                <w:color w:val="auto"/>
              </w:rPr>
              <w:t>Miscellaneous Investments</w:t>
            </w:r>
            <w:r>
              <w:rPr>
                <w:rFonts w:ascii="Times New Roman" w:cs="Times New Roman" w:eastAsia="Times New Roman" w:hAnsi="Times New Roman"/>
                <w:sz w:val="16"/>
                <w:szCs w:val="16"/>
                <w:color w:val="auto"/>
                <w:vertAlign w:val="superscript"/>
              </w:rPr>
              <w:t>(3)(5)</w:t>
            </w:r>
          </w:p>
        </w:tc>
        <w:tc>
          <w:tcPr>
            <w:tcW w:w="1500" w:type="dxa"/>
            <w:vAlign w:val="bottom"/>
            <w:gridSpan w:val="2"/>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$ 1,535.4</w:t>
            </w:r>
          </w:p>
        </w:tc>
        <w:tc>
          <w:tcPr>
            <w:tcW w:w="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524.2</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157.3</w:t>
            </w:r>
          </w:p>
        </w:tc>
        <w:tc>
          <w:tcPr>
            <w:tcW w:w="2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158.9</w:t>
            </w:r>
          </w:p>
        </w:tc>
        <w:tc>
          <w:tcPr>
            <w:tcW w:w="6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$ 1,692.7</w:t>
            </w:r>
          </w:p>
        </w:tc>
        <w:tc>
          <w:tcPr>
            <w:tcW w:w="60" w:type="dxa"/>
            <w:vAlign w:val="bottom"/>
          </w:tcPr>
          <w:p>
            <w:pPr>
              <w:spacing w:after="0"/>
              <w:rPr>
                <w:sz w:val="13"/>
                <w:szCs w:val="13"/>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683.1</w:t>
            </w:r>
          </w:p>
        </w:tc>
        <w:tc>
          <w:tcPr>
            <w:tcW w:w="8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$ 2,375.8</w:t>
            </w:r>
          </w:p>
        </w:tc>
        <w:tc>
          <w:tcPr>
            <w:tcW w:w="8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(92.6)</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1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27" w:hanging="127"/>
        <w:spacing w:after="0"/>
        <w:tabs>
          <w:tab w:leader="none" w:pos="127" w:val="left"/>
        </w:tabs>
        <w:numPr>
          <w:ilvl w:val="0"/>
          <w:numId w:val="6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We recorded asset impairment charges during the year ended December 31, 2025 in association with the specified property. Refer to Note 14, "Fair Value Measurements," for additional information.</w:t>
      </w:r>
    </w:p>
    <w:p>
      <w:pPr>
        <w:spacing w:after="0" w:line="4" w:lineRule="exact"/>
        <w:rPr>
          <w:rFonts w:ascii="Times New Roman" w:cs="Times New Roman" w:eastAsia="Times New Roman" w:hAnsi="Times New Roman"/>
          <w:sz w:val="16"/>
          <w:szCs w:val="16"/>
          <w:color w:val="auto"/>
          <w:vertAlign w:val="superscript"/>
        </w:rPr>
      </w:pPr>
    </w:p>
    <w:p>
      <w:pPr>
        <w:ind w:left="127" w:hanging="127"/>
        <w:spacing w:after="0" w:line="190" w:lineRule="auto"/>
        <w:tabs>
          <w:tab w:leader="none" w:pos="127" w:val="left"/>
        </w:tabs>
        <w:numPr>
          <w:ilvl w:val="0"/>
          <w:numId w:val="6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This property was not included in our community count as of December 31, 2025 as it was not fully developed.</w:t>
      </w:r>
    </w:p>
    <w:p>
      <w:pPr>
        <w:spacing w:after="0" w:line="4" w:lineRule="exact"/>
        <w:rPr>
          <w:rFonts w:ascii="Times New Roman" w:cs="Times New Roman" w:eastAsia="Times New Roman" w:hAnsi="Times New Roman"/>
          <w:sz w:val="16"/>
          <w:szCs w:val="16"/>
          <w:color w:val="auto"/>
          <w:vertAlign w:val="superscript"/>
        </w:rPr>
      </w:pPr>
    </w:p>
    <w:p>
      <w:pPr>
        <w:ind w:left="127" w:hanging="127"/>
        <w:spacing w:after="0" w:line="181" w:lineRule="auto"/>
        <w:tabs>
          <w:tab w:leader="none" w:pos="127" w:val="left"/>
        </w:tabs>
        <w:numPr>
          <w:ilvl w:val="0"/>
          <w:numId w:val="6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All or part of this property is subject to a ground lease.</w:t>
      </w:r>
    </w:p>
    <w:p>
      <w:pPr>
        <w:ind w:left="147" w:right="20" w:hanging="147"/>
        <w:spacing w:after="0" w:line="257" w:lineRule="auto"/>
        <w:tabs>
          <w:tab w:leader="none" w:pos="140" w:val="left"/>
        </w:tabs>
        <w:numPr>
          <w:ilvl w:val="0"/>
          <w:numId w:val="67"/>
        </w:numPr>
        <w:rPr>
          <w:rFonts w:ascii="Times New Roman" w:cs="Times New Roman" w:eastAsia="Times New Roman" w:hAnsi="Times New Roman"/>
          <w:sz w:val="8"/>
          <w:szCs w:val="8"/>
          <w:color w:val="auto"/>
        </w:rPr>
      </w:pPr>
      <w:r>
        <w:rPr>
          <w:rFonts w:ascii="Times New Roman" w:cs="Times New Roman" w:eastAsia="Times New Roman" w:hAnsi="Times New Roman"/>
          <w:sz w:val="12"/>
          <w:szCs w:val="12"/>
          <w:color w:val="auto"/>
        </w:rPr>
        <w:t>These properties were reacquired in exchange for settlement of a related note receivable. Refer to Note 4, "Notes and Other Receivables," for additional information. Unallocated acquisition costs were reclassified between Land and Depreciable Assets as of December 31, 2025.</w:t>
      </w:r>
    </w:p>
    <w:p>
      <w:pPr>
        <w:ind w:left="107" w:hanging="107"/>
        <w:spacing w:after="0"/>
        <w:tabs>
          <w:tab w:leader="none" w:pos="107" w:val="left"/>
        </w:tabs>
        <w:numPr>
          <w:ilvl w:val="0"/>
          <w:numId w:val="67"/>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We classified certain smaller operating properties within this category in an amount not exceeding 5% of the Total Gross Amount Carried at December 31, 2025, in accordance with SEC Regulation S-X, Item 12.</w:t>
      </w:r>
    </w:p>
    <w:p>
      <w:pPr>
        <w:spacing w:after="0" w:line="8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Depreciation of our buildings, improvements, furniture, fixtures and equipment is calculated over the following useful lives, on a straight-line basis:</w:t>
      </w:r>
    </w:p>
    <w:p>
      <w:pPr>
        <w:spacing w:after="0" w:line="105" w:lineRule="exact"/>
        <w:rPr>
          <w:sz w:val="20"/>
          <w:szCs w:val="20"/>
          <w:color w:val="auto"/>
        </w:rPr>
      </w:pPr>
    </w:p>
    <w:p>
      <w:pPr>
        <w:ind w:left="547" w:hanging="270"/>
        <w:spacing w:after="0"/>
        <w:tabs>
          <w:tab w:leader="none" w:pos="547"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Land improvement and buildings: 15 years - 30 years</w:t>
      </w:r>
    </w:p>
    <w:p>
      <w:pPr>
        <w:spacing w:after="0" w:line="26" w:lineRule="exact"/>
        <w:rPr>
          <w:rFonts w:ascii="Times New Roman" w:cs="Times New Roman" w:eastAsia="Times New Roman" w:hAnsi="Times New Roman"/>
          <w:sz w:val="15"/>
          <w:szCs w:val="15"/>
          <w:color w:val="auto"/>
        </w:rPr>
      </w:pPr>
    </w:p>
    <w:p>
      <w:pPr>
        <w:ind w:left="547" w:hanging="270"/>
        <w:spacing w:after="0"/>
        <w:tabs>
          <w:tab w:leader="none" w:pos="547"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Furniture, fixtures, and equipment: 5 years - 30 years</w:t>
      </w:r>
    </w:p>
    <w:p>
      <w:pPr>
        <w:spacing w:after="0" w:line="12" w:lineRule="exact"/>
        <w:rPr>
          <w:rFonts w:ascii="Times New Roman" w:cs="Times New Roman" w:eastAsia="Times New Roman" w:hAnsi="Times New Roman"/>
          <w:sz w:val="15"/>
          <w:szCs w:val="15"/>
          <w:color w:val="auto"/>
        </w:rPr>
      </w:pPr>
    </w:p>
    <w:p>
      <w:pPr>
        <w:ind w:left="547" w:hanging="270"/>
        <w:spacing w:after="0"/>
        <w:tabs>
          <w:tab w:leader="none" w:pos="547"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Dock improvements: 30 years</w:t>
      </w:r>
    </w:p>
    <w:p>
      <w:pPr>
        <w:spacing w:after="0" w:line="12" w:lineRule="exact"/>
        <w:rPr>
          <w:rFonts w:ascii="Times New Roman" w:cs="Times New Roman" w:eastAsia="Times New Roman" w:hAnsi="Times New Roman"/>
          <w:sz w:val="15"/>
          <w:szCs w:val="15"/>
          <w:color w:val="auto"/>
        </w:rPr>
      </w:pPr>
    </w:p>
    <w:p>
      <w:pPr>
        <w:ind w:left="547" w:hanging="270"/>
        <w:spacing w:after="0"/>
        <w:tabs>
          <w:tab w:leader="none" w:pos="547"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Site improvements: 7 years - 30 years</w:t>
      </w:r>
    </w:p>
    <w:p>
      <w:pPr>
        <w:spacing w:after="0" w:line="9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The aggregate cost of total real estate for federal income tax purposes was approximately $7.2 billion as of December 31, 2025.</w:t>
      </w:r>
    </w:p>
    <w:p>
      <w:pPr>
        <w:spacing w:after="0" w:line="10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The change in investment property for the years ended December 31, 2025, 2024, and 2023 is as follows (in millions):</w:t>
      </w:r>
    </w:p>
    <w:p>
      <w:pPr>
        <w:spacing w:after="0" w:line="138" w:lineRule="exact"/>
        <w:rPr>
          <w:sz w:val="20"/>
          <w:szCs w:val="20"/>
          <w:color w:val="auto"/>
        </w:rPr>
      </w:pPr>
    </w:p>
    <w:tbl>
      <w:tblPr>
        <w:tblLayout w:type="fixed"/>
        <w:tblInd w:w="7" w:type="dxa"/>
        <w:tblCellMar>
          <w:top w:w="0" w:type="dxa"/>
          <w:left w:w="0" w:type="dxa"/>
          <w:bottom w:w="0" w:type="dxa"/>
          <w:right w:w="0" w:type="dxa"/>
        </w:tblCellMar>
      </w:tblPr>
      <w:tr>
        <w:trPr>
          <w:trHeight w:val="176"/>
        </w:trPr>
        <w:tc>
          <w:tcPr>
            <w:tcW w:w="7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68"/>
        </w:trPr>
        <w:tc>
          <w:tcPr>
            <w:tcW w:w="73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Beginning balance</w:t>
            </w:r>
          </w:p>
        </w:tc>
        <w:tc>
          <w:tcPr>
            <w:tcW w:w="2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14,093.5</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14,149.8</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13,453.4</w:t>
            </w:r>
          </w:p>
        </w:tc>
      </w:tr>
      <w:tr>
        <w:trPr>
          <w:trHeight w:val="172"/>
        </w:trPr>
        <w:tc>
          <w:tcPr>
            <w:tcW w:w="73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Property and land acquisitions, including immediate improvements</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478.9</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49.7</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182.4</w:t>
            </w:r>
          </w:p>
        </w:tc>
      </w:tr>
      <w:tr>
        <w:trPr>
          <w:trHeight w:val="175"/>
        </w:trPr>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Property expansion and development</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100.6</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123.0</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250.3</w:t>
            </w:r>
          </w:p>
        </w:tc>
      </w:tr>
      <w:tr>
        <w:trPr>
          <w:trHeight w:val="140"/>
        </w:trPr>
        <w:tc>
          <w:tcPr>
            <w:tcW w:w="7320" w:type="dxa"/>
            <w:vAlign w:val="bottom"/>
          </w:tcPr>
          <w:p>
            <w:pPr>
              <w:ind w:left="100"/>
              <w:spacing w:after="0" w:line="141" w:lineRule="exact"/>
              <w:rPr>
                <w:sz w:val="20"/>
                <w:szCs w:val="20"/>
                <w:color w:val="auto"/>
              </w:rPr>
            </w:pPr>
            <w:r>
              <w:rPr>
                <w:rFonts w:ascii="Times New Roman" w:cs="Times New Roman" w:eastAsia="Times New Roman" w:hAnsi="Times New Roman"/>
                <w:sz w:val="13"/>
                <w:szCs w:val="13"/>
                <w:color w:val="auto"/>
              </w:rPr>
              <w:t>Improvements</w:t>
            </w:r>
          </w:p>
        </w:tc>
        <w:tc>
          <w:tcPr>
            <w:tcW w:w="260" w:type="dxa"/>
            <w:vAlign w:val="bottom"/>
          </w:tcPr>
          <w:p>
            <w:pPr>
              <w:spacing w:after="0"/>
              <w:rPr>
                <w:sz w:val="12"/>
                <w:szCs w:val="12"/>
                <w:color w:val="auto"/>
              </w:rPr>
            </w:pPr>
          </w:p>
        </w:tc>
        <w:tc>
          <w:tcPr>
            <w:tcW w:w="92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335.1</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327.1</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387.9</w:t>
            </w:r>
          </w:p>
        </w:tc>
      </w:tr>
      <w:tr>
        <w:trPr>
          <w:trHeight w:val="207"/>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Asset impairments</w:t>
            </w:r>
          </w:p>
        </w:tc>
        <w:tc>
          <w:tcPr>
            <w:tcW w:w="260" w:type="dxa"/>
            <w:vAlign w:val="bottom"/>
          </w:tcPr>
          <w:p>
            <w:pPr>
              <w:spacing w:after="0"/>
              <w:rPr>
                <w:sz w:val="17"/>
                <w:szCs w:val="17"/>
                <w:color w:val="auto"/>
              </w:rPr>
            </w:pPr>
          </w:p>
        </w:tc>
        <w:tc>
          <w:tcPr>
            <w:tcW w:w="112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 xml:space="preserve">(429.6) </w:t>
            </w:r>
            <w:r>
              <w:rPr>
                <w:rFonts w:ascii="Times New Roman" w:cs="Times New Roman" w:eastAsia="Times New Roman" w:hAnsi="Times New Roman"/>
                <w:sz w:val="16"/>
                <w:szCs w:val="16"/>
                <w:color w:val="auto"/>
                <w:vertAlign w:val="superscript"/>
              </w:rPr>
              <w:t>(1)</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(59.9)</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72"/>
        </w:trPr>
        <w:tc>
          <w:tcPr>
            <w:tcW w:w="73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Dispositions and other</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(78.5)</w:t>
            </w:r>
          </w:p>
        </w:tc>
        <w:tc>
          <w:tcPr>
            <w:tcW w:w="2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(496.2)</w:t>
            </w:r>
          </w:p>
        </w:tc>
        <w:tc>
          <w:tcPr>
            <w:tcW w:w="2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(127.0)</w:t>
            </w:r>
          </w:p>
        </w:tc>
      </w:tr>
      <w:tr>
        <w:trPr>
          <w:trHeight w:val="192"/>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Ending balance</w:t>
            </w:r>
          </w:p>
        </w:tc>
        <w:tc>
          <w:tcPr>
            <w:tcW w:w="26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14,500.0</w:t>
            </w:r>
          </w:p>
        </w:tc>
        <w:tc>
          <w:tcPr>
            <w:tcW w:w="2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14,093.5</w:t>
            </w:r>
          </w:p>
        </w:tc>
        <w:tc>
          <w:tcPr>
            <w:tcW w:w="2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14,149.8</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-367030</wp:posOffset>
            </wp:positionV>
            <wp:extent cx="7144385" cy="1104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8">
                      <a:extLst>
                        <a:ext uri="{28A0092B-C50C-407E-A947-70E740481C1C}"/>
                      </a:extLst>
                    </a:blip>
                    <a:srcRect/>
                    <a:stretch>
                      <a:fillRect/>
                    </a:stretch>
                  </pic:blipFill>
                  <pic:spPr bwMode="auto">
                    <a:xfrm>
                      <a:off x="0" y="0"/>
                      <a:ext cx="7144385" cy="1104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F - 60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121920</wp:posOffset>
            </wp:positionV>
            <wp:extent cx="7177405" cy="400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121" w:right="319" w:bottom="1440" w:gutter="0" w:footer="0" w:header="0"/>
        </w:sectPr>
      </w:pPr>
    </w:p>
    <w:bookmarkStart w:id="115" w:name="page116"/>
    <w:bookmarkEnd w:id="115"/>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SUN COMMUNITIES, INC.</w:t>
      </w:r>
    </w:p>
    <w:p>
      <w:pPr>
        <w:spacing w:after="0" w:line="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REAL ESTATE AND ACCUMULATED DEPRECIATION, SCHEDULE III</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DECEMBER 31, 2025</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(amounts in millions)</w:t>
      </w:r>
    </w:p>
    <w:p>
      <w:pPr>
        <w:spacing w:after="0" w:line="39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The change in accumulated depreciation for the years ended December 31, 2025, 2024, and 2023 is as follows (in millions):</w:t>
      </w:r>
    </w:p>
    <w:p>
      <w:pPr>
        <w:spacing w:after="0" w:line="138" w:lineRule="exact"/>
        <w:rPr>
          <w:sz w:val="20"/>
          <w:szCs w:val="20"/>
          <w:color w:val="auto"/>
        </w:rPr>
      </w:pPr>
    </w:p>
    <w:tbl>
      <w:tblPr>
        <w:tblLayout w:type="fixed"/>
        <w:tblInd w:w="7" w:type="dxa"/>
        <w:tblCellMar>
          <w:top w:w="0" w:type="dxa"/>
          <w:left w:w="0" w:type="dxa"/>
          <w:bottom w:w="0" w:type="dxa"/>
          <w:right w:w="0" w:type="dxa"/>
        </w:tblCellMar>
      </w:tblPr>
      <w:tr>
        <w:trPr>
          <w:trHeight w:val="176"/>
        </w:trPr>
        <w:tc>
          <w:tcPr>
            <w:tcW w:w="738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68"/>
        </w:trPr>
        <w:tc>
          <w:tcPr>
            <w:tcW w:w="73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Beginning balance</w:t>
            </w:r>
          </w:p>
        </w:tc>
        <w:tc>
          <w:tcPr>
            <w:tcW w:w="72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7"/>
              </w:rPr>
              <w:t>3,228.4</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2,920.6</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2,527.4</w:t>
            </w:r>
          </w:p>
        </w:tc>
      </w:tr>
      <w:tr>
        <w:trPr>
          <w:trHeight w:val="140"/>
        </w:trPr>
        <w:tc>
          <w:tcPr>
            <w:tcW w:w="7380" w:type="dxa"/>
            <w:vAlign w:val="bottom"/>
          </w:tcPr>
          <w:p>
            <w:pPr>
              <w:ind w:left="100"/>
              <w:spacing w:after="0" w:line="141" w:lineRule="exact"/>
              <w:rPr>
                <w:sz w:val="20"/>
                <w:szCs w:val="20"/>
                <w:color w:val="auto"/>
              </w:rPr>
            </w:pPr>
            <w:r>
              <w:rPr>
                <w:rFonts w:ascii="Times New Roman" w:cs="Times New Roman" w:eastAsia="Times New Roman" w:hAnsi="Times New Roman"/>
                <w:sz w:val="13"/>
                <w:szCs w:val="13"/>
                <w:color w:val="auto"/>
              </w:rPr>
              <w:t>Depreciation for the period</w:t>
            </w:r>
          </w:p>
        </w:tc>
        <w:tc>
          <w:tcPr>
            <w:tcW w:w="720" w:type="dxa"/>
            <w:vAlign w:val="bottom"/>
          </w:tcPr>
          <w:p>
            <w:pPr>
              <w:spacing w:after="0"/>
              <w:rPr>
                <w:sz w:val="12"/>
                <w:szCs w:val="12"/>
                <w:color w:val="auto"/>
              </w:rPr>
            </w:pPr>
          </w:p>
        </w:tc>
        <w:tc>
          <w:tcPr>
            <w:tcW w:w="46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464.6</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461.4</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448.1</w:t>
            </w:r>
          </w:p>
        </w:tc>
      </w:tr>
      <w:tr>
        <w:trPr>
          <w:trHeight w:val="207"/>
        </w:trPr>
        <w:tc>
          <w:tcPr>
            <w:tcW w:w="73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Asset impairments</w:t>
            </w:r>
          </w:p>
        </w:tc>
        <w:tc>
          <w:tcPr>
            <w:tcW w:w="720" w:type="dxa"/>
            <w:vAlign w:val="bottom"/>
          </w:tcPr>
          <w:p>
            <w:pPr>
              <w:spacing w:after="0"/>
              <w:rPr>
                <w:sz w:val="17"/>
                <w:szCs w:val="17"/>
                <w:color w:val="auto"/>
              </w:rPr>
            </w:pP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 xml:space="preserve">(41.4) </w:t>
            </w:r>
            <w:r>
              <w:rPr>
                <w:rFonts w:ascii="Times New Roman" w:cs="Times New Roman" w:eastAsia="Times New Roman" w:hAnsi="Times New Roman"/>
                <w:sz w:val="16"/>
                <w:szCs w:val="16"/>
                <w:color w:val="auto"/>
                <w:vertAlign w:val="superscript"/>
              </w:rPr>
              <w:t>(1)</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w:t>
            </w:r>
          </w:p>
        </w:tc>
      </w:tr>
      <w:tr>
        <w:trPr>
          <w:trHeight w:val="172"/>
        </w:trPr>
        <w:tc>
          <w:tcPr>
            <w:tcW w:w="73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Dispositions and other</w:t>
            </w:r>
          </w:p>
        </w:tc>
        <w:tc>
          <w:tcPr>
            <w:tcW w:w="7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(53.3)</w:t>
            </w:r>
          </w:p>
        </w:tc>
        <w:tc>
          <w:tcPr>
            <w:tcW w:w="2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(143.6)</w:t>
            </w:r>
          </w:p>
        </w:tc>
        <w:tc>
          <w:tcPr>
            <w:tcW w:w="1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(67.2)</w:t>
            </w:r>
          </w:p>
        </w:tc>
      </w:tr>
      <w:tr>
        <w:trPr>
          <w:trHeight w:val="192"/>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Ending balance</w:t>
            </w:r>
          </w:p>
        </w:tc>
        <w:tc>
          <w:tcPr>
            <w:tcW w:w="720" w:type="dxa"/>
            <w:vAlign w:val="bottom"/>
            <w:tcBorders>
              <w:bottom w:val="single" w:sz="8" w:color="auto"/>
            </w:tcBorders>
            <w:shd w:val="clear" w:color="auto" w:fill="CCEEFF"/>
          </w:tcPr>
          <w:p>
            <w:pPr>
              <w:jc w:val="right"/>
              <w:ind w:right="574"/>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7"/>
              </w:rPr>
              <w:t>3,598.3</w:t>
            </w:r>
          </w:p>
        </w:tc>
        <w:tc>
          <w:tcPr>
            <w:tcW w:w="2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3,228.4</w:t>
            </w:r>
          </w:p>
        </w:tc>
        <w:tc>
          <w:tcPr>
            <w:tcW w:w="1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2,920.6</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-367030</wp:posOffset>
            </wp:positionV>
            <wp:extent cx="7144385" cy="1104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0">
                      <a:extLst>
                        <a:ext uri="{28A0092B-C50C-407E-A947-70E740481C1C}"/>
                      </a:extLst>
                    </a:blip>
                    <a:srcRect/>
                    <a:stretch>
                      <a:fillRect/>
                    </a:stretch>
                  </pic:blipFill>
                  <pic:spPr bwMode="auto">
                    <a:xfrm>
                      <a:off x="0" y="0"/>
                      <a:ext cx="7144385" cy="110490"/>
                    </a:xfrm>
                    <a:prstGeom prst="rect">
                      <a:avLst/>
                    </a:prstGeom>
                    <a:noFill/>
                  </pic:spPr>
                </pic:pic>
              </a:graphicData>
            </a:graphic>
          </wp:anchor>
        </w:drawing>
      </w:r>
    </w:p>
    <w:p>
      <w:pPr>
        <w:spacing w:after="0" w:line="29" w:lineRule="exact"/>
        <w:rPr>
          <w:sz w:val="20"/>
          <w:szCs w:val="20"/>
          <w:color w:val="auto"/>
        </w:rPr>
      </w:pPr>
    </w:p>
    <w:p>
      <w:pPr>
        <w:ind w:left="127" w:hanging="127"/>
        <w:spacing w:after="0"/>
        <w:tabs>
          <w:tab w:leader="none" w:pos="127" w:val="left"/>
        </w:tabs>
        <w:numPr>
          <w:ilvl w:val="0"/>
          <w:numId w:val="6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Consists of asset impairment charges primarily related to certain RV and UK properties. Refer to Note 14, "Fair Value Measurements,"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F - 61</w:t>
      </w:r>
    </w:p>
    <w:p>
      <w:pPr>
        <w:sectPr>
          <w:pgSz w:w="11900" w:h="16838" w:orient="portrait"/>
          <w:cols w:equalWidth="0" w:num="1">
            <w:col w:w="11267"/>
          </w:cols>
          <w:pgMar w:left="313" w:top="121" w:right="319" w:bottom="1440"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323850</wp:posOffset>
            </wp:positionV>
            <wp:extent cx="7090410" cy="101828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1">
                      <a:extLst>
                        <a:ext uri="{28A0092B-C50C-407E-A947-70E740481C1C}"/>
                      </a:extLst>
                    </a:blip>
                    <a:srcRect/>
                    <a:stretch>
                      <a:fillRect/>
                    </a:stretch>
                  </pic:blipFill>
                  <pic:spPr bwMode="auto">
                    <a:xfrm>
                      <a:off x="0" y="0"/>
                      <a:ext cx="7090410" cy="1018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18" w:name="page119"/>
    <w:bookmarkEnd w:id="1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323850</wp:posOffset>
            </wp:positionV>
            <wp:extent cx="7090410" cy="101828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2">
                      <a:extLst>
                        <a:ext uri="{28A0092B-C50C-407E-A947-70E740481C1C}"/>
                      </a:extLst>
                    </a:blip>
                    <a:srcRect/>
                    <a:stretch>
                      <a:fillRect/>
                    </a:stretch>
                  </pic:blipFill>
                  <pic:spPr bwMode="auto">
                    <a:xfrm>
                      <a:off x="0" y="0"/>
                      <a:ext cx="7090410" cy="1018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4">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5">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6">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7">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8">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9">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0">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1">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2">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4">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5">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6">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7">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8">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9">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0">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1">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2">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4">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5">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6">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7">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8">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9">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0">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1">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2">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4">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5">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6">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7">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7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8">
                      <a:extLst>
                        <a:ext uri="{28A0092B-C50C-407E-A947-70E740481C1C}"/>
                      </a:extLst>
                    </a:blip>
                    <a:srcRect/>
                    <a:stretch>
                      <a:fillRect/>
                    </a:stretch>
                  </pic:blipFill>
                  <pic:spPr bwMode="auto">
                    <a:xfrm>
                      <a:off x="0" y="0"/>
                      <a:ext cx="7090410" cy="1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9">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0">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58" w:name="page159"/>
    <w:bookmarkEnd w:id="158"/>
    <w:p>
      <w:pPr>
        <w:jc w:val="center"/>
        <w:spacing w:after="0"/>
        <w:rPr>
          <w:sz w:val="20"/>
          <w:szCs w:val="20"/>
          <w:color w:val="auto"/>
        </w:rPr>
      </w:pPr>
      <w:r>
        <w:rPr>
          <w:rFonts w:ascii="Times New Roman" w:cs="Times New Roman" w:eastAsia="Times New Roman" w:hAnsi="Times New Roman"/>
          <w:sz w:val="19"/>
          <w:szCs w:val="19"/>
          <w:b w:val="1"/>
          <w:bCs w:val="1"/>
          <w:color w:val="auto"/>
        </w:rPr>
        <w:t>FIRST AMENDMENT TO SUN COMMUNITIES,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2015 EQUITY INCENTIVE PLAN</w:t>
      </w:r>
    </w:p>
    <w:p>
      <w:pPr>
        <w:spacing w:after="0" w:line="19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9"/>
          <w:szCs w:val="19"/>
          <w:color w:val="auto"/>
        </w:rPr>
        <w:t>This First Amendment to the Sun Communities, Inc. 2015 Equity Incentive Plan (this “Amendment”) is effective as of May ___, 2022, the date it was approved by the Company’s stockholders. All capitalized terms used, but not defined, in this Amendment have the same meanings as in the Sun Communities, Inc. 2015 Equity Incentive Plan (the “Plan”).</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Recitals</w:t>
      </w:r>
    </w:p>
    <w:p>
      <w:pPr>
        <w:spacing w:after="0" w:line="214" w:lineRule="exact"/>
        <w:rPr>
          <w:sz w:val="20"/>
          <w:szCs w:val="20"/>
          <w:color w:val="auto"/>
        </w:rPr>
      </w:pPr>
    </w:p>
    <w:p>
      <w:pPr>
        <w:ind w:left="540" w:hanging="277"/>
        <w:spacing w:after="0" w:line="266" w:lineRule="auto"/>
        <w:rPr>
          <w:sz w:val="20"/>
          <w:szCs w:val="20"/>
          <w:color w:val="auto"/>
        </w:rPr>
      </w:pPr>
      <w:r>
        <w:rPr>
          <w:rFonts w:ascii="Times New Roman" w:cs="Times New Roman" w:eastAsia="Times New Roman" w:hAnsi="Times New Roman"/>
          <w:sz w:val="19"/>
          <w:szCs w:val="19"/>
          <w:color w:val="auto"/>
        </w:rPr>
        <w:t>A. The Plan was approved by the Board of Sun Communities, Inc., a Maryland corporation (the “Company”) on April 20, 2015 and by the Company’s stockholders on July 20, 2015.</w:t>
      </w:r>
    </w:p>
    <w:p>
      <w:pPr>
        <w:spacing w:after="0" w:line="176" w:lineRule="exact"/>
        <w:rPr>
          <w:sz w:val="20"/>
          <w:szCs w:val="20"/>
          <w:color w:val="auto"/>
        </w:rPr>
      </w:pPr>
    </w:p>
    <w:p>
      <w:pPr>
        <w:ind w:left="540" w:hanging="270"/>
        <w:spacing w:after="0"/>
        <w:tabs>
          <w:tab w:leader="none" w:pos="540"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Amendment was approved by the Board on March 29, 2022, subject to approval of the Company's stockholders.</w:t>
      </w:r>
    </w:p>
    <w:p>
      <w:pPr>
        <w:spacing w:after="0" w:line="205" w:lineRule="exact"/>
        <w:rPr>
          <w:rFonts w:ascii="Times New Roman" w:cs="Times New Roman" w:eastAsia="Times New Roman" w:hAnsi="Times New Roman"/>
          <w:sz w:val="19"/>
          <w:szCs w:val="19"/>
          <w:color w:val="auto"/>
        </w:rPr>
      </w:pPr>
    </w:p>
    <w:p>
      <w:pPr>
        <w:ind w:left="51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Amendments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Plan is hereby amended as follows:</w:t>
      </w:r>
    </w:p>
    <w:p>
      <w:pPr>
        <w:spacing w:after="0" w:line="21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color w:val="auto"/>
        </w:rPr>
        <w:t>1.  Section 4.01 of the Plan is hereby amended and restated in its entire to read:</w:t>
      </w:r>
    </w:p>
    <w:p>
      <w:pPr>
        <w:spacing w:after="0" w:line="2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b w:val="1"/>
          <w:bCs w:val="1"/>
          <w:color w:val="auto"/>
        </w:rPr>
        <w:t xml:space="preserve">“4.01 Shares Issuable. </w:t>
      </w:r>
      <w:r>
        <w:rPr>
          <w:rFonts w:ascii="Times New Roman" w:cs="Times New Roman" w:eastAsia="Times New Roman" w:hAnsi="Times New Roman"/>
          <w:sz w:val="19"/>
          <w:szCs w:val="19"/>
          <w:color w:val="auto"/>
        </w:rPr>
        <w:t>The maximum number of shares of Company Common Stock that may be issued under the Plan is 4,750,000 shares.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aggregate number of Company Common Stock actually issued or transferred by the Company upon the exercise of Incentive Stock Options may not exceed One Million (1,000,000) shares. The aggregate number of shares to be issued under the Plan, will be adjusted in accordance with Section 4.03 of the Plan. Shares of Company Common Stock may be authorized and unissued shares or issued shares which have been reacquired by the Company. A share of Company Common Stock and its related tandem Stock Appreciation Right may only be counted once.</w:t>
      </w:r>
    </w:p>
    <w:p>
      <w:pPr>
        <w:sectPr>
          <w:pgSz w:w="11900" w:h="16838" w:orient="portrait"/>
          <w:cols w:equalWidth="0" w:num="1">
            <w:col w:w="11260"/>
          </w:cols>
          <w:pgMar w:left="320" w:top="1235" w:right="319" w:bottom="1440" w:gutter="0" w:footer="0" w:header="0"/>
        </w:sectPr>
      </w:pPr>
    </w:p>
    <w:bookmarkStart w:id="159" w:name="page160"/>
    <w:bookmarkEnd w:id="159"/>
    <w:p>
      <w:pPr>
        <w:jc w:val="center"/>
        <w:spacing w:after="0"/>
        <w:rPr>
          <w:sz w:val="20"/>
          <w:szCs w:val="20"/>
          <w:color w:val="auto"/>
        </w:rPr>
      </w:pPr>
      <w:r>
        <w:rPr>
          <w:rFonts w:ascii="Times New Roman" w:cs="Times New Roman" w:eastAsia="Times New Roman" w:hAnsi="Times New Roman"/>
          <w:sz w:val="19"/>
          <w:szCs w:val="19"/>
          <w:b w:val="1"/>
          <w:bCs w:val="1"/>
          <w:color w:val="auto"/>
        </w:rPr>
        <w:t>SECOND AMENDMENT TO SUN COMMUNITIES,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2015 EQUITY INCENTIVE PLAN</w:t>
      </w:r>
    </w:p>
    <w:p>
      <w:pPr>
        <w:spacing w:after="0" w:line="1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This Second Amendment to the Sun Communities, Inc. 2015 Equity Incentive Plan (this “Amendment”) is effective as of ________, 2025, the</w:t>
      </w:r>
    </w:p>
    <w:p>
      <w:pPr>
        <w:spacing w:after="0" w:line="4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color w:val="auto"/>
        </w:rPr>
        <w:t>date it was approved by the Company’s stockholders. All capitalized terms used, but not defined, in this Amendment have the same meanings as in the Sun Communities, Inc. 2015 Equity Incentive Plan, as amended (the “Plan”).</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Recitals</w:t>
      </w:r>
    </w:p>
    <w:p>
      <w:pPr>
        <w:spacing w:after="0" w:line="214" w:lineRule="exact"/>
        <w:rPr>
          <w:sz w:val="20"/>
          <w:szCs w:val="20"/>
          <w:color w:val="auto"/>
        </w:rPr>
      </w:pPr>
    </w:p>
    <w:p>
      <w:pPr>
        <w:jc w:val="both"/>
        <w:ind w:firstLine="548"/>
        <w:spacing w:after="0" w:line="260" w:lineRule="auto"/>
        <w:tabs>
          <w:tab w:leader="none" w:pos="1106"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Plan was approved by the Board of Sun Communities, Inc., a Maryland corporation (the “Company”), on April 20, 2015 and by the Company’s stockholders on July 20, 2015, and was amended by the First Amendment to the Plan which was approved by the Board on March 29, 2022 and by the Company’s shareholders on May 17, 2022.</w:t>
      </w:r>
    </w:p>
    <w:p>
      <w:pPr>
        <w:spacing w:after="0" w:line="169" w:lineRule="exact"/>
        <w:rPr>
          <w:rFonts w:ascii="Times New Roman" w:cs="Times New Roman" w:eastAsia="Times New Roman" w:hAnsi="Times New Roman"/>
          <w:sz w:val="19"/>
          <w:szCs w:val="19"/>
          <w:color w:val="auto"/>
        </w:rPr>
      </w:pPr>
    </w:p>
    <w:p>
      <w:pPr>
        <w:ind w:left="1100" w:hanging="552"/>
        <w:spacing w:after="0"/>
        <w:tabs>
          <w:tab w:leader="none" w:pos="1100"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Amendment was approved by the Board on March 12, 2025, subject to approval of the Company's stockholders.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Amendments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Plan is hereby amended as follows:</w:t>
      </w:r>
    </w:p>
    <w:p>
      <w:pPr>
        <w:spacing w:after="0" w:line="190" w:lineRule="exact"/>
        <w:rPr>
          <w:sz w:val="20"/>
          <w:szCs w:val="20"/>
          <w:color w:val="auto"/>
        </w:rPr>
      </w:pPr>
    </w:p>
    <w:p>
      <w:pPr>
        <w:ind w:left="540" w:hanging="270"/>
        <w:spacing w:after="0"/>
        <w:tabs>
          <w:tab w:leader="none" w:pos="540"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Section 1.02 of the Plan is hereby amended and restated in its entirety to read:</w:t>
      </w:r>
    </w:p>
    <w:p>
      <w:pPr>
        <w:spacing w:after="0" w:line="205" w:lineRule="exact"/>
        <w:rPr>
          <w:rFonts w:ascii="Times New Roman" w:cs="Times New Roman" w:eastAsia="Times New Roman" w:hAnsi="Times New Roman"/>
          <w:sz w:val="19"/>
          <w:szCs w:val="19"/>
          <w:color w:val="auto"/>
        </w:rPr>
      </w:pPr>
    </w:p>
    <w:p>
      <w:pPr>
        <w:jc w:val="both"/>
        <w:ind w:left="540"/>
        <w:spacing w:after="0" w:line="262"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“Section 1.02 Adoption and Term</w:t>
      </w:r>
      <w:r>
        <w:rPr>
          <w:rFonts w:ascii="Times New Roman" w:cs="Times New Roman" w:eastAsia="Times New Roman" w:hAnsi="Times New Roman"/>
          <w:sz w:val="19"/>
          <w:szCs w:val="19"/>
          <w:color w:val="auto"/>
        </w:rPr>
        <w:t>. The Plan has been adopted by the Board and shall be effective upon approval by the Company’s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stockholders. The Plan replaces the Sun Communities, Inc. Equity Incentive Plan adopted in July 2009 and terminated by the Board of Directors effective as of the approval of this Plan by the Company’s stockholders.</w:t>
      </w:r>
    </w:p>
    <w:p>
      <w:pPr>
        <w:spacing w:after="0" w:line="168" w:lineRule="exact"/>
        <w:rPr>
          <w:rFonts w:ascii="Times New Roman" w:cs="Times New Roman" w:eastAsia="Times New Roman" w:hAnsi="Times New Roman"/>
          <w:sz w:val="19"/>
          <w:szCs w:val="19"/>
          <w:color w:val="auto"/>
        </w:rPr>
      </w:pPr>
    </w:p>
    <w:p>
      <w:pPr>
        <w:ind w:left="5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Plan will terminate automatically on December 31, 2035, and may be terminated on an earlier date as provided in Section 12.01(b).</w:t>
      </w:r>
    </w:p>
    <w:p>
      <w:pPr>
        <w:spacing w:after="0" w:line="209" w:lineRule="exact"/>
        <w:rPr>
          <w:rFonts w:ascii="Times New Roman" w:cs="Times New Roman" w:eastAsia="Times New Roman" w:hAnsi="Times New Roman"/>
          <w:sz w:val="19"/>
          <w:szCs w:val="19"/>
          <w:color w:val="auto"/>
        </w:rPr>
      </w:pPr>
    </w:p>
    <w:p>
      <w:pPr>
        <w:ind w:right="20" w:firstLine="270"/>
        <w:spacing w:after="0" w:line="266" w:lineRule="auto"/>
        <w:tabs>
          <w:tab w:leader="none" w:pos="556"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After the date of this Amendment, all references in the Plan to the “Plan” shall mean the Plan, as amended by this Amendment. The Plan is hereby amended accordingly.</w:t>
      </w:r>
    </w:p>
    <w:p>
      <w:pPr>
        <w:spacing w:after="0" w:line="175" w:lineRule="exact"/>
        <w:rPr>
          <w:rFonts w:ascii="Times New Roman" w:cs="Times New Roman" w:eastAsia="Times New Roman" w:hAnsi="Times New Roman"/>
          <w:sz w:val="19"/>
          <w:szCs w:val="19"/>
          <w:color w:val="auto"/>
        </w:rPr>
      </w:pPr>
    </w:p>
    <w:p>
      <w:pPr>
        <w:ind w:firstLine="270"/>
        <w:spacing w:after="0" w:line="266" w:lineRule="auto"/>
        <w:tabs>
          <w:tab w:leader="none" w:pos="556"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modified by this Amendment, the Plan remains unchanged and, as modified, continues in full force and effect. In the event of any conflict between the terms of the Plan and the terms of this Amendment, the terms of this Amendment shall control.</w:t>
      </w:r>
    </w:p>
    <w:p>
      <w:pPr>
        <w:sectPr>
          <w:pgSz w:w="11900" w:h="16838" w:orient="portrait"/>
          <w:cols w:equalWidth="0" w:num="1">
            <w:col w:w="11260"/>
          </w:cols>
          <w:pgMar w:left="320" w:top="1235" w:right="319" w:bottom="1440" w:gutter="0" w:footer="0" w:header="0"/>
        </w:sectPr>
      </w:pPr>
    </w:p>
    <w:bookmarkStart w:id="160" w:name="page161"/>
    <w:bookmarkEnd w:id="160"/>
    <w:p>
      <w:pPr>
        <w:ind w:left="4300"/>
        <w:spacing w:after="0"/>
        <w:rPr>
          <w:sz w:val="20"/>
          <w:szCs w:val="20"/>
          <w:color w:val="auto"/>
        </w:rPr>
      </w:pPr>
      <w:r>
        <w:rPr>
          <w:rFonts w:ascii="Times New Roman" w:cs="Times New Roman" w:eastAsia="Times New Roman" w:hAnsi="Times New Roman"/>
          <w:sz w:val="21"/>
          <w:szCs w:val="21"/>
          <w:b w:val="1"/>
          <w:bCs w:val="1"/>
          <w:color w:val="auto"/>
        </w:rPr>
        <w:t>SUN COMMUNITIES, INC.</w:t>
      </w:r>
    </w:p>
    <w:p>
      <w:pPr>
        <w:spacing w:after="0" w:line="126" w:lineRule="exact"/>
        <w:rPr>
          <w:sz w:val="20"/>
          <w:szCs w:val="20"/>
          <w:color w:val="auto"/>
        </w:rPr>
      </w:pPr>
    </w:p>
    <w:p>
      <w:pPr>
        <w:jc w:val="right"/>
        <w:ind w:right="3179"/>
        <w:spacing w:after="0"/>
        <w:rPr>
          <w:sz w:val="20"/>
          <w:szCs w:val="20"/>
          <w:color w:val="auto"/>
        </w:rPr>
      </w:pPr>
      <w:r>
        <w:rPr>
          <w:rFonts w:ascii="Times New Roman" w:cs="Times New Roman" w:eastAsia="Times New Roman" w:hAnsi="Times New Roman"/>
          <w:sz w:val="19"/>
          <w:szCs w:val="19"/>
          <w:b w:val="1"/>
          <w:bCs w:val="1"/>
          <w:u w:val="single" w:color="auto"/>
          <w:color w:val="auto"/>
        </w:rPr>
        <w:t>Exhibit 21.1 – List of Subsidiaries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Main operating subsidiary: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Communities Operating Limited Partnership, a Michigan limited partnership</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481 Associates, a Florida general partnership</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1008 Tuscany, LLC, a Mississippi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AIOP Brentwood West, L.L.C., a Delaware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AIOP Florida Properties I, L.L.C., a Delaware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AIOP Florida Properties II, L.L.C., a Delaware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AIOP Gulfstream Harbor, L.L.C., a Delaware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AIOP Gulfstream Outlots, L.L.C., a Delaware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AIOP Lost Dutchman Notes, L.L.C., a Delaware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AIOP Serendipity, L.L.C., a Delaware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Acquisition, L.L.C., a Delaware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AMLL Mountain View Estates, LLC, a Delaware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AMLL Mountain View Estates Holding, LLC, a Delaware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Apple Carr Village MHP Holding Company #1,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Apple Carr Village Mobile Home Park,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Apple Orchard,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Aspen-Alpine Project,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Aspen-Brentwood Project,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Aspen-Byron Project,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Aspen-Country Project,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Aspen-Ft. Collins Limited Partnership, a Michigan limited partnership</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Aspen-Grand Project,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Aspen-Holland Estates,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Aspen-Town &amp; Country Associates II,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Asset Investors Operating Partnership, L.P., a Delaware limited partnership</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Audubon Point RV Park II LLC, a Mississippi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Bay View Park Limited, an England and Wales corporation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Blue Heron Delaware One LLC, a Delaware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Blue Heron Delaware Two LLC, a Delaware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Bowland Fell Park Limited, an England and Wales corporation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Brentwood Delaware One LLC, a Delaware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Brentwood Delaware Two LLC, a Delaware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Bridge Leisure Bidco Limited, an England and Wales corporation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Bridge Leisure Finco Limited, an England and Wales corporation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Bridge Leisure Management Limited, an England and Wales corporation</w:t>
      </w:r>
    </w:p>
    <w:p>
      <w:pPr>
        <w:spacing w:after="0" w:line="6" w:lineRule="exact"/>
        <w:rPr>
          <w:sz w:val="20"/>
          <w:szCs w:val="20"/>
          <w:color w:val="auto"/>
        </w:rPr>
      </w:pPr>
    </w:p>
    <w:p>
      <w:pPr>
        <w:ind w:right="4659"/>
        <w:spacing w:after="0" w:line="253" w:lineRule="auto"/>
        <w:rPr>
          <w:sz w:val="20"/>
          <w:szCs w:val="20"/>
          <w:color w:val="auto"/>
        </w:rPr>
      </w:pPr>
      <w:r>
        <w:rPr>
          <w:rFonts w:ascii="Times New Roman" w:cs="Times New Roman" w:eastAsia="Times New Roman" w:hAnsi="Times New Roman"/>
          <w:sz w:val="17"/>
          <w:szCs w:val="17"/>
          <w:color w:val="auto"/>
        </w:rPr>
        <w:t>Bridge Leisure Management (North) Limited, an England and Wales corporation Bridge Leisure Midco Limited, an England and Wales corporation</w:t>
      </w:r>
    </w:p>
    <w:p>
      <w:pPr>
        <w:spacing w:after="0"/>
        <w:rPr>
          <w:sz w:val="20"/>
          <w:szCs w:val="20"/>
          <w:color w:val="auto"/>
        </w:rPr>
      </w:pPr>
      <w:r>
        <w:rPr>
          <w:rFonts w:ascii="Times New Roman" w:cs="Times New Roman" w:eastAsia="Times New Roman" w:hAnsi="Times New Roman"/>
          <w:sz w:val="17"/>
          <w:szCs w:val="17"/>
          <w:color w:val="auto"/>
        </w:rPr>
        <w:t>Bridge Leisure Parks (Finance) Limited, an England and Wales corporation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Bridge Leisure Parks (Holdings) Limited, an England and Wales corporation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Bridge Leisure Parks Limited, an England and Wales corporation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Bridge Leisure Topco Limited, an England and Wales corporation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Bright Insurance Agency, Inc., a Michigan corporation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Brookside Village MHP Holding Company #1, LLC, a Michigan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9"/>
          <w:szCs w:val="19"/>
          <w:color w:val="auto"/>
        </w:rPr>
        <w:t>i</w:t>
      </w:r>
    </w:p>
    <w:p>
      <w:pPr>
        <w:sectPr>
          <w:pgSz w:w="11900" w:h="16838" w:orient="portrait"/>
          <w:cols w:equalWidth="0" w:num="1">
            <w:col w:w="10139"/>
          </w:cols>
          <w:pgMar w:left="320" w:top="174" w:right="1440" w:bottom="1440" w:gutter="0" w:footer="0" w:header="0"/>
        </w:sectPr>
      </w:pPr>
    </w:p>
    <w:bookmarkStart w:id="161" w:name="page162"/>
    <w:bookmarkEnd w:id="161"/>
    <w:p>
      <w:pPr>
        <w:jc w:val="center"/>
        <w:ind w:right="-1107"/>
        <w:spacing w:after="0"/>
        <w:rPr>
          <w:sz w:val="20"/>
          <w:szCs w:val="20"/>
          <w:color w:val="auto"/>
        </w:rPr>
      </w:pPr>
      <w:r>
        <w:rPr>
          <w:rFonts w:ascii="Times New Roman" w:cs="Times New Roman" w:eastAsia="Times New Roman" w:hAnsi="Times New Roman"/>
          <w:sz w:val="19"/>
          <w:szCs w:val="19"/>
          <w:b w:val="1"/>
          <w:bCs w:val="1"/>
          <w:color w:val="auto"/>
        </w:rPr>
        <w:t>SUN COMMUNITIES, INC.</w:t>
      </w:r>
    </w:p>
    <w:p>
      <w:pPr>
        <w:spacing w:after="0" w:line="27" w:lineRule="exact"/>
        <w:rPr>
          <w:sz w:val="20"/>
          <w:szCs w:val="20"/>
          <w:color w:val="auto"/>
        </w:rPr>
      </w:pPr>
    </w:p>
    <w:p>
      <w:pPr>
        <w:jc w:val="center"/>
        <w:ind w:right="-1107"/>
        <w:spacing w:after="0"/>
        <w:rPr>
          <w:sz w:val="20"/>
          <w:szCs w:val="20"/>
          <w:color w:val="auto"/>
        </w:rPr>
      </w:pPr>
      <w:r>
        <w:rPr>
          <w:rFonts w:ascii="Times New Roman" w:cs="Times New Roman" w:eastAsia="Times New Roman" w:hAnsi="Times New Roman"/>
          <w:sz w:val="17"/>
          <w:szCs w:val="17"/>
          <w:b w:val="1"/>
          <w:bCs w:val="1"/>
          <w:color w:val="auto"/>
        </w:rPr>
        <w:t>Exhibit 21.1 – List of Subsidiaries,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7" w:right="4559"/>
        <w:spacing w:after="0" w:line="255" w:lineRule="auto"/>
        <w:rPr>
          <w:sz w:val="20"/>
          <w:szCs w:val="20"/>
          <w:color w:val="auto"/>
        </w:rPr>
      </w:pPr>
      <w:r>
        <w:rPr>
          <w:rFonts w:ascii="Times New Roman" w:cs="Times New Roman" w:eastAsia="Times New Roman" w:hAnsi="Times New Roman"/>
          <w:sz w:val="17"/>
          <w:szCs w:val="17"/>
          <w:color w:val="auto"/>
        </w:rPr>
        <w:t>Brookside Village Mobile Home Park, LLC, a Michigan limited liability company Camp Jellystone LLC, a Delaware series limited liability company</w:t>
      </w:r>
    </w:p>
    <w:p>
      <w:pPr>
        <w:spacing w:after="0" w:line="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Carefree Broadacre Mezz 1 LLC, a Delaware limited liability company</w:t>
      </w:r>
    </w:p>
    <w:p>
      <w:pPr>
        <w:spacing w:after="0" w:line="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Carefree Canada TRS Inc., an Ontario corporation</w:t>
      </w:r>
    </w:p>
    <w:p>
      <w:pPr>
        <w:spacing w:after="0" w:line="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Carefree Communities CA LLC, a Delaware limited liability company</w:t>
      </w:r>
    </w:p>
    <w:p>
      <w:pPr>
        <w:spacing w:after="0" w:line="1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Carefree Communities LLC, a Delaware limited liability company</w:t>
      </w:r>
    </w:p>
    <w:p>
      <w:pPr>
        <w:spacing w:after="0" w:line="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Carefree Property Mezz 1 LLC, a Delaware limited liability company</w:t>
      </w:r>
    </w:p>
    <w:p>
      <w:pPr>
        <w:spacing w:after="0" w:line="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Carefree Shadowwood, LLC, a Delaware limited liability company</w:t>
      </w:r>
    </w:p>
    <w:p>
      <w:pPr>
        <w:spacing w:after="0" w:line="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Carriage Cove, LLC, a Delaware limited liability company</w:t>
      </w:r>
    </w:p>
    <w:p>
      <w:pPr>
        <w:spacing w:after="0" w:line="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Carriage Cove Holding, LLC, a Delaware limited liability company</w:t>
      </w:r>
    </w:p>
    <w:p>
      <w:pPr>
        <w:spacing w:after="0" w:line="1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CAX Cypress Greens, L.L.C., a Delaware limited liability company</w:t>
      </w:r>
    </w:p>
    <w:p>
      <w:pPr>
        <w:spacing w:after="0" w:line="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CAX La Casa Blanca, L.L.C., a Delaware limited liability company</w:t>
      </w:r>
    </w:p>
    <w:p>
      <w:pPr>
        <w:spacing w:after="0" w:line="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CAX La Casa Blanca East, L.L.C., a Delaware limited liability company</w:t>
      </w:r>
    </w:p>
    <w:p>
      <w:pPr>
        <w:spacing w:after="0" w:line="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CAX Lakeshore, L.L.C., a Delaware limited liability company</w:t>
      </w:r>
    </w:p>
    <w:p>
      <w:pPr>
        <w:spacing w:after="0" w:line="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CAX Rancho Mirage, L.L.C., a Delaware limited liability company</w:t>
      </w:r>
    </w:p>
    <w:p>
      <w:pPr>
        <w:spacing w:after="0" w:line="13" w:lineRule="exact"/>
        <w:rPr>
          <w:sz w:val="20"/>
          <w:szCs w:val="20"/>
          <w:color w:val="auto"/>
        </w:rPr>
      </w:pPr>
    </w:p>
    <w:p>
      <w:pPr>
        <w:ind w:left="7" w:right="6279" w:hanging="7"/>
        <w:spacing w:after="0" w:line="264" w:lineRule="auto"/>
        <w:tabs>
          <w:tab w:leader="none" w:pos="276"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RP LLC, a Delaware limited liability company CGVII, LLC, a North Carolina limited liability company Christies Parks Limited, a Scotland corporation</w:t>
      </w:r>
    </w:p>
    <w:p>
      <w:pPr>
        <w:spacing w:after="0" w:line="1" w:lineRule="exact"/>
        <w:rPr>
          <w:rFonts w:ascii="Times New Roman" w:cs="Times New Roman" w:eastAsia="Times New Roman" w:hAnsi="Times New Roman"/>
          <w:sz w:val="16"/>
          <w:szCs w:val="16"/>
          <w:color w:val="auto"/>
        </w:rPr>
      </w:pPr>
    </w:p>
    <w:p>
      <w:pPr>
        <w:ind w:left="7" w:right="4539"/>
        <w:spacing w:after="0" w:line="25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Cider Mill Village Mobile Home Park, LLC, a Michigan limited liability company Cima del Mundo, LLC, a California limited liability company</w:t>
      </w:r>
    </w:p>
    <w:p>
      <w:pPr>
        <w:ind w:left="7" w:right="5379"/>
        <w:spacing w:after="0" w:line="26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Cinque Ports Leisure Homes Ltd, an England and Wales corporation Coghurst Hall Holiday Village Ltd, an England and Wales corporation Comal Farms Manager LLC, a Michigan limited liability company</w:t>
      </w:r>
    </w:p>
    <w:p>
      <w:pPr>
        <w:spacing w:after="0" w:line="1" w:lineRule="exact"/>
        <w:rPr>
          <w:rFonts w:ascii="Times New Roman" w:cs="Times New Roman" w:eastAsia="Times New Roman" w:hAnsi="Times New Roman"/>
          <w:sz w:val="16"/>
          <w:szCs w:val="16"/>
          <w:color w:val="auto"/>
        </w:rPr>
      </w:pPr>
    </w:p>
    <w:p>
      <w:pPr>
        <w:ind w:left="7" w:right="4179"/>
        <w:spacing w:after="0" w:line="25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Community Blue Heron Pines Joint Venture LLC, a Delaware limited liability company Community Brentwood Joint Venture LLC, a Delaware limited liability company Community Savanna Club Joint Venture, a Delaware general partnership</w:t>
      </w:r>
    </w:p>
    <w:p>
      <w:pPr>
        <w:ind w:left="7"/>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Country Hills Village Mobile Home Park, LLC, a Michigan limited liability company</w:t>
      </w:r>
    </w:p>
    <w:p>
      <w:pPr>
        <w:spacing w:after="0" w:line="5" w:lineRule="exact"/>
        <w:rPr>
          <w:rFonts w:ascii="Times New Roman" w:cs="Times New Roman" w:eastAsia="Times New Roman" w:hAnsi="Times New Roman"/>
          <w:sz w:val="16"/>
          <w:szCs w:val="16"/>
          <w:color w:val="auto"/>
        </w:rPr>
      </w:pPr>
    </w:p>
    <w:p>
      <w:pPr>
        <w:ind w:left="7" w:right="3419"/>
        <w:spacing w:after="0" w:line="26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Country Meadows Village MHP Holding Company #1, LLC, a Michigan limited liability company Country Meadows Village Mobile Home Park, LLC, a Michigan limited liability company</w:t>
      </w:r>
    </w:p>
    <w:p>
      <w:pPr>
        <w:ind w:left="7"/>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CP Acquisitionco Ltd, an England and Wales corporation</w:t>
      </w:r>
    </w:p>
    <w:p>
      <w:pPr>
        <w:spacing w:after="0" w:line="8" w:lineRule="exact"/>
        <w:rPr>
          <w:rFonts w:ascii="Times New Roman" w:cs="Times New Roman" w:eastAsia="Times New Roman" w:hAnsi="Times New Roman"/>
          <w:sz w:val="16"/>
          <w:szCs w:val="16"/>
          <w:color w:val="auto"/>
        </w:rPr>
      </w:pPr>
    </w:p>
    <w:p>
      <w:pPr>
        <w:ind w:left="7" w:right="5399"/>
        <w:spacing w:after="0" w:line="25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CP Comal Farms Limited Partnership, a Michigan limited partnership CP Equityco Ltd, an England and Wales corporation</w:t>
      </w:r>
    </w:p>
    <w:p>
      <w:pPr>
        <w:ind w:left="7" w:right="5159"/>
        <w:spacing w:after="0" w:line="24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CP Woodlake Limited Partnership, a Michigan limited partnership CPI/LC Silver Lake Owner, L.L.C., a Delaware limited liability company Crown Holdco Limited, a Jersey private limited company Crumpwood Ltd, an England and Wales corporation</w:t>
      </w:r>
    </w:p>
    <w:p>
      <w:pPr>
        <w:spacing w:after="0" w:line="2" w:lineRule="exact"/>
        <w:rPr>
          <w:rFonts w:ascii="Times New Roman" w:cs="Times New Roman" w:eastAsia="Times New Roman" w:hAnsi="Times New Roman"/>
          <w:sz w:val="16"/>
          <w:szCs w:val="16"/>
          <w:color w:val="auto"/>
        </w:rPr>
      </w:pPr>
    </w:p>
    <w:p>
      <w:pPr>
        <w:ind w:left="7" w:right="5679"/>
        <w:spacing w:after="0" w:line="25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Deerwood I Holding, LLC, a Delaware limited liability company Deerwood I Park, LLC, a Delaware limited liability company Deerwood II Holding, LLC, a Delaware limited liability company Deerwood II Park, LLC, a Delaware limited liability company Dutton Mill Village, LLC, a Michigan limited liability company Egelcraft, LLC, a Delaware limited liability company</w:t>
      </w:r>
    </w:p>
    <w:p>
      <w:pPr>
        <w:ind w:left="7" w:right="5219"/>
        <w:spacing w:after="0" w:line="24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East Fork Crossing Manager LLC, a Michigan limited liability company El Capitan Canyon, LLC, a California limited liability company Evengain Ltd, an England and Wales corporation</w:t>
      </w:r>
    </w:p>
    <w:p>
      <w:pPr>
        <w:ind w:left="7" w:right="5619"/>
        <w:spacing w:after="0" w:line="26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FC East Fork Crossing LLC, a Michigan limited liability company FC Glen Laurel LLC, a Michigan limited liability company</w:t>
      </w:r>
    </w:p>
    <w:p>
      <w:pPr>
        <w:ind w:left="7" w:right="5939"/>
        <w:spacing w:after="0" w:line="28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FC Meadowbrook LLC, a Michigan limited liability company FC Pebble Creek LLC, a Michigan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587"/>
        <w:spacing w:after="0"/>
        <w:rPr>
          <w:sz w:val="20"/>
          <w:szCs w:val="20"/>
          <w:color w:val="auto"/>
        </w:rPr>
      </w:pPr>
      <w:r>
        <w:rPr>
          <w:rFonts w:ascii="Times New Roman" w:cs="Times New Roman" w:eastAsia="Times New Roman" w:hAnsi="Times New Roman"/>
          <w:sz w:val="19"/>
          <w:szCs w:val="19"/>
          <w:color w:val="auto"/>
        </w:rPr>
        <w:t>ii</w:t>
      </w:r>
    </w:p>
    <w:p>
      <w:pPr>
        <w:sectPr>
          <w:pgSz w:w="11900" w:h="16838" w:orient="portrait"/>
          <w:cols w:equalWidth="0" w:num="1">
            <w:col w:w="10147"/>
          </w:cols>
          <w:pgMar w:left="313" w:top="275" w:right="1440" w:bottom="1440" w:gutter="0" w:footer="0" w:header="0"/>
        </w:sectPr>
      </w:pPr>
    </w:p>
    <w:bookmarkStart w:id="162" w:name="page163"/>
    <w:bookmarkEnd w:id="162"/>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SUN COMMUNITIES, INC.</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Exhibit 21.1 – List of Subsidiaries,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FC River Ranch Limited Partnership, a Michigan limited partnership</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FC Stonebridge Limited Partnership, a Michigan limited partnership</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FC Summit Ridge Limited Partnership, a Michigan limited partnership</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FC Sunset Ridge Limited Partnership, a Michigan limited partnership</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Field of Dreams Financing LLC, a Maryland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Field of Dreams Holding Company, LLC, a Maryland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Fox Creek Reserve, L.L.C., a Delaware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GCP Countryside GP, LLC, a Delaware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GCP Countryside Limited Partnership, a Delaware limited partnership</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GCP Fairfield Village, LLC, a Delaware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GCP Kings Pointe, LLC, a Delaware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GCP LaCosta Holding, LLC, a Delaware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GCP Lakeshore, LLC, a Delaware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GCP Lamplighter, LLC, a Delaware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GCP Lamplighter Holding, LLC, a Delaware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GCP Maplewood, LLC, a Delaware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GCP Maplewood Holding, LLC, a Delaware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GCP Maplewood Two, LLC, a Delaware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GCP Murex Holding, LLC, a Delaware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GCP Oak Creek, LLC, a Delaware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GCP Oak Creek Holding, LLC, a Delaware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GCP Parkside Holding, LLC, a Delaware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GCP Parkside Village, LLC, a Delaware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GCP Plantation Landings, LLC, a Delaware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GCP Plantation Landings Holding, LLC, a Delaware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GCP Skyline, LLC, a Delaware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GCP Smart Holding, LLC, a Delaware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GCP Smart Parent, LLC, a Delaware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GCP Swan Meadow, LLC, a Delaware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GCP Town and Country, LLC, a Delaware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GCP Town and Country Holding, LLC, a Delaware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GCP Valley View, LLC, a Delaware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GCP Walden Woods One, LLC, a Delaware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GCP Walden Woods Two, LLC, a Delaware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GCP Westside Ridge, LLC, a Delaware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Glen Laurel Manager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Golden Sands Ltd, an England and Wales corporation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Golden Valley TRS JV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Green Courte R.E. Fund, LLC, a Delaware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Greenacres Leisure Limited, an England and Wales corporation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GTSC, LLC, a Delaware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GTSC Warehouse Depositor, LLC, a Delaware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GTSC Warehouse, LLC, a Delaware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Guadalupe River TRS JV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Gulfstream Utility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Hagerstown TRS JV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Hammerton Caravan Group Limited, an England and Wales corporation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Hammerton Leisure Limited, an England and Wales corporation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Hamptons Holding, LLC, 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9"/>
          <w:szCs w:val="19"/>
          <w:color w:val="auto"/>
        </w:rPr>
        <w:t>iii</w:t>
      </w:r>
    </w:p>
    <w:p>
      <w:pPr>
        <w:sectPr>
          <w:pgSz w:w="11900" w:h="16838" w:orient="portrait"/>
          <w:cols w:equalWidth="0" w:num="1">
            <w:col w:w="10139"/>
          </w:cols>
          <w:pgMar w:left="320" w:top="275" w:right="1440" w:bottom="1440" w:gutter="0" w:footer="0" w:header="0"/>
        </w:sectPr>
      </w:pPr>
    </w:p>
    <w:bookmarkStart w:id="163" w:name="page164"/>
    <w:bookmarkEnd w:id="163"/>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SUN COMMUNITIES, INC.</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Exhibit 21.1 – List of Subsidiaries,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Hamptons Park, LLC, Delaware limited liability company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Harts Holiday Camps Ltd, an England and Wales corporation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Harts Holiday Village Ltd, an England and Wales corporation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Henfold Propco Limited, a Jersey private limited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Hickory Hills Village, LLC, a Michigan limited liability company</w:t>
      </w:r>
    </w:p>
    <w:p>
      <w:pPr>
        <w:spacing w:after="0" w:line="13" w:lineRule="exact"/>
        <w:rPr>
          <w:sz w:val="20"/>
          <w:szCs w:val="20"/>
          <w:color w:val="auto"/>
        </w:rPr>
      </w:pPr>
    </w:p>
    <w:p>
      <w:pPr>
        <w:ind w:right="3739"/>
        <w:spacing w:after="0" w:line="248" w:lineRule="auto"/>
        <w:rPr>
          <w:sz w:val="20"/>
          <w:szCs w:val="20"/>
          <w:color w:val="auto"/>
        </w:rPr>
      </w:pPr>
      <w:r>
        <w:rPr>
          <w:rFonts w:ascii="Times New Roman" w:cs="Times New Roman" w:eastAsia="Times New Roman" w:hAnsi="Times New Roman"/>
          <w:sz w:val="17"/>
          <w:szCs w:val="17"/>
          <w:color w:val="auto"/>
        </w:rPr>
        <w:t>Hickory Hills Village MHP Holding Company #1, LLC, a Michigan limited liability company Hidden Ridge An RV Community, LLC, a Michigan limited liability company</w:t>
      </w:r>
    </w:p>
    <w:p>
      <w:pPr>
        <w:spacing w:after="0" w:line="1" w:lineRule="exact"/>
        <w:rPr>
          <w:sz w:val="20"/>
          <w:szCs w:val="20"/>
          <w:color w:val="auto"/>
        </w:rPr>
      </w:pPr>
    </w:p>
    <w:p>
      <w:pPr>
        <w:ind w:right="4059"/>
        <w:spacing w:after="0" w:line="248" w:lineRule="auto"/>
        <w:rPr>
          <w:sz w:val="20"/>
          <w:szCs w:val="20"/>
          <w:color w:val="auto"/>
        </w:rPr>
      </w:pPr>
      <w:r>
        <w:rPr>
          <w:rFonts w:ascii="Times New Roman" w:cs="Times New Roman" w:eastAsia="Times New Roman" w:hAnsi="Times New Roman"/>
          <w:sz w:val="17"/>
          <w:szCs w:val="17"/>
          <w:color w:val="auto"/>
        </w:rPr>
        <w:t>Hidden Ridge RV Park Holding Company #1, LLC, a Michigan limited liability company High Point Associates, L.P., a Delaware limited partnership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High Point GP One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Hill Country Resorts Bev. Co., LLC, a Texas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Hill Country Resorts,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Hill Country Resorts SUB1, LLC, a Texas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Hill Country Resorts SUB2, LLC, a Texas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Hill Country TRS JV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Hitching Post Recreation, Inc., a Florida corporation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Holiday West Village Mobile Home Park,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Jensen’s Cherrywood Community, LLC, a New York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Jensen’s Crossroads, LLC, a South Carolina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Jensen’s Southside Landing, LLC, a Maryland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Kerrville Camp-Resort, LLC, a Texas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LaCosta Property, LLC, a Delaware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Ladycroft Ltd, an England and Wales corporation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Lakeshore Landings, LLC, a Delaware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Lakeshore Utilities, Inc., a Delaware corporation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Lakeshore Utilities, L.L.C., a Delaware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Lazy River Resort, LLC, a New York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Lazy River TRS JV LLC, a Michigan limited liability company</w:t>
      </w:r>
    </w:p>
    <w:p>
      <w:pPr>
        <w:spacing w:after="0" w:line="8" w:lineRule="exact"/>
        <w:rPr>
          <w:sz w:val="20"/>
          <w:szCs w:val="20"/>
          <w:color w:val="auto"/>
        </w:rPr>
      </w:pPr>
    </w:p>
    <w:p>
      <w:pPr>
        <w:ind w:right="4159"/>
        <w:spacing w:after="0" w:line="264" w:lineRule="auto"/>
        <w:rPr>
          <w:sz w:val="20"/>
          <w:szCs w:val="20"/>
          <w:color w:val="auto"/>
        </w:rPr>
      </w:pPr>
      <w:r>
        <w:rPr>
          <w:rFonts w:ascii="Times New Roman" w:cs="Times New Roman" w:eastAsia="Times New Roman" w:hAnsi="Times New Roman"/>
          <w:sz w:val="16"/>
          <w:szCs w:val="16"/>
          <w:color w:val="auto"/>
        </w:rPr>
        <w:t>Leisure Village MHP Holding Company #1, LLC, a Michigan limited liability company Leisure Village Mobile Home Park, LLC, a Michigan limited liability company</w:t>
      </w:r>
    </w:p>
    <w:p>
      <w:pPr>
        <w:spacing w:after="0"/>
        <w:rPr>
          <w:sz w:val="20"/>
          <w:szCs w:val="20"/>
          <w:color w:val="auto"/>
        </w:rPr>
      </w:pPr>
      <w:r>
        <w:rPr>
          <w:rFonts w:ascii="Times New Roman" w:cs="Times New Roman" w:eastAsia="Times New Roman" w:hAnsi="Times New Roman"/>
          <w:sz w:val="17"/>
          <w:szCs w:val="17"/>
          <w:color w:val="auto"/>
        </w:rPr>
        <w:t>LIW Limited Partnership, a Michigan limited partnership</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Long Neck Water Company, L.L.C., a Delaware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Luray TRS JV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Maple Brook, L.L.C., an Illinois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Marlie Fann Holiday Village Ltd, an England and Wales corporation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Martello Beach Ltd, an England and Wales corporation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McIntosh Utilities, Inc., a Florida non-profit corporation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Meadowbrook Manager LLC, a Michigan limited liability company</w:t>
      </w:r>
    </w:p>
    <w:p>
      <w:pPr>
        <w:spacing w:after="0" w:line="8" w:lineRule="exact"/>
        <w:rPr>
          <w:sz w:val="20"/>
          <w:szCs w:val="20"/>
          <w:color w:val="auto"/>
        </w:rPr>
      </w:pPr>
    </w:p>
    <w:p>
      <w:pPr>
        <w:ind w:right="4539"/>
        <w:spacing w:after="0" w:line="248" w:lineRule="auto"/>
        <w:rPr>
          <w:sz w:val="20"/>
          <w:szCs w:val="20"/>
          <w:color w:val="auto"/>
        </w:rPr>
      </w:pPr>
      <w:r>
        <w:rPr>
          <w:rFonts w:ascii="Times New Roman" w:cs="Times New Roman" w:eastAsia="Times New Roman" w:hAnsi="Times New Roman"/>
          <w:sz w:val="17"/>
          <w:szCs w:val="17"/>
          <w:color w:val="auto"/>
        </w:rPr>
        <w:t>Meadow Lake Development Company LLC, a Michigan limited liability company Memphis TRS JV LLC, a Michigan limited liability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Miami Lakes GP One LLC, a Delaware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Miami Lakes Venture Associates LLC, a Delaware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Mountain View Resorts, LLC, a Virginia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National Home Communities, LLC, a Delaware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NHC-CA101, LLC, a Delaware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NHC-FL101, LLC, a Delaware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NHC-FL102, LLC, a Delaware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NHC-FL103, LLC, a Delaware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NHC-FL104, LLC, 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9"/>
          <w:szCs w:val="19"/>
          <w:color w:val="auto"/>
        </w:rPr>
        <w:t>iv</w:t>
      </w:r>
    </w:p>
    <w:p>
      <w:pPr>
        <w:sectPr>
          <w:pgSz w:w="11900" w:h="16838" w:orient="portrait"/>
          <w:cols w:equalWidth="0" w:num="1">
            <w:col w:w="10139"/>
          </w:cols>
          <w:pgMar w:left="320" w:top="275" w:right="1440" w:bottom="1440" w:gutter="0" w:footer="0" w:header="0"/>
        </w:sectPr>
      </w:pPr>
    </w:p>
    <w:bookmarkStart w:id="164" w:name="page165"/>
    <w:bookmarkEnd w:id="164"/>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SUN COMMUNITIES, INC.</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Exhibit 21.1 – List of Subsidiaries,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NHC-FL105, LLC, a Delaware limited liability company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NHC-FL106, LLC, a Delaware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NHC-FL107, LLC, a Delaware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NHC-FL108, LLC, a Delaware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NHC-FL109, LLC, a Delaware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NHC-FL110, LLC, a Delaware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NHC-FL111, LLC, a Delaware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NHC-FL112, LLC, a Delaware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NHC-FL113, LLC, a Delaware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NHC-FL114, LLC, a Delaware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NHC-FL115, LLC, a Delaware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NHC-FL116, LLC, a Delaware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NHC-FL117, LLC, a Delaware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NHC-FL118, LLC, a Delaware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NHC-FL120, LLC, a Delaware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NHC-FL122, LLC, a Delaware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NHC-FL123, LLC, a Delaware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NHC-FL124, LLC, a Delaware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NHC-FL125, LLC, a Delaware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NHC-FL126, LLC, a Delaware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NHC-FL127, LLC, a Delaware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NHC-FL128, LLC, a Delaware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NHC-FL129, LLC, a Delaware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NHC-FL130, LLC, a Delaware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NHC-FL130A, LLC, a Delaware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NHC-FL131, LLC, a Delaware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NHC-FL132, LLC, a Delaware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NHC-FL133, LLC, a Delaware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NHC-FL134, LLC, a Delaware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NHC-FL135, LLC, a Delaware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NHC-FL136, LLC, a Delaware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NHC-FL137, LLC, a Delaware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NHC-FL138, LLC, a Delaware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NHC-FL139, LLC, a Delaware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NHC-FL140, LLC, a Delaware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NHC-FL141, LLC, a Delaware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NHC-FL142, LLC, a Delaware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NHC-FL143, LLC, a Delaware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NHC-FL144, LLC, a Delaware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NHC-FL145, LLC, a Delaware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NHC-FL201, LLC, a Delaware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NHC-FL202, LLC, a Delaware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NHC-FL203, LLC, a Delaware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NHC-FL204, LLC, a Delaware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NHC-FL205, LLC, a Delaware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NHC-FL206, LLC, a Delaware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NHC-FL207, LLC, a Delaware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NHC-FL208, LLC, a Delaware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NHC-FL209, LLC, 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9"/>
          <w:szCs w:val="19"/>
          <w:color w:val="auto"/>
        </w:rPr>
        <w:t>v</w:t>
      </w:r>
    </w:p>
    <w:p>
      <w:pPr>
        <w:sectPr>
          <w:pgSz w:w="11900" w:h="16838" w:orient="portrait"/>
          <w:cols w:equalWidth="0" w:num="1">
            <w:col w:w="10139"/>
          </w:cols>
          <w:pgMar w:left="320" w:top="275" w:right="1440" w:bottom="1440" w:gutter="0" w:footer="0" w:header="0"/>
        </w:sectPr>
      </w:pPr>
    </w:p>
    <w:bookmarkStart w:id="165" w:name="page166"/>
    <w:bookmarkEnd w:id="165"/>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SUN COMMUNITIES, INC.</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Exhibit 21.1 – List of Subsidiaries,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NHC-MA101, LLC, a Delaware limited liability company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NHC-NC101, LLC, a Delaware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NHC-NJ101, LLC, a Delaware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NHC-NJ102, LLC, a Delaware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NHC-NJ103, LLC, a Delaware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NHC-TX101, LLC, a Delaware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NHC-TX102, LLC, a Delaware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NHC-TX103, LLC, a Delaware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NHC-TX104, LLC, a Delaware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NHC Mezz Borrower LLC, a Delaware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North American Glamping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Northgate Golden Valley, LLC, a North Carolina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Northgate Ossipee Lessee, LLC, a New Hampshire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Northgate Ossipee, LLC, a New Hampshire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Northgate Ossipee Storage, LLC, a New Hampshire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NRVC-Holding Co. LLC, a Delaware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NRVC Valley Investment LLC, a Delaware limited liability company</w:t>
      </w:r>
    </w:p>
    <w:p>
      <w:pPr>
        <w:spacing w:after="0" w:line="6" w:lineRule="exact"/>
        <w:rPr>
          <w:sz w:val="20"/>
          <w:szCs w:val="20"/>
          <w:color w:val="auto"/>
        </w:rPr>
      </w:pPr>
    </w:p>
    <w:p>
      <w:pPr>
        <w:ind w:right="4519"/>
        <w:spacing w:after="0" w:line="248" w:lineRule="auto"/>
        <w:rPr>
          <w:sz w:val="20"/>
          <w:szCs w:val="20"/>
          <w:color w:val="auto"/>
        </w:rPr>
      </w:pPr>
      <w:r>
        <w:rPr>
          <w:rFonts w:ascii="Times New Roman" w:cs="Times New Roman" w:eastAsia="Times New Roman" w:hAnsi="Times New Roman"/>
          <w:sz w:val="17"/>
          <w:szCs w:val="17"/>
          <w:color w:val="auto"/>
        </w:rPr>
        <w:t>Oak Island Village Mobile Home Park, LLC, a Michigan limited liability company Oak Ridge, L.L.C., an Illinois limited liability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Ocean One Hundred Limited, a United Kingdom corporation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Old Kerrow Propco Limited, a Jersey private limited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Origen Financial Services LLC, a Delaware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Palm Creek Holdings LLC, an Arizona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Palm Key Village Holding, LLC, a Delaware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Palm Key Village Park, LLC, a Delaware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Park Leisure 2000 (Cornwall) Limited, an England corporation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Park Leisure 2000 Limited, an England corporation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Park Leisure 2000 (Northumberland) Limited, an England corporation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Park Leisure Group Limited, an England corporation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Park Holidays UK Finance Ltd, an England and Wales corporation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Park Holidays UK Limited, an England and Wales corporation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Park Place Community, L.L.C., a Delaware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Park Royale MHP, L.L.C, a Delaware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Pebble Creek Manager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Pelican Bay Communities, LLC, a Delaware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Pelican Commercial, LLC, a Delaware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Pemican Limited, a United Kingdom corporation</w:t>
      </w:r>
    </w:p>
    <w:p>
      <w:pPr>
        <w:spacing w:after="0" w:line="13" w:lineRule="exact"/>
        <w:rPr>
          <w:sz w:val="20"/>
          <w:szCs w:val="20"/>
          <w:color w:val="auto"/>
        </w:rPr>
      </w:pPr>
    </w:p>
    <w:p>
      <w:pPr>
        <w:ind w:right="4559"/>
        <w:spacing w:after="0" w:line="248" w:lineRule="auto"/>
        <w:rPr>
          <w:sz w:val="20"/>
          <w:szCs w:val="20"/>
          <w:color w:val="auto"/>
        </w:rPr>
      </w:pPr>
      <w:r>
        <w:rPr>
          <w:rFonts w:ascii="Times New Roman" w:cs="Times New Roman" w:eastAsia="Times New Roman" w:hAnsi="Times New Roman"/>
          <w:sz w:val="17"/>
          <w:szCs w:val="17"/>
          <w:color w:val="auto"/>
        </w:rPr>
        <w:t>Pinebrook Village Mobile Home Park, LLC, a Michigan limited liability company Preserve DeSoto One, LLC, a Delaware limited liability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Preserve DeSoto Two, LLC, a Delaware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Preserve Holding One, LLC, a Florida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Preserve Holding Two, LLC, a Florida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Prime-Forest Partners, a Florida general partnership</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Quarryville Resorts GP,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Quarryville Resorts, LP, a Pennsylvania limited partnership</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Quarryville TRS JV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Rancho Alipaz Owner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Rancho Alipaz Owner II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Rancho Alipaz Owner III LLC, a Michigan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9"/>
          <w:szCs w:val="19"/>
          <w:color w:val="auto"/>
        </w:rPr>
        <w:t>vi</w:t>
      </w:r>
    </w:p>
    <w:p>
      <w:pPr>
        <w:sectPr>
          <w:pgSz w:w="11900" w:h="16838" w:orient="portrait"/>
          <w:cols w:equalWidth="0" w:num="1">
            <w:col w:w="10139"/>
          </w:cols>
          <w:pgMar w:left="320" w:top="275" w:right="1440" w:bottom="1440" w:gutter="0" w:footer="0" w:header="0"/>
        </w:sectPr>
      </w:pPr>
    </w:p>
    <w:bookmarkStart w:id="166" w:name="page167"/>
    <w:bookmarkEnd w:id="166"/>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SUN COMMUNITIES, INC.</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Exhibit 21.1 – List of Subsidiaries,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R.E.Fund Newport, LLC, a Delaware limited liability company</w:t>
      </w:r>
    </w:p>
    <w:p>
      <w:pPr>
        <w:spacing w:after="0" w:line="19" w:lineRule="exact"/>
        <w:rPr>
          <w:sz w:val="20"/>
          <w:szCs w:val="20"/>
          <w:color w:val="auto"/>
        </w:rPr>
      </w:pPr>
    </w:p>
    <w:p>
      <w:pPr>
        <w:ind w:right="4879"/>
        <w:spacing w:after="0" w:line="248" w:lineRule="auto"/>
        <w:rPr>
          <w:sz w:val="20"/>
          <w:szCs w:val="20"/>
          <w:color w:val="auto"/>
        </w:rPr>
      </w:pPr>
      <w:r>
        <w:rPr>
          <w:rFonts w:ascii="Times New Roman" w:cs="Times New Roman" w:eastAsia="Times New Roman" w:hAnsi="Times New Roman"/>
          <w:sz w:val="17"/>
          <w:szCs w:val="17"/>
          <w:color w:val="auto"/>
        </w:rPr>
        <w:t>River Haven Operating Company LLC, a Michigan limited liability company River Ranch Manager LLC, a Michigan limited liability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Riverside Golf Course Community, L.L.C., a Delaware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Riverside Utilities, L.L.C., a Delaware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RMLPG, LLC, a Delaware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Route 27 Associates, LTD., a Florida limited partnership</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Royal Palm Village, L.L.C., a Delaware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Rudgate Clinton Estates Holdings,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Rudgate Clinton Estates SPE, LLC, a Delaware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Rudgate Clinton Holdings,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Rudgate Clinton SPE, LLC, a Delaware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Rudgate Village Holdings,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Rudgate Village SPE, LLC, a Delaware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Sand Le Mere Caravan Park Limited, an England and Wales corporation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Savanna Eagles Retreat, L.L.C., a Delaware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Savanna Landlord, L.L.C., a Delaware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Savanna Links, L.L.C., a Delaware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Savanna Preserve, L.L.C., a Delaware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SCF Manager Inc., a Michigan corporation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SC Henfold Vernon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SCI BidCo Limited, a Jersey-Channel Islands corporation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SCI OpCo Limited, a United Kingdom corporation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SCI SG Bidco Limited, an England corporation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Sea Breeze GP One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Sea Breeze Limited Partnership, a Delaware limited partnership</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Seaview Holiday Park Ltd, an England and Wales corporation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Seaview Holiday Village Limited, an England and Wales corporation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Shaddix Communities, LTD., a Florida limited partnership</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Sheffield MHP,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Silver Sands Leisure Park Limited, an England and Wales corporation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Sky Harbor Property, LLC, a Delaware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SNF Mezz 1 LLC, a Delaware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SNF Property LLC, a Delaware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SNF TRS LLC, a Delaware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Solar Energy Project AZ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Solar Energy Project CA II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Solar Energy Project III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Solar Energy Project IV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Solar Energy Project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Southgate – Dan at Spyglass Hill – Bidco Limited, an England corporation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Southgate – Dan at Spyglass Hill – Equityco Limited, a Jersey corporation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Southgate – Dan at Spyglass Hill – Holdco Limited, a Jersey corporation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Southgate – Dan at Spyglass Hill – Propco 1 Limited, an England corporation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Southgate – Dan at Spyglass Hill – Propco 2 Limited, an England corporation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Southport Springs Holding, LLC, a Delaware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Southport Springs Park, LLC, a Delaware limited liability company</w:t>
      </w:r>
    </w:p>
    <w:p>
      <w:pPr>
        <w:spacing w:after="0" w:line="13" w:lineRule="exact"/>
        <w:rPr>
          <w:sz w:val="20"/>
          <w:szCs w:val="20"/>
          <w:color w:val="auto"/>
        </w:rPr>
      </w:pPr>
    </w:p>
    <w:p>
      <w:pPr>
        <w:ind w:right="3899"/>
        <w:spacing w:after="0" w:line="288" w:lineRule="auto"/>
        <w:rPr>
          <w:sz w:val="20"/>
          <w:szCs w:val="20"/>
          <w:color w:val="auto"/>
        </w:rPr>
      </w:pPr>
      <w:r>
        <w:rPr>
          <w:rFonts w:ascii="Times New Roman" w:cs="Times New Roman" w:eastAsia="Times New Roman" w:hAnsi="Times New Roman"/>
          <w:sz w:val="16"/>
          <w:szCs w:val="16"/>
          <w:color w:val="auto"/>
        </w:rPr>
        <w:t>Southwood Village MHP Holding Company #1, LLC, a Michigan limited liability company Southwood Village Mobile Home Park, LLC, a Michigan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9"/>
          <w:szCs w:val="19"/>
          <w:color w:val="auto"/>
        </w:rPr>
        <w:t>vii</w:t>
      </w:r>
    </w:p>
    <w:p>
      <w:pPr>
        <w:sectPr>
          <w:pgSz w:w="11900" w:h="16838" w:orient="portrait"/>
          <w:cols w:equalWidth="0" w:num="1">
            <w:col w:w="10139"/>
          </w:cols>
          <w:pgMar w:left="320" w:top="275" w:right="1440" w:bottom="1440" w:gutter="0" w:footer="0" w:header="0"/>
        </w:sectPr>
      </w:pPr>
    </w:p>
    <w:bookmarkStart w:id="167" w:name="page168"/>
    <w:bookmarkEnd w:id="167"/>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SUN COMMUNITIES, INC.</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Exhibit 21.1 – List of Subsidiaries,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SR East LLC, a Delaware limited liability company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SR Hunter’s Crossing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SR Silver Springs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SR West II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SR West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SSI Amalco Real Estate Holdings ULC, a British Columbia ULC</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SSI Canada Property LP, a Delaware limited partnership</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SSI Mezz 1 GP Inc., an Ontario corporation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SSI Mezz 1 LP, a Delaware limited partnership</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SSI Mezz 2 GP Inc., an Ontario corporation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SSI Mezz 2 LP, a Delaware limited partnership</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SSI Property GP Inc., an Ontario corporation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SSI TRS GP Inc., an Ontario corporation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SSI TRS LP, an Ontario limited partnership</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Stockton Delta Resort, LLC, a California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Stonebridge Manager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Stonebrook Community, L.L.C., a Delaware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Stowford Propco Limited, a Jersey private limited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SUI TRS, Inc., a Michigan corporation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Summit Ridge Manager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47 North LLC, a Michigan limited liability company</w:t>
      </w:r>
    </w:p>
    <w:p>
      <w:pPr>
        <w:spacing w:after="0" w:line="8" w:lineRule="exact"/>
        <w:rPr>
          <w:sz w:val="20"/>
          <w:szCs w:val="20"/>
          <w:color w:val="auto"/>
        </w:rPr>
      </w:pPr>
    </w:p>
    <w:p>
      <w:pPr>
        <w:ind w:right="5019"/>
        <w:spacing w:after="0" w:line="248" w:lineRule="auto"/>
        <w:rPr>
          <w:sz w:val="20"/>
          <w:szCs w:val="20"/>
          <w:color w:val="auto"/>
        </w:rPr>
      </w:pPr>
      <w:r>
        <w:rPr>
          <w:rFonts w:ascii="Times New Roman" w:cs="Times New Roman" w:eastAsia="Times New Roman" w:hAnsi="Times New Roman"/>
          <w:sz w:val="17"/>
          <w:szCs w:val="17"/>
          <w:color w:val="auto"/>
        </w:rPr>
        <w:t>Sun 47 North Marketing Center LLC, a Michigan limited liability company Sun 49er Village RV LLC, a Michigan limited liability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Academy West Point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ACQ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ACQ II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Adirondack Gateway RV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AIOP GP LLC, a Delaware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Allendale Meadows LLC, a Michigan limited liability company</w:t>
      </w:r>
    </w:p>
    <w:p>
      <w:pPr>
        <w:spacing w:after="0" w:line="6" w:lineRule="exact"/>
        <w:rPr>
          <w:sz w:val="20"/>
          <w:szCs w:val="20"/>
          <w:color w:val="auto"/>
        </w:rPr>
      </w:pPr>
    </w:p>
    <w:p>
      <w:pPr>
        <w:ind w:right="2099"/>
        <w:spacing w:after="0" w:line="248" w:lineRule="auto"/>
        <w:rPr>
          <w:sz w:val="20"/>
          <w:szCs w:val="20"/>
          <w:color w:val="auto"/>
        </w:rPr>
      </w:pPr>
      <w:r>
        <w:rPr>
          <w:rFonts w:ascii="Times New Roman" w:cs="Times New Roman" w:eastAsia="Times New Roman" w:hAnsi="Times New Roman"/>
          <w:sz w:val="17"/>
          <w:szCs w:val="17"/>
          <w:color w:val="auto"/>
        </w:rPr>
        <w:t>Sun Andover LLC, a Michigan limited liability company Sun Apple Creek LLC, a Michigan limited liability company Sun Arbor Terrace LLC, a Michigan limited liability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Arbor Woods,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Archview RV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Ariana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Assignment II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Assignment,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Association Island RV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Augusta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Bay Country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Beachwood RV Resort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Bear Commercial,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Bear Lake Garden City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Beechwood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Bel Air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Big Timber RV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Birch Hill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Blazing Star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Blueberry Hill LLC, a Michigan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9"/>
          <w:szCs w:val="19"/>
          <w:color w:val="auto"/>
        </w:rPr>
        <w:t>viii</w:t>
      </w:r>
    </w:p>
    <w:p>
      <w:pPr>
        <w:sectPr>
          <w:pgSz w:w="11900" w:h="16838" w:orient="portrait"/>
          <w:cols w:equalWidth="0" w:num="1">
            <w:col w:w="10139"/>
          </w:cols>
          <w:pgMar w:left="320" w:top="275" w:right="1440" w:bottom="1440" w:gutter="0" w:footer="0" w:header="0"/>
        </w:sectPr>
      </w:pPr>
    </w:p>
    <w:bookmarkStart w:id="168" w:name="page169"/>
    <w:bookmarkEnd w:id="168"/>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SUN COMMUNITIES, INC.</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Exhibit 21.1 – List of Subsidiaries,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Bluebonnet LLC, a Michigan limited liability company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Bluewater Beach RV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Boulder Ridge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Branch Creek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Brookside Manor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Buena Vista MH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Bush River LLC, a Michigan limited liability company</w:t>
      </w:r>
    </w:p>
    <w:p>
      <w:pPr>
        <w:spacing w:after="0" w:line="6" w:lineRule="exact"/>
        <w:rPr>
          <w:sz w:val="20"/>
          <w:szCs w:val="20"/>
          <w:color w:val="auto"/>
        </w:rPr>
      </w:pPr>
    </w:p>
    <w:p>
      <w:pPr>
        <w:ind w:right="4819"/>
        <w:spacing w:after="0" w:line="248" w:lineRule="auto"/>
        <w:rPr>
          <w:sz w:val="20"/>
          <w:szCs w:val="20"/>
          <w:color w:val="auto"/>
        </w:rPr>
      </w:pPr>
      <w:r>
        <w:rPr>
          <w:rFonts w:ascii="Times New Roman" w:cs="Times New Roman" w:eastAsia="Times New Roman" w:hAnsi="Times New Roman"/>
          <w:sz w:val="17"/>
          <w:szCs w:val="17"/>
          <w:color w:val="auto"/>
        </w:rPr>
        <w:t>Sun BW Jelly-Mammoth Cave RV LLC, a Michigan limited liability company Sun Caliente Sands, LLC, a Michigan limited liability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Camelot Villa LLC, a Delaware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Canyonlands RV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Cape Cod RV LLC, a Massachusetts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Cape Cod RV II LLC, a Massachusetts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Cape Island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Carol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Carolina Pines RV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Carrington Pointe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Cave Creek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Cedar Springs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SunChamp Holdings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SunChamp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Charlevoix Estates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Cherrystone RV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Cherrywood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Chincoteague Island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Chula Vista Bayfront RV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Cider Mill Crossings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Clinton River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Club Naples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Coastal Plantation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Cobus Green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Colony in the Wood GP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Communities Acquisitions,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Communities Canada, Inc., an Ontario corporation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Communities Finance,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Communities Financial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Communities Funding GP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Communities Funding II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Communities Funding Limited Partnership, a Michigan limited partnership</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Communities Mezzanine Lender,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Communities Springing Corp., a Michigan corporation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Communities Texas Limited Partnership, a Michigan limited partnership</w:t>
      </w:r>
    </w:p>
    <w:p>
      <w:pPr>
        <w:spacing w:after="0" w:line="13" w:lineRule="exact"/>
        <w:rPr>
          <w:sz w:val="20"/>
          <w:szCs w:val="20"/>
          <w:color w:val="auto"/>
        </w:rPr>
      </w:pPr>
    </w:p>
    <w:p>
      <w:pPr>
        <w:ind w:right="3599"/>
        <w:spacing w:after="0" w:line="248" w:lineRule="auto"/>
        <w:rPr>
          <w:sz w:val="20"/>
          <w:szCs w:val="20"/>
          <w:color w:val="auto"/>
        </w:rPr>
      </w:pPr>
      <w:r>
        <w:rPr>
          <w:rFonts w:ascii="Times New Roman" w:cs="Times New Roman" w:eastAsia="Times New Roman" w:hAnsi="Times New Roman"/>
          <w:sz w:val="17"/>
          <w:szCs w:val="17"/>
          <w:color w:val="auto"/>
        </w:rPr>
        <w:t>Sun Communities Texas Mezzanine Lender Limited Partnership, a Michigan limited partnership Sun Compass RV, LLC, a Michigan limited liability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Continental North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Coolidge AZ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Country Lakes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Countryside Atlanta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Countryside Lake Lanier LLC, a Michigan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9"/>
          <w:szCs w:val="19"/>
          <w:color w:val="auto"/>
        </w:rPr>
        <w:t>ix</w:t>
      </w:r>
    </w:p>
    <w:p>
      <w:pPr>
        <w:sectPr>
          <w:pgSz w:w="11900" w:h="16838" w:orient="portrait"/>
          <w:cols w:equalWidth="0" w:num="1">
            <w:col w:w="10139"/>
          </w:cols>
          <w:pgMar w:left="320" w:top="275" w:right="1440" w:bottom="1440" w:gutter="0" w:footer="0" w:header="0"/>
        </w:sectPr>
      </w:pPr>
    </w:p>
    <w:bookmarkStart w:id="169" w:name="page170"/>
    <w:bookmarkEnd w:id="169"/>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SUN COMMUNITIES, INC.</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Exhibit 21.1 – List of Subsidiaries,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Country Village LLC, a Michigan limited liability company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Creeks Crossing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Crown Villa RV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Cutler Estates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Dos Pueblos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Driftwood RV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Dunedin Motel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Eagle Crest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Eleven Mile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Emerald Coast RV,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Emerald Coast RV Storage,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Financial,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Financial Texas Limited Partnership, a Michigan limited partnership</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Fisherman’s Cove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Flamingo Lake RV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FM2016 LLC, a Delaware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Foothills Fort Collins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Forest Hill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Sun/Forest Holdings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Sun/Forest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Forest Meadows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Forest Springs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Forest View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Fort Whaley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Fort Whaley TRS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Four Seasons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Fox Run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Frontier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Frontier TRS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Sungenia Development Pty Ltd, an Australian entity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Sungenia LandCo Pty Ltd, an Australian entity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Sungenia Land Trust, an Australian trust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Sungenia OpCo Pty Ltd, an Australian entity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Sungenia Operations Trust, an Australian trust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Gig Harbor RV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Gold Coaster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GP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Grand Lake Golf, Inc., a Michigan corporation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Grand Lake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Grove Beach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Groves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Gwinnett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Gwynn’s Island RV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Gypsum Mill Development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Gypsum Mill East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Gypsum Mill West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Haas Lake RV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Hacienda Del Rio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Hamlin LLC, a Michigan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9"/>
          <w:szCs w:val="19"/>
          <w:color w:val="auto"/>
        </w:rPr>
        <w:t>x</w:t>
      </w:r>
    </w:p>
    <w:p>
      <w:pPr>
        <w:sectPr>
          <w:pgSz w:w="11900" w:h="16838" w:orient="portrait"/>
          <w:cols w:equalWidth="0" w:num="1">
            <w:col w:w="10139"/>
          </w:cols>
          <w:pgMar w:left="320" w:top="275" w:right="1440" w:bottom="1440" w:gutter="0" w:footer="0" w:header="0"/>
        </w:sectPr>
      </w:pPr>
    </w:p>
    <w:bookmarkStart w:id="170" w:name="page171"/>
    <w:bookmarkEnd w:id="170"/>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SUN COMMUNITIES, INC.</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Exhibit 21.1 – List of Subsidiaries,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Hancock Heights LLC, a Michigan limited liability company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Hatch Court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Hawaiian Holly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HG Limited Partnership, a Michigan limited partnership</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Hid’n Pines RV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High Point QRS, Inc., a Michigan corporation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Highland Greens Estates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Hillcrest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Holiday Park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Holly Forest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Holly Shores RV Resort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Home Services Canada, Inc., an Ontario corporation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Home Services, Inc., a Michigan corporation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Hotel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Hunters Glen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Huntington Run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Hyde Park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INA Development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Independence Commons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Indian Creek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Indian Creek RV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Inlet Lender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Insurance, Inc., a Michigan corporation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IP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Island Lakes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Jaguar 1 LLC, a Delaware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Jaguar 2 LLC, a Delaware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Jaguar 3 LLC, a Delaware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Jaguar 4 LLC, a Delaware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Jaguar 5 LLC, a Delaware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Jaguar 6 LLC, a Delaware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Jaguar 7 LLC, a Delaware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Jaguar 8 LLC, a Delaware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Jaguar 9 LLC, a Delaware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Jaguar 10 LLC, a Delaware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Jaguar 11 LLC, a Delaware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Jelly-Birchwood NY RV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Jelly-Larkspur CO RV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Jelly-Natural Bridge RV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Jelly-WNY RV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Jensen LLC, a Delaware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Jetstream NASA RV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Kimberly Estates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King’s Court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Kings Lake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Knollwood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Lafayette Place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La Hacienda RV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Sunlake Estates Utilities, L.L.C., 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9"/>
          <w:szCs w:val="19"/>
          <w:color w:val="auto"/>
        </w:rPr>
        <w:t>xi</w:t>
      </w:r>
    </w:p>
    <w:p>
      <w:pPr>
        <w:sectPr>
          <w:pgSz w:w="11900" w:h="16838" w:orient="portrait"/>
          <w:cols w:equalWidth="0" w:num="1">
            <w:col w:w="10139"/>
          </w:cols>
          <w:pgMar w:left="320" w:top="275" w:right="1440" w:bottom="1440" w:gutter="0" w:footer="0" w:header="0"/>
        </w:sectPr>
      </w:pPr>
    </w:p>
    <w:bookmarkStart w:id="171" w:name="page172"/>
    <w:bookmarkEnd w:id="171"/>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SUN COMMUNITIES, INC.</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Exhibit 21.1 – List of Subsidiaries,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Lake Josephine RV LLC, a Michigan limited liability company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Lake Juliana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Lake Laurie RV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Lake Rudolph Gas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Lake Rudolph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Lake Rudolph TRS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Lake San Marino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Lakeridge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Lakeside Crossing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Lakeside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Lakeview CT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Lakeview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Lakeview Mobile Estates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Lantana Ranch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Laurel Heights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Lazy J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Leaf Verde RV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Leisure Point Resort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Lender RV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Life Associates Limited Partnership, an Arizona limited partnership</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Life Trailer Resort Limited Partnership, an Arizona limited partnership</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LIW GP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Marina Cove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Marysville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Massey’s Landing RV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Maui Jack’s Waterpark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Meadowbrook FL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Meadowlands Gibralter LLC, a Delaware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Meadows Lake LLC, a Delaware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Meadowstone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MHC Development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Millwood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Moab Valley RV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Mouse Mountain RV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Naples Gardens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Navarre Village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New England Village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Newpoint RV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NG Acquisitions LLC, a Michigan limited liability company</w:t>
      </w:r>
    </w:p>
    <w:p>
      <w:pPr>
        <w:spacing w:after="0" w:line="6" w:lineRule="exact"/>
        <w:rPr>
          <w:sz w:val="20"/>
          <w:szCs w:val="20"/>
          <w:color w:val="auto"/>
        </w:rPr>
      </w:pPr>
    </w:p>
    <w:p>
      <w:pPr>
        <w:ind w:right="4619"/>
        <w:spacing w:after="0" w:line="248" w:lineRule="auto"/>
        <w:rPr>
          <w:sz w:val="20"/>
          <w:szCs w:val="20"/>
          <w:color w:val="auto"/>
        </w:rPr>
      </w:pPr>
      <w:r>
        <w:rPr>
          <w:rFonts w:ascii="Times New Roman" w:cs="Times New Roman" w:eastAsia="Times New Roman" w:hAnsi="Times New Roman"/>
          <w:sz w:val="17"/>
          <w:szCs w:val="17"/>
          <w:color w:val="auto"/>
        </w:rPr>
        <w:t>Sun NG Barryville Lot 8 RV Limited Partnership, a Michigan limited partnership Sun NG Barryville RV LLC, a Michigan limited liability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NG Beaver Brook RV LLC, a Michigan limited liability company</w:t>
      </w:r>
    </w:p>
    <w:p>
      <w:pPr>
        <w:spacing w:after="0" w:line="13" w:lineRule="exact"/>
        <w:rPr>
          <w:sz w:val="20"/>
          <w:szCs w:val="20"/>
          <w:color w:val="auto"/>
        </w:rPr>
      </w:pPr>
    </w:p>
    <w:p>
      <w:pPr>
        <w:ind w:right="4579"/>
        <w:spacing w:after="0" w:line="248" w:lineRule="auto"/>
        <w:rPr>
          <w:sz w:val="20"/>
          <w:szCs w:val="20"/>
          <w:color w:val="auto"/>
        </w:rPr>
      </w:pPr>
      <w:r>
        <w:rPr>
          <w:rFonts w:ascii="Times New Roman" w:cs="Times New Roman" w:eastAsia="Times New Roman" w:hAnsi="Times New Roman"/>
          <w:sz w:val="17"/>
          <w:szCs w:val="17"/>
          <w:color w:val="auto"/>
        </w:rPr>
        <w:t>Sun NG Cedar Rapids Home Services LLC, a Michigan limited liability company Sun NG Cedar Rapids RV LLC, a Michigan limited liability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NG Cisco Grove RV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NG Coyote Ranch Home Services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NG Coyote Ranch RV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NG Glen Ellis RV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NG Hospitality Creek Home Services LLC, a Michigan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9"/>
          <w:szCs w:val="19"/>
          <w:color w:val="auto"/>
        </w:rPr>
        <w:t>xii</w:t>
      </w:r>
    </w:p>
    <w:p>
      <w:pPr>
        <w:sectPr>
          <w:pgSz w:w="11900" w:h="16838" w:orient="portrait"/>
          <w:cols w:equalWidth="0" w:num="1">
            <w:col w:w="10139"/>
          </w:cols>
          <w:pgMar w:left="320" w:top="275" w:right="1440" w:bottom="1440" w:gutter="0" w:footer="0" w:header="0"/>
        </w:sectPr>
      </w:pPr>
    </w:p>
    <w:bookmarkStart w:id="172" w:name="page173"/>
    <w:bookmarkEnd w:id="172"/>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SUN COMMUNITIES, INC.</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Exhibit 21.1 – List of Subsidiaries,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NG Hospitality Creek LLC, a Michigan limited liability company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NG Jelly-Barton Lake RV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NG Jelly-Lone Star TX RV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NG Kittatinny RV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NG Lackawaxen RV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NG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NG Matamoras RV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NG PE Barryville Holdings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NG Pond Eddy Lot 39 RV Limited Partnership, a Michigan limited partnership</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NG Pond Eddy RV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NG River Beach RV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NG RV Resorts LLC, a Delaware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NG TRS Barryville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NG TRS Beaver Brook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NG TRS Cedar Rapids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NG TRS Cisco Grove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NG TRS Coyote Ranch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NG TRS Glen Ellis LLC, a Michigan limited liability company</w:t>
      </w:r>
    </w:p>
    <w:p>
      <w:pPr>
        <w:spacing w:after="0" w:line="8" w:lineRule="exact"/>
        <w:rPr>
          <w:sz w:val="20"/>
          <w:szCs w:val="20"/>
          <w:color w:val="auto"/>
        </w:rPr>
      </w:pPr>
    </w:p>
    <w:p>
      <w:pPr>
        <w:ind w:right="5019"/>
        <w:spacing w:after="0" w:line="267" w:lineRule="auto"/>
        <w:rPr>
          <w:sz w:val="20"/>
          <w:szCs w:val="20"/>
          <w:color w:val="auto"/>
        </w:rPr>
      </w:pPr>
      <w:r>
        <w:rPr>
          <w:rFonts w:ascii="Times New Roman" w:cs="Times New Roman" w:eastAsia="Times New Roman" w:hAnsi="Times New Roman"/>
          <w:sz w:val="16"/>
          <w:szCs w:val="16"/>
          <w:color w:val="auto"/>
        </w:rPr>
        <w:t>Sun NG TRS Hospitality Creek LLC, a Michigan limited liability company Sun NG TRS Jelly-Barton LLC, a Michigan limited liability company</w:t>
      </w:r>
    </w:p>
    <w:p>
      <w:pPr>
        <w:ind w:right="4919"/>
        <w:spacing w:after="0" w:line="264" w:lineRule="auto"/>
        <w:rPr>
          <w:sz w:val="20"/>
          <w:szCs w:val="20"/>
          <w:color w:val="auto"/>
        </w:rPr>
      </w:pPr>
      <w:r>
        <w:rPr>
          <w:rFonts w:ascii="Times New Roman" w:cs="Times New Roman" w:eastAsia="Times New Roman" w:hAnsi="Times New Roman"/>
          <w:sz w:val="16"/>
          <w:szCs w:val="16"/>
          <w:color w:val="auto"/>
        </w:rPr>
        <w:t>Sun NG TRS Jelly-Lone Star TX LLC, a Michigan limited liability company Sun NG TRS Kittatinny LLC, a Michigan limited liability company</w:t>
      </w:r>
    </w:p>
    <w:p>
      <w:pPr>
        <w:spacing w:after="0"/>
        <w:rPr>
          <w:sz w:val="20"/>
          <w:szCs w:val="20"/>
          <w:color w:val="auto"/>
        </w:rPr>
      </w:pPr>
      <w:r>
        <w:rPr>
          <w:rFonts w:ascii="Times New Roman" w:cs="Times New Roman" w:eastAsia="Times New Roman" w:hAnsi="Times New Roman"/>
          <w:sz w:val="17"/>
          <w:szCs w:val="17"/>
          <w:color w:val="auto"/>
        </w:rPr>
        <w:t>Sun NG TRS Lackawaxen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NG TRS Matamoras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NG TRS Pond Eddy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NG TRS River Beach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North Lake Estates LLC, a Michigan limited liability company</w:t>
      </w:r>
    </w:p>
    <w:p>
      <w:pPr>
        <w:spacing w:after="0" w:line="6" w:lineRule="exact"/>
        <w:rPr>
          <w:sz w:val="20"/>
          <w:szCs w:val="20"/>
          <w:color w:val="auto"/>
        </w:rPr>
      </w:pPr>
    </w:p>
    <w:p>
      <w:pPr>
        <w:ind w:right="5019"/>
        <w:spacing w:after="0" w:line="248" w:lineRule="auto"/>
        <w:rPr>
          <w:sz w:val="20"/>
          <w:szCs w:val="20"/>
          <w:color w:val="auto"/>
        </w:rPr>
      </w:pPr>
      <w:r>
        <w:rPr>
          <w:rFonts w:ascii="Times New Roman" w:cs="Times New Roman" w:eastAsia="Times New Roman" w:hAnsi="Times New Roman"/>
          <w:sz w:val="17"/>
          <w:szCs w:val="17"/>
          <w:color w:val="auto"/>
        </w:rPr>
        <w:t>Sun Northville Crossing Owner LLC, a Michigan limited liability company Sun Oakcrest LLC, a Michigan limited liability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Oakcrest II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Oak Grove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SUNOA,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Ocean Pines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Oceanside Beachfront RV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Ocean West Expansion,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Ocean West,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Orange City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Orange Tree LLC, a Michigan limited liability company</w:t>
      </w:r>
    </w:p>
    <w:p>
      <w:pPr>
        <w:spacing w:after="0" w:line="8" w:lineRule="exact"/>
        <w:rPr>
          <w:sz w:val="20"/>
          <w:szCs w:val="20"/>
          <w:color w:val="auto"/>
        </w:rPr>
      </w:pPr>
    </w:p>
    <w:p>
      <w:pPr>
        <w:ind w:right="4719"/>
        <w:spacing w:after="0" w:line="248" w:lineRule="auto"/>
        <w:rPr>
          <w:sz w:val="20"/>
          <w:szCs w:val="20"/>
          <w:color w:val="auto"/>
        </w:rPr>
      </w:pPr>
      <w:r>
        <w:rPr>
          <w:rFonts w:ascii="Times New Roman" w:cs="Times New Roman" w:eastAsia="Times New Roman" w:hAnsi="Times New Roman"/>
          <w:sz w:val="17"/>
          <w:szCs w:val="17"/>
          <w:color w:val="auto"/>
        </w:rPr>
        <w:t>Sun Pandion Ridge Commercial RV LLC, a Michigan limited liability company Sun Pandion Ridge RV LLC, a Michigan limited liability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Park Owned Homes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Parkhurst Estates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Paso Robles RV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Pearwood RV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Pecan Park RV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Peters Pond RV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Petoskey RV, LLC, a Michigan limited liability company</w:t>
      </w:r>
    </w:p>
    <w:p>
      <w:pPr>
        <w:spacing w:after="0" w:line="13" w:lineRule="exact"/>
        <w:rPr>
          <w:sz w:val="20"/>
          <w:szCs w:val="20"/>
          <w:color w:val="auto"/>
        </w:rPr>
      </w:pPr>
    </w:p>
    <w:p>
      <w:pPr>
        <w:ind w:right="4979"/>
        <w:spacing w:after="0" w:line="257" w:lineRule="auto"/>
        <w:rPr>
          <w:sz w:val="20"/>
          <w:szCs w:val="20"/>
          <w:color w:val="auto"/>
        </w:rPr>
      </w:pPr>
      <w:r>
        <w:rPr>
          <w:rFonts w:ascii="Times New Roman" w:cs="Times New Roman" w:eastAsia="Times New Roman" w:hAnsi="Times New Roman"/>
          <w:sz w:val="17"/>
          <w:szCs w:val="17"/>
          <w:color w:val="auto"/>
        </w:rPr>
        <w:t>Sun Petoskey RV Kampgrounds LLC, a Michigan limited liability company Sun Pheasant Ridge LLC, a Michigan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9"/>
          <w:szCs w:val="19"/>
          <w:color w:val="auto"/>
        </w:rPr>
        <w:t>xiii</w:t>
      </w:r>
    </w:p>
    <w:p>
      <w:pPr>
        <w:sectPr>
          <w:pgSz w:w="11900" w:h="16838" w:orient="portrait"/>
          <w:cols w:equalWidth="0" w:num="1">
            <w:col w:w="10139"/>
          </w:cols>
          <w:pgMar w:left="320" w:top="275" w:right="1440" w:bottom="1440" w:gutter="0" w:footer="0" w:header="0"/>
        </w:sectPr>
      </w:pPr>
    </w:p>
    <w:bookmarkStart w:id="173" w:name="page174"/>
    <w:bookmarkEnd w:id="173"/>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SUN COMMUNITIES, INC.</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Exhibit 21.1 – List of Subsidiaries,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Pheasant Ridge RV LLC, a Michigan limited liability company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Pine Acre Trails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Pine Hills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Pine Ridge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Pine Trace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Pineview Estates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Pleasant Acres RV Resort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Pony Express RV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Pool 1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Pool 3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PreAcq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QRS Pool 1, Inc., a Michigan corporation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QRS Pool 4, Inc., a Michigan corporation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QRS Pool 9, Inc., a Michigan corporation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QRS Pool 13, Inc., a Michigan corporation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QRS Pool A, Inc., a Michigan corporation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QRS Pool B, Inc., a Michigan corporation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QRS Ridge, Inc., a Michigan corporation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QRS Sheffield, Inc., a Michigan corporation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Rainbow RV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Rancho Alipaz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Receivables LLC, a Delaware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Reflections on Silver Lake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Resort Amenities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Reunion Lake RV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Richmond Industrial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Richmond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River Plantation RV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River Plantation TRS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River Ridge II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River Ridge MI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River Run Ranch RV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Riverside Drive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Riverside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Rock Crusher Canyon RV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Rocky Mountain RV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Rolling Hills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Roxbury Park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RV Sunset Lakes,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Saco RV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Saddle Brook Limited Partnership, a Michigan limited partnership</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Saddle Oak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Scio Farms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Sea Breeze QRS, Inc., a Michigan corporation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Seaport RV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Seashore RV,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Secured Financing Houston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Secured Financing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Secured Springing LLC, a Michigan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9"/>
          <w:szCs w:val="19"/>
          <w:color w:val="auto"/>
        </w:rPr>
        <w:t>xiv</w:t>
      </w:r>
    </w:p>
    <w:p>
      <w:pPr>
        <w:sectPr>
          <w:pgSz w:w="11900" w:h="16838" w:orient="portrait"/>
          <w:cols w:equalWidth="0" w:num="1">
            <w:col w:w="10139"/>
          </w:cols>
          <w:pgMar w:left="320" w:top="275" w:right="1440" w:bottom="1440" w:gutter="0" w:footer="0" w:header="0"/>
        </w:sectPr>
      </w:pPr>
    </w:p>
    <w:bookmarkStart w:id="174" w:name="page175"/>
    <w:bookmarkEnd w:id="174"/>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SUN COMMUNITIES, INC.</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Exhibit 21.1 – List of Subsidiaries,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Sunset Ridge Manager LLC, a Michigan limited liability company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Shelby Forest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Shelby West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Shell 2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Shell 3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Shell 4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Shell 5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Shell 6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Shenandoah Acres RV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Sherwood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Siesta Bay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Siesta Bay Vacant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Silver Creek RV Resort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Silver Creek RV Resort II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Silver Star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Slickrock RV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Smith Creek Crossing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Southern Leisure RV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Southern Palms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Springrove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Stoneridge Villas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Strafford Lake RV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Sunlake Estates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Sunrise Estates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Sunset Beach RV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Sylvan Crossing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Sylvan Glen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Sylvan Lender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Tampa East,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Tanglewood Village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Texas QRS, Inc., a Michigan corporation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The Colony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The Preserve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The Willows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Themeworld RV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Three Gardens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Three Lakes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Town &amp; Country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Tranquility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Troy Villa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49er Village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Archview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Association Island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Beachwood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Big Timber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Blazing Star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Blueberry Hill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Blue Heron Pines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Bluewater Beach LLC, a Michigan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9"/>
          <w:szCs w:val="19"/>
          <w:color w:val="auto"/>
        </w:rPr>
        <w:t>xv</w:t>
      </w:r>
    </w:p>
    <w:p>
      <w:pPr>
        <w:sectPr>
          <w:pgSz w:w="11900" w:h="16838" w:orient="portrait"/>
          <w:cols w:equalWidth="0" w:num="1">
            <w:col w:w="10139"/>
          </w:cols>
          <w:pgMar w:left="320" w:top="275" w:right="1440" w:bottom="1440" w:gutter="0" w:footer="0" w:header="0"/>
        </w:sectPr>
      </w:pPr>
    </w:p>
    <w:bookmarkStart w:id="175" w:name="page176"/>
    <w:bookmarkEnd w:id="175"/>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SUN COMMUNITIES, INC.</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Exhibit 21.1 – List of Subsidiaries,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Buttonwood Bay LLC, a Michigan limited liability company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Canyonlands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Cape Cod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Carolina Pines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Castaways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Castaways SPE, Inc., a Michigan corporation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Cava Robles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Cherrystone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Chincoteague Island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Costa Vista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Crown Villa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Cypress Greens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Driftwood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El Capitan/Ocean Mesa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Flamingo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Gas Archview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Gas Canyonlands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Gwynn’s Island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Haas Lake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Hidden Ridge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Hid N Pines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Hill Country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Holly Shores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Homosassa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Indian Creek FL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Indian Creek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Islamorado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Jelly-Birchwood NY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Jelly-Larkspur CO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Jelly-Mammoth Cave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Jelly-Natural Bridge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Jelly-WNY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La Hacienda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Lake Laurie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Leaf Verde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Leisure Point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LIW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LL Castaways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LL Southport Springs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Massey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Maui Jack’s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Moab Valley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Mouse Mountain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NASA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Newpoint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Northgate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North Lake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Ocean Breeze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Ocean Club LLC, a Michigan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9"/>
          <w:szCs w:val="19"/>
          <w:color w:val="auto"/>
        </w:rPr>
        <w:t>xvi</w:t>
      </w:r>
    </w:p>
    <w:p>
      <w:pPr>
        <w:sectPr>
          <w:pgSz w:w="11900" w:h="16838" w:orient="portrait"/>
          <w:cols w:equalWidth="0" w:num="1">
            <w:col w:w="10139"/>
          </w:cols>
          <w:pgMar w:left="320" w:top="275" w:right="1440" w:bottom="1440" w:gutter="0" w:footer="0" w:header="0"/>
        </w:sectPr>
      </w:pPr>
    </w:p>
    <w:bookmarkStart w:id="176" w:name="page177"/>
    <w:bookmarkEnd w:id="176"/>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SUN COMMUNITIES, INC.</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Exhibit 21.1 – List of Subsidiaries,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5019"/>
        <w:spacing w:after="0" w:line="255" w:lineRule="auto"/>
        <w:rPr>
          <w:sz w:val="20"/>
          <w:szCs w:val="20"/>
          <w:color w:val="auto"/>
        </w:rPr>
      </w:pPr>
      <w:r>
        <w:rPr>
          <w:rFonts w:ascii="Times New Roman" w:cs="Times New Roman" w:eastAsia="Times New Roman" w:hAnsi="Times New Roman"/>
          <w:sz w:val="17"/>
          <w:szCs w:val="17"/>
          <w:color w:val="auto"/>
        </w:rPr>
        <w:t>Sun TRS Oceanside Beachfront LLC, a Michigan limited liability company Sun TRS Palm Creek LLC, a Michigan limited liability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Pandion Ridge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Pecan Park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Peters Pond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Petoskey Kampgrounds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Pheasant Ridge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Pleasant Acres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Reunion Lake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River Plantation Aerial Park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River Run Ranch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Riverside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Rock Crusher Canyon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Saco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Sands RV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Seaport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Seashore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Shenandoah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Siesta Bay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Slickrock RV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Southern Leisure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Southport Springs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Strafford Lake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Sun N Fun RV Resort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Sunset Beach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Sunset Lakes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The Hamptons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Vines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Wagon Wheel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Wells Beach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Westward Ho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Wild Acres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TRS Wine Country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UK Holding LLC, a Delaware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Vacation Rentals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Valley Arizona, L.L.C., a Delaware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Ventures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Villa MHC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Vines RV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Vista Del Lago LLC, a Delaware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Wagon Wheel RV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Water Oak Expansion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Water Oak Golf, Inc., a Michigan corporation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Wells Beach RV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Westbrook Senior Village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Westward Ho RV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Wild Acres RV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Willow Bend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Windham Hills LLC, a Michigan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9"/>
          <w:szCs w:val="19"/>
          <w:color w:val="auto"/>
        </w:rPr>
        <w:t>xvii</w:t>
      </w:r>
    </w:p>
    <w:p>
      <w:pPr>
        <w:sectPr>
          <w:pgSz w:w="11900" w:h="16838" w:orient="portrait"/>
          <w:cols w:equalWidth="0" w:num="1">
            <w:col w:w="10139"/>
          </w:cols>
          <w:pgMar w:left="320" w:top="275" w:right="1440" w:bottom="1440" w:gutter="0" w:footer="0" w:header="0"/>
        </w:sectPr>
      </w:pPr>
    </w:p>
    <w:bookmarkStart w:id="177" w:name="page178"/>
    <w:bookmarkEnd w:id="177"/>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SUN COMMUNITIES, INC.</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Exhibit 21.1 – List of Subsidiaries,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Wine Country RV LLC, a Michigan limited liability company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Woodsmoke RV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 Yankee Village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Sun/York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Sycamore Village MHP Holding Company #1, LLC, a Michigan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Sycamore Village Mobile Home Park,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Tamarac Village Mobile Home Park, LLC, a Michigan limited liability company</w:t>
      </w:r>
    </w:p>
    <w:p>
      <w:pPr>
        <w:spacing w:after="0" w:line="6" w:lineRule="exact"/>
        <w:rPr>
          <w:sz w:val="20"/>
          <w:szCs w:val="20"/>
          <w:color w:val="auto"/>
        </w:rPr>
      </w:pPr>
    </w:p>
    <w:p>
      <w:pPr>
        <w:ind w:right="4939"/>
        <w:spacing w:after="0" w:line="248" w:lineRule="auto"/>
        <w:rPr>
          <w:sz w:val="20"/>
          <w:szCs w:val="20"/>
          <w:color w:val="auto"/>
        </w:rPr>
      </w:pPr>
      <w:r>
        <w:rPr>
          <w:rFonts w:ascii="Times New Roman" w:cs="Times New Roman" w:eastAsia="Times New Roman" w:hAnsi="Times New Roman"/>
          <w:sz w:val="17"/>
          <w:szCs w:val="17"/>
          <w:color w:val="auto"/>
        </w:rPr>
        <w:t>The South Devon Holiday Parks Limited, an England and Wales corporation Thorney Bay Park Limited, a United Kingdom corporation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Tiger Bidco Ltd, an England and Wales corporation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Tiger Debtco Ltd, an England and Wales corporation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Tiger Group Ltd, an England and Wales corporation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Tiger Midco Ltd, an England and Wales corporation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Tiger Topco 1 Ltd, an England and Wales corporation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Time GB (SB) Limited, an England corporation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Tower Park &amp; Marina TRS JV LLC, a Michigan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Tower Park Restaurant, LLC, a California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Vizcaya Lakes Communities, LLC, a Delaware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Walden Woods Utility LLC, a Michigan limited liability company</w:t>
      </w:r>
    </w:p>
    <w:p>
      <w:pPr>
        <w:spacing w:after="0" w:line="6" w:lineRule="exact"/>
        <w:rPr>
          <w:sz w:val="20"/>
          <w:szCs w:val="20"/>
          <w:color w:val="auto"/>
        </w:rPr>
      </w:pPr>
    </w:p>
    <w:p>
      <w:pPr>
        <w:ind w:right="3699"/>
        <w:spacing w:after="0" w:line="253" w:lineRule="auto"/>
        <w:rPr>
          <w:sz w:val="20"/>
          <w:szCs w:val="20"/>
          <w:color w:val="auto"/>
        </w:rPr>
      </w:pPr>
      <w:r>
        <w:rPr>
          <w:rFonts w:ascii="Times New Roman" w:cs="Times New Roman" w:eastAsia="Times New Roman" w:hAnsi="Times New Roman"/>
          <w:sz w:val="17"/>
          <w:szCs w:val="17"/>
          <w:color w:val="auto"/>
        </w:rPr>
        <w:t>Warren Dunes Village MHP Holding Company #1, LLC, a Michigan limited liability company Warren Dunes Village MHP, LLC, a Delaware limited liability company</w:t>
      </w:r>
    </w:p>
    <w:p>
      <w:pPr>
        <w:spacing w:after="0"/>
        <w:rPr>
          <w:sz w:val="20"/>
          <w:szCs w:val="20"/>
          <w:color w:val="auto"/>
        </w:rPr>
      </w:pPr>
      <w:r>
        <w:rPr>
          <w:rFonts w:ascii="Times New Roman" w:cs="Times New Roman" w:eastAsia="Times New Roman" w:hAnsi="Times New Roman"/>
          <w:sz w:val="17"/>
          <w:szCs w:val="17"/>
          <w:color w:val="auto"/>
        </w:rPr>
        <w:t>Waverly Shores Village II LLC, a Michigan limited liability company</w:t>
      </w:r>
    </w:p>
    <w:p>
      <w:pPr>
        <w:spacing w:after="0" w:line="6" w:lineRule="exact"/>
        <w:rPr>
          <w:sz w:val="20"/>
          <w:szCs w:val="20"/>
          <w:color w:val="auto"/>
        </w:rPr>
      </w:pPr>
    </w:p>
    <w:p>
      <w:pPr>
        <w:ind w:right="4179"/>
        <w:spacing w:after="0" w:line="248" w:lineRule="auto"/>
        <w:rPr>
          <w:sz w:val="20"/>
          <w:szCs w:val="20"/>
          <w:color w:val="auto"/>
        </w:rPr>
      </w:pPr>
      <w:r>
        <w:rPr>
          <w:rFonts w:ascii="Times New Roman" w:cs="Times New Roman" w:eastAsia="Times New Roman" w:hAnsi="Times New Roman"/>
          <w:sz w:val="17"/>
          <w:szCs w:val="17"/>
          <w:color w:val="auto"/>
        </w:rPr>
        <w:t>Waverly Shores Village Mobile Home Park, LLC, a Michigan limited liability company Westward Shores TRS JV LLC, a Michigan limited liability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Wildwood Sales TRS, LLC, a Delaware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Windmill Village Holding, LLC, a Delaware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Windmill Village Park, LLC, a Delaware limited liability company</w:t>
      </w:r>
    </w:p>
    <w:p>
      <w:pPr>
        <w:spacing w:after="0" w:line="6" w:lineRule="exact"/>
        <w:rPr>
          <w:sz w:val="20"/>
          <w:szCs w:val="20"/>
          <w:color w:val="auto"/>
        </w:rPr>
      </w:pPr>
    </w:p>
    <w:p>
      <w:pPr>
        <w:ind w:right="3599"/>
        <w:spacing w:after="0" w:line="264" w:lineRule="auto"/>
        <w:rPr>
          <w:sz w:val="20"/>
          <w:szCs w:val="20"/>
          <w:color w:val="auto"/>
        </w:rPr>
      </w:pPr>
      <w:r>
        <w:rPr>
          <w:rFonts w:ascii="Times New Roman" w:cs="Times New Roman" w:eastAsia="Times New Roman" w:hAnsi="Times New Roman"/>
          <w:sz w:val="16"/>
          <w:szCs w:val="16"/>
          <w:color w:val="auto"/>
        </w:rPr>
        <w:t>Windsor Woods Village MHP Holding Company #1, LLC, a Michigan limited liability company Windsor Woods Village Mobile Home Park, LLC, a Michigan limited liability company</w:t>
      </w:r>
    </w:p>
    <w:p>
      <w:pPr>
        <w:spacing w:after="0"/>
        <w:rPr>
          <w:sz w:val="20"/>
          <w:szCs w:val="20"/>
          <w:color w:val="auto"/>
        </w:rPr>
      </w:pPr>
      <w:r>
        <w:rPr>
          <w:rFonts w:ascii="Times New Roman" w:cs="Times New Roman" w:eastAsia="Times New Roman" w:hAnsi="Times New Roman"/>
          <w:sz w:val="17"/>
          <w:szCs w:val="17"/>
          <w:color w:val="auto"/>
        </w:rPr>
        <w:t>WM Pismo Beach Holdings, LLC, a Delaware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Woodlake Manager LLC, a Michigan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Woodlands Church Lake, L.L.C., a Delaware limited liability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W.S.G. Operating Company Ltd, an England and Wales corporation</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9"/>
          <w:szCs w:val="19"/>
          <w:color w:val="auto"/>
        </w:rPr>
        <w:t>xviii</w:t>
      </w:r>
    </w:p>
    <w:p>
      <w:pPr>
        <w:sectPr>
          <w:pgSz w:w="11900" w:h="16838" w:orient="portrait"/>
          <w:cols w:equalWidth="0" w:num="1">
            <w:col w:w="10139"/>
          </w:cols>
          <w:pgMar w:left="320" w:top="275" w:right="1440" w:bottom="144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203"/>
        </w:trPr>
        <w:tc>
          <w:tcPr>
            <w:tcW w:w="3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40" w:type="dxa"/>
            <w:vAlign w:val="bottom"/>
            <w:gridSpan w:val="2"/>
          </w:tcPr>
          <w:p>
            <w:pPr>
              <w:ind w:left="1040"/>
              <w:spacing w:after="0"/>
              <w:rPr>
                <w:sz w:val="20"/>
                <w:szCs w:val="20"/>
                <w:color w:val="auto"/>
              </w:rPr>
            </w:pPr>
            <w:r>
              <w:rPr>
                <w:rFonts w:ascii="Times New Roman" w:cs="Times New Roman" w:eastAsia="Times New Roman" w:hAnsi="Times New Roman"/>
                <w:sz w:val="15"/>
                <w:szCs w:val="15"/>
                <w:b w:val="1"/>
                <w:bCs w:val="1"/>
                <w:color w:val="auto"/>
              </w:rPr>
              <w:t>List of Issuers of Guaranteed Securities</w:t>
            </w:r>
          </w:p>
        </w:tc>
        <w:tc>
          <w:tcPr>
            <w:tcW w:w="3040" w:type="dxa"/>
            <w:vAlign w:val="bottom"/>
          </w:tcPr>
          <w:p>
            <w:pPr>
              <w:spacing w:after="0"/>
              <w:rPr>
                <w:sz w:val="17"/>
                <w:szCs w:val="17"/>
                <w:color w:val="auto"/>
              </w:rPr>
            </w:pPr>
          </w:p>
        </w:tc>
      </w:tr>
      <w:tr>
        <w:trPr>
          <w:trHeight w:val="394"/>
        </w:trPr>
        <w:tc>
          <w:tcPr>
            <w:tcW w:w="822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As of February 25, 2026, the debt instruments indicated below are fully and unconditionally guaranteed by Sun Communities, Inc.</w:t>
            </w:r>
          </w:p>
        </w:tc>
        <w:tc>
          <w:tcPr>
            <w:tcW w:w="3040" w:type="dxa"/>
            <w:vAlign w:val="bottom"/>
          </w:tcPr>
          <w:p>
            <w:pPr>
              <w:spacing w:after="0"/>
              <w:rPr>
                <w:sz w:val="24"/>
                <w:szCs w:val="24"/>
                <w:color w:val="auto"/>
              </w:rPr>
            </w:pPr>
          </w:p>
        </w:tc>
      </w:tr>
      <w:tr>
        <w:trPr>
          <w:trHeight w:val="428"/>
        </w:trPr>
        <w:tc>
          <w:tcPr>
            <w:tcW w:w="32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Debt Instrument</w:t>
            </w:r>
          </w:p>
        </w:tc>
        <w:tc>
          <w:tcPr>
            <w:tcW w:w="49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Issuer</w:t>
            </w:r>
          </w:p>
        </w:tc>
        <w:tc>
          <w:tcPr>
            <w:tcW w:w="30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Jurisdiction of Organization</w:t>
            </w:r>
          </w:p>
        </w:tc>
      </w:tr>
      <w:tr>
        <w:trPr>
          <w:trHeight w:val="189"/>
        </w:trPr>
        <w:tc>
          <w:tcPr>
            <w:tcW w:w="3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2.3% Senior Notes due 2028</w:t>
            </w:r>
          </w:p>
        </w:tc>
        <w:tc>
          <w:tcPr>
            <w:tcW w:w="100" w:type="dxa"/>
            <w:vAlign w:val="bottom"/>
            <w:tcBorders>
              <w:top w:val="single" w:sz="8" w:color="CCEEFF"/>
            </w:tcBorders>
            <w:shd w:val="clear" w:color="auto" w:fill="CCEEFF"/>
          </w:tcPr>
          <w:p>
            <w:pPr>
              <w:spacing w:after="0"/>
              <w:rPr>
                <w:sz w:val="16"/>
                <w:szCs w:val="16"/>
                <w:color w:val="auto"/>
              </w:rPr>
            </w:pPr>
          </w:p>
        </w:tc>
        <w:tc>
          <w:tcPr>
            <w:tcW w:w="4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Sun Communities Operating Limited Partnership</w:t>
            </w:r>
          </w:p>
        </w:tc>
        <w:tc>
          <w:tcPr>
            <w:tcW w:w="100" w:type="dxa"/>
            <w:vAlign w:val="bottom"/>
            <w:tcBorders>
              <w:top w:val="single" w:sz="8" w:color="CCEEFF"/>
            </w:tcBorders>
            <w:shd w:val="clear" w:color="auto" w:fill="CCEEFF"/>
          </w:tcPr>
          <w:p>
            <w:pPr>
              <w:spacing w:after="0"/>
              <w:rPr>
                <w:sz w:val="16"/>
                <w:szCs w:val="16"/>
                <w:color w:val="auto"/>
              </w:rPr>
            </w:pPr>
          </w:p>
        </w:tc>
        <w:tc>
          <w:tcPr>
            <w:tcW w:w="3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Michigan</w:t>
            </w:r>
          </w:p>
        </w:tc>
      </w:tr>
      <w:tr>
        <w:trPr>
          <w:trHeight w:val="197"/>
        </w:trPr>
        <w:tc>
          <w:tcPr>
            <w:tcW w:w="3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2.7% Senior Notes due 2031</w:t>
            </w:r>
          </w:p>
        </w:tc>
        <w:tc>
          <w:tcPr>
            <w:tcW w:w="49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Sun Communities Operating Limited Partnership</w:t>
            </w:r>
          </w:p>
        </w:tc>
        <w:tc>
          <w:tcPr>
            <w:tcW w:w="3040" w:type="dxa"/>
            <w:vAlign w:val="bottom"/>
          </w:tcPr>
          <w:p>
            <w:pPr>
              <w:spacing w:after="0"/>
              <w:rPr>
                <w:sz w:val="20"/>
                <w:szCs w:val="20"/>
                <w:color w:val="auto"/>
              </w:rPr>
            </w:pPr>
            <w:r>
              <w:rPr>
                <w:rFonts w:ascii="Times New Roman" w:cs="Times New Roman" w:eastAsia="Times New Roman" w:hAnsi="Times New Roman"/>
                <w:sz w:val="15"/>
                <w:szCs w:val="15"/>
                <w:color w:val="auto"/>
              </w:rPr>
              <w:t>Michigan</w:t>
            </w:r>
          </w:p>
        </w:tc>
      </w:tr>
      <w:tr>
        <w:trPr>
          <w:trHeight w:val="197"/>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4.2% Senior Notes due 2032</w:t>
            </w:r>
          </w:p>
        </w:tc>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Sun Communities Operating Limited Partnership</w:t>
            </w: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Michigan</w:t>
            </w:r>
          </w:p>
        </w:tc>
      </w:tr>
    </w:tbl>
    <w:p>
      <w:pPr>
        <w:sectPr>
          <w:pgSz w:w="11900" w:h="16838" w:orient="portrait"/>
          <w:cols w:equalWidth="0" w:num="1">
            <w:col w:w="11260"/>
          </w:cols>
          <w:pgMar w:left="320" w:top="1221" w:right="31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5"/>
          <w:szCs w:val="15"/>
          <w:color w:val="auto"/>
        </w:rPr>
        <w:t>Exhibit 23.1</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CONSENT OF INDEPENDENT REGISTERED PUBLIC ACCOUNTING FIRM</w:t>
      </w:r>
    </w:p>
    <w:p>
      <w:pPr>
        <w:spacing w:after="0" w:line="21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We have issued our reports dated February 25, 2026, with respect to the consolidated financial statements and internal control over financial reporting included in the Annual Report of Sun Communities, Inc. on Form 10-K for the year ended December 31, 2025. We consent to the incorporation by reference of said reports in the Registration Statements of Sun Communities, Inc. on Form S-3 (File No. 333-278371) and on Form S-8 (File No. 333-265524 and File No. 333-225105).</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GRANT THORNTON LLP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Southfield, Michigan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February 25, 2026</w:t>
      </w:r>
    </w:p>
    <w:p>
      <w:pPr>
        <w:sectPr>
          <w:pgSz w:w="11900" w:h="16838" w:orient="portrait"/>
          <w:cols w:equalWidth="0" w:num="1">
            <w:col w:w="11260"/>
          </w:cols>
          <w:pgMar w:left="320" w:top="334" w:right="31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5"/>
          <w:szCs w:val="15"/>
          <w:color w:val="auto"/>
        </w:rPr>
        <w:t>Exhibit 31.1</w:t>
      </w:r>
    </w:p>
    <w:p>
      <w:pPr>
        <w:spacing w:after="0" w:line="22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u w:val="single" w:color="auto"/>
          <w:color w:val="auto"/>
        </w:rPr>
        <w:t>CERTIFICATIONS</w:t>
      </w:r>
    </w:p>
    <w:p>
      <w:pPr>
        <w:spacing w:after="0" w:line="2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(As Adopted Under Section 302 of the Sarbanes-Oxley Act of 2002)</w:t>
      </w:r>
    </w:p>
    <w:p>
      <w:pPr>
        <w:spacing w:after="0" w:line="20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I, Charles D. Young, certify that:</w:t>
      </w:r>
    </w:p>
    <w:p>
      <w:pPr>
        <w:spacing w:after="0" w:line="221" w:lineRule="exact"/>
        <w:rPr>
          <w:sz w:val="20"/>
          <w:szCs w:val="20"/>
          <w:color w:val="auto"/>
        </w:rPr>
      </w:pPr>
    </w:p>
    <w:p>
      <w:pPr>
        <w:ind w:left="267" w:hanging="267"/>
        <w:spacing w:after="0"/>
        <w:tabs>
          <w:tab w:leader="none" w:pos="267"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Annual Report on Form 10-K of Sun Communities, Inc.</w:t>
      </w:r>
    </w:p>
    <w:p>
      <w:pPr>
        <w:spacing w:after="0" w:line="221" w:lineRule="exact"/>
        <w:rPr>
          <w:rFonts w:ascii="Times New Roman" w:cs="Times New Roman" w:eastAsia="Times New Roman" w:hAnsi="Times New Roman"/>
          <w:sz w:val="15"/>
          <w:szCs w:val="15"/>
          <w:color w:val="auto"/>
        </w:rPr>
      </w:pPr>
    </w:p>
    <w:p>
      <w:pPr>
        <w:ind w:left="287" w:right="20" w:hanging="287"/>
        <w:spacing w:after="0" w:line="295" w:lineRule="auto"/>
        <w:tabs>
          <w:tab w:leader="none" w:pos="283"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Times New Roman" w:cs="Times New Roman" w:eastAsia="Times New Roman" w:hAnsi="Times New Roman"/>
          <w:sz w:val="15"/>
          <w:szCs w:val="15"/>
          <w:color w:val="auto"/>
        </w:rPr>
      </w:pPr>
    </w:p>
    <w:p>
      <w:pPr>
        <w:ind w:left="287" w:hanging="287"/>
        <w:spacing w:after="0" w:line="295" w:lineRule="auto"/>
        <w:tabs>
          <w:tab w:leader="none" w:pos="299"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4" w:lineRule="exact"/>
        <w:rPr>
          <w:rFonts w:ascii="Times New Roman" w:cs="Times New Roman" w:eastAsia="Times New Roman" w:hAnsi="Times New Roman"/>
          <w:sz w:val="15"/>
          <w:szCs w:val="15"/>
          <w:color w:val="auto"/>
        </w:rPr>
      </w:pPr>
    </w:p>
    <w:p>
      <w:pPr>
        <w:ind w:left="287" w:right="20" w:hanging="287"/>
        <w:spacing w:after="0" w:line="295" w:lineRule="auto"/>
        <w:tabs>
          <w:tab w:leader="none" w:pos="291"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Times New Roman" w:cs="Times New Roman" w:eastAsia="Times New Roman" w:hAnsi="Times New Roman"/>
          <w:sz w:val="15"/>
          <w:szCs w:val="15"/>
          <w:color w:val="auto"/>
        </w:rPr>
      </w:pPr>
    </w:p>
    <w:p>
      <w:pPr>
        <w:jc w:val="both"/>
        <w:ind w:left="907" w:right="20" w:hanging="282"/>
        <w:spacing w:after="0" w:line="276" w:lineRule="auto"/>
        <w:tabs>
          <w:tab w:leader="none" w:pos="957" w:val="left"/>
        </w:tabs>
        <w:numPr>
          <w:ilvl w:val="1"/>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Times New Roman" w:cs="Times New Roman" w:eastAsia="Times New Roman" w:hAnsi="Times New Roman"/>
          <w:sz w:val="15"/>
          <w:szCs w:val="15"/>
          <w:color w:val="auto"/>
        </w:rPr>
      </w:pPr>
    </w:p>
    <w:p>
      <w:pPr>
        <w:jc w:val="both"/>
        <w:ind w:left="907" w:hanging="282"/>
        <w:spacing w:after="0" w:line="276" w:lineRule="auto"/>
        <w:tabs>
          <w:tab w:leader="none" w:pos="985" w:val="left"/>
        </w:tabs>
        <w:numPr>
          <w:ilvl w:val="1"/>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Times New Roman" w:cs="Times New Roman" w:eastAsia="Times New Roman" w:hAnsi="Times New Roman"/>
          <w:sz w:val="15"/>
          <w:szCs w:val="15"/>
          <w:color w:val="auto"/>
        </w:rPr>
      </w:pPr>
    </w:p>
    <w:p>
      <w:pPr>
        <w:ind w:left="907" w:hanging="282"/>
        <w:spacing w:after="0" w:line="295" w:lineRule="auto"/>
        <w:tabs>
          <w:tab w:leader="none" w:pos="929" w:val="left"/>
        </w:tabs>
        <w:numPr>
          <w:ilvl w:val="1"/>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Times New Roman" w:cs="Times New Roman" w:eastAsia="Times New Roman" w:hAnsi="Times New Roman"/>
          <w:sz w:val="15"/>
          <w:szCs w:val="15"/>
          <w:color w:val="auto"/>
        </w:rPr>
      </w:pPr>
    </w:p>
    <w:p>
      <w:pPr>
        <w:jc w:val="both"/>
        <w:ind w:left="907" w:hanging="282"/>
        <w:spacing w:after="0" w:line="276" w:lineRule="auto"/>
        <w:tabs>
          <w:tab w:leader="none" w:pos="986" w:val="left"/>
        </w:tabs>
        <w:numPr>
          <w:ilvl w:val="1"/>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68" w:lineRule="exact"/>
        <w:rPr>
          <w:rFonts w:ascii="Times New Roman" w:cs="Times New Roman" w:eastAsia="Times New Roman" w:hAnsi="Times New Roman"/>
          <w:sz w:val="15"/>
          <w:szCs w:val="15"/>
          <w:color w:val="auto"/>
        </w:rPr>
      </w:pPr>
    </w:p>
    <w:p>
      <w:pPr>
        <w:ind w:left="287" w:right="20" w:hanging="287"/>
        <w:spacing w:after="0" w:line="295" w:lineRule="auto"/>
        <w:tabs>
          <w:tab w:leader="none" w:pos="281"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54" w:lineRule="exact"/>
        <w:rPr>
          <w:rFonts w:ascii="Times New Roman" w:cs="Times New Roman" w:eastAsia="Times New Roman" w:hAnsi="Times New Roman"/>
          <w:sz w:val="15"/>
          <w:szCs w:val="15"/>
          <w:color w:val="auto"/>
        </w:rPr>
      </w:pPr>
    </w:p>
    <w:p>
      <w:pPr>
        <w:ind w:left="947" w:right="20" w:hanging="288"/>
        <w:spacing w:after="0" w:line="295" w:lineRule="auto"/>
        <w:tabs>
          <w:tab w:leader="none" w:pos="983" w:val="left"/>
        </w:tabs>
        <w:numPr>
          <w:ilvl w:val="2"/>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Times New Roman" w:cs="Times New Roman" w:eastAsia="Times New Roman" w:hAnsi="Times New Roman"/>
          <w:sz w:val="15"/>
          <w:szCs w:val="15"/>
          <w:color w:val="auto"/>
        </w:rPr>
      </w:pPr>
    </w:p>
    <w:p>
      <w:pPr>
        <w:ind w:left="947" w:hanging="288"/>
        <w:spacing w:after="0" w:line="267" w:lineRule="auto"/>
        <w:tabs>
          <w:tab w:leader="none" w:pos="1030" w:val="left"/>
        </w:tabs>
        <w:numPr>
          <w:ilvl w:val="2"/>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2" w:lineRule="exact"/>
        <w:rPr>
          <w:sz w:val="20"/>
          <w:szCs w:val="20"/>
          <w:color w:val="auto"/>
        </w:rPr>
      </w:pPr>
    </w:p>
    <w:p>
      <w:pPr>
        <w:ind w:left="347"/>
        <w:spacing w:after="0"/>
        <w:tabs>
          <w:tab w:leader="none" w:pos="4807" w:val="left"/>
        </w:tabs>
        <w:rPr>
          <w:sz w:val="20"/>
          <w:szCs w:val="20"/>
          <w:color w:val="auto"/>
        </w:rPr>
      </w:pPr>
      <w:r>
        <w:rPr>
          <w:rFonts w:ascii="Times New Roman" w:cs="Times New Roman" w:eastAsia="Times New Roman" w:hAnsi="Times New Roman"/>
          <w:sz w:val="15"/>
          <w:szCs w:val="15"/>
          <w:color w:val="auto"/>
        </w:rPr>
        <w:t>Dated: February 25, 2026</w:t>
      </w:r>
      <w:r>
        <w:rPr>
          <w:sz w:val="20"/>
          <w:szCs w:val="20"/>
          <w:color w:val="auto"/>
        </w:rPr>
        <w:tab/>
      </w:r>
      <w:r>
        <w:rPr>
          <w:rFonts w:ascii="Times New Roman" w:cs="Times New Roman" w:eastAsia="Times New Roman" w:hAnsi="Times New Roman"/>
          <w:sz w:val="15"/>
          <w:szCs w:val="15"/>
          <w:color w:val="auto"/>
        </w:rPr>
        <w:t>/s/ Charles D.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3057525</wp:posOffset>
            </wp:positionH>
            <wp:positionV relativeFrom="paragraph">
              <wp:posOffset>17145</wp:posOffset>
            </wp:positionV>
            <wp:extent cx="3712210"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1">
                      <a:extLst>
                        <a:ext uri="{28A0092B-C50C-407E-A947-70E740481C1C}"/>
                      </a:extLst>
                    </a:blip>
                    <a:srcRect/>
                    <a:stretch>
                      <a:fillRect/>
                    </a:stretch>
                  </pic:blipFill>
                  <pic:spPr bwMode="auto">
                    <a:xfrm>
                      <a:off x="0" y="0"/>
                      <a:ext cx="3712210" cy="7620"/>
                    </a:xfrm>
                    <a:prstGeom prst="rect">
                      <a:avLst/>
                    </a:prstGeom>
                    <a:noFill/>
                  </pic:spPr>
                </pic:pic>
              </a:graphicData>
            </a:graphic>
          </wp:anchor>
        </w:drawing>
      </w:r>
    </w:p>
    <w:p>
      <w:pPr>
        <w:spacing w:after="0" w:line="16" w:lineRule="exact"/>
        <w:rPr>
          <w:sz w:val="20"/>
          <w:szCs w:val="20"/>
          <w:color w:val="auto"/>
        </w:rPr>
      </w:pPr>
    </w:p>
    <w:p>
      <w:pPr>
        <w:ind w:left="4827"/>
        <w:spacing w:after="0"/>
        <w:rPr>
          <w:sz w:val="20"/>
          <w:szCs w:val="20"/>
          <w:color w:val="auto"/>
        </w:rPr>
      </w:pPr>
      <w:r>
        <w:rPr>
          <w:rFonts w:ascii="Times New Roman" w:cs="Times New Roman" w:eastAsia="Times New Roman" w:hAnsi="Times New Roman"/>
          <w:sz w:val="15"/>
          <w:szCs w:val="15"/>
          <w:color w:val="auto"/>
        </w:rPr>
        <w:t>Charles D. Young, Chief Executive Officer</w:t>
      </w:r>
    </w:p>
    <w:p>
      <w:pPr>
        <w:sectPr>
          <w:pgSz w:w="11900" w:h="16838" w:orient="portrait"/>
          <w:cols w:equalWidth="0" w:num="1">
            <w:col w:w="11267"/>
          </w:cols>
          <w:pgMar w:left="313" w:top="785" w:right="31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5"/>
          <w:szCs w:val="15"/>
          <w:color w:val="auto"/>
        </w:rPr>
        <w:t>Exhibit 31.2</w:t>
      </w:r>
    </w:p>
    <w:p>
      <w:pPr>
        <w:spacing w:after="0" w:line="22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u w:val="single" w:color="auto"/>
          <w:color w:val="auto"/>
        </w:rPr>
        <w:t>CERTIFICATIONS</w:t>
      </w:r>
    </w:p>
    <w:p>
      <w:pPr>
        <w:spacing w:after="0" w:line="2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(As Adopted Under Section 302 of the Sarbanes-Oxley Act of 2002)</w:t>
      </w:r>
    </w:p>
    <w:p>
      <w:pPr>
        <w:spacing w:after="0" w:line="20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I, Fernando Castro-Caratini, certify that:</w:t>
      </w:r>
    </w:p>
    <w:p>
      <w:pPr>
        <w:spacing w:after="0" w:line="221" w:lineRule="exact"/>
        <w:rPr>
          <w:sz w:val="20"/>
          <w:szCs w:val="20"/>
          <w:color w:val="auto"/>
        </w:rPr>
      </w:pPr>
    </w:p>
    <w:p>
      <w:pPr>
        <w:ind w:left="267" w:hanging="267"/>
        <w:spacing w:after="0"/>
        <w:tabs>
          <w:tab w:leader="none" w:pos="267"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Annual Report on Form 10-K of Sun Communities, Inc.</w:t>
      </w:r>
    </w:p>
    <w:p>
      <w:pPr>
        <w:spacing w:after="0" w:line="221" w:lineRule="exact"/>
        <w:rPr>
          <w:rFonts w:ascii="Times New Roman" w:cs="Times New Roman" w:eastAsia="Times New Roman" w:hAnsi="Times New Roman"/>
          <w:sz w:val="15"/>
          <w:szCs w:val="15"/>
          <w:color w:val="auto"/>
        </w:rPr>
      </w:pPr>
    </w:p>
    <w:p>
      <w:pPr>
        <w:ind w:left="287" w:right="20" w:hanging="287"/>
        <w:spacing w:after="0" w:line="295" w:lineRule="auto"/>
        <w:tabs>
          <w:tab w:leader="none" w:pos="283"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Times New Roman" w:cs="Times New Roman" w:eastAsia="Times New Roman" w:hAnsi="Times New Roman"/>
          <w:sz w:val="15"/>
          <w:szCs w:val="15"/>
          <w:color w:val="auto"/>
        </w:rPr>
      </w:pPr>
    </w:p>
    <w:p>
      <w:pPr>
        <w:ind w:left="287" w:hanging="287"/>
        <w:spacing w:after="0" w:line="295" w:lineRule="auto"/>
        <w:tabs>
          <w:tab w:leader="none" w:pos="299"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4" w:lineRule="exact"/>
        <w:rPr>
          <w:rFonts w:ascii="Times New Roman" w:cs="Times New Roman" w:eastAsia="Times New Roman" w:hAnsi="Times New Roman"/>
          <w:sz w:val="15"/>
          <w:szCs w:val="15"/>
          <w:color w:val="auto"/>
        </w:rPr>
      </w:pPr>
    </w:p>
    <w:p>
      <w:pPr>
        <w:ind w:left="287" w:right="20" w:hanging="287"/>
        <w:spacing w:after="0" w:line="295" w:lineRule="auto"/>
        <w:tabs>
          <w:tab w:leader="none" w:pos="289"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Times New Roman" w:cs="Times New Roman" w:eastAsia="Times New Roman" w:hAnsi="Times New Roman"/>
          <w:sz w:val="15"/>
          <w:szCs w:val="15"/>
          <w:color w:val="auto"/>
        </w:rPr>
      </w:pPr>
    </w:p>
    <w:p>
      <w:pPr>
        <w:jc w:val="both"/>
        <w:ind w:left="907" w:right="20" w:hanging="282"/>
        <w:spacing w:after="0" w:line="276" w:lineRule="auto"/>
        <w:tabs>
          <w:tab w:leader="none" w:pos="957" w:val="left"/>
        </w:tabs>
        <w:numPr>
          <w:ilvl w:val="1"/>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Times New Roman" w:cs="Times New Roman" w:eastAsia="Times New Roman" w:hAnsi="Times New Roman"/>
          <w:sz w:val="15"/>
          <w:szCs w:val="15"/>
          <w:color w:val="auto"/>
        </w:rPr>
      </w:pPr>
    </w:p>
    <w:p>
      <w:pPr>
        <w:jc w:val="both"/>
        <w:ind w:left="907" w:hanging="282"/>
        <w:spacing w:after="0" w:line="276" w:lineRule="auto"/>
        <w:tabs>
          <w:tab w:leader="none" w:pos="985" w:val="left"/>
        </w:tabs>
        <w:numPr>
          <w:ilvl w:val="1"/>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Times New Roman" w:cs="Times New Roman" w:eastAsia="Times New Roman" w:hAnsi="Times New Roman"/>
          <w:sz w:val="15"/>
          <w:szCs w:val="15"/>
          <w:color w:val="auto"/>
        </w:rPr>
      </w:pPr>
    </w:p>
    <w:p>
      <w:pPr>
        <w:ind w:left="907" w:right="20" w:hanging="282"/>
        <w:spacing w:after="0" w:line="295" w:lineRule="auto"/>
        <w:tabs>
          <w:tab w:leader="none" w:pos="925" w:val="left"/>
        </w:tabs>
        <w:numPr>
          <w:ilvl w:val="1"/>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Times New Roman" w:cs="Times New Roman" w:eastAsia="Times New Roman" w:hAnsi="Times New Roman"/>
          <w:sz w:val="15"/>
          <w:szCs w:val="15"/>
          <w:color w:val="auto"/>
        </w:rPr>
      </w:pPr>
    </w:p>
    <w:p>
      <w:pPr>
        <w:jc w:val="both"/>
        <w:ind w:left="907" w:right="20" w:hanging="282"/>
        <w:spacing w:after="0" w:line="276" w:lineRule="auto"/>
        <w:tabs>
          <w:tab w:leader="none" w:pos="981" w:val="left"/>
        </w:tabs>
        <w:numPr>
          <w:ilvl w:val="1"/>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68" w:lineRule="exact"/>
        <w:rPr>
          <w:rFonts w:ascii="Times New Roman" w:cs="Times New Roman" w:eastAsia="Times New Roman" w:hAnsi="Times New Roman"/>
          <w:sz w:val="15"/>
          <w:szCs w:val="15"/>
          <w:color w:val="auto"/>
        </w:rPr>
      </w:pPr>
    </w:p>
    <w:p>
      <w:pPr>
        <w:ind w:left="287" w:hanging="287"/>
        <w:spacing w:after="0" w:line="295" w:lineRule="auto"/>
        <w:tabs>
          <w:tab w:leader="none" w:pos="278"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54" w:lineRule="exact"/>
        <w:rPr>
          <w:rFonts w:ascii="Times New Roman" w:cs="Times New Roman" w:eastAsia="Times New Roman" w:hAnsi="Times New Roman"/>
          <w:sz w:val="15"/>
          <w:szCs w:val="15"/>
          <w:color w:val="auto"/>
        </w:rPr>
      </w:pPr>
    </w:p>
    <w:p>
      <w:pPr>
        <w:ind w:left="947" w:right="20" w:hanging="288"/>
        <w:spacing w:after="0" w:line="295" w:lineRule="auto"/>
        <w:tabs>
          <w:tab w:leader="none" w:pos="983" w:val="left"/>
        </w:tabs>
        <w:numPr>
          <w:ilvl w:val="2"/>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Times New Roman" w:cs="Times New Roman" w:eastAsia="Times New Roman" w:hAnsi="Times New Roman"/>
          <w:sz w:val="15"/>
          <w:szCs w:val="15"/>
          <w:color w:val="auto"/>
        </w:rPr>
      </w:pPr>
    </w:p>
    <w:p>
      <w:pPr>
        <w:ind w:left="947" w:right="20" w:hanging="288"/>
        <w:spacing w:after="0" w:line="267" w:lineRule="auto"/>
        <w:tabs>
          <w:tab w:leader="none" w:pos="1026" w:val="left"/>
        </w:tabs>
        <w:numPr>
          <w:ilvl w:val="2"/>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2" w:lineRule="exact"/>
        <w:rPr>
          <w:sz w:val="20"/>
          <w:szCs w:val="20"/>
          <w:color w:val="auto"/>
        </w:rPr>
      </w:pPr>
    </w:p>
    <w:p>
      <w:pPr>
        <w:ind w:left="7"/>
        <w:spacing w:after="0"/>
        <w:tabs>
          <w:tab w:leader="none" w:pos="5307" w:val="left"/>
        </w:tabs>
        <w:rPr>
          <w:sz w:val="20"/>
          <w:szCs w:val="20"/>
          <w:color w:val="auto"/>
        </w:rPr>
      </w:pPr>
      <w:r>
        <w:rPr>
          <w:rFonts w:ascii="Times New Roman" w:cs="Times New Roman" w:eastAsia="Times New Roman" w:hAnsi="Times New Roman"/>
          <w:sz w:val="15"/>
          <w:szCs w:val="15"/>
          <w:color w:val="auto"/>
        </w:rPr>
        <w:t>Dated: February 25, 2026</w:t>
      </w:r>
      <w:r>
        <w:rPr>
          <w:sz w:val="20"/>
          <w:szCs w:val="20"/>
          <w:color w:val="auto"/>
        </w:rPr>
        <w:tab/>
      </w:r>
      <w:r>
        <w:rPr>
          <w:rFonts w:ascii="Times New Roman" w:cs="Times New Roman" w:eastAsia="Times New Roman" w:hAnsi="Times New Roman"/>
          <w:sz w:val="15"/>
          <w:szCs w:val="15"/>
          <w:color w:val="auto"/>
        </w:rPr>
        <w:t>/s/ Fernando Castro-Caratini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17145</wp:posOffset>
            </wp:positionV>
            <wp:extent cx="3587115"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2">
                      <a:extLst>
                        <a:ext uri="{28A0092B-C50C-407E-A947-70E740481C1C}"/>
                      </a:extLst>
                    </a:blip>
                    <a:srcRect/>
                    <a:stretch>
                      <a:fillRect/>
                    </a:stretch>
                  </pic:blipFill>
                  <pic:spPr bwMode="auto">
                    <a:xfrm>
                      <a:off x="0" y="0"/>
                      <a:ext cx="3587115" cy="7620"/>
                    </a:xfrm>
                    <a:prstGeom prst="rect">
                      <a:avLst/>
                    </a:prstGeom>
                    <a:noFill/>
                  </pic:spPr>
                </pic:pic>
              </a:graphicData>
            </a:graphic>
          </wp:anchor>
        </w:drawing>
      </w:r>
    </w:p>
    <w:p>
      <w:pPr>
        <w:spacing w:after="0" w:line="16" w:lineRule="exact"/>
        <w:rPr>
          <w:sz w:val="20"/>
          <w:szCs w:val="20"/>
          <w:color w:val="auto"/>
        </w:rPr>
      </w:pPr>
    </w:p>
    <w:p>
      <w:pPr>
        <w:ind w:left="5327"/>
        <w:spacing w:after="0"/>
        <w:rPr>
          <w:sz w:val="20"/>
          <w:szCs w:val="20"/>
          <w:color w:val="auto"/>
        </w:rPr>
      </w:pPr>
      <w:r>
        <w:rPr>
          <w:rFonts w:ascii="Times New Roman" w:cs="Times New Roman" w:eastAsia="Times New Roman" w:hAnsi="Times New Roman"/>
          <w:sz w:val="15"/>
          <w:szCs w:val="15"/>
          <w:color w:val="auto"/>
        </w:rPr>
        <w:t>Fernando Castro-Caratini, Chief Financial Officer</w:t>
      </w:r>
    </w:p>
    <w:p>
      <w:pPr>
        <w:sectPr>
          <w:pgSz w:w="11900" w:h="16838" w:orient="portrait"/>
          <w:cols w:equalWidth="0" w:num="1">
            <w:col w:w="11267"/>
          </w:cols>
          <w:pgMar w:left="313" w:top="681" w:right="31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5"/>
          <w:szCs w:val="15"/>
          <w:color w:val="auto"/>
        </w:rPr>
        <w:t>Exhibit 32.1</w:t>
      </w:r>
    </w:p>
    <w:p>
      <w:pPr>
        <w:spacing w:after="0" w:line="22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5"/>
          <w:szCs w:val="15"/>
          <w:color w:val="auto"/>
        </w:rPr>
        <w:t>CERTIFICATION PURSUANT TO 18 U.S.C. SECTION 1350</w:t>
      </w:r>
    </w:p>
    <w:p>
      <w:pPr>
        <w:spacing w:after="0" w:line="2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5"/>
          <w:szCs w:val="15"/>
          <w:color w:val="auto"/>
        </w:rPr>
        <w:t>(Adopted Under Section 906 of the Sarbanes-Oxley Act of 2002)</w:t>
      </w:r>
    </w:p>
    <w:p>
      <w:pPr>
        <w:spacing w:after="0" w:line="20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The undersigned officers, Charles D. Young and Fernando Castro-Caratini, hereby certify that to the best of their knowledge: (a) this Annual Report on Form 10-K of Sun Communities, Inc., for the period ended December 31, 2025, fully complies with the requirements of Section 13(a) or 15(d) of the Securities Exchange Act of 1934, as amended; and (b) the information contained in this Form 10-K fairly presents, in all material respects, the financial condition and results of operations of the Company.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8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Signature</w:t>
            </w:r>
          </w:p>
        </w:tc>
        <w:tc>
          <w:tcPr>
            <w:tcW w:w="1900" w:type="dxa"/>
            <w:vAlign w:val="bottom"/>
          </w:tcPr>
          <w:p>
            <w:pPr>
              <w:spacing w:after="0"/>
              <w:rPr>
                <w:sz w:val="15"/>
                <w:szCs w:val="15"/>
                <w:color w:val="auto"/>
              </w:rPr>
            </w:pPr>
          </w:p>
        </w:tc>
        <w:tc>
          <w:tcPr>
            <w:tcW w:w="740" w:type="dxa"/>
            <w:vAlign w:val="bottom"/>
            <w:gridSpan w:val="2"/>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rPr>
              <w:t>Date</w:t>
            </w:r>
          </w:p>
        </w:tc>
      </w:tr>
      <w:tr>
        <w:trPr>
          <w:trHeight w:val="20"/>
        </w:trPr>
        <w:tc>
          <w:tcPr>
            <w:tcW w:w="640" w:type="dxa"/>
            <w:vAlign w:val="bottom"/>
            <w:shd w:val="clear" w:color="auto" w:fill="000000"/>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1"/>
        </w:trPr>
        <w:tc>
          <w:tcPr>
            <w:tcW w:w="6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/s/ Charles D. Young</w:t>
            </w:r>
          </w:p>
        </w:tc>
        <w:tc>
          <w:tcPr>
            <w:tcW w:w="2640" w:type="dxa"/>
            <w:vAlign w:val="bottom"/>
            <w:gridSpan w:val="3"/>
          </w:tcPr>
          <w:p>
            <w:pPr>
              <w:jc w:val="center"/>
              <w:ind w:left="1423"/>
              <w:spacing w:after="0"/>
              <w:rPr>
                <w:sz w:val="20"/>
                <w:szCs w:val="20"/>
                <w:color w:val="auto"/>
              </w:rPr>
            </w:pPr>
            <w:r>
              <w:rPr>
                <w:rFonts w:ascii="Times New Roman" w:cs="Times New Roman" w:eastAsia="Times New Roman" w:hAnsi="Times New Roman"/>
                <w:sz w:val="15"/>
                <w:szCs w:val="15"/>
                <w:color w:val="auto"/>
              </w:rPr>
              <w:t>February 25, 2026</w:t>
            </w:r>
          </w:p>
        </w:tc>
      </w:tr>
      <w:tr>
        <w:trPr>
          <w:trHeight w:val="191"/>
        </w:trPr>
        <w:tc>
          <w:tcPr>
            <w:tcW w:w="6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Charles D. Young, Chief Executive Officer</w:t>
            </w:r>
          </w:p>
        </w:tc>
        <w:tc>
          <w:tcPr>
            <w:tcW w:w="1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425"/>
        </w:trPr>
        <w:tc>
          <w:tcPr>
            <w:tcW w:w="6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/s/ Fernando Castro-Caratini</w:t>
            </w:r>
          </w:p>
        </w:tc>
        <w:tc>
          <w:tcPr>
            <w:tcW w:w="2640" w:type="dxa"/>
            <w:vAlign w:val="bottom"/>
            <w:gridSpan w:val="3"/>
          </w:tcPr>
          <w:p>
            <w:pPr>
              <w:jc w:val="center"/>
              <w:ind w:left="1423"/>
              <w:spacing w:after="0"/>
              <w:rPr>
                <w:sz w:val="20"/>
                <w:szCs w:val="20"/>
                <w:color w:val="auto"/>
              </w:rPr>
            </w:pPr>
            <w:r>
              <w:rPr>
                <w:rFonts w:ascii="Times New Roman" w:cs="Times New Roman" w:eastAsia="Times New Roman" w:hAnsi="Times New Roman"/>
                <w:sz w:val="15"/>
                <w:szCs w:val="15"/>
                <w:color w:val="auto"/>
              </w:rPr>
              <w:t>February 25, 2026</w:t>
            </w:r>
          </w:p>
        </w:tc>
      </w:tr>
      <w:tr>
        <w:trPr>
          <w:trHeight w:val="191"/>
        </w:trPr>
        <w:tc>
          <w:tcPr>
            <w:tcW w:w="6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Fernando Castro-Caratini, Chief Financial Officer</w:t>
            </w:r>
          </w:p>
        </w:tc>
        <w:tc>
          <w:tcPr>
            <w:tcW w:w="1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r>
    </w:tbl>
    <w:p>
      <w:pPr>
        <w:spacing w:after="0" w:line="272"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5"/>
          <w:szCs w:val="15"/>
          <w:color w:val="auto"/>
        </w:rPr>
        <w:t>A signed original of this written statement required by Section 906 has been provided to Sun Communities, Inc. and will be retained by Sun Communities, Inc. and furnished to the Securities and Exchange Commission or its staff upon request.</w:t>
      </w:r>
    </w:p>
    <w:sectPr>
      <w:pgSz w:w="11900" w:h="16838" w:orient="portrait"/>
      <w:cols w:equalWidth="0" w:num="1">
        <w:col w:w="11260"/>
      </w:cols>
      <w:pgMar w:left="320" w:top="57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1)"/>
      <w:numFmt w:val="decimal"/>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1)"/>
      <w:numFmt w:val="decimal"/>
      <w:start w:val="1"/>
    </w:lvl>
  </w:abstractNum>
  <w:abstractNum w:abstractNumId="15">
    <w:nsid w:val="7A6D8D3C"/>
    <w:multiLevelType w:val="hybridMultilevel"/>
    <w:lvl w:ilvl="0">
      <w:lvlJc w:val="left"/>
      <w:lvlText w:val="(%1)"/>
      <w:numFmt w:val="decimal"/>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1)"/>
      <w:numFmt w:val="decimal"/>
      <w:start w:val="1"/>
    </w:lvl>
  </w:abstractNum>
  <w:abstractNum w:abstractNumId="18">
    <w:nsid w:val="6DE91B18"/>
    <w:multiLevelType w:val="hybridMultilevel"/>
    <w:lvl w:ilvl="0">
      <w:lvlJc w:val="left"/>
      <w:lvlText w:val="(%1)"/>
      <w:numFmt w:val="decimal"/>
      <w:start w:val="1"/>
    </w:lvl>
  </w:abstractNum>
  <w:abstractNum w:abstractNumId="19">
    <w:nsid w:val="38437FDB"/>
    <w:multiLevelType w:val="hybridMultilevel"/>
    <w:lvl w:ilvl="0">
      <w:lvlJc w:val="left"/>
      <w:lvlText w:val="(%1)"/>
      <w:numFmt w:val="decimal"/>
      <w:start w:val="1"/>
    </w:lvl>
  </w:abstractNum>
  <w:abstractNum w:abstractNumId="20">
    <w:nsid w:val="7644A45C"/>
    <w:multiLevelType w:val="hybridMultilevel"/>
    <w:lvl w:ilvl="0">
      <w:lvlJc w:val="left"/>
      <w:lvlText w:val="(%1)"/>
      <w:numFmt w:val="decimal"/>
      <w:start w:val="1"/>
    </w:lvl>
  </w:abstractNum>
  <w:abstractNum w:abstractNumId="21">
    <w:nsid w:val="32FFF902"/>
    <w:multiLevelType w:val="hybridMultilevel"/>
    <w:lvl w:ilvl="0">
      <w:lvlJc w:val="left"/>
      <w:lvlText w:val="(%1)"/>
      <w:numFmt w:val="decimal"/>
      <w:start w:val="1"/>
    </w:lvl>
  </w:abstractNum>
  <w:abstractNum w:abstractNumId="22">
    <w:nsid w:val="684A481A"/>
    <w:multiLevelType w:val="hybridMultilevel"/>
    <w:lvl w:ilvl="0">
      <w:lvlJc w:val="left"/>
      <w:lvlText w:val="(%1)"/>
      <w:numFmt w:val="decimal"/>
      <w:start w:val="2"/>
    </w:lvl>
  </w:abstractNum>
  <w:abstractNum w:abstractNumId="23">
    <w:nsid w:val="579478FE"/>
    <w:multiLevelType w:val="hybridMultilevel"/>
    <w:lvl w:ilvl="0">
      <w:lvlJc w:val="left"/>
      <w:lvlText w:val="(%1)"/>
      <w:numFmt w:val="decimal"/>
      <w:start w:val="1"/>
    </w:lvl>
  </w:abstractNum>
  <w:abstractNum w:abstractNumId="24">
    <w:nsid w:val="749ABB43"/>
    <w:multiLevelType w:val="hybridMultilevel"/>
    <w:lvl w:ilvl="0">
      <w:lvlJc w:val="left"/>
      <w:lvlText w:val="(%1)"/>
      <w:numFmt w:val="decimal"/>
      <w:start w:val="1"/>
    </w:lvl>
  </w:abstractNum>
  <w:abstractNum w:abstractNumId="25">
    <w:nsid w:val="3DC240FB"/>
    <w:multiLevelType w:val="hybridMultilevel"/>
    <w:lvl w:ilvl="0">
      <w:lvlJc w:val="left"/>
      <w:lvlText w:val="(%1)"/>
      <w:numFmt w:val="decimal"/>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1)"/>
      <w:numFmt w:val="decimal"/>
      <w:start w:val="1"/>
    </w:lvl>
  </w:abstractNum>
  <w:abstractNum w:abstractNumId="29">
    <w:nsid w:val="12E685FB"/>
    <w:multiLevelType w:val="hybridMultilevel"/>
    <w:lvl w:ilvl="0">
      <w:lvlJc w:val="left"/>
      <w:lvlText w:val="(%1)"/>
      <w:numFmt w:val="decimal"/>
      <w:start w:val="1"/>
    </w:lvl>
  </w:abstractNum>
  <w:abstractNum w:abstractNumId="30">
    <w:nsid w:val="70C6A529"/>
    <w:multiLevelType w:val="hybridMultilevel"/>
    <w:lvl w:ilvl="0">
      <w:lvlJc w:val="left"/>
      <w:lvlText w:val="(%1)"/>
      <w:numFmt w:val="decimal"/>
      <w:start w:val="3"/>
    </w:lvl>
  </w:abstractNum>
  <w:abstractNum w:abstractNumId="31">
    <w:nsid w:val="520EEDD1"/>
    <w:multiLevelType w:val="hybridMultilevel"/>
    <w:lvl w:ilvl="0">
      <w:lvlJc w:val="left"/>
      <w:lvlText w:val="(%1)"/>
      <w:numFmt w:val="decimal"/>
      <w:start w:val="4"/>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1)"/>
      <w:numFmt w:val="decimal"/>
      <w:start w:val="1"/>
    </w:lvl>
  </w:abstractNum>
  <w:abstractNum w:abstractNumId="36">
    <w:nsid w:val="275AC794"/>
    <w:multiLevelType w:val="hybridMultilevel"/>
    <w:lvl w:ilvl="0">
      <w:lvlJc w:val="left"/>
      <w:lvlText w:val="•"/>
      <w:numFmt w:val="bullet"/>
      <w:start w:val="1"/>
    </w:lvl>
  </w:abstractNum>
  <w:abstractNum w:abstractNumId="37">
    <w:nsid w:val="39386575"/>
    <w:multiLevelType w:val="hybridMultilevel"/>
    <w:lvl w:ilvl="0">
      <w:lvlJc w:val="left"/>
      <w:lvlText w:val="•"/>
      <w:numFmt w:val="bullet"/>
      <w:start w:val="1"/>
    </w:lvl>
  </w:abstractNum>
  <w:abstractNum w:abstractNumId="38">
    <w:nsid w:val="1CF10FD8"/>
    <w:multiLevelType w:val="hybridMultilevel"/>
    <w:lvl w:ilvl="0">
      <w:lvlJc w:val="left"/>
      <w:lvlText w:val="•"/>
      <w:numFmt w:val="bullet"/>
      <w:start w:val="1"/>
    </w:lvl>
  </w:abstractNum>
  <w:abstractNum w:abstractNumId="39">
    <w:nsid w:val="180115BE"/>
    <w:multiLevelType w:val="hybridMultilevel"/>
    <w:lvl w:ilvl="0">
      <w:lvlJc w:val="left"/>
      <w:lvlText w:val="•"/>
      <w:numFmt w:val="bullet"/>
      <w:start w:val="1"/>
    </w:lvl>
  </w:abstractNum>
  <w:abstractNum w:abstractNumId="40">
    <w:nsid w:val="235BA861"/>
    <w:multiLevelType w:val="hybridMultilevel"/>
    <w:lvl w:ilvl="0">
      <w:lvlJc w:val="left"/>
      <w:lvlText w:val="(%1)"/>
      <w:numFmt w:val="decimal"/>
      <w:start w:val="1"/>
    </w:lvl>
  </w:abstractNum>
  <w:abstractNum w:abstractNumId="41">
    <w:nsid w:val="47398C89"/>
    <w:multiLevelType w:val="hybridMultilevel"/>
    <w:lvl w:ilvl="0">
      <w:lvlJc w:val="left"/>
      <w:lvlText w:val="(%1)"/>
      <w:numFmt w:val="decimal"/>
      <w:start w:val="1"/>
    </w:lvl>
  </w:abstractNum>
  <w:abstractNum w:abstractNumId="42">
    <w:nsid w:val="354FE9F9"/>
    <w:multiLevelType w:val="hybridMultilevel"/>
    <w:lvl w:ilvl="0">
      <w:lvlJc w:val="left"/>
      <w:lvlText w:val="(%1)"/>
      <w:numFmt w:val="decimal"/>
      <w:start w:val="1"/>
    </w:lvl>
  </w:abstractNum>
  <w:abstractNum w:abstractNumId="43">
    <w:nsid w:val="15B5AF5C"/>
    <w:multiLevelType w:val="hybridMultilevel"/>
    <w:lvl w:ilvl="0">
      <w:lvlJc w:val="left"/>
      <w:lvlText w:val="(%1)"/>
      <w:numFmt w:val="decimal"/>
      <w:start w:val="1"/>
    </w:lvl>
  </w:abstractNum>
  <w:abstractNum w:abstractNumId="44">
    <w:nsid w:val="741226BB"/>
    <w:multiLevelType w:val="hybridMultilevel"/>
    <w:lvl w:ilvl="0">
      <w:lvlJc w:val="left"/>
      <w:lvlText w:val="(%1)"/>
      <w:numFmt w:val="decimal"/>
      <w:start w:val="1"/>
    </w:lvl>
  </w:abstractNum>
  <w:abstractNum w:abstractNumId="45">
    <w:nsid w:val="D34B6A8"/>
    <w:multiLevelType w:val="hybridMultilevel"/>
    <w:lvl w:ilvl="0">
      <w:lvlJc w:val="left"/>
      <w:lvlText w:val="(%1)"/>
      <w:numFmt w:val="decimal"/>
      <w:start w:val="1"/>
    </w:lvl>
  </w:abstractNum>
  <w:abstractNum w:abstractNumId="46">
    <w:nsid w:val="10233C99"/>
    <w:multiLevelType w:val="hybridMultilevel"/>
    <w:lvl w:ilvl="0">
      <w:lvlJc w:val="left"/>
      <w:lvlText w:val="(%1)"/>
      <w:numFmt w:val="decimal"/>
      <w:start w:val="1"/>
    </w:lvl>
  </w:abstractNum>
  <w:abstractNum w:abstractNumId="47">
    <w:nsid w:val="3F6AB60F"/>
    <w:multiLevelType w:val="hybridMultilevel"/>
    <w:lvl w:ilvl="0">
      <w:lvlJc w:val="left"/>
      <w:lvlText w:val="(%1)"/>
      <w:numFmt w:val="decimal"/>
      <w:start w:val="1"/>
    </w:lvl>
  </w:abstractNum>
  <w:abstractNum w:abstractNumId="48">
    <w:nsid w:val="61574095"/>
    <w:multiLevelType w:val="hybridMultilevel"/>
    <w:lvl w:ilvl="0">
      <w:lvlJc w:val="left"/>
      <w:lvlText w:val="(%1)"/>
      <w:numFmt w:val="decimal"/>
      <w:start w:val="1"/>
    </w:lvl>
  </w:abstractNum>
  <w:abstractNum w:abstractNumId="49">
    <w:nsid w:val="7E0C57B1"/>
    <w:multiLevelType w:val="hybridMultilevel"/>
    <w:lvl w:ilvl="0">
      <w:lvlJc w:val="left"/>
      <w:lvlText w:val="(%1)"/>
      <w:numFmt w:val="decimal"/>
      <w:start w:val="1"/>
    </w:lvl>
  </w:abstractNum>
  <w:abstractNum w:abstractNumId="50">
    <w:nsid w:val="77AE35EB"/>
    <w:multiLevelType w:val="hybridMultilevel"/>
    <w:lvl w:ilvl="0">
      <w:lvlJc w:val="left"/>
      <w:lvlText w:val="(%1)"/>
      <w:numFmt w:val="decimal"/>
      <w:start w:val="1"/>
    </w:lvl>
  </w:abstractNum>
  <w:abstractNum w:abstractNumId="51">
    <w:nsid w:val="579BE4F1"/>
    <w:multiLevelType w:val="hybridMultilevel"/>
    <w:lvl w:ilvl="0">
      <w:lvlJc w:val="left"/>
      <w:lvlText w:val="(%1)"/>
      <w:numFmt w:val="decimal"/>
      <w:start w:val="1"/>
    </w:lvl>
  </w:abstractNum>
  <w:abstractNum w:abstractNumId="52">
    <w:nsid w:val="310C50B3"/>
    <w:multiLevelType w:val="hybridMultilevel"/>
    <w:lvl w:ilvl="0">
      <w:lvlJc w:val="left"/>
      <w:lvlText w:val="(%1)"/>
      <w:numFmt w:val="decimal"/>
      <w:start w:val="1"/>
    </w:lvl>
  </w:abstractNum>
  <w:abstractNum w:abstractNumId="53">
    <w:nsid w:val="5FF87E05"/>
    <w:multiLevelType w:val="hybridMultilevel"/>
    <w:lvl w:ilvl="0">
      <w:lvlJc w:val="left"/>
      <w:lvlText w:val="(%1)"/>
      <w:numFmt w:val="decimal"/>
      <w:start w:val="1"/>
    </w:lvl>
  </w:abstractNum>
  <w:abstractNum w:abstractNumId="54">
    <w:nsid w:val="2F305DEF"/>
    <w:multiLevelType w:val="hybridMultilevel"/>
    <w:lvl w:ilvl="0">
      <w:lvlJc w:val="left"/>
      <w:lvlText w:val="(%1)"/>
      <w:numFmt w:val="decimal"/>
      <w:start w:val="1"/>
    </w:lvl>
  </w:abstractNum>
  <w:abstractNum w:abstractNumId="55">
    <w:nsid w:val="25A70BF7"/>
    <w:multiLevelType w:val="hybridMultilevel"/>
    <w:lvl w:ilvl="0">
      <w:lvlJc w:val="left"/>
      <w:lvlText w:val="(%1)"/>
      <w:numFmt w:val="decimal"/>
      <w:start w:val="1"/>
    </w:lvl>
  </w:abstractNum>
  <w:abstractNum w:abstractNumId="56">
    <w:nsid w:val="1DBABF00"/>
    <w:multiLevelType w:val="hybridMultilevel"/>
    <w:lvl w:ilvl="0">
      <w:lvlJc w:val="left"/>
      <w:lvlText w:val="(%1)"/>
      <w:numFmt w:val="decimal"/>
      <w:start w:val="1"/>
    </w:lvl>
  </w:abstractNum>
  <w:abstractNum w:abstractNumId="57">
    <w:nsid w:val="4AD084E9"/>
    <w:multiLevelType w:val="hybridMultilevel"/>
    <w:lvl w:ilvl="0">
      <w:lvlJc w:val="left"/>
      <w:lvlText w:val="(%1)"/>
      <w:numFmt w:val="decimal"/>
      <w:start w:val="1"/>
    </w:lvl>
  </w:abstractNum>
  <w:abstractNum w:abstractNumId="58">
    <w:nsid w:val="1F48EAA1"/>
    <w:multiLevelType w:val="hybridMultilevel"/>
    <w:lvl w:ilvl="0">
      <w:lvlJc w:val="left"/>
      <w:lvlText w:val="(%1)"/>
      <w:numFmt w:val="decimal"/>
      <w:start w:val="1"/>
    </w:lvl>
  </w:abstractNum>
  <w:abstractNum w:abstractNumId="59">
    <w:nsid w:val="1381823A"/>
    <w:multiLevelType w:val="hybridMultilevel"/>
    <w:lvl w:ilvl="0">
      <w:lvlJc w:val="left"/>
      <w:lvlText w:val="(%1)"/>
      <w:numFmt w:val="decimal"/>
      <w:start w:val="1"/>
    </w:lvl>
  </w:abstractNum>
  <w:abstractNum w:abstractNumId="60">
    <w:nsid w:val="5DB70AE5"/>
    <w:multiLevelType w:val="hybridMultilevel"/>
    <w:lvl w:ilvl="0">
      <w:lvlJc w:val="left"/>
      <w:lvlText w:val="(%1)"/>
      <w:numFmt w:val="decimal"/>
      <w:start w:val="1"/>
    </w:lvl>
  </w:abstractNum>
  <w:abstractNum w:abstractNumId="61">
    <w:nsid w:val="100F8FCA"/>
    <w:multiLevelType w:val="hybridMultilevel"/>
    <w:lvl w:ilvl="0">
      <w:lvlJc w:val="left"/>
      <w:lvlText w:val="(%1)"/>
      <w:numFmt w:val="decimal"/>
      <w:start w:val="1"/>
    </w:lvl>
  </w:abstractNum>
  <w:abstractNum w:abstractNumId="62">
    <w:nsid w:val="6590700B"/>
    <w:multiLevelType w:val="hybridMultilevel"/>
    <w:lvl w:ilvl="0">
      <w:lvlJc w:val="left"/>
      <w:lvlText w:val="(%1)"/>
      <w:numFmt w:val="decimal"/>
      <w:start w:val="1"/>
    </w:lvl>
  </w:abstractNum>
  <w:abstractNum w:abstractNumId="63">
    <w:nsid w:val="15014ACB"/>
    <w:multiLevelType w:val="hybridMultilevel"/>
    <w:lvl w:ilvl="0">
      <w:lvlJc w:val="left"/>
      <w:lvlText w:val="(%1)"/>
      <w:numFmt w:val="decimal"/>
      <w:start w:val="1"/>
    </w:lvl>
  </w:abstractNum>
  <w:abstractNum w:abstractNumId="64">
    <w:nsid w:val="5F5E7FD0"/>
    <w:multiLevelType w:val="hybridMultilevel"/>
    <w:lvl w:ilvl="0">
      <w:lvlJc w:val="left"/>
      <w:lvlText w:val="(%1)"/>
      <w:numFmt w:val="decimal"/>
      <w:start w:val="1"/>
    </w:lvl>
  </w:abstractNum>
  <w:abstractNum w:abstractNumId="65">
    <w:nsid w:val="98A3148"/>
    <w:multiLevelType w:val="hybridMultilevel"/>
    <w:lvl w:ilvl="0">
      <w:lvlJc w:val="left"/>
      <w:lvlText w:val="(%1)"/>
      <w:numFmt w:val="decimal"/>
      <w:start w:val="1"/>
    </w:lvl>
  </w:abstractNum>
  <w:abstractNum w:abstractNumId="66">
    <w:nsid w:val="799D0247"/>
    <w:multiLevelType w:val="hybridMultilevel"/>
    <w:lvl w:ilvl="0">
      <w:lvlJc w:val="left"/>
      <w:lvlText w:val="(%1)"/>
      <w:numFmt w:val="decimal"/>
      <w:start w:val="1"/>
    </w:lvl>
  </w:abstractNum>
  <w:abstractNum w:abstractNumId="67">
    <w:nsid w:val="6B94764"/>
    <w:multiLevelType w:val="hybridMultilevel"/>
    <w:lvl w:ilvl="0">
      <w:lvlJc w:val="left"/>
      <w:lvlText w:val="•"/>
      <w:numFmt w:val="bullet"/>
      <w:start w:val="1"/>
    </w:lvl>
  </w:abstractNum>
  <w:abstractNum w:abstractNumId="68">
    <w:nsid w:val="42C296BD"/>
    <w:multiLevelType w:val="hybridMultilevel"/>
    <w:lvl w:ilvl="0">
      <w:lvlJc w:val="left"/>
      <w:lvlText w:val="(%1)"/>
      <w:numFmt w:val="decimal"/>
      <w:start w:val="1"/>
    </w:lvl>
  </w:abstractNum>
  <w:abstractNum w:abstractNumId="69">
    <w:nsid w:val="168E121F"/>
    <w:multiLevelType w:val="hybridMultilevel"/>
    <w:lvl w:ilvl="0">
      <w:lvlJc w:val="left"/>
      <w:lvlText w:val="%1."/>
      <w:numFmt w:val="upperLetter"/>
      <w:start w:val="2"/>
    </w:lvl>
  </w:abstractNum>
  <w:abstractNum w:abstractNumId="70">
    <w:nsid w:val="1EBA5D23"/>
    <w:multiLevelType w:val="hybridMultilevel"/>
    <w:lvl w:ilvl="0">
      <w:lvlJc w:val="left"/>
      <w:lvlText w:val="%1."/>
      <w:numFmt w:val="upperLetter"/>
      <w:start w:val="1"/>
    </w:lvl>
  </w:abstractNum>
  <w:abstractNum w:abstractNumId="71">
    <w:nsid w:val="661E3F1E"/>
    <w:multiLevelType w:val="hybridMultilevel"/>
    <w:lvl w:ilvl="0">
      <w:lvlJc w:val="left"/>
      <w:lvlText w:val="%1."/>
      <w:numFmt w:val="decimal"/>
      <w:start w:val="1"/>
    </w:lvl>
  </w:abstractNum>
  <w:abstractNum w:abstractNumId="72">
    <w:nsid w:val="5DC79EA8"/>
    <w:multiLevelType w:val="hybridMultilevel"/>
    <w:lvl w:ilvl="0">
      <w:lvlJc w:val="left"/>
      <w:lvlText w:val="%1"/>
      <w:numFmt w:val="upperLetter"/>
      <w:start w:val="29"/>
    </w:lvl>
  </w:abstractNum>
  <w:abstractNum w:abstractNumId="73">
    <w:nsid w:val="540A471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74">
    <w:nsid w:val="7BD3EE7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88" Type="http://schemas.openxmlformats.org/officeDocument/2006/relationships/image" Target="media/image58.png"/><Relationship Id="rId105" Type="http://schemas.openxmlformats.org/officeDocument/2006/relationships/image" Target="media/image59.png"/><Relationship Id="rId106" Type="http://schemas.openxmlformats.org/officeDocument/2006/relationships/image" Target="media/image60.png"/><Relationship Id="rId107" Type="http://schemas.openxmlformats.org/officeDocument/2006/relationships/image" Target="media/image61.png"/><Relationship Id="rId108" Type="http://schemas.openxmlformats.org/officeDocument/2006/relationships/image" Target="media/image62.png"/><Relationship Id="rId109" Type="http://schemas.openxmlformats.org/officeDocument/2006/relationships/image" Target="media/image63.png"/><Relationship Id="rId110" Type="http://schemas.openxmlformats.org/officeDocument/2006/relationships/image" Target="media/image64.png"/><Relationship Id="rId111" Type="http://schemas.openxmlformats.org/officeDocument/2006/relationships/image" Target="media/image65.png"/><Relationship Id="rId112" Type="http://schemas.openxmlformats.org/officeDocument/2006/relationships/image" Target="media/image66.png"/><Relationship Id="rId113" Type="http://schemas.openxmlformats.org/officeDocument/2006/relationships/image" Target="media/image67.png"/><Relationship Id="rId114" Type="http://schemas.openxmlformats.org/officeDocument/2006/relationships/image" Target="media/image68.png"/><Relationship Id="rId115" Type="http://schemas.openxmlformats.org/officeDocument/2006/relationships/image" Target="media/image69.png"/><Relationship Id="rId116" Type="http://schemas.openxmlformats.org/officeDocument/2006/relationships/image" Target="media/image70.png"/><Relationship Id="rId117" Type="http://schemas.openxmlformats.org/officeDocument/2006/relationships/image" Target="media/image71.png"/><Relationship Id="rId118" Type="http://schemas.openxmlformats.org/officeDocument/2006/relationships/image" Target="media/image72.png"/><Relationship Id="rId119" Type="http://schemas.openxmlformats.org/officeDocument/2006/relationships/image" Target="media/image73.png"/><Relationship Id="rId120" Type="http://schemas.openxmlformats.org/officeDocument/2006/relationships/image" Target="media/image74.png"/><Relationship Id="rId121" Type="http://schemas.openxmlformats.org/officeDocument/2006/relationships/image" Target="media/image75.png"/><Relationship Id="rId122" Type="http://schemas.openxmlformats.org/officeDocument/2006/relationships/image" Target="media/image76.png"/><Relationship Id="rId123" Type="http://schemas.openxmlformats.org/officeDocument/2006/relationships/image" Target="media/image77.png"/><Relationship Id="rId124" Type="http://schemas.openxmlformats.org/officeDocument/2006/relationships/image" Target="media/image78.png"/><Relationship Id="rId125" Type="http://schemas.openxmlformats.org/officeDocument/2006/relationships/image" Target="media/image79.png"/><Relationship Id="rId126" Type="http://schemas.openxmlformats.org/officeDocument/2006/relationships/image" Target="media/image80.png"/><Relationship Id="rId127" Type="http://schemas.openxmlformats.org/officeDocument/2006/relationships/image" Target="media/image81.png"/><Relationship Id="rId128" Type="http://schemas.openxmlformats.org/officeDocument/2006/relationships/image" Target="media/image82.png"/><Relationship Id="rId129" Type="http://schemas.openxmlformats.org/officeDocument/2006/relationships/image" Target="media/image83.png"/><Relationship Id="rId130" Type="http://schemas.openxmlformats.org/officeDocument/2006/relationships/image" Target="media/image84.png"/><Relationship Id="rId131" Type="http://schemas.openxmlformats.org/officeDocument/2006/relationships/image" Target="media/image85.png"/><Relationship Id="rId132" Type="http://schemas.openxmlformats.org/officeDocument/2006/relationships/image" Target="media/image86.png"/><Relationship Id="rId133" Type="http://schemas.openxmlformats.org/officeDocument/2006/relationships/image" Target="media/image87.png"/><Relationship Id="rId134" Type="http://schemas.openxmlformats.org/officeDocument/2006/relationships/image" Target="media/image88.png"/><Relationship Id="rId135" Type="http://schemas.openxmlformats.org/officeDocument/2006/relationships/image" Target="media/image89.png"/><Relationship Id="rId136" Type="http://schemas.openxmlformats.org/officeDocument/2006/relationships/image" Target="media/image90.png"/><Relationship Id="rId137" Type="http://schemas.openxmlformats.org/officeDocument/2006/relationships/image" Target="media/image91.png"/><Relationship Id="rId138" Type="http://schemas.openxmlformats.org/officeDocument/2006/relationships/image" Target="media/image92.png"/><Relationship Id="rId139" Type="http://schemas.openxmlformats.org/officeDocument/2006/relationships/image" Target="media/image93.png"/><Relationship Id="rId140" Type="http://schemas.openxmlformats.org/officeDocument/2006/relationships/image" Target="media/image94.png"/><Relationship Id="rId141" Type="http://schemas.openxmlformats.org/officeDocument/2006/relationships/image" Target="media/image95.png"/><Relationship Id="rId142" Type="http://schemas.openxmlformats.org/officeDocument/2006/relationships/image" Target="media/image96.png"/><Relationship Id="rId143" Type="http://schemas.openxmlformats.org/officeDocument/2006/relationships/image" Target="media/image97.png"/><Relationship Id="rId144" Type="http://schemas.openxmlformats.org/officeDocument/2006/relationships/image" Target="media/image98.png"/><Relationship Id="rId145" Type="http://schemas.openxmlformats.org/officeDocument/2006/relationships/image" Target="media/image99.png"/><Relationship Id="rId146" Type="http://schemas.openxmlformats.org/officeDocument/2006/relationships/image" Target="media/image100.png"/><Relationship Id="rId147" Type="http://schemas.openxmlformats.org/officeDocument/2006/relationships/image" Target="media/image101.png"/><Relationship Id="rId148" Type="http://schemas.openxmlformats.org/officeDocument/2006/relationships/image" Target="media/image102.png"/><Relationship Id="rId149" Type="http://schemas.openxmlformats.org/officeDocument/2006/relationships/image" Target="media/image103.png"/><Relationship Id="rId150" Type="http://schemas.openxmlformats.org/officeDocument/2006/relationships/image" Target="media/image104.png"/><Relationship Id="rId151" Type="http://schemas.openxmlformats.org/officeDocument/2006/relationships/image" Target="media/image105.png"/><Relationship Id="rId152" Type="http://schemas.openxmlformats.org/officeDocument/2006/relationships/image" Target="media/image106.png"/><Relationship Id="rId153" Type="http://schemas.openxmlformats.org/officeDocument/2006/relationships/image" Target="media/image107.png"/><Relationship Id="rId154" Type="http://schemas.openxmlformats.org/officeDocument/2006/relationships/image" Target="media/image108.png"/><Relationship Id="rId155" Type="http://schemas.openxmlformats.org/officeDocument/2006/relationships/image" Target="media/image109.png"/><Relationship Id="rId156" Type="http://schemas.openxmlformats.org/officeDocument/2006/relationships/image" Target="media/image110.png"/><Relationship Id="rId157" Type="http://schemas.openxmlformats.org/officeDocument/2006/relationships/image" Target="media/image111.png"/><Relationship Id="rId158" Type="http://schemas.openxmlformats.org/officeDocument/2006/relationships/image" Target="media/image112.png"/><Relationship Id="rId159" Type="http://schemas.openxmlformats.org/officeDocument/2006/relationships/image" Target="media/image113.png"/><Relationship Id="rId160" Type="http://schemas.openxmlformats.org/officeDocument/2006/relationships/image" Target="media/image114.png"/><Relationship Id="rId161" Type="http://schemas.openxmlformats.org/officeDocument/2006/relationships/image" Target="media/image115.png"/><Relationship Id="rId162" Type="http://schemas.openxmlformats.org/officeDocument/2006/relationships/image" Target="media/image116.png"/><Relationship Id="rId163" Type="http://schemas.openxmlformats.org/officeDocument/2006/relationships/image" Target="media/image117.png"/><Relationship Id="rId164" Type="http://schemas.openxmlformats.org/officeDocument/2006/relationships/image" Target="media/image118.png"/><Relationship Id="rId165" Type="http://schemas.openxmlformats.org/officeDocument/2006/relationships/image" Target="media/image119.png"/><Relationship Id="rId166" Type="http://schemas.openxmlformats.org/officeDocument/2006/relationships/image" Target="media/image120.png"/><Relationship Id="rId167" Type="http://schemas.openxmlformats.org/officeDocument/2006/relationships/image" Target="media/image121.png"/><Relationship Id="rId168" Type="http://schemas.openxmlformats.org/officeDocument/2006/relationships/image" Target="media/image122.png"/><Relationship Id="rId169" Type="http://schemas.openxmlformats.org/officeDocument/2006/relationships/image" Target="media/image123.png"/><Relationship Id="rId170" Type="http://schemas.openxmlformats.org/officeDocument/2006/relationships/image" Target="media/image124.png"/><Relationship Id="rId171" Type="http://schemas.openxmlformats.org/officeDocument/2006/relationships/image" Target="media/image125.png"/><Relationship Id="rId172" Type="http://schemas.openxmlformats.org/officeDocument/2006/relationships/image" Target="media/image126.png"/><Relationship Id="rId173" Type="http://schemas.openxmlformats.org/officeDocument/2006/relationships/image" Target="media/image127.png"/><Relationship Id="rId174" Type="http://schemas.openxmlformats.org/officeDocument/2006/relationships/image" Target="media/image128.png"/><Relationship Id="rId175" Type="http://schemas.openxmlformats.org/officeDocument/2006/relationships/image" Target="media/image129.png"/><Relationship Id="rId176" Type="http://schemas.openxmlformats.org/officeDocument/2006/relationships/image" Target="media/image130.png"/><Relationship Id="rId177" Type="http://schemas.openxmlformats.org/officeDocument/2006/relationships/image" Target="media/image131.png"/><Relationship Id="rId178" Type="http://schemas.openxmlformats.org/officeDocument/2006/relationships/image" Target="media/image132.png"/><Relationship Id="rId179" Type="http://schemas.openxmlformats.org/officeDocument/2006/relationships/image" Target="media/image133.png"/><Relationship Id="rId180" Type="http://schemas.openxmlformats.org/officeDocument/2006/relationships/image" Target="media/image134.png"/><Relationship Id="rId181" Type="http://schemas.openxmlformats.org/officeDocument/2006/relationships/image" Target="media/image135.png"/><Relationship Id="rId182" Type="http://schemas.openxmlformats.org/officeDocument/2006/relationships/image" Target="media/image136.png"/><Relationship Id="rId183" Type="http://schemas.openxmlformats.org/officeDocument/2006/relationships/image" Target="media/image137.png"/><Relationship Id="rId184" Type="http://schemas.openxmlformats.org/officeDocument/2006/relationships/image" Target="media/image138.png"/><Relationship Id="rId185" Type="http://schemas.openxmlformats.org/officeDocument/2006/relationships/image" Target="media/image139.png"/><Relationship Id="rId186" Type="http://schemas.openxmlformats.org/officeDocument/2006/relationships/image" Target="media/image140.png"/><Relationship Id="rId187" Type="http://schemas.openxmlformats.org/officeDocument/2006/relationships/image" Target="media/image141.png"/><Relationship Id="rId188" Type="http://schemas.openxmlformats.org/officeDocument/2006/relationships/image" Target="media/image142.png"/><Relationship Id="rId189" Type="http://schemas.openxmlformats.org/officeDocument/2006/relationships/image" Target="media/image143.png"/><Relationship Id="rId190" Type="http://schemas.openxmlformats.org/officeDocument/2006/relationships/image" Target="media/image144.png"/><Relationship Id="rId191" Type="http://schemas.openxmlformats.org/officeDocument/2006/relationships/image" Target="media/image145.png"/><Relationship Id="rId192" Type="http://schemas.openxmlformats.org/officeDocument/2006/relationships/image" Target="media/image146.png"/><Relationship Id="rId193" Type="http://schemas.openxmlformats.org/officeDocument/2006/relationships/image" Target="media/image147.jpeg"/><Relationship Id="rId194" Type="http://schemas.openxmlformats.org/officeDocument/2006/relationships/image" Target="media/image148.png"/><Relationship Id="rId195" Type="http://schemas.openxmlformats.org/officeDocument/2006/relationships/image" Target="media/image149.jpeg"/><Relationship Id="rId196" Type="http://schemas.openxmlformats.org/officeDocument/2006/relationships/image" Target="media/image150.png"/><Relationship Id="rId197" Type="http://schemas.openxmlformats.org/officeDocument/2006/relationships/image" Target="media/image151.jpeg"/><Relationship Id="rId198" Type="http://schemas.openxmlformats.org/officeDocument/2006/relationships/image" Target="media/image152.png"/><Relationship Id="rId199" Type="http://schemas.openxmlformats.org/officeDocument/2006/relationships/image" Target="media/image153.jpeg"/><Relationship Id="rId200" Type="http://schemas.openxmlformats.org/officeDocument/2006/relationships/image" Target="media/image154.png"/><Relationship Id="rId201" Type="http://schemas.openxmlformats.org/officeDocument/2006/relationships/image" Target="media/image155.jpeg"/><Relationship Id="rId202" Type="http://schemas.openxmlformats.org/officeDocument/2006/relationships/image" Target="media/image156.png"/><Relationship Id="rId203" Type="http://schemas.openxmlformats.org/officeDocument/2006/relationships/image" Target="media/image157.jpeg"/><Relationship Id="rId204" Type="http://schemas.openxmlformats.org/officeDocument/2006/relationships/image" Target="media/image158.png"/><Relationship Id="rId205" Type="http://schemas.openxmlformats.org/officeDocument/2006/relationships/image" Target="media/image159.jpeg"/><Relationship Id="rId206" Type="http://schemas.openxmlformats.org/officeDocument/2006/relationships/image" Target="media/image160.png"/><Relationship Id="rId207" Type="http://schemas.openxmlformats.org/officeDocument/2006/relationships/image" Target="media/image161.jpeg"/><Relationship Id="rId208" Type="http://schemas.openxmlformats.org/officeDocument/2006/relationships/image" Target="media/image162.png"/><Relationship Id="rId209" Type="http://schemas.openxmlformats.org/officeDocument/2006/relationships/image" Target="media/image163.jpeg"/><Relationship Id="rId210" Type="http://schemas.openxmlformats.org/officeDocument/2006/relationships/image" Target="media/image164.png"/><Relationship Id="rId211" Type="http://schemas.openxmlformats.org/officeDocument/2006/relationships/image" Target="media/image165.jpeg"/><Relationship Id="rId212" Type="http://schemas.openxmlformats.org/officeDocument/2006/relationships/image" Target="media/image166.png"/><Relationship Id="rId213" Type="http://schemas.openxmlformats.org/officeDocument/2006/relationships/image" Target="media/image167.jpeg"/><Relationship Id="rId214" Type="http://schemas.openxmlformats.org/officeDocument/2006/relationships/image" Target="media/image168.png"/><Relationship Id="rId215" Type="http://schemas.openxmlformats.org/officeDocument/2006/relationships/image" Target="media/image169.jpeg"/><Relationship Id="rId216" Type="http://schemas.openxmlformats.org/officeDocument/2006/relationships/image" Target="media/image170.png"/><Relationship Id="rId217" Type="http://schemas.openxmlformats.org/officeDocument/2006/relationships/image" Target="media/image171.jpeg"/><Relationship Id="rId218" Type="http://schemas.openxmlformats.org/officeDocument/2006/relationships/image" Target="media/image172.png"/><Relationship Id="rId219" Type="http://schemas.openxmlformats.org/officeDocument/2006/relationships/image" Target="media/image173.jpeg"/><Relationship Id="rId220" Type="http://schemas.openxmlformats.org/officeDocument/2006/relationships/image" Target="media/image174.png"/><Relationship Id="rId221" Type="http://schemas.openxmlformats.org/officeDocument/2006/relationships/image" Target="media/image175.jpeg"/><Relationship Id="rId222" Type="http://schemas.openxmlformats.org/officeDocument/2006/relationships/image" Target="media/image176.png"/><Relationship Id="rId223" Type="http://schemas.openxmlformats.org/officeDocument/2006/relationships/image" Target="media/image177.jpeg"/><Relationship Id="rId224" Type="http://schemas.openxmlformats.org/officeDocument/2006/relationships/image" Target="media/image178.png"/><Relationship Id="rId225" Type="http://schemas.openxmlformats.org/officeDocument/2006/relationships/image" Target="media/image179.jpeg"/><Relationship Id="rId226" Type="http://schemas.openxmlformats.org/officeDocument/2006/relationships/image" Target="media/image180.png"/><Relationship Id="rId227" Type="http://schemas.openxmlformats.org/officeDocument/2006/relationships/image" Target="media/image181.jpeg"/><Relationship Id="rId228" Type="http://schemas.openxmlformats.org/officeDocument/2006/relationships/image" Target="media/image182.png"/><Relationship Id="rId229" Type="http://schemas.openxmlformats.org/officeDocument/2006/relationships/image" Target="media/image183.jpeg"/><Relationship Id="rId230" Type="http://schemas.openxmlformats.org/officeDocument/2006/relationships/image" Target="media/image184.png"/><Relationship Id="rId231" Type="http://schemas.openxmlformats.org/officeDocument/2006/relationships/image" Target="media/image185.png"/><Relationship Id="rId232" Type="http://schemas.openxmlformats.org/officeDocument/2006/relationships/image" Target="media/image186.png"/><Relationship Id="rId65" Type="http://schemas.openxmlformats.org/officeDocument/2006/relationships/hyperlink" Target="https://www.sec.gov/Archives/edgar/data/912593/000091259318000049/0000912593-18-000049-index.htm" TargetMode="External"/><Relationship Id="rId66" Type="http://schemas.openxmlformats.org/officeDocument/2006/relationships/hyperlink" Target="https://www.sec.gov/Archives/edgar/data/912593/000091259325000176/suncommunitiesfifthamended.htm" TargetMode="External"/><Relationship Id="rId67" Type="http://schemas.openxmlformats.org/officeDocument/2006/relationships/hyperlink" Target="https://www.sec.gov/Archives/edgar/data/912593/000091259323000182/articlesofamendment-increa.htm" TargetMode="External"/><Relationship Id="rId68" Type="http://schemas.openxmlformats.org/officeDocument/2006/relationships/hyperlink" Target="https://www.sec.gov/Archives/edgar/data/912593/000091259320000041/exhibit41-descriptiono.htm" TargetMode="External"/><Relationship Id="rId69" Type="http://schemas.openxmlformats.org/officeDocument/2006/relationships/hyperlink" Target="https://www.sec.gov/Archives/edgar/data/912593/000091259321000161/0000912593-21-000161-index.htm" TargetMode="External"/><Relationship Id="rId70" Type="http://schemas.openxmlformats.org/officeDocument/2006/relationships/hyperlink" Target="https://www.sec.gov/Archives/edgar/data/912593/000091259321000200/0000912593-21-000200-index.htm" TargetMode="External"/><Relationship Id="rId71" Type="http://schemas.openxmlformats.org/officeDocument/2006/relationships/hyperlink" Target="https://www.sec.gov/ix?doc=/Archives/edgar/data/912593/000119312522102982/d325229d8k.htm" TargetMode="External"/><Relationship Id="rId72" Type="http://schemas.openxmlformats.org/officeDocument/2006/relationships/hyperlink" Target="https://www.sec.gov/Archives/edgar/data/912593/000119312522102982/0001193125-22-102982-index.htm" TargetMode="External"/><Relationship Id="rId73" Type="http://schemas.openxmlformats.org/officeDocument/2006/relationships/hyperlink" Target="https://www.sec.gov/Archives/edgar/data/912593/000095012403001035/0000950124-03-001035-index.htm" TargetMode="External"/><Relationship Id="rId74" Type="http://schemas.openxmlformats.org/officeDocument/2006/relationships/hyperlink" Target="https://www.sec.gov/Archives/edgar/data/912593/000091259319000034/exhibit109-sixthleasem.htm" TargetMode="External"/><Relationship Id="rId75" Type="http://schemas.openxmlformats.org/officeDocument/2006/relationships/hyperlink" Target="https://www.sec.gov/Archives/edgar/data/912593/000091259319000004/exhibit101-fourthamendedan.htm" TargetMode="External"/><Relationship Id="rId76" Type="http://schemas.openxmlformats.org/officeDocument/2006/relationships/hyperlink" Target="https://www.sec.gov/Archives/edgar/data/912593/000091259320000016/0000912593-20-000016-index.htm" TargetMode="External"/><Relationship Id="rId77" Type="http://schemas.openxmlformats.org/officeDocument/2006/relationships/hyperlink" Target="https://www.sec.gov/Archives/edgar/data/912593/000091259320000094/0000912593-20-000094-index.htm" TargetMode="External"/><Relationship Id="rId78" Type="http://schemas.openxmlformats.org/officeDocument/2006/relationships/hyperlink" Target="https://www.sec.gov/Archives/edgar/data/912593/000091259320000154/0000912593-20-000154-index.htm" TargetMode="External"/><Relationship Id="rId79" Type="http://schemas.openxmlformats.org/officeDocument/2006/relationships/hyperlink" Target="https://www.sec.gov/Archives/edgar/data/912593/000119312520286444/0001193125-20-286444-index.htm" TargetMode="External"/><Relationship Id="rId80" Type="http://schemas.openxmlformats.org/officeDocument/2006/relationships/hyperlink" Target="https://www.sec.gov/Archives/edgar/data/912593/000091259321000003/0000912593-21-000003-index.htm" TargetMode="External"/><Relationship Id="rId81" Type="http://schemas.openxmlformats.org/officeDocument/2006/relationships/hyperlink" Target="https://www.sec.gov/Archives/edgar/data/912593/000091259321000114/0000912593-21-000114-index.htm" TargetMode="External"/><Relationship Id="rId82" Type="http://schemas.openxmlformats.org/officeDocument/2006/relationships/hyperlink" Target="https://www.sec.gov/Archives/edgar/data/912593/000091259323000133/0000912593-23-000133-index.htm" TargetMode="External"/><Relationship Id="rId83" Type="http://schemas.openxmlformats.org/officeDocument/2006/relationships/hyperlink" Target="https://www.sec.gov/Archives/edgar/data/912593/000091259324000004/twelfthamendmenttothefourt.htm" TargetMode="External"/><Relationship Id="rId84" Type="http://schemas.openxmlformats.org/officeDocument/2006/relationships/hyperlink" Target="https://www.sec.gov/Archives/edgar/data/912593/000091259312000053/0000912593-12-000053-index.htm" TargetMode="External"/><Relationship Id="rId85" Type="http://schemas.openxmlformats.org/officeDocument/2006/relationships/hyperlink" Target="https://www.sec.gov/Archives/edgar/data/912593/000091259322000112/secondamendmentto2004direc.htm" TargetMode="External"/><Relationship Id="rId86" Type="http://schemas.openxmlformats.org/officeDocument/2006/relationships/hyperlink" Target="https://www.sec.gov/Archives/edgar/data/912593/000119312522104282/0001193125-22-104282-index.htm" TargetMode="External"/><Relationship Id="rId87" Type="http://schemas.openxmlformats.org/officeDocument/2006/relationships/hyperlink" Target="https://www.sec.gov/Archives/edgar/data/912593/000091259325000086/suncommunitiesincamended.htm" TargetMode="External"/><Relationship Id="rId89" Type="http://schemas.openxmlformats.org/officeDocument/2006/relationships/hyperlink" Target="https://www.sec.gov/Archives/edgar/data/912593/000091259321000093/0000912593-21-000093-index.htm" TargetMode="External"/><Relationship Id="rId90" Type="http://schemas.openxmlformats.org/officeDocument/2006/relationships/hyperlink" Target="https://www.sec.gov/Archives/edgar/data/912593/000119312522093768/0001193125-22-093768-index.htm" TargetMode="External"/><Relationship Id="rId91" Type="http://schemas.openxmlformats.org/officeDocument/2006/relationships/hyperlink" Target="https://www.sec.gov/Archives/edgar/data/912593/000091259324000137/firstamendmenttoemployment.htm" TargetMode="External"/><Relationship Id="rId92" Type="http://schemas.openxmlformats.org/officeDocument/2006/relationships/hyperlink" Target="https://www.sec.gov/Archives/edgar/data/912593/000091259321000173/0000912593-21-000173-index.htm" TargetMode="External"/><Relationship Id="rId93" Type="http://schemas.openxmlformats.org/officeDocument/2006/relationships/hyperlink" Target="https://www.sec.gov/Archives/edgar/data/912593/000091259324000137/thirdamendmenttoemployment.htm" TargetMode="External"/><Relationship Id="rId94" Type="http://schemas.openxmlformats.org/officeDocument/2006/relationships/hyperlink" Target="https://www.sec.gov/Archives/edgar/data/912593/000091259321000211/0000912593-21-000211-index.htm" TargetMode="External"/><Relationship Id="rId95" Type="http://schemas.openxmlformats.org/officeDocument/2006/relationships/hyperlink" Target="https://www.sec.gov/Archives/edgar/data/912593/000091259324000094/employmentagreement-marc.htm" TargetMode="External"/><Relationship Id="rId96" Type="http://schemas.openxmlformats.org/officeDocument/2006/relationships/hyperlink" Target="https://www.sec.gov/ix?doc=/Archives/edgar/data/912593/000091259324000137/sui-20240315.htm" TargetMode="External"/><Relationship Id="rId97" Type="http://schemas.openxmlformats.org/officeDocument/2006/relationships/hyperlink" Target="https://www.sec.gov/Archives/edgar/data/912593/000091259324000238/employmentagreement-mclare.htm" TargetMode="External"/><Relationship Id="rId98" Type="http://schemas.openxmlformats.org/officeDocument/2006/relationships/hyperlink" Target="https://www.sec.gov/Archives/edgar/data/912593/000091259325000199/employmentagreement.htm" TargetMode="External"/><Relationship Id="rId99" Type="http://schemas.openxmlformats.org/officeDocument/2006/relationships/hyperlink" Target="https://www.sec.gov/Archives/edgar/data/912593/000091259326000060/amendedandrestatedtransiti.htm" TargetMode="External"/><Relationship Id="rId100" Type="http://schemas.openxmlformats.org/officeDocument/2006/relationships/hyperlink" Target="https://www.sec.gov/Archives/edgar/data/912593/000091259325000284/transitionservicesagreemena.htm" TargetMode="External"/><Relationship Id="rId101" Type="http://schemas.openxmlformats.org/officeDocument/2006/relationships/hyperlink" Target="https://www.sec.gov/Archives/edgar/data/912593/000091259324000094/exhibit1027-formrestricted.htm" TargetMode="External"/><Relationship Id="rId102" Type="http://schemas.openxmlformats.org/officeDocument/2006/relationships/hyperlink" Target="https://www.sec.gov/ix?doc=/Archives/edgar/data/912593/000091259325000050/sui-20250213.htm" TargetMode="External"/><Relationship Id="rId103" Type="http://schemas.openxmlformats.org/officeDocument/2006/relationships/hyperlink" Target="https://www.sec.gov/Archives/edgar/data/912593/000091259324000094/suiexecutivecompensation.htm" TargetMode="External"/><Relationship Id="rId104" Type="http://schemas.openxmlformats.org/officeDocument/2006/relationships/hyperlink" Target="https://www.sec.gov/Archives/edgar/data/912593/000091259325000243/suncommunities-creditagre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2026-02-25T14:53:08Z</dcterms:created>
  <dcterms:modified xsi:type="dcterms:W3CDTF">2026-02-25T14:53:08Z</dcterms:modified>
</cp:coreProperties>
</file>