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tbl>
      <w:tblPr>
        <w:tblW w:w="39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19"/>
        <w:gridCol w:w="719"/>
        <w:gridCol w:w="721"/>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1-12616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97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5365"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81"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$0.01 par value per share, outstanding as of July 24, 2025: 125,155,465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60"/>
        <w:gridCol w:w="317"/>
        <w:gridCol w:w="317"/>
        <w:gridCol w:w="2834"/>
        <w:gridCol w:w="2638"/>
        <w:gridCol w:w="2643"/>
        <w:gridCol w:w="317"/>
        <w:gridCol w:w="317"/>
        <w:gridCol w:w="462"/>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br/>
              <w:t> </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2025 (Unaudited) and December 31, 2024</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6">
              <w:r>
                <w:rPr>
                  <w:rStyle w:val="InternetLink"/>
                  <w:rFonts w:ascii="Times New Roman;serif" w:hAnsi="Times New Roman;serif"/>
                  <w:b w:val="false"/>
                  <w:color w:val="000000"/>
                  <w:sz w:val="20"/>
                  <w:u w:val="single"/>
                </w:rPr>
                <w:t>1</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Six Months Ended June 30, 2025 and 2024 (Unaudited)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9">
              <w:r>
                <w:rPr>
                  <w:rStyle w:val="InternetLink"/>
                  <w:rFonts w:ascii="Times New Roman;serif" w:hAnsi="Times New Roman;serif"/>
                  <w:b w:val="false"/>
                  <w:color w:val="000000"/>
                  <w:sz w:val="20"/>
                  <w:u w:val="single"/>
                </w:rPr>
                <w:t>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the Three and Six Months Ended June 30, 2025 and 2024 (Unaudited)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22">
              <w:r>
                <w:rPr>
                  <w:rStyle w:val="InternetLink"/>
                  <w:rFonts w:ascii="Times New Roman;serif" w:hAnsi="Times New Roman;serif"/>
                  <w:b w:val="false"/>
                  <w:color w:val="000000"/>
                  <w:sz w:val="20"/>
                  <w:u w:val="single"/>
                </w:rPr>
                <w:t>3</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for the Three and Six Months Ended June 30, 2025 and 2024 (Unaudited)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25">
              <w:r>
                <w:rPr>
                  <w:rStyle w:val="InternetLink"/>
                  <w:rFonts w:ascii="Times New Roman;serif" w:hAnsi="Times New Roman;serif"/>
                  <w:b w:val="false"/>
                  <w:color w:val="000000"/>
                  <w:sz w:val="20"/>
                  <w:u w:val="single"/>
                </w:rPr>
                <w:t>4</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Six Months Ended June 30, 2025 and 2024 (Unaudited)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28">
              <w:r>
                <w:rPr>
                  <w:rStyle w:val="InternetLink"/>
                  <w:rFonts w:ascii="Times New Roman;serif" w:hAnsi="Times New Roman;serif"/>
                  <w:b w:val="false"/>
                  <w:color w:val="000000"/>
                  <w:sz w:val="20"/>
                  <w:u w:val="single"/>
                </w:rPr>
                <w:t>6</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34">
              <w:r>
                <w:rPr>
                  <w:rStyle w:val="InternetLink"/>
                  <w:rFonts w:ascii="Times New Roman;serif" w:hAnsi="Times New Roman;serif"/>
                  <w:b w:val="false"/>
                  <w:color w:val="000000"/>
                  <w:sz w:val="20"/>
                  <w:u w:val="single"/>
                </w:rPr>
                <w:t>7</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06">
              <w:r>
                <w:rPr>
                  <w:rStyle w:val="InternetLink"/>
                  <w:rFonts w:ascii="Times New Roman;serif" w:hAnsi="Times New Roman;serif"/>
                  <w:b w:val="false"/>
                  <w:color w:val="000000"/>
                  <w:sz w:val="20"/>
                  <w:u w:val="single"/>
                </w:rPr>
                <w:t>39</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36">
              <w:r>
                <w:rPr>
                  <w:rStyle w:val="InternetLink"/>
                  <w:rFonts w:ascii="Times New Roman;serif" w:hAnsi="Times New Roman;serif"/>
                  <w:b w:val="false"/>
                  <w:color w:val="000000"/>
                  <w:sz w:val="20"/>
                  <w:u w:val="single"/>
                </w:rPr>
                <w:t>60</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42">
              <w:r>
                <w:rPr>
                  <w:rStyle w:val="InternetLink"/>
                  <w:rFonts w:ascii="Times New Roman;serif" w:hAnsi="Times New Roman;serif"/>
                  <w:b w:val="false"/>
                  <w:color w:val="000000"/>
                  <w:sz w:val="20"/>
                  <w:u w:val="single"/>
                </w:rPr>
                <w:t>61</w:t>
              </w:r>
            </w:hyperlink>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br/>
              <w:t> </w:t>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48">
              <w:r>
                <w:rPr>
                  <w:rStyle w:val="InternetLink"/>
                  <w:rFonts w:ascii="Times New Roman;serif" w:hAnsi="Times New Roman;serif"/>
                  <w:b w:val="false"/>
                  <w:color w:val="000000"/>
                  <w:sz w:val="20"/>
                  <w:u w:val="single"/>
                </w:rPr>
                <w:t>62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51">
              <w:r>
                <w:rPr>
                  <w:rStyle w:val="InternetLink"/>
                  <w:rFonts w:ascii="Times New Roman;serif" w:hAnsi="Times New Roman;serif"/>
                  <w:b w:val="false"/>
                  <w:color w:val="000000"/>
                  <w:sz w:val="20"/>
                  <w:u w:val="single"/>
                </w:rPr>
                <w:t>62</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54">
              <w:r>
                <w:rPr>
                  <w:rStyle w:val="InternetLink"/>
                  <w:rFonts w:ascii="Times New Roman;serif" w:hAnsi="Times New Roman;serif"/>
                  <w:b w:val="false"/>
                  <w:color w:val="000000"/>
                  <w:sz w:val="20"/>
                  <w:u w:val="single"/>
                </w:rPr>
                <w:t>63</w:t>
              </w:r>
            </w:hyperlink>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60">
              <w:r>
                <w:rPr>
                  <w:rStyle w:val="InternetLink"/>
                  <w:rFonts w:ascii="Times New Roman;serif" w:hAnsi="Times New Roman;serif"/>
                  <w:b w:val="false"/>
                  <w:color w:val="000000"/>
                  <w:sz w:val="20"/>
                  <w:u w:val="single"/>
                </w:rPr>
                <w:t>65</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11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 </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3f6f8d66d948618bbbd3fa535b4b46_163">
              <w:r>
                <w:rPr>
                  <w:rStyle w:val="InternetLink"/>
                  <w:rFonts w:ascii="Times New Roman;serif" w:hAnsi="Times New Roman;serif"/>
                  <w:b w:val="false"/>
                  <w:color w:val="000000"/>
                  <w:sz w:val="20"/>
                  <w:u w:val="single"/>
                </w:rPr>
                <w:t>66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63"/>
        <w:gridCol w:w="2326"/>
        <w:gridCol w:w="2352"/>
        <w:gridCol w:w="200"/>
        <w:gridCol w:w="800"/>
        <w:gridCol w:w="111"/>
        <w:gridCol w:w="109"/>
        <w:gridCol w:w="109"/>
        <w:gridCol w:w="109"/>
        <w:gridCol w:w="246"/>
        <w:gridCol w:w="983"/>
        <w:gridCol w:w="197"/>
      </w:tblGrid>
      <w:tr>
        <w:trPr/>
        <w:tc>
          <w:tcPr>
            <w:tcW w:w="2663"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homes and improvements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14,165.0 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14,093.5 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(3,228.4)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10,733.1 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10,865.1 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(See Note 4)</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 (includes $209.4 and $242.4 at fair value, respectively)</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 (see Note 7)</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Assets held for sale and discontinued operations, net (see Note 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1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 loans payable (see Note 10)</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 (See Note 7)</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Advanced reservation deposits and rent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Accrued expenses and accounts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Liabilities held for sale and discontinued operations, net (see Note 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9,096.8 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(see Note 18)</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Temporary equity (see Note 11)</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Equity</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360.0 shares; Issued and outstanding: 125.9 at June 30, 2025 and 127.4 at December 31, 2024</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 (loss)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in excess of accumulated earnings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SUI Shareholders' Equity</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7,081.7 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and preferred OP units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Consolidated entities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noncontrolling interests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Equity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7,192.8 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Temporary Equity and Shareholders' Equity</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13,362.1 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72465"/>
                <wp:effectExtent l="0" t="0" r="0" b="0"/>
                <wp:wrapNone/>
                <wp:docPr id="4" name="Frame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6"/>
        <w:gridCol w:w="1534"/>
        <w:gridCol w:w="1533"/>
        <w:gridCol w:w="214"/>
        <w:gridCol w:w="757"/>
        <w:gridCol w:w="119"/>
        <w:gridCol w:w="109"/>
        <w:gridCol w:w="109"/>
        <w:gridCol w:w="109"/>
        <w:gridCol w:w="240"/>
        <w:gridCol w:w="682"/>
        <w:gridCol w:w="133"/>
        <w:gridCol w:w="109"/>
        <w:gridCol w:w="109"/>
        <w:gridCol w:w="109"/>
        <w:gridCol w:w="214"/>
        <w:gridCol w:w="757"/>
        <w:gridCol w:w="119"/>
        <w:gridCol w:w="109"/>
        <w:gridCol w:w="109"/>
        <w:gridCol w:w="109"/>
        <w:gridCol w:w="238"/>
        <w:gridCol w:w="675"/>
        <w:gridCol w:w="193"/>
      </w:tblGrid>
      <w:tr>
        <w:trPr/>
        <w:tc>
          <w:tcPr>
            <w:tcW w:w="181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1,065.5 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Catastrophic event-related charges, net</w:t>
            </w:r>
            <w:r>
              <w:rPr>
                <w:color w:val="000000"/>
              </w:rPr>
              <w:t xml:space="preserve"> </w:t>
            </w:r>
            <w:r>
              <w:rPr>
                <w:rFonts w:ascii="Times New Roman;serif" w:hAnsi="Times New Roman;serif"/>
                <w:b w:val="false"/>
                <w:color w:val="000000"/>
                <w:sz w:val="17"/>
              </w:rPr>
              <w:t>(see Note 18)</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 impairments</w:t>
            </w:r>
            <w:r>
              <w:rPr>
                <w:color w:val="000000"/>
              </w:rPr>
              <w:t xml:space="preserve"> </w:t>
            </w:r>
            <w:r>
              <w:rPr>
                <w:rFonts w:ascii="Times New Roman;serif" w:hAnsi="Times New Roman;serif"/>
                <w:b w:val="false"/>
                <w:color w:val="000000"/>
                <w:sz w:val="17"/>
              </w:rPr>
              <w:t>(see Note 17)</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 (see Note 10)</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1,083.2 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Gain / (loss) on dispositions of properties</w:t>
            </w:r>
            <w:r>
              <w:rPr>
                <w:color w:val="000000"/>
              </w:rPr>
              <w:t xml:space="preserve"> </w:t>
            </w:r>
            <w:r>
              <w:rPr>
                <w:rFonts w:ascii="Times New Roman;serif" w:hAnsi="Times New Roman;serif"/>
                <w:b w:val="false"/>
                <w:color w:val="000000"/>
                <w:sz w:val="17"/>
              </w:rPr>
              <w:t>(see Note 5)</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 (see Note 6)</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Income from nonconsolidated affiliates</w:t>
            </w:r>
            <w:r>
              <w:rPr>
                <w:color w:val="000000"/>
              </w:rPr>
              <w:t xml:space="preserve"> </w:t>
            </w:r>
            <w:r>
              <w:rPr>
                <w:rFonts w:ascii="Times New Roman;serif" w:hAnsi="Times New Roman;serif"/>
                <w:b w:val="false"/>
                <w:color w:val="000000"/>
                <w:sz w:val="17"/>
              </w:rPr>
              <w:t>(see Note 9)</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Gain / (loss) on remeasurement of investment in nonconsolidated affiliates</w:t>
            </w:r>
            <w:r>
              <w:rPr>
                <w:color w:val="000000"/>
              </w:rPr>
              <w:t xml:space="preserve"> </w:t>
            </w:r>
            <w:r>
              <w:rPr>
                <w:rFonts w:ascii="Times New Roman;serif" w:hAnsi="Times New Roman;serif"/>
                <w:b w:val="false"/>
                <w:color w:val="000000"/>
                <w:sz w:val="17"/>
              </w:rPr>
              <w:t>(see Note 9)</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discontinued operations,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Income attributable to noncontrolling interests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 (see Note 15)</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 from discontinued operations (see Note 15)</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Basic earnings per share</w:t>
            </w:r>
            <w:r>
              <w:rPr>
                <w:color w:val="000000"/>
              </w:rPr>
              <w:t xml:space="preserve"> </w:t>
            </w:r>
            <w:r>
              <w:rPr>
                <w:rFonts w:ascii="Times New Roman;serif" w:hAnsi="Times New Roman;serif"/>
                <w:b w:val="false"/>
                <w:color w:val="000000"/>
                <w:sz w:val="17"/>
              </w:rPr>
              <w:t>(see Note 15)</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Diluted earnings / (loss) per share from continuing operations</w:t>
            </w:r>
            <w:r>
              <w:rPr>
                <w:color w:val="000000"/>
              </w:rPr>
              <w:t xml:space="preserve"> </w:t>
            </w:r>
            <w:r>
              <w:rPr>
                <w:rFonts w:ascii="Times New Roman;serif" w:hAnsi="Times New Roman;serif"/>
                <w:b w:val="false"/>
                <w:color w:val="000000"/>
                <w:sz w:val="17"/>
              </w:rPr>
              <w:t>(see Note 15)</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Diluted earnings per share from discontinued operations</w:t>
            </w:r>
            <w:r>
              <w:rPr>
                <w:color w:val="000000"/>
              </w:rPr>
              <w:t xml:space="preserve"> </w:t>
            </w:r>
            <w:r>
              <w:rPr>
                <w:rFonts w:ascii="Times New Roman;serif" w:hAnsi="Times New Roman;serif"/>
                <w:b w:val="false"/>
                <w:color w:val="000000"/>
                <w:sz w:val="17"/>
              </w:rPr>
              <w:t>(see Note 15)</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per share</w:t>
            </w:r>
            <w:r>
              <w:rPr>
                <w:color w:val="000000"/>
              </w:rPr>
              <w:t xml:space="preserve"> </w:t>
            </w:r>
            <w:r>
              <w:rPr>
                <w:rFonts w:ascii="Times New Roman;serif" w:hAnsi="Times New Roman;serif"/>
                <w:b w:val="false"/>
                <w:color w:val="000000"/>
                <w:sz w:val="17"/>
              </w:rPr>
              <w:t>(see Note 15)</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(In millions)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12"/>
        <w:gridCol w:w="1493"/>
        <w:gridCol w:w="1505"/>
        <w:gridCol w:w="220"/>
        <w:gridCol w:w="778"/>
        <w:gridCol w:w="122"/>
        <w:gridCol w:w="109"/>
        <w:gridCol w:w="109"/>
        <w:gridCol w:w="109"/>
        <w:gridCol w:w="283"/>
        <w:gridCol w:w="672"/>
        <w:gridCol w:w="157"/>
        <w:gridCol w:w="109"/>
        <w:gridCol w:w="109"/>
        <w:gridCol w:w="109"/>
        <w:gridCol w:w="220"/>
        <w:gridCol w:w="778"/>
        <w:gridCol w:w="122"/>
        <w:gridCol w:w="109"/>
        <w:gridCol w:w="109"/>
        <w:gridCol w:w="109"/>
        <w:gridCol w:w="278"/>
        <w:gridCol w:w="661"/>
        <w:gridCol w:w="223"/>
      </w:tblGrid>
      <w:tr>
        <w:trPr/>
        <w:tc>
          <w:tcPr>
            <w:tcW w:w="171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foreign currency translation gain / (loss)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 Hedges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Change in unrealized gain / (loss) on interest rate derivatives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Interest rate derivative gain reclassified to earnings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unrealized gain / (loss) on interest rate derivatives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Comprehensive Income</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1,380.2 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Comprehensive income attributable to noncontrolling interests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Comprehensive Income Attributable to SUI</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(Unaudited)</w:t>
      </w:r>
    </w:p>
    <w:p>
      <w:pPr>
        <w:pStyle w:val="TextBody"/>
        <w:bidi w:val="0"/>
        <w:spacing w:before="0" w:after="0"/>
        <w:jc w:val="center"/>
        <w:rPr/>
      </w:pPr>
      <w:r>
        <w:rPr/>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273"/>
        <w:gridCol w:w="775"/>
        <w:gridCol w:w="153"/>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7,192.8 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Redemptions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repurchased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Redemptions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2465"/>
                <wp:effectExtent l="0" t="0" r="0" b="0"/>
                <wp:wrapNone/>
                <wp:docPr id="7"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305"/>
        <w:gridCol w:w="725"/>
        <w:gridCol w:w="171"/>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7,023.6 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6,969.8 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2465"/>
                <wp:effectExtent l="0" t="0" r="0" b="0"/>
                <wp:wrapNone/>
                <wp:docPr id="8"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(Unaudited)</w:t>
      </w:r>
    </w:p>
    <w:p>
      <w:pPr>
        <w:pStyle w:val="TextBody"/>
        <w:bidi w:val="0"/>
        <w:spacing w:before="0" w:after="0"/>
        <w:jc w:val="center"/>
        <w:rPr/>
      </w:pPr>
      <w:r>
        <w:rPr/>
      </w:r>
    </w:p>
    <w:tbl>
      <w:tblPr>
        <w:tblW w:w="9746" w:type="dxa"/>
        <w:jc w:val="center"/>
        <w:tblInd w:w="0" w:type="dxa"/>
        <w:tblLayout w:type="fixed"/>
        <w:tblCellMar>
          <w:top w:w="28" w:type="dxa"/>
          <w:left w:w="28" w:type="dxa"/>
          <w:bottom w:w="28" w:type="dxa"/>
          <w:right w:w="28" w:type="dxa"/>
        </w:tblCellMar>
      </w:tblPr>
      <w:tblGrid>
        <w:gridCol w:w="2579"/>
        <w:gridCol w:w="2263"/>
        <w:gridCol w:w="2282"/>
        <w:gridCol w:w="221"/>
        <w:gridCol w:w="781"/>
        <w:gridCol w:w="123"/>
        <w:gridCol w:w="109"/>
        <w:gridCol w:w="109"/>
        <w:gridCol w:w="109"/>
        <w:gridCol w:w="253"/>
        <w:gridCol w:w="718"/>
        <w:gridCol w:w="199"/>
      </w:tblGrid>
      <w:tr>
        <w:trPr/>
        <w:tc>
          <w:tcPr>
            <w:tcW w:w="2579"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 continuing operations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 discontinued operations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properties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from deposit on acquisition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insurance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 (payments) from disposition of assets and depreciated homes,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related to disposition of properties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notes and other receivables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notes and other receivables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nonconsolidated affiliates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capital from nonconsolidated affiliates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for investing activities - continuing operations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investing activities - discontinued operations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 (Used For) Investing Activities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costs of common stock, OP units and preferred OP units,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to satisfy income tax obligations related to vesting of restricted stock awards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F preferred OP units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lines of credit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lines of credit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other debt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other debt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financing costs, net of prepaid return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capital transfer from consolidated affiliates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financing activities - continuing operations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for financing activities - discontinued operations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For Financing Activities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(4,415.2)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cash equivalents and restricted cash - discontinued operations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Continuing Operations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787" w:type="dxa"/>
        <w:jc w:val="left"/>
        <w:tblInd w:w="0" w:type="dxa"/>
        <w:tblLayout w:type="fixed"/>
        <w:tblCellMar>
          <w:top w:w="28" w:type="dxa"/>
          <w:left w:w="28" w:type="dxa"/>
          <w:bottom w:w="28" w:type="dxa"/>
          <w:right w:w="28" w:type="dxa"/>
        </w:tblCellMar>
      </w:tblPr>
      <w:tblGrid>
        <w:gridCol w:w="2233"/>
        <w:gridCol w:w="1965"/>
        <w:gridCol w:w="1967"/>
        <w:gridCol w:w="286"/>
        <w:gridCol w:w="680"/>
        <w:gridCol w:w="159"/>
        <w:gridCol w:w="109"/>
        <w:gridCol w:w="109"/>
        <w:gridCol w:w="109"/>
        <w:gridCol w:w="253"/>
        <w:gridCol w:w="718"/>
        <w:gridCol w:w="199"/>
      </w:tblGrid>
      <w:tr>
        <w:trPr/>
        <w:tc>
          <w:tcPr>
            <w:tcW w:w="223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Information</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interest (net of capitalized interest of $2.7 and $4.9, respectively)</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secured borrowing balance</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distributions declared and outstanding</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common and preferred OP units</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note receivable balance in exchange for redemption of preferred OP units</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 at the Date of Acquisition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 Common stock and OP units issued</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2465"/>
                <wp:effectExtent l="0" t="0" r="0" b="0"/>
                <wp:wrapNone/>
                <wp:docPr id="9"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Sun Communities, Inc., and all wholly-owned or majority-owned and controlled subsidiaries, including Sun Communities Operating Limited Partnership (the "Operating Partnership"), Sun Home Services, Inc. ("SHS"), and our Park Holidays subsidiaries and the other entities through which we operate our business in the United Kingdom ("UK") are referred to herein as the "Company," "SUI," "us," "we," or "our."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2024 as filed with the SEC on February 28, 2025 (our "2024 Annual Report"). These statements have been prepared on a basis that is substantially consistent with the accounting principles applied in our 2024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Estate Held for Sale and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classify real estate assets as held for sale after an active program to sell an asset has commenced and when the sale is probable. Subsequent to the classification of assets as held for sale, no further depreciation expense is recorded. We present businesses whose disposal represents a strategic shift that has, or will have, a major effect on our operations and financial results as discontinued operations when the components meet the criteria for held for sale, are sold, or spun-off.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2025, we entered into a definitive agreement to sell Safe Harbor Marinas LLC ("Safe Harbor") for an aggregate purchase price of approximately $5.65 billion, subject to certain adjustments (the "Safe Harbor Sale"). In April 2025, we completed the initial closing of the Safe Harbor Sale. The Safe Harbor Sale represents the disposition of our Marina business and a strategic shift in operations. Accordingly, the results of the Marina business and assets and liabilities included in the disposition are presented as held for sale and as discontinued operations for all periods presented herein. Certain reclassifications have been made to prior period financial statements and related notes in order to conform to current period presentation. Unless otherwise noted, the information disclosed in Note 3 through Note 20 refers only to our continuing operations and do not include discussion of balances or activity related to Safe Harbor, which is included within discontinued operations. Refer to Note 2, "Assets Held for Sale and Discontinued Operations," for additional information related to Safe Harbor and the 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Safe Harbor Sale, we revised our reporting structure from a four-segment to a three-segment structure, which consists of (i) manufactured home ("MH") communities, (ii) recreational vehicle ("RV") communities, and (iii) communities in the United Kingdom ("UK"). Refer to Note 13, "Segment Reporting,"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service, retail, dining and entertainment revenues and expenses have been renamed as ancillary revenues and expenses to more appropriately reflect the nature of this activity for our continuing operations, after reclassifying the Marina results to discontinued operations. There was no impact to prior period net income, stockholders' equity, or cash flows due to the change in naming convention.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2465"/>
                <wp:effectExtent l="0" t="0" r="0" b="0"/>
                <wp:wrapNone/>
                <wp:docPr id="10" name="Frame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Assets Held for Sale and Discontinued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February 2025, we entered into an agreement to sell Safe Harbor, which represents a strategic shift in operations that is expected to have a major effect on our operations and financial results. Accordingly, the results of the Marina business and assets and liabilities included in the Safe Harbor Sale have been reclassified as discontinued operations for all periods presented herein under ASC 205-20, "</w:t>
      </w:r>
      <w:r>
        <w:rPr>
          <w:rFonts w:ascii="Times New Roman;serif" w:hAnsi="Times New Roman;serif"/>
          <w:b w:val="false"/>
          <w:i/>
          <w:color w:val="000000"/>
          <w:sz w:val="20"/>
        </w:rPr>
        <w:t>Presentation of Financial Statements: Discontinued Operations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we completed the initial closing of the Safe Harbor Sale, which generated pre-tax cash proceeds of approximately $5.25 billion, net of transaction costs. The subsequent closing of the transfer of subsidiaries owning 15 of Safe Harbor's properties (the "Delayed Consent Subsidiaries") with an aggregate agreed value of approximately $250.0 million was further subject to the receipt of certain third-party consents. Subsequent to the initial closing through June 30, 2025, we completed the sale of six Delayed Consent Subsidiaries for $136.7 million. In connection with the closings of the Safe Harbor Sale and the six Delayed Consent Subsidiaries, we recorded a gain on sale of $1.4 billion within Income from discontinued operations, net during the three months ended June 30, 2025. The transfer of the remaining nine Delayed Consent Subsidiaries with an aggregate agreed value of approximately $117.5 million remains subject to the receipt of third-party consents. We have continuing involvement with the Marina business related to ongoing management of the Delayed Consent Subsidiaries by Safe Harbor under an arm's-length management agreement. Under the management agreement, during the three months ended June 30, 2025, we paid management fees of $0.2 million to Safe Harbor, representing 4% of gross revenues earned at the Delayed Consent Subsidiaries. We anticipate that the dispositions of most or all of the remaining Delayed Consent Subsidiaries will occur during the three months ending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assets and liabilities attributable to discontinued operations related to Safe Harbor (in millions):</w:t>
      </w:r>
    </w:p>
    <w:p>
      <w:pPr>
        <w:pStyle w:val="TextBody"/>
        <w:bidi w:val="0"/>
        <w:spacing w:before="0" w:after="0"/>
        <w:jc w:val="both"/>
        <w:rPr/>
      </w:pPr>
      <w:r>
        <w:rPr/>
      </w:r>
    </w:p>
    <w:tbl>
      <w:tblPr>
        <w:tblW w:w="6027" w:type="dxa"/>
        <w:jc w:val="left"/>
        <w:tblInd w:w="0" w:type="dxa"/>
        <w:tblLayout w:type="fixed"/>
        <w:tblCellMar>
          <w:top w:w="28" w:type="dxa"/>
          <w:left w:w="28" w:type="dxa"/>
          <w:bottom w:w="28" w:type="dxa"/>
          <w:right w:w="28" w:type="dxa"/>
        </w:tblCellMar>
      </w:tblPr>
      <w:tblGrid>
        <w:gridCol w:w="1093"/>
        <w:gridCol w:w="963"/>
        <w:gridCol w:w="974"/>
        <w:gridCol w:w="256"/>
        <w:gridCol w:w="727"/>
        <w:gridCol w:w="142"/>
        <w:gridCol w:w="109"/>
        <w:gridCol w:w="109"/>
        <w:gridCol w:w="109"/>
        <w:gridCol w:w="291"/>
        <w:gridCol w:w="1026"/>
        <w:gridCol w:w="228"/>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Investment property, net </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Cash, cash equivalents and restricted cash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Goodwill</w:t>
            </w:r>
            <w:r>
              <w:rPr>
                <w:rFonts w:ascii="Times New Roman;serif" w:hAnsi="Times New Roman;serif"/>
                <w:b w:val="false"/>
                <w:color w:val="000000"/>
                <w:sz w:val="11"/>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Other intangible assets, net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Other assets, net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4,414.5 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Advanced reservation deposits and rent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Accrued expenses and accounts payable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As of June 30, 2025, the remaining goodwill was determined based on the proportion of the remaining Delayed Consent Subsidiaries in relation to the total number of Safe Harbor properties included in the original sale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2465"/>
                <wp:effectExtent l="0" t="0" r="0" b="0"/>
                <wp:wrapNone/>
                <wp:docPr id="11" name="Frame1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operating results included within Income from discontinued operations, net (in millions):</w:t>
      </w:r>
    </w:p>
    <w:p>
      <w:pPr>
        <w:pStyle w:val="TextBody"/>
        <w:bidi w:val="0"/>
        <w:spacing w:before="0" w:after="0"/>
        <w:jc w:val="both"/>
        <w:rPr/>
      </w:pPr>
      <w:r>
        <w:rPr/>
      </w:r>
    </w:p>
    <w:tbl>
      <w:tblPr>
        <w:tblW w:w="9995" w:type="dxa"/>
        <w:jc w:val="left"/>
        <w:tblInd w:w="0" w:type="dxa"/>
        <w:tblLayout w:type="fixed"/>
        <w:tblCellMar>
          <w:top w:w="28" w:type="dxa"/>
          <w:left w:w="28" w:type="dxa"/>
          <w:bottom w:w="28" w:type="dxa"/>
          <w:right w:w="28" w:type="dxa"/>
        </w:tblCellMar>
      </w:tblPr>
      <w:tblGrid>
        <w:gridCol w:w="1615"/>
        <w:gridCol w:w="1417"/>
        <w:gridCol w:w="1437"/>
        <w:gridCol w:w="221"/>
        <w:gridCol w:w="781"/>
        <w:gridCol w:w="123"/>
        <w:gridCol w:w="109"/>
        <w:gridCol w:w="109"/>
        <w:gridCol w:w="109"/>
        <w:gridCol w:w="256"/>
        <w:gridCol w:w="727"/>
        <w:gridCol w:w="142"/>
        <w:gridCol w:w="109"/>
        <w:gridCol w:w="109"/>
        <w:gridCol w:w="109"/>
        <w:gridCol w:w="221"/>
        <w:gridCol w:w="781"/>
        <w:gridCol w:w="123"/>
        <w:gridCol w:w="109"/>
        <w:gridCol w:w="109"/>
        <w:gridCol w:w="109"/>
        <w:gridCol w:w="253"/>
        <w:gridCol w:w="718"/>
        <w:gridCol w:w="199"/>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retail, dining and entertainment revenue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brokerage commissions and other,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retail, dining and entertainment expenses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Transaction costs</w:t>
            </w:r>
            <w:r>
              <w:rPr>
                <w:rFonts w:ascii="Times New Roman;serif" w:hAnsi="Times New Roman;serif"/>
                <w:b w:val="false"/>
                <w:color w:val="000000"/>
                <w:sz w:val="11"/>
              </w:rPr>
              <w:t>(1)</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combination costs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amortization and (gain)/loss on disposal of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disposition of properties,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w:t>
            </w:r>
            <w:r>
              <w:rPr>
                <w:rFonts w:ascii="Times New Roman;serif" w:hAnsi="Times New Roman;serif"/>
                <w:b w:val="false"/>
                <w:color w:val="000000"/>
                <w:sz w:val="10"/>
              </w:rPr>
              <w:t>(2)</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from discontinued operations, before income taxes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Current tax expense</w:t>
            </w:r>
            <w:r>
              <w:rPr>
                <w:color w:val="000000"/>
              </w:rPr>
              <w:t xml:space="preserve"> </w:t>
            </w:r>
            <w:r>
              <w:rPr>
                <w:rFonts w:ascii="Times New Roman;serif" w:hAnsi="Times New Roman;serif"/>
                <w:b w:val="false"/>
                <w:color w:val="000000"/>
                <w:sz w:val="17"/>
              </w:rPr>
              <w:t>(see Note 14)</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from discontinued operations,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legal and advisory fees, employee separation costs, and other transaction costs associated with the Safe Harbor Sale. During the three months ended June 30, 2025, employee separation costs included $25.8 million that was paid to certain Safe Harbor officers and employees.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During the three months ended March 31, 2025, we recorded a contingent consideration expense of $14.6 million related to a tax protection agreement that we entered into with former owners of certain Marina properties at the time of acquisition. The tax protection agreement stipulates that we indemnify those owners for certain tax obligations incurred related to the sale of certain Marina properties. As a result of the Safe Harbor Sale, we concluded that our tax liability to the former owners was probable of being realized and estimable.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amortization, and capital expenditures attributable to discontinued operations related to Safe Harbor (in millions):</w:t>
      </w:r>
    </w:p>
    <w:p>
      <w:pPr>
        <w:pStyle w:val="TextBody"/>
        <w:bidi w:val="0"/>
        <w:spacing w:before="0" w:after="0"/>
        <w:jc w:val="both"/>
        <w:rPr/>
      </w:pPr>
      <w:r>
        <w:rPr/>
      </w:r>
    </w:p>
    <w:tbl>
      <w:tblPr>
        <w:tblW w:w="5035" w:type="dxa"/>
        <w:jc w:val="left"/>
        <w:tblInd w:w="0" w:type="dxa"/>
        <w:tblLayout w:type="fixed"/>
        <w:tblCellMar>
          <w:top w:w="28" w:type="dxa"/>
          <w:left w:w="28" w:type="dxa"/>
          <w:bottom w:w="28" w:type="dxa"/>
          <w:right w:w="28" w:type="dxa"/>
        </w:tblCellMar>
      </w:tblPr>
      <w:tblGrid>
        <w:gridCol w:w="563"/>
        <w:gridCol w:w="495"/>
        <w:gridCol w:w="501"/>
        <w:gridCol w:w="109"/>
        <w:gridCol w:w="109"/>
        <w:gridCol w:w="109"/>
        <w:gridCol w:w="109"/>
        <w:gridCol w:w="109"/>
        <w:gridCol w:w="155"/>
        <w:gridCol w:w="155"/>
        <w:gridCol w:w="286"/>
        <w:gridCol w:w="680"/>
        <w:gridCol w:w="158"/>
        <w:gridCol w:w="109"/>
        <w:gridCol w:w="109"/>
        <w:gridCol w:w="109"/>
        <w:gridCol w:w="253"/>
        <w:gridCol w:w="718"/>
        <w:gridCol w:w="199"/>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w:t>
            </w:r>
          </w:p>
        </w:tc>
        <w:tc>
          <w:tcPr>
            <w:tcW w:w="1497"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2465"/>
                <wp:effectExtent l="0" t="0" r="0" b="0"/>
                <wp:wrapNone/>
                <wp:docPr id="12" name="Frame1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revenue consists of real property revenue at our MH, RV, and UK properties, revenue from home sales, ancillary revenue, interest income, and brokerage commissions and other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major source and segment (in millions):</w:t>
      </w:r>
    </w:p>
    <w:p>
      <w:pPr>
        <w:pStyle w:val="TextBody"/>
        <w:bidi w:val="0"/>
        <w:spacing w:before="0" w:after="0"/>
        <w:jc w:val="both"/>
        <w:rPr/>
      </w:pPr>
      <w:r>
        <w:rPr/>
      </w:r>
    </w:p>
    <w:tbl>
      <w:tblPr>
        <w:tblW w:w="10608" w:type="dxa"/>
        <w:jc w:val="center"/>
        <w:tblInd w:w="0" w:type="dxa"/>
        <w:tblLayout w:type="fixed"/>
        <w:tblCellMar>
          <w:top w:w="28" w:type="dxa"/>
          <w:left w:w="28" w:type="dxa"/>
          <w:bottom w:w="28" w:type="dxa"/>
          <w:right w:w="28" w:type="dxa"/>
        </w:tblCellMar>
      </w:tblPr>
      <w:tblGrid>
        <w:gridCol w:w="385"/>
        <w:gridCol w:w="338"/>
        <w:gridCol w:w="2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pPr>
            <w:r>
              <w:rPr>
                <w:rFonts w:ascii="Times New Roman;serif" w:hAnsi="Times New Roman;serif"/>
                <w:b/>
                <w:color w:val="000000"/>
                <w:sz w:val="17"/>
              </w:rPr>
              <w:t>June 30, 2024</w:t>
            </w:r>
            <w:r>
              <w:rPr>
                <w:rFonts w:ascii="Times New Roman;serif" w:hAnsi="Times New Roman;serif"/>
                <w:b/>
                <w:color w:val="000000"/>
                <w:sz w:val="10"/>
              </w:rPr>
              <w:t>(1)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Recast to reflect segment changes. Refer to Note 1, "Basis of Presentation" and Note 13, "Segment Reporting," for additional information.</w:t>
      </w:r>
    </w:p>
    <w:p>
      <w:pPr>
        <w:pStyle w:val="TextBody"/>
        <w:bidi w:val="0"/>
        <w:spacing w:before="0" w:after="0"/>
        <w:jc w:val="both"/>
        <w:rPr/>
      </w:pPr>
      <w:r>
        <w:rPr/>
      </w:r>
    </w:p>
    <w:tbl>
      <w:tblPr>
        <w:tblW w:w="10608" w:type="dxa"/>
        <w:jc w:val="left"/>
        <w:tblInd w:w="0" w:type="dxa"/>
        <w:tblLayout w:type="fixed"/>
        <w:tblCellMar>
          <w:top w:w="28" w:type="dxa"/>
          <w:left w:w="28" w:type="dxa"/>
          <w:bottom w:w="28" w:type="dxa"/>
          <w:right w:w="28" w:type="dxa"/>
        </w:tblCellMar>
      </w:tblPr>
      <w:tblGrid>
        <w:gridCol w:w="385"/>
        <w:gridCol w:w="338"/>
        <w:gridCol w:w="2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June 30, 2024</w:t>
            </w:r>
            <w:r>
              <w:rPr>
                <w:rFonts w:ascii="Times New Roman;serif" w:hAnsi="Times New Roman;serif"/>
                <w:b/>
                <w:color w:val="000000"/>
                <w:sz w:val="10"/>
              </w:rPr>
              <w:t>(1)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1,093.7 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1,065.5 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Recast to reflect segment changes. Refer to Note 1, "Basis of Presentation" and Note 13, "Segment Reporting,"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majority of our revenue is derived from site and home leases that are accounted for pursuant to ASC 842, "</w:t>
      </w:r>
      <w:r>
        <w:rPr>
          <w:rFonts w:ascii="Times New Roman;serif" w:hAnsi="Times New Roman;serif"/>
          <w:b w:val="false"/>
          <w:i/>
          <w:color w:val="000000"/>
          <w:sz w:val="20"/>
        </w:rPr>
        <w:t>Leases</w:t>
      </w:r>
      <w:r>
        <w:rPr>
          <w:rFonts w:ascii="Times New Roman;serif" w:hAnsi="Times New Roman;serif"/>
          <w:b w:val="false"/>
          <w:color w:val="000000"/>
          <w:sz w:val="20"/>
        </w:rPr>
        <w:t>." We account for all revenue from contracts with customers following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except for those that are within the scope of other topics in the FASB ASC. For additional information, refer to Note 1, "Significant Accounting Policies" in our 2024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2465"/>
                <wp:effectExtent l="0" t="0" r="0" b="0"/>
                <wp:wrapNone/>
                <wp:docPr id="13" name="Frame1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Cash, Cash Equivalents and Restricted Cash</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cash, cash equivalents and restricted cash by significant investment category, which approximates cost (in millions):</w:t>
      </w:r>
    </w:p>
    <w:p>
      <w:pPr>
        <w:pStyle w:val="TextBody"/>
        <w:bidi w:val="0"/>
        <w:spacing w:before="0" w:after="0"/>
        <w:jc w:val="both"/>
        <w:rPr/>
      </w:pPr>
      <w:r>
        <w:rPr/>
      </w:r>
    </w:p>
    <w:tbl>
      <w:tblPr>
        <w:tblW w:w="8719" w:type="dxa"/>
        <w:jc w:val="left"/>
        <w:tblInd w:w="0" w:type="dxa"/>
        <w:tblLayout w:type="fixed"/>
        <w:tblCellMar>
          <w:top w:w="28" w:type="dxa"/>
          <w:left w:w="28" w:type="dxa"/>
          <w:bottom w:w="28" w:type="dxa"/>
          <w:right w:w="28" w:type="dxa"/>
        </w:tblCellMar>
      </w:tblPr>
      <w:tblGrid>
        <w:gridCol w:w="1358"/>
        <w:gridCol w:w="1194"/>
        <w:gridCol w:w="1197"/>
        <w:gridCol w:w="109"/>
        <w:gridCol w:w="109"/>
        <w:gridCol w:w="109"/>
        <w:gridCol w:w="439"/>
        <w:gridCol w:w="439"/>
        <w:gridCol w:w="442"/>
        <w:gridCol w:w="109"/>
        <w:gridCol w:w="109"/>
        <w:gridCol w:w="109"/>
        <w:gridCol w:w="221"/>
        <w:gridCol w:w="781"/>
        <w:gridCol w:w="123"/>
        <w:gridCol w:w="109"/>
        <w:gridCol w:w="109"/>
        <w:gridCol w:w="109"/>
        <w:gridCol w:w="370"/>
        <w:gridCol w:w="882"/>
        <w:gridCol w:w="292"/>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Money market funds</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889.7 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Consists of investments in which 100% maintain original maturities of 90 days or less for which market prices are readily available.</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balances in the table above include $565.3 million as of June 30, 2025, held in escrow accounts that have been designated to fund potential future MH and RV acquisitions under 1031 exchange transactions. Restricted cash also includes utility deposits and amounts held in deposit for tax, insurance, and repair escrows held by lenders in accordance with certain debt agreements. Restricted cash is included in cash and cash equivalents in the reconciliation of the beginning of period and the end of period cash balance on the Consolidated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Real Estate Acquisitions and Dispositions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did not acquire any operating properties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Disposition Activity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dispositions of real estate properties for our continuing operations occurred during the</w:t>
      </w:r>
      <w:r>
        <w:rPr>
          <w:color w:val="000000"/>
        </w:rPr>
        <w:t xml:space="preserve"> </w:t>
      </w:r>
      <w:r>
        <w:rPr>
          <w:rFonts w:ascii="Times New Roman;serif" w:hAnsi="Times New Roman;serif"/>
          <w:b w:val="false"/>
          <w:color w:val="000000"/>
          <w:sz w:val="20"/>
        </w:rPr>
        <w:t>six months ended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1"/>
        <w:gridCol w:w="261"/>
        <w:gridCol w:w="263"/>
        <w:gridCol w:w="109"/>
        <w:gridCol w:w="109"/>
        <w:gridCol w:w="109"/>
        <w:gridCol w:w="240"/>
        <w:gridCol w:w="240"/>
        <w:gridCol w:w="241"/>
        <w:gridCol w:w="109"/>
        <w:gridCol w:w="109"/>
        <w:gridCol w:w="109"/>
        <w:gridCol w:w="297"/>
        <w:gridCol w:w="297"/>
        <w:gridCol w:w="298"/>
        <w:gridCol w:w="109"/>
        <w:gridCol w:w="109"/>
        <w:gridCol w:w="109"/>
        <w:gridCol w:w="170"/>
        <w:gridCol w:w="170"/>
        <w:gridCol w:w="171"/>
        <w:gridCol w:w="109"/>
        <w:gridCol w:w="109"/>
        <w:gridCol w:w="109"/>
        <w:gridCol w:w="261"/>
        <w:gridCol w:w="261"/>
        <w:gridCol w:w="262"/>
        <w:gridCol w:w="109"/>
        <w:gridCol w:w="109"/>
        <w:gridCol w:w="109"/>
        <w:gridCol w:w="252"/>
        <w:gridCol w:w="252"/>
        <w:gridCol w:w="253"/>
        <w:gridCol w:w="109"/>
        <w:gridCol w:w="109"/>
        <w:gridCol w:w="109"/>
        <w:gridCol w:w="205"/>
        <w:gridCol w:w="489"/>
        <w:gridCol w:w="114"/>
        <w:gridCol w:w="109"/>
        <w:gridCol w:w="109"/>
        <w:gridCol w:w="109"/>
        <w:gridCol w:w="306"/>
        <w:gridCol w:w="728"/>
        <w:gridCol w:w="172"/>
        <w:gridCol w:w="109"/>
        <w:gridCol w:w="109"/>
        <w:gridCol w:w="109"/>
        <w:gridCol w:w="273"/>
        <w:gridCol w:w="545"/>
        <w:gridCol w:w="227"/>
      </w:tblGrid>
      <w:tr>
        <w:trPr/>
        <w:tc>
          <w:tcPr>
            <w:tcW w:w="3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Property Name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Month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Cash Consideration, net</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Gain / (Loss) on Disposition</w:t>
            </w:r>
            <w:r>
              <w:rPr>
                <w:rFonts w:ascii="Times New Roman;serif" w:hAnsi="Times New Roman;serif"/>
                <w:b/>
                <w:color w:val="000000"/>
                <w:sz w:val="11"/>
              </w:rPr>
              <w:t>(3)</w:t>
            </w:r>
          </w:p>
        </w:tc>
      </w:tr>
      <w:tr>
        <w:trPr/>
        <w:tc>
          <w:tcPr>
            <w:tcW w:w="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RV Portfolio</w:t>
            </w:r>
            <w:r>
              <w:rPr>
                <w:rFonts w:ascii="Times New Roman;serif" w:hAnsi="Times New Roman;serif"/>
                <w:b w:val="false"/>
                <w:color w:val="000000"/>
                <w:sz w:val="11"/>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January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MH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March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Sun Retreats Millbrook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April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Pertains to our continuing operations. Refer to Note 2, "Assets Held for Sale and Discontinued Operations," for additional detail related to the Safe Harbor Sale, which is classified as a discontinued operation.</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Cash consideration, net of settlement of the associated mortgage debt, when applicable, and other closing adjustments. Refer to Note 10, "Debt and Line of Credit," for additional detail.</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Recorded in Gain / (loss) on dispositions of properties on the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Total sales proceeds include the disposition of two operating properties and two development properties that we owned along with the settlement of a developer note receivable of $36.5 million pertaining to three additional properties in which we had provided financing to the developer that were classified as held for sale as of December 31, 2024. During the year ended December 31, 2024, we recognized asset impairment charges of $12.1 million to reduce the carrying value of the four owned RV properties to an aggregate fair value of $47.5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we sold one MH developmental land parcel in Washington for total consideration of $40.0 million and recorded a gain on sale of $2.6 million. The property was previously classified as held for sale.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2465"/>
                <wp:effectExtent l="0" t="0" r="0" b="0"/>
                <wp:wrapNone/>
                <wp:docPr id="14" name="Frame1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Notes and Other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notes and other receivables (in millions):</w:t>
      </w:r>
    </w:p>
    <w:p>
      <w:pPr>
        <w:pStyle w:val="TextBody"/>
        <w:bidi w:val="0"/>
        <w:spacing w:before="0" w:after="0"/>
        <w:jc w:val="both"/>
        <w:rPr/>
      </w:pPr>
      <w:r>
        <w:rPr/>
      </w:r>
    </w:p>
    <w:tbl>
      <w:tblPr>
        <w:tblW w:w="7151" w:type="dxa"/>
        <w:jc w:val="left"/>
        <w:tblInd w:w="0" w:type="dxa"/>
        <w:tblLayout w:type="fixed"/>
        <w:tblCellMar>
          <w:top w:w="28" w:type="dxa"/>
          <w:left w:w="28" w:type="dxa"/>
          <w:bottom w:w="28" w:type="dxa"/>
          <w:right w:w="28" w:type="dxa"/>
        </w:tblCellMar>
      </w:tblPr>
      <w:tblGrid>
        <w:gridCol w:w="1503"/>
        <w:gridCol w:w="1322"/>
        <w:gridCol w:w="1330"/>
        <w:gridCol w:w="256"/>
        <w:gridCol w:w="727"/>
        <w:gridCol w:w="142"/>
        <w:gridCol w:w="109"/>
        <w:gridCol w:w="109"/>
        <w:gridCol w:w="109"/>
        <w:gridCol w:w="334"/>
        <w:gridCol w:w="948"/>
        <w:gridCol w:w="262"/>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Installment notes receivable on manufactured homes,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receivable from real estate developers and operators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receivables,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Notes and Other Receivables, net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Installment notes receivable are measured at fair value, using indicative pricing models from third party valuation specialists, in accordance with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The balances of installment notes receivable of $116.3 million (principal of installment notes receivable of $119.2 million less fair value adjustment of $2.9 million) and $93.9 million (principal of installment notes receivable of $95.2 million less fair value adjustment of $1.3 million) as of June 30, 2025 and December 31, 2024,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7.3% and 17.4 years as of June 30, 2025, and 6.4% and 18.6 years as of December 31, 2024, respectively. Refer to Note 17, "Fair Value Measurements," for additional details.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Notes receivable from real estate developers and operators are measured at fair value, using indicative pricing models from third party valuation specialists, in accordance with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Refer to Note 17, "Fair Value Measurements," for additional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from Real Estate Operators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receivable from real estate operators at June 30, 2025 consist of a loan provided to a real estate operator to fund the Canadian RV Portfolio disposition (the "Canadian RV Note"). The balance on the Canadian RV Note was $45.1 million with a net weighted average interest rate and maturity of 5.0% and 1.5 years as of June 30, 2025, and was $42.4 million with a net weighted average interest rate and maturity of 5.0% and 2.0 years as of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Real Estate Developers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acquisition and construction loans provided to real estate developers total $48.0 million with a net weighted average interest rate and maturity of 8.7% and 0.7 years as of June 30, 2025, and total $106.1 million with a net weighted average interest rate and maturity of 8.0% and 1.9 years as of December 31, 2024. As of June 30, 2025 and December 31, 2024, the additional acquisition and construction loans provided to real estate developers had $11.6 million and $36.8 million of undrawn funds, respectively. During the three months ended March 31, 2025, we settled a note receivable from a real estate developer of $36.5 million as part of a sale of a portfolio of RV communities. Refer to Note 5, "Real Estate Acquisitions and Dispositions,"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entered into a non-monetary transaction with a real estate developer to settle a note receivable of $23.8 million in conjunction with one RV property in California. Refer to Note 11, "Equity and Temporary Equity," and Note 17, "Fair Value Measurements," for additional information.</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72465"/>
                <wp:effectExtent l="0" t="0" r="0" b="0"/>
                <wp:wrapNone/>
                <wp:docPr id="15" name="Frame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Receivables,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receivables, net were comprised of amounts due from the following categories (in millions):</w:t>
      </w:r>
    </w:p>
    <w:p>
      <w:pPr>
        <w:pStyle w:val="TextBody"/>
        <w:bidi w:val="0"/>
        <w:spacing w:before="0" w:after="0"/>
        <w:jc w:val="both"/>
        <w:rPr/>
      </w:pPr>
      <w:r>
        <w:rPr/>
      </w:r>
    </w:p>
    <w:tbl>
      <w:tblPr>
        <w:tblW w:w="6115" w:type="dxa"/>
        <w:jc w:val="left"/>
        <w:tblInd w:w="0" w:type="dxa"/>
        <w:tblLayout w:type="fixed"/>
        <w:tblCellMar>
          <w:top w:w="28" w:type="dxa"/>
          <w:left w:w="28" w:type="dxa"/>
          <w:bottom w:w="28" w:type="dxa"/>
          <w:right w:w="28" w:type="dxa"/>
        </w:tblCellMar>
      </w:tblPr>
      <w:tblGrid>
        <w:gridCol w:w="1130"/>
        <w:gridCol w:w="991"/>
        <w:gridCol w:w="998"/>
        <w:gridCol w:w="256"/>
        <w:gridCol w:w="727"/>
        <w:gridCol w:w="142"/>
        <w:gridCol w:w="109"/>
        <w:gridCol w:w="109"/>
        <w:gridCol w:w="109"/>
        <w:gridCol w:w="334"/>
        <w:gridCol w:w="948"/>
        <w:gridCol w:w="262"/>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Insurance receivables</w:t>
            </w:r>
            <w:r>
              <w:rPr>
                <w:rFonts w:ascii="Times New Roman;serif" w:hAnsi="Times New Roman;serif"/>
                <w:b w:val="false"/>
                <w:color w:val="000000"/>
                <w:sz w:val="11"/>
              </w:rPr>
              <w:t>(1)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7"/>
              </w:rPr>
            </w:pPr>
            <w:r>
              <w:rPr>
                <w:rFonts w:ascii="Times New Roman;serif" w:hAnsi="Times New Roman;serif"/>
                <w:b w:val="false"/>
                <w:color w:val="000000"/>
                <w:sz w:val="17"/>
              </w:rPr>
              <w:t>Home sale proceeds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Receivables from residents and customers</w:t>
            </w:r>
            <w:r>
              <w:rPr>
                <w:rFonts w:ascii="Times New Roman;serif" w:hAnsi="Times New Roman;serif"/>
                <w:b w:val="false"/>
                <w:color w:val="000000"/>
                <w:sz w:val="11"/>
              </w:rPr>
              <w:t>(2)</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receivables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Other Receivables, net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Primarily consists of receivables from insurance providers related to Hurricanes Ian, Helene, and Milton. Refer to Note 18, "Commitments and Contingencies," for additional details.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Net of allowance for credit losses of $5.3 million and $5.6 million as of June 30, 2025 and December 31,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Collateralized Receivables and Transfers of Financial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previously completed various transactions with an unrelated entity involving our installment notes receivable under which we received cash proceeds in exchange for relinquishing our right, title, and interest in certain notes receivables.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precludes establishing legal isolation, and therefore these transferred loans do not meet the requirements for sale accounting under ASC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balance of collateralized receivables was $46.6 million (gross collateralized receivable of $47.9 million less fair value adjustments of $1.3 million) and $51.2 million (gross collateralized receivable of $52.0 million less fair value adjustments of $0.8 million) at June 30, 2025 and December 31, 2024, respectively. The balance of secured borrowings on collateralized receivables was $46.6 million (gross secured borrowings of $43.1 million plus fair value adjustments of $3.5 million) and $51.2 million (gross secured borrowings of $47.3 million plus fair value adjustments of $3.9 million) as of June 30, 2025 and December 31, 2024, respectively. The notes represent financing to purchasers of manufactured homes located in our communities and require monthly principal and interest payments. The notes had a net weighted average interest rate and maturity of 8.6% and 12.8 years as of June 30, 2025 and 8.6% and 13.2 years as of December 31, 2024. Refer to Note 17, "Fair Value Measurements," for additional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collateralized receivables earn interest income and the secured borrowings accrue interest expense in equal amounts. The amount of interest income and interest expense recognized during the three and six months ended June 30, 2025 was $1.0 million and $2.0 million, respectively, and during the three and six months ended June 30, 2024 was $1.2 million and $2.4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intangible assets include goodwill, in-place leases, trademarks and trade names, customer relationships, franchise agreements and other intangible assets. These intangible assets are recorded in Goodwill and Other intangible assets, net on the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72465"/>
                <wp:effectExtent l="0" t="0" r="0" b="0"/>
                <wp:wrapNone/>
                <wp:docPr id="16" name="Frame1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our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5"/>
        <w:gridCol w:w="686"/>
        <w:gridCol w:w="691"/>
        <w:gridCol w:w="109"/>
        <w:gridCol w:w="109"/>
        <w:gridCol w:w="109"/>
        <w:gridCol w:w="244"/>
        <w:gridCol w:w="244"/>
        <w:gridCol w:w="245"/>
        <w:gridCol w:w="109"/>
        <w:gridCol w:w="109"/>
        <w:gridCol w:w="109"/>
        <w:gridCol w:w="284"/>
        <w:gridCol w:w="806"/>
        <w:gridCol w:w="158"/>
        <w:gridCol w:w="109"/>
        <w:gridCol w:w="109"/>
        <w:gridCol w:w="109"/>
        <w:gridCol w:w="325"/>
        <w:gridCol w:w="950"/>
        <w:gridCol w:w="183"/>
        <w:gridCol w:w="109"/>
        <w:gridCol w:w="109"/>
        <w:gridCol w:w="109"/>
        <w:gridCol w:w="284"/>
        <w:gridCol w:w="806"/>
        <w:gridCol w:w="158"/>
        <w:gridCol w:w="109"/>
        <w:gridCol w:w="109"/>
        <w:gridCol w:w="109"/>
        <w:gridCol w:w="319"/>
        <w:gridCol w:w="932"/>
        <w:gridCol w:w="260"/>
      </w:tblGrid>
      <w:tr>
        <w:trPr/>
        <w:tc>
          <w:tcPr>
            <w:tcW w:w="9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Amortization</w:t>
            </w:r>
          </w:p>
        </w:tc>
      </w:tr>
      <w:tr>
        <w:trPr/>
        <w:tc>
          <w:tcPr>
            <w:tcW w:w="2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10 - 27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Indefinite-lived assets - Trademarks, trade names,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indefinite-lived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(161.4)</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expenses related to our Other intangible assets were as follows (in millions):</w:t>
      </w:r>
    </w:p>
    <w:p>
      <w:pPr>
        <w:pStyle w:val="TextBody"/>
        <w:bidi w:val="0"/>
        <w:spacing w:before="0" w:after="0"/>
        <w:jc w:val="both"/>
        <w:rPr/>
      </w:pPr>
      <w:r>
        <w:rPr/>
      </w:r>
    </w:p>
    <w:tbl>
      <w:tblPr>
        <w:tblW w:w="9257"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324"/>
        <w:gridCol w:w="621"/>
        <w:gridCol w:w="180"/>
        <w:gridCol w:w="109"/>
        <w:gridCol w:w="109"/>
        <w:gridCol w:w="109"/>
        <w:gridCol w:w="324"/>
        <w:gridCol w:w="621"/>
        <w:gridCol w:w="180"/>
        <w:gridCol w:w="109"/>
        <w:gridCol w:w="109"/>
        <w:gridCol w:w="109"/>
        <w:gridCol w:w="324"/>
        <w:gridCol w:w="621"/>
        <w:gridCol w:w="180"/>
        <w:gridCol w:w="109"/>
        <w:gridCol w:w="109"/>
        <w:gridCol w:w="109"/>
        <w:gridCol w:w="316"/>
        <w:gridCol w:w="606"/>
        <w:gridCol w:w="248"/>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fees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amortization expense for Other intangible assets to be as follows for the next five years (in millions):</w:t>
      </w:r>
    </w:p>
    <w:p>
      <w:pPr>
        <w:pStyle w:val="TextBody"/>
        <w:bidi w:val="0"/>
        <w:spacing w:before="0" w:after="0"/>
        <w:jc w:val="both"/>
        <w:rPr/>
      </w:pPr>
      <w:r>
        <w:rPr/>
      </w:r>
    </w:p>
    <w:tbl>
      <w:tblPr>
        <w:tblW w:w="9744" w:type="dxa"/>
        <w:jc w:val="left"/>
        <w:tblInd w:w="0" w:type="dxa"/>
        <w:tblLayout w:type="fixed"/>
        <w:tblCellMar>
          <w:top w:w="28" w:type="dxa"/>
          <w:left w:w="28" w:type="dxa"/>
          <w:bottom w:w="28" w:type="dxa"/>
          <w:right w:w="28" w:type="dxa"/>
        </w:tblCellMar>
      </w:tblPr>
      <w:tblGrid>
        <w:gridCol w:w="1429"/>
        <w:gridCol w:w="1256"/>
        <w:gridCol w:w="1260"/>
        <w:gridCol w:w="109"/>
        <w:gridCol w:w="109"/>
        <w:gridCol w:w="109"/>
        <w:gridCol w:w="375"/>
        <w:gridCol w:w="720"/>
        <w:gridCol w:w="210"/>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 Future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Remainder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2029</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9. Investments in Nonconsolidated Affiliates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Investments in joint ventures that are not consolidated, nor recorded at cost, are accounted for using the equity method of accounting as prescribed in ASC 323, "</w:t>
      </w:r>
      <w:r>
        <w:rPr>
          <w:rFonts w:ascii="Times New Roman;serif" w:hAnsi="Times New Roman;serif"/>
          <w:b w:val="false"/>
          <w:i/>
          <w:color w:val="000000"/>
          <w:sz w:val="20"/>
        </w:rPr>
        <w:t>Investments - Equity Method and Joint Ventures</w:t>
      </w:r>
      <w:r>
        <w:rPr>
          <w:rFonts w:ascii="Times New Roman;serif" w:hAnsi="Times New Roman;serif"/>
          <w:b w:val="false"/>
          <w:color w:val="000000"/>
          <w:sz w:val="20"/>
        </w:rPr>
        <w:t>." Investments in nonconsolidated affiliates are recorded within Other assets, net on the Consolidated Balance Sheets. Equity income and loss are recorded in Income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Sungenia Joint Venture ("Sungenia JV")</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we had a 50.0% ownership interest in Sungenia JV, a joint venture formed between us and Ingenia to establish and grow a manufactured housing community development program in Australia.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GTSC LLC </w:t>
      </w:r>
      <w:r>
        <w:rPr>
          <w:rFonts w:ascii="Times New Roman;serif" w:hAnsi="Times New Roman;serif"/>
          <w:b w:val="false"/>
          <w:color w:val="000000"/>
          <w:sz w:val="20"/>
        </w:rPr>
        <w:t>(</w:t>
      </w:r>
      <w:r>
        <w:rPr>
          <w:rFonts w:ascii="Times New Roman;serif" w:hAnsi="Times New Roman;serif"/>
          <w:b w:val="false"/>
          <w:i/>
          <w:color w:val="000000"/>
          <w:sz w:val="20"/>
        </w:rPr>
        <w:t>"GTSC"</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we had a 40.0% ownership interest in GTSC, which engages in acquiring, holding and selling loans secured, directly or indirectly, by manufactured homes located in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SV Lift, LLC ("SV Lift")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we had a 50.0% ownership interest in SV Lift, which owns, operates, and leases an aircraft.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72465"/>
                <wp:effectExtent l="0" t="0" r="0" b="0"/>
                <wp:wrapNone/>
                <wp:docPr id="17" name="Frame1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investment balance in each nonconsolidated affiliate was as follows (in millions):</w:t>
      </w:r>
    </w:p>
    <w:p>
      <w:pPr>
        <w:pStyle w:val="TextBody"/>
        <w:bidi w:val="0"/>
        <w:spacing w:before="0" w:after="0"/>
        <w:jc w:val="both"/>
        <w:rPr/>
      </w:pPr>
      <w:r>
        <w:rPr/>
      </w:r>
    </w:p>
    <w:tbl>
      <w:tblPr>
        <w:tblW w:w="5303"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256"/>
        <w:gridCol w:w="727"/>
        <w:gridCol w:w="142"/>
        <w:gridCol w:w="109"/>
        <w:gridCol w:w="109"/>
        <w:gridCol w:w="109"/>
        <w:gridCol w:w="334"/>
        <w:gridCol w:w="948"/>
        <w:gridCol w:w="26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Sungenia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GTSC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SV Lift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income / (loss) from each nonconsolidated affiliate is as follows (in millions):</w:t>
      </w:r>
    </w:p>
    <w:p>
      <w:pPr>
        <w:pStyle w:val="TextBody"/>
        <w:bidi w:val="0"/>
        <w:spacing w:before="0" w:after="0"/>
        <w:jc w:val="both"/>
        <w:rPr/>
      </w:pPr>
      <w:r>
        <w:rPr/>
      </w:r>
    </w:p>
    <w:tbl>
      <w:tblPr>
        <w:tblW w:w="9423" w:type="dxa"/>
        <w:jc w:val="left"/>
        <w:tblInd w:w="0" w:type="dxa"/>
        <w:tblLayout w:type="fixed"/>
        <w:tblCellMar>
          <w:top w:w="28" w:type="dxa"/>
          <w:left w:w="28" w:type="dxa"/>
          <w:bottom w:w="28" w:type="dxa"/>
          <w:right w:w="28" w:type="dxa"/>
        </w:tblCellMar>
      </w:tblPr>
      <w:tblGrid>
        <w:gridCol w:w="1292"/>
        <w:gridCol w:w="1138"/>
        <w:gridCol w:w="1140"/>
        <w:gridCol w:w="109"/>
        <w:gridCol w:w="109"/>
        <w:gridCol w:w="109"/>
        <w:gridCol w:w="324"/>
        <w:gridCol w:w="621"/>
        <w:gridCol w:w="180"/>
        <w:gridCol w:w="109"/>
        <w:gridCol w:w="109"/>
        <w:gridCol w:w="109"/>
        <w:gridCol w:w="324"/>
        <w:gridCol w:w="621"/>
        <w:gridCol w:w="180"/>
        <w:gridCol w:w="109"/>
        <w:gridCol w:w="109"/>
        <w:gridCol w:w="109"/>
        <w:gridCol w:w="324"/>
        <w:gridCol w:w="621"/>
        <w:gridCol w:w="180"/>
        <w:gridCol w:w="109"/>
        <w:gridCol w:w="109"/>
        <w:gridCol w:w="109"/>
        <w:gridCol w:w="316"/>
        <w:gridCol w:w="606"/>
        <w:gridCol w:w="248"/>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7"/>
              </w:rPr>
            </w:pPr>
            <w:r>
              <w:rPr>
                <w:rFonts w:ascii="Times New Roman;serif" w:hAnsi="Times New Roman;serif"/>
                <w:b/>
                <w:color w:val="000000"/>
                <w:sz w:val="17"/>
              </w:rPr>
              <w:t>Income / (Loss) from Nonconsolidated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Sungenia JV equity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GTSC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SV Lift equity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Income from Nonconsolidated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we received distributions of $10.1 million and $13.5 million, respectively, and made contributions of $0.6 million and $5.7 million, respectively, with our nonconsolidated affiliates.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Debt and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debt, including premiums, discounts and deferred financing costs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3"/>
        <w:gridCol w:w="620"/>
        <w:gridCol w:w="621"/>
        <w:gridCol w:w="206"/>
        <w:gridCol w:w="729"/>
        <w:gridCol w:w="114"/>
        <w:gridCol w:w="109"/>
        <w:gridCol w:w="109"/>
        <w:gridCol w:w="109"/>
        <w:gridCol w:w="238"/>
        <w:gridCol w:w="840"/>
        <w:gridCol w:w="132"/>
        <w:gridCol w:w="109"/>
        <w:gridCol w:w="109"/>
        <w:gridCol w:w="109"/>
        <w:gridCol w:w="255"/>
        <w:gridCol w:w="255"/>
        <w:gridCol w:w="228"/>
        <w:gridCol w:w="133"/>
        <w:gridCol w:w="133"/>
        <w:gridCol w:w="133"/>
        <w:gridCol w:w="370"/>
        <w:gridCol w:w="370"/>
        <w:gridCol w:w="372"/>
        <w:gridCol w:w="109"/>
        <w:gridCol w:w="109"/>
        <w:gridCol w:w="109"/>
        <w:gridCol w:w="278"/>
        <w:gridCol w:w="278"/>
        <w:gridCol w:w="390"/>
        <w:gridCol w:w="117"/>
        <w:gridCol w:w="117"/>
        <w:gridCol w:w="117"/>
        <w:gridCol w:w="333"/>
        <w:gridCol w:w="270"/>
        <w:gridCol w:w="672"/>
      </w:tblGrid>
      <w:tr>
        <w:trPr/>
        <w:tc>
          <w:tcPr>
            <w:tcW w:w="9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Weighted Average </w:t>
              <w:b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Weighted Average </w:t>
              <w:br/>
              <w:t>Interest Rates</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Secured Debt</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Mortgage loans payable</w:t>
            </w:r>
            <w:r>
              <w:rPr>
                <w:rFonts w:ascii="Times New Roman;serif" w:hAnsi="Times New Roman;serif"/>
                <w:b w:val="false"/>
                <w:color w:val="000000"/>
                <w:sz w:val="11"/>
              </w:rPr>
              <w:t>(1)</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3.637 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3.991 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Secured borrowings on collateralized receivables</w:t>
            </w:r>
            <w:r>
              <w:rPr>
                <w:rFonts w:ascii="Times New Roman;serif" w:hAnsi="Times New Roman;serif"/>
                <w:b w:val="false"/>
                <w:color w:val="000000"/>
                <w:sz w:val="11"/>
              </w:rPr>
              <w:t>(2)</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8.547 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8.575 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Secured Debt</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Unsecured Debt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Senior unsecured notes</w:t>
            </w:r>
            <w:r>
              <w:rPr>
                <w:rFonts w:ascii="Times New Roman;serif" w:hAnsi="Times New Roman;serif"/>
                <w:b w:val="false"/>
                <w:color w:val="000000"/>
                <w:sz w:val="11"/>
              </w:rPr>
              <w:t>(3)</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2.901 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3.778 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Line of credit</w:t>
            </w:r>
            <w:r>
              <w:rPr>
                <w:rFonts w:ascii="Times New Roman;serif" w:hAnsi="Times New Roman;serif"/>
                <w:b w:val="false"/>
                <w:color w:val="000000"/>
                <w:sz w:val="11"/>
              </w:rPr>
              <w:t>(4)</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4.744 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Unsecured Debt</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Debt</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7,352.8 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3.383 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Balances at June 30, 2025 and December 31, 2024 include zero net debt premium, as of each such date, and $10.5 million and $15.2 million of deferred financing costs, respectively.</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Balances at June 30, 2025 and December 31, 2024 include fair value adjustments of 3.5 million and $3.9 million, respectively.</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Balances at June 30, 2025 and December 31, 2024 include $4.6 million and $6.3 million of net debt discount, respectively, and $10.2 million and $17.4 million of deferred financing costs, respectively. Weighted average interest rates include the impact of hedge activity.</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Balances at June 30, 2025 and December 31, 2024 include zero of deferred financing costs,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72465"/>
                <wp:effectExtent l="0" t="0" r="0" b="0"/>
                <wp:wrapNone/>
                <wp:docPr id="18" name="Frame1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Mortgage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repaid the following mortgage term loans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7"/>
        <w:gridCol w:w="571"/>
        <w:gridCol w:w="581"/>
        <w:gridCol w:w="109"/>
        <w:gridCol w:w="109"/>
        <w:gridCol w:w="109"/>
        <w:gridCol w:w="290"/>
        <w:gridCol w:w="828"/>
        <w:gridCol w:w="163"/>
        <w:gridCol w:w="109"/>
        <w:gridCol w:w="109"/>
        <w:gridCol w:w="109"/>
        <w:gridCol w:w="486"/>
        <w:gridCol w:w="408"/>
        <w:gridCol w:w="904"/>
        <w:gridCol w:w="109"/>
        <w:gridCol w:w="109"/>
        <w:gridCol w:w="109"/>
        <w:gridCol w:w="723"/>
        <w:gridCol w:w="688"/>
        <w:gridCol w:w="669"/>
        <w:gridCol w:w="109"/>
        <w:gridCol w:w="109"/>
        <w:gridCol w:w="109"/>
        <w:gridCol w:w="463"/>
        <w:gridCol w:w="1102"/>
        <w:gridCol w:w="374"/>
      </w:tblGrid>
      <w:tr>
        <w:trPr/>
        <w:tc>
          <w:tcPr>
            <w:tcW w:w="6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Repayment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Loss on Extinguishment of Debt</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5.346 </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February 13, 2026 - September 10, 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4.013 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February 01, 2025 -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settled $737.7 million of secured mortgage debt, inclusive of $45.9 million of prepayment costs and deferred financing cost write offs, resulting in a repayment of $691.8 million of net secured mortgage debt. The various mortgage term loans were secured by 44 properties.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five mortgage term loans, which were secured by five properties, and were paid off on the maturity dates in accordance with the loan documents.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did not enter into any mortgage term loans.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mortgage term loans, which total $2.5 billion as of June 30, 2025, are secured by 110 properties comprised of 45,112 sites representing approximately $1.8 billion of net book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7, "Collateralized Receivables and Transfers of Financial Assets," for information on 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senior unsecured notes (in millions, except for statistical information). All senior unsecured notes include interest payments on a semi-annual basis in arrears, and are recorded within the Unsecured debt line item on the Consolidated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09"/>
        <w:gridCol w:w="1662"/>
        <w:gridCol w:w="1678"/>
        <w:gridCol w:w="109"/>
        <w:gridCol w:w="109"/>
        <w:gridCol w:w="109"/>
        <w:gridCol w:w="267"/>
        <w:gridCol w:w="943"/>
        <w:gridCol w:w="148"/>
        <w:gridCol w:w="109"/>
        <w:gridCol w:w="109"/>
        <w:gridCol w:w="109"/>
        <w:gridCol w:w="218"/>
        <w:gridCol w:w="773"/>
        <w:gridCol w:w="121"/>
        <w:gridCol w:w="109"/>
        <w:gridCol w:w="109"/>
        <w:gridCol w:w="109"/>
        <w:gridCol w:w="282"/>
        <w:gridCol w:w="996"/>
        <w:gridCol w:w="227"/>
      </w:tblGrid>
      <w:tr>
        <w:trPr/>
        <w:tc>
          <w:tcPr>
            <w:tcW w:w="19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5.5% notes, issued in January 2024 and due in January 2029 (the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5.7% notes, issued in January 2023 and due in January 2033 (the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396.1</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redeemed the aggregate principal amount of $900.0 million on the 2029 Notes and the 2033 Notes using cash proceeds generated from the Safe Harbor Sale (the "2029 and 2033 Note Redemptions"). In accordance with the terms of each series of Notes, the redemption price was inclusive of a customary make-whole premium and accrued and unpaid interest. As a result, we recorded charges of $56.5 million to Loss on extinguishment of debt on the Consolidated Statements of Operations in connection with early extinguishment premiums on the 2029 and 2033 Note Redemptions. Refer to Note 16, "Derivative Financial Instruments," for cash flow hedge activity resulting from the redemptions.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Partnership (as borrower), SUI (as guarantor), and certain lenders are parties to a credit agreement which governs our senior credit facility (the "Senior Credit Facility"). The aggregate amount available under the senior credit facility consists of a revolving loan in an amount up to $3.05 billion with a maturity date on April 7, 2026. At our option, the maturity date may be extended for two additional six-month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72465"/>
                <wp:effectExtent l="0" t="0" r="0" b="0"/>
                <wp:wrapNone/>
                <wp:docPr id="19" name="Frame1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bears interest at a floating rate based on the Adjusted Term Secured Overnight Financing Rate ("SOFR"), the Adjusted Eurocurrency Rate, the Australian Bank Bill Swap Bid Rate ("BBSY"), the Daily Sterling Overnight Index Average ("SONIA") Rate, or the Canadian Overnight Repo Rate Average ("CORRA"), as applicable, plus a margin, in all cases, ranging from 0.725% to 1.6%, subject to certain adjustments. As of June 30, 2025, the margins based on our credit ratings were 0.775%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lenders' option, the senior credit facility will become immediately due and payable upon an event of default under the Credit Facility Agreement. During the three months ended June 30, 2025, we repaid the remaining outstanding debt balances of $1.6 billion under our senior credit facility. We had zero and $1.4 billion of borrowings outstanding under the revolving loan as of June 30, 2025 and December 31, 2024,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$10.3 million and $11.5 million of outstanding letters of credit at June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June 30, 2025, we were in compliance with all 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Capitalized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capitalize interest during the construction and development of our communities. Capitalized interest costs associated with construction and development activities during the three and six months ended June 30, 2025 were $1.3 million and $2.7 million, respectively, and during the three and six months ended June 30, 2024 were $2.2 million and $4.9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72465"/>
                <wp:effectExtent l="0" t="0" r="0" b="0"/>
                <wp:wrapNone/>
                <wp:docPr id="20" name="Frame1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Equity and Temporary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Temporary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Temporary equity includes preferred securities that are redeemable for cash at the holder's option or upon the occurrence of an event that is not solely within our control based on a fixed or determinable price and other redeemable equity interests. These securities are not mandatorily redeemable for cash nor do they contain a fixed maturity date. The following table sets forth the various series of redeemable preferred OP units and other redeemable equity interests that were outstanding as of June 30, 2025 and December 31, 2024, and the related terms, and summarizes the balance included within Temporary Equity on our Consolidated Balance Sheets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2"/>
        <w:gridCol w:w="109"/>
        <w:gridCol w:w="109"/>
        <w:gridCol w:w="109"/>
        <w:gridCol w:w="536"/>
        <w:gridCol w:w="339"/>
        <w:gridCol w:w="340"/>
        <w:gridCol w:w="109"/>
        <w:gridCol w:w="109"/>
        <w:gridCol w:w="109"/>
        <w:gridCol w:w="273"/>
        <w:gridCol w:w="273"/>
        <w:gridCol w:w="274"/>
        <w:gridCol w:w="109"/>
        <w:gridCol w:w="109"/>
        <w:gridCol w:w="109"/>
        <w:gridCol w:w="239"/>
        <w:gridCol w:w="235"/>
        <w:gridCol w:w="524"/>
        <w:gridCol w:w="109"/>
        <w:gridCol w:w="109"/>
        <w:gridCol w:w="109"/>
        <w:gridCol w:w="338"/>
        <w:gridCol w:w="338"/>
        <w:gridCol w:w="339"/>
        <w:gridCol w:w="109"/>
        <w:gridCol w:w="109"/>
        <w:gridCol w:w="109"/>
        <w:gridCol w:w="366"/>
        <w:gridCol w:w="366"/>
        <w:gridCol w:w="367"/>
        <w:gridCol w:w="109"/>
        <w:gridCol w:w="109"/>
        <w:gridCol w:w="109"/>
        <w:gridCol w:w="197"/>
        <w:gridCol w:w="559"/>
        <w:gridCol w:w="109"/>
        <w:gridCol w:w="109"/>
        <w:gridCol w:w="109"/>
        <w:gridCol w:w="109"/>
        <w:gridCol w:w="198"/>
        <w:gridCol w:w="563"/>
        <w:gridCol w:w="168"/>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Exchange Rate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Annual Distribution Rate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Cash Redemption</w:t>
            </w:r>
            <w:r>
              <w:rPr>
                <w:rFonts w:ascii="Times New Roman;serif" w:hAnsi="Times New Roman;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9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580,464 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236,000 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Within 60 days after March 23,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redeemable equity interests</w:t>
            </w:r>
            <w:r>
              <w:rPr>
                <w:rFonts w:ascii="Times New Roman;serif" w:hAnsi="Times New Roman;serif"/>
                <w:b w:val="false"/>
                <w:color w:val="000000"/>
                <w:sz w:val="11"/>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2,380,320 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6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Distributions are payable on the issue price of each OP unit, which is $100.00 per unit for all these preferred OP units.</w:t>
      </w:r>
    </w:p>
    <w:p>
      <w:pPr>
        <w:pStyle w:val="TextBody"/>
        <w:bidi w:val="0"/>
        <w:spacing w:lineRule="auto" w:line="288" w:before="0" w:after="6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The redemption price for each preferred OP unit redeemed will be equal to its issue price plus all accrued but unpaid distributions.</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Includes redeemable equity interests related to joint ventures that primarily operate and maintain solar energy equipment in select communities and portfolios of RV communities in the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Permanent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Universal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filed a universal shelf registration statement on Form S-3 with the SEC, which provides for the registration of unspecified amounts of equity and debt securities. The authorized number of shares of our capital stock is 380,000,000 shares, of which 360,000,000 shares are common stock and 20,000,000 shares are preferred stock. As of June 30, 2025, we had 125,857,728 shares of common stock issued and outstanding and no shares of preferred stock were issued and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an At the Market Offering Sales Agreement (the "ATM") with certain sales agents and forward sellers pursuant to which we may sell, from time to time, up to an aggregate gross sales price of $1.25 billion of our common stock. Through June 30,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72465"/>
                <wp:effectExtent l="0" t="0" r="0" b="0"/>
                <wp:wrapNone/>
                <wp:docPr id="21" name="Frame2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our Board of Directors authorized a stock repurchase program (the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Securities Exchange Act of 1934, as amended (the "Exchange Act") and other applicable legal requirements. The Stock Repurchase Program does not obligate us to repurchase any specific number of shares, and we may initiate, suspend, or discontinue purchases under the Stock Repurchase Program at any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account for stock repurchases in accordance with ASC 505, "</w:t>
      </w:r>
      <w:r>
        <w:rPr>
          <w:rFonts w:ascii="Times New Roman;serif" w:hAnsi="Times New Roman;serif"/>
          <w:b w:val="false"/>
          <w:i/>
          <w:color w:val="000000"/>
          <w:sz w:val="20"/>
        </w:rPr>
        <w:t>Equity</w:t>
      </w:r>
      <w:r>
        <w:rPr>
          <w:rFonts w:ascii="Times New Roman;serif" w:hAnsi="Times New Roman;serif"/>
          <w:b w:val="false"/>
          <w:color w:val="000000"/>
          <w:sz w:val="20"/>
        </w:rPr>
        <w:t>," by allocating the repurchase price to Common Stock, Additional paid-in-capital, and Distributions in excess of accumulated earnings on the Consolidated Balance Sheets. Under Maryland corporate law, our state of incorporation, there is no concept of treasury shares. As a result, all repurchased shares are retired and returned to the status of authorized but unissued shares upon settlement. During the three months ended June 30, 2025, we repurchased and retired 1.6 million shares of our outstanding common stock for $202.8 million. As of June 30, 2025, we had $797.2 million remaining authorized for purchase under this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Issuances of Common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did not issue any common OP units. During the six months ended June 30, 2024, we issued common OP units in connection with the acquisition of certain properties:</w:t>
      </w:r>
    </w:p>
    <w:p>
      <w:pPr>
        <w:pStyle w:val="TextBody"/>
        <w:bidi w:val="0"/>
        <w:spacing w:before="0" w:after="0"/>
        <w:jc w:val="both"/>
        <w:rPr/>
      </w:pPr>
      <w:r>
        <w:rPr/>
      </w:r>
    </w:p>
    <w:tbl>
      <w:tblPr>
        <w:tblW w:w="8241" w:type="dxa"/>
        <w:jc w:val="left"/>
        <w:tblInd w:w="0" w:type="dxa"/>
        <w:tblLayout w:type="fixed"/>
        <w:tblCellMar>
          <w:top w:w="28" w:type="dxa"/>
          <w:left w:w="28" w:type="dxa"/>
          <w:bottom w:w="28" w:type="dxa"/>
          <w:right w:w="28" w:type="dxa"/>
        </w:tblCellMar>
      </w:tblPr>
      <w:tblGrid>
        <w:gridCol w:w="352"/>
        <w:gridCol w:w="310"/>
        <w:gridCol w:w="313"/>
        <w:gridCol w:w="109"/>
        <w:gridCol w:w="109"/>
        <w:gridCol w:w="109"/>
        <w:gridCol w:w="649"/>
        <w:gridCol w:w="649"/>
        <w:gridCol w:w="652"/>
        <w:gridCol w:w="109"/>
        <w:gridCol w:w="109"/>
        <w:gridCol w:w="109"/>
        <w:gridCol w:w="755"/>
        <w:gridCol w:w="1446"/>
        <w:gridCol w:w="424"/>
        <w:gridCol w:w="109"/>
        <w:gridCol w:w="109"/>
        <w:gridCol w:w="109"/>
        <w:gridCol w:w="500"/>
        <w:gridCol w:w="500"/>
        <w:gridCol w:w="710"/>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OP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 at Issuance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Related Acquisition</w:t>
            </w:r>
          </w:p>
        </w:tc>
      </w:tr>
      <w:tr>
        <w:trPr/>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7"/>
              </w:rPr>
            </w:pPr>
            <w:r>
              <w:rPr>
                <w:rFonts w:ascii="Times New Roman;serif" w:hAnsi="Times New Roman;serif"/>
                <w:b w:val="false"/>
                <w:color w:val="000000"/>
                <w:sz w:val="17"/>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19,326 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Port Milford</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7"/>
              </w:rPr>
            </w:pPr>
            <w:r>
              <w:rPr>
                <w:rFonts w:ascii="Times New Roman;serif" w:hAnsi="Times New Roman;serif"/>
                <w:b w:val="false"/>
                <w:color w:val="000000"/>
                <w:sz w:val="17"/>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4,452 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for development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Statements of Comprehensive Income / (Loss) for complete details related to OCI activity in the reporting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AOCI attributable to SUI common shareholders consisted of the following, net of tax (in millions):</w:t>
      </w:r>
    </w:p>
    <w:p>
      <w:pPr>
        <w:pStyle w:val="TextBody"/>
        <w:bidi w:val="0"/>
        <w:spacing w:before="0" w:after="0"/>
        <w:jc w:val="both"/>
        <w:rPr/>
      </w:pPr>
      <w:r>
        <w:rPr/>
      </w:r>
    </w:p>
    <w:tbl>
      <w:tblPr>
        <w:tblW w:w="6596" w:type="dxa"/>
        <w:jc w:val="left"/>
        <w:tblInd w:w="0" w:type="dxa"/>
        <w:tblLayout w:type="fixed"/>
        <w:tblCellMar>
          <w:top w:w="28" w:type="dxa"/>
          <w:left w:w="28" w:type="dxa"/>
          <w:bottom w:w="28" w:type="dxa"/>
          <w:right w:w="28" w:type="dxa"/>
        </w:tblCellMar>
      </w:tblPr>
      <w:tblGrid>
        <w:gridCol w:w="1301"/>
        <w:gridCol w:w="1147"/>
        <w:gridCol w:w="1151"/>
        <w:gridCol w:w="286"/>
        <w:gridCol w:w="680"/>
        <w:gridCol w:w="159"/>
        <w:gridCol w:w="109"/>
        <w:gridCol w:w="109"/>
        <w:gridCol w:w="109"/>
        <w:gridCol w:w="340"/>
        <w:gridCol w:w="938"/>
        <w:gridCol w:w="267"/>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foreign currency translation income / (loss)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net gains on derivatives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 (loss)</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72465"/>
                <wp:effectExtent l="0" t="0" r="0" b="0"/>
                <wp:wrapNone/>
                <wp:docPr id="22" name="Frame2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 - Common and Preferred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common and preferred OP units included within Noncontrolling interests on our Consolidated Balance Sheets (in millions, except for units and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0"/>
        <w:gridCol w:w="317"/>
        <w:gridCol w:w="319"/>
        <w:gridCol w:w="109"/>
        <w:gridCol w:w="109"/>
        <w:gridCol w:w="109"/>
        <w:gridCol w:w="537"/>
        <w:gridCol w:w="344"/>
        <w:gridCol w:w="346"/>
        <w:gridCol w:w="109"/>
        <w:gridCol w:w="109"/>
        <w:gridCol w:w="109"/>
        <w:gridCol w:w="277"/>
        <w:gridCol w:w="277"/>
        <w:gridCol w:w="278"/>
        <w:gridCol w:w="109"/>
        <w:gridCol w:w="109"/>
        <w:gridCol w:w="109"/>
        <w:gridCol w:w="250"/>
        <w:gridCol w:w="250"/>
        <w:gridCol w:w="558"/>
        <w:gridCol w:w="109"/>
        <w:gridCol w:w="109"/>
        <w:gridCol w:w="109"/>
        <w:gridCol w:w="330"/>
        <w:gridCol w:w="330"/>
        <w:gridCol w:w="331"/>
        <w:gridCol w:w="109"/>
        <w:gridCol w:w="109"/>
        <w:gridCol w:w="109"/>
        <w:gridCol w:w="332"/>
        <w:gridCol w:w="332"/>
        <w:gridCol w:w="333"/>
        <w:gridCol w:w="109"/>
        <w:gridCol w:w="109"/>
        <w:gridCol w:w="109"/>
        <w:gridCol w:w="198"/>
        <w:gridCol w:w="563"/>
        <w:gridCol w:w="110"/>
        <w:gridCol w:w="109"/>
        <w:gridCol w:w="109"/>
        <w:gridCol w:w="109"/>
        <w:gridCol w:w="201"/>
        <w:gridCol w:w="572"/>
        <w:gridCol w:w="171"/>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Exchange Rate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Annual Distribution Rate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Cash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2,823,365 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Same distribution rate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170,305 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40,268 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292,436 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80,000 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3,426,374 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Distributions are payable on the issue price of each OP unit which is $100.00 per unit for all these preferred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Conversions to Common Stock and Common OP Units</w:t>
      </w:r>
      <w:r>
        <w:rPr>
          <w:color w:val="000000"/>
        </w:rPr>
        <w:t xml:space="preserve"> </w:t>
      </w:r>
      <w:r>
        <w:rPr>
          <w:rFonts w:ascii="Times New Roman;serif" w:hAnsi="Times New Roman;serif"/>
          <w:b w:val="false"/>
          <w:color w:val="000000"/>
          <w:sz w:val="20"/>
        </w:rPr>
        <w:t>- Subject to certain limitations, holders can convert certain series of OP units to shares of our common stock and to common OP units at any time. Below is the activity of conversions during the six months ended June 30, 2025 and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8"/>
        <w:gridCol w:w="490"/>
        <w:gridCol w:w="496"/>
        <w:gridCol w:w="109"/>
        <w:gridCol w:w="109"/>
        <w:gridCol w:w="109"/>
        <w:gridCol w:w="393"/>
        <w:gridCol w:w="382"/>
        <w:gridCol w:w="383"/>
        <w:gridCol w:w="109"/>
        <w:gridCol w:w="109"/>
        <w:gridCol w:w="109"/>
        <w:gridCol w:w="511"/>
        <w:gridCol w:w="482"/>
        <w:gridCol w:w="483"/>
        <w:gridCol w:w="117"/>
        <w:gridCol w:w="117"/>
        <w:gridCol w:w="117"/>
        <w:gridCol w:w="420"/>
        <w:gridCol w:w="360"/>
        <w:gridCol w:w="362"/>
        <w:gridCol w:w="109"/>
        <w:gridCol w:w="137"/>
        <w:gridCol w:w="137"/>
        <w:gridCol w:w="137"/>
        <w:gridCol w:w="137"/>
        <w:gridCol w:w="511"/>
        <w:gridCol w:w="482"/>
        <w:gridCol w:w="483"/>
        <w:gridCol w:w="109"/>
        <w:gridCol w:w="109"/>
        <w:gridCol w:w="109"/>
        <w:gridCol w:w="420"/>
        <w:gridCol w:w="360"/>
        <w:gridCol w:w="362"/>
        <w:gridCol w:w="109"/>
        <w:gridCol w:w="169"/>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c>
          <w:tcPr>
            <w:tcW w:w="1747" w:type="dxa"/>
            <w:gridSpan w:val="8"/>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1747" w:type="dxa"/>
            <w:gridSpan w:val="8"/>
            <w:tcBorders/>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82,505 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82,505 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68,783 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68,783 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6,492 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15,832 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10,332 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25,195 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4,309 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4,782 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9,103 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10,104 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4,898 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Non-Monetary Transaction and Redemption of Preferred OP Units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January 2025, we entered into a non-monetary transaction with a real estate developer to settle a note receivable of $23.8 million in exchange for settlement of contingent consideration of $9.0 million in conjunction with one RV property in California, and redemption of 200,914 Series G preferred OP units held by the developer at a carrying value of $19.6 million. We also provided the developer with a redemption right to repurchase the Series G preferred OP units at an option price per unit of $84.42 through the option expiration date of January 1, 2026. In accordance with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we accounted for the redemption right as an equity-linked financial instrument that is indexed to our own shares, thus qualifying for the scope exception to account for the option as a freestanding derivative financial instrument, and recorded the option to Temporary Equity at its transaction date fair value of $3.4 million. During the three months ended March 31, 2025, we recorded a gain of $3.7 million within Other income / (expense), net on our Consolidated Statements of Operations in conjunction with the non-monetary transaction.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72465"/>
                <wp:effectExtent l="0" t="0" r="0" b="0"/>
                <wp:wrapNone/>
                <wp:docPr id="23" name="Frame2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Redemption of Preferred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certain limitations, holders can redeem certain series of preferred OP units for cash, provided that the applicable contractual requirements are met. During the three months ended June 30, 2025, 20,000 Series F preferred OP units were redeemed for a net cash payment of $2.0 million, inclusive of all distributions on the redeemed units that were accrued and unpaid as of the redemption date, in accordance with the terms and conditions set forth in the redemption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declared for the six months ended June 30,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5"/>
        <w:gridCol w:w="1170"/>
        <w:gridCol w:w="1177"/>
        <w:gridCol w:w="109"/>
        <w:gridCol w:w="109"/>
        <w:gridCol w:w="109"/>
        <w:gridCol w:w="292"/>
        <w:gridCol w:w="292"/>
        <w:gridCol w:w="294"/>
        <w:gridCol w:w="109"/>
        <w:gridCol w:w="109"/>
        <w:gridCol w:w="109"/>
        <w:gridCol w:w="332"/>
        <w:gridCol w:w="332"/>
        <w:gridCol w:w="334"/>
        <w:gridCol w:w="109"/>
        <w:gridCol w:w="109"/>
        <w:gridCol w:w="109"/>
        <w:gridCol w:w="371"/>
        <w:gridCol w:w="883"/>
        <w:gridCol w:w="207"/>
        <w:gridCol w:w="109"/>
        <w:gridCol w:w="109"/>
        <w:gridCol w:w="109"/>
        <w:gridCol w:w="403"/>
        <w:gridCol w:w="1148"/>
        <w:gridCol w:w="327"/>
      </w:tblGrid>
      <w:tr>
        <w:trPr/>
        <w:tc>
          <w:tcPr>
            <w:tcW w:w="133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Common Stock, Common OP units and Restricted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Distribution (in millions)</w:t>
            </w:r>
          </w:p>
        </w:tc>
      </w:tr>
      <w:tr>
        <w:trPr/>
        <w:tc>
          <w:tcPr>
            <w:tcW w:w="3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May 14, 2025 Special Distribution</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connection with the closing of the Safe Harbor Sale, our Board of Directors authorized a one-time special cash distribution of $4.00 per common share and common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12. Share-Based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shares were granted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Vesting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137,400 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133.39 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205,540 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Represents the weighted average fair value per share of the closing price of our common stock on the dates the shares were awarded.</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Represents the weighted average fair value per share of the Monte Carlo simulation fair value price of our market condition awards on the dates the shares were awarded.</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Share-based compensation for restricted stock awards with market conditions is measured based on shares expected to vest using a Monte Carlo simulation to determine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vesting requirements for 188,569 and 195,134 restricted shares granted to our executives, directors, and employees were satisfied during the six months ended June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recognized the following share-based compensation costs (in millions):</w:t>
      </w:r>
    </w:p>
    <w:p>
      <w:pPr>
        <w:pStyle w:val="TextBody"/>
        <w:bidi w:val="0"/>
        <w:spacing w:before="0" w:after="0"/>
        <w:jc w:val="both"/>
        <w:rPr/>
      </w:pPr>
      <w:r>
        <w:rPr/>
      </w:r>
    </w:p>
    <w:tbl>
      <w:tblPr>
        <w:tblW w:w="8732"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324"/>
        <w:gridCol w:w="621"/>
        <w:gridCol w:w="180"/>
        <w:gridCol w:w="109"/>
        <w:gridCol w:w="109"/>
        <w:gridCol w:w="109"/>
        <w:gridCol w:w="286"/>
        <w:gridCol w:w="680"/>
        <w:gridCol w:w="159"/>
        <w:gridCol w:w="109"/>
        <w:gridCol w:w="109"/>
        <w:gridCol w:w="109"/>
        <w:gridCol w:w="286"/>
        <w:gridCol w:w="680"/>
        <w:gridCol w:w="159"/>
        <w:gridCol w:w="109"/>
        <w:gridCol w:w="109"/>
        <w:gridCol w:w="109"/>
        <w:gridCol w:w="281"/>
        <w:gridCol w:w="668"/>
        <w:gridCol w:w="220"/>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Share-based compensation - expensed</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within General and administrative expense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72465"/>
                <wp:effectExtent l="0" t="0" r="0" b="0"/>
                <wp:wrapNone/>
                <wp:docPr id="24" name="Frame2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ASC 280, "</w:t>
      </w:r>
      <w:r>
        <w:rPr>
          <w:rFonts w:ascii="Times New Roman;serif" w:hAnsi="Times New Roman;serif"/>
          <w:b w:val="false"/>
          <w:i/>
          <w:color w:val="000000"/>
          <w:sz w:val="20"/>
        </w:rPr>
        <w:t>Segment Reporting</w:t>
      </w:r>
      <w:r>
        <w:rPr>
          <w:rFonts w:ascii="Times New Roman;serif" w:hAnsi="Times New Roman;serif"/>
          <w:b w:val="false"/>
          <w:color w:val="000000"/>
          <w:sz w:val="20"/>
        </w:rPr>
        <w:t>," establishes standards for the way that business enterprises report information about operating segments in their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described in Note 1, "Basis of Presentation,"</w:t>
      </w:r>
      <w:r>
        <w:rPr>
          <w:color w:val="000000"/>
        </w:rPr>
        <w:t xml:space="preserve"> </w:t>
      </w:r>
      <w:r>
        <w:rPr>
          <w:rFonts w:ascii="Times New Roman;serif" w:hAnsi="Times New Roman;serif"/>
          <w:b w:val="false"/>
          <w:color w:val="000000"/>
          <w:sz w:val="20"/>
        </w:rPr>
        <w:t>effective March 31, 2025, we revised our reporting structure from four segments to three segments, which consists of (i) manufactured home ("MH") communities, (ii) recreational vehicle ("RV") communities, and (iii) the United Kingdom ("UK"). The new structure removes the Marina business from our operating segments as a result of its classification as a discontinued operation and reflects how the chief operating decision maker, a committee comprised of our Chief Executive Officer, Chief Operating Officer, and Chief Financial Officer, manages the business, makes operating decisions, allocates resources and evaluates operating performance. Refer to Note 2, "Assets Held for Sale and Discontinued Operations," for additional details regarding discontinued operations. Beginning with the three months ended March 31, 2025, we report our financial results consistent with our realigned operating segments and have recast prior period amounts to conform to the way we internally manage our business and monitor segment performance. Certain reclassifications have been made to the prior period financial statements and related notes in order to conform to the current period presentation. There was no impact to prior period net income, shareholders' equity, or cash flows for any of the reclassifications.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three reportable segments are: (i) MH, (ii) RV, and (iii) UK.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72465"/>
                <wp:effectExtent l="0" t="0" r="0" b="0"/>
                <wp:wrapNone/>
                <wp:docPr id="25" name="Frame2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presentation of segment financial information is summarized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77"/>
        <w:gridCol w:w="340"/>
        <w:gridCol w:w="344"/>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61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6"/>
      </w:tblGrid>
      <w:tr>
        <w:trPr/>
        <w:tc>
          <w:tcPr>
            <w:tcW w:w="7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 - transient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Functional 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Payroll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Utilities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taxes, and insurance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Supplies and repairs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expenses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 estate taxes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 - Cost of sales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 - Cost of goods sold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NOI</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arrive at 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Brokerage commissions and other revenues,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Catastrophic event-related charges,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 (see Note 10)</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foreign currency exchanges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dispositions of properties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remeasurement of notes receivable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nonconsolidated affiliates (see Note 9)</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remeasurement of investment in nonconsolidated affiliates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tax expense (see Note 14)</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benefit (see Note 14)</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 (Loss)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discontinued operations,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Preferred return to preferred OP units / equity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SUI Common Shareholders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Other segment items for each reportable segment include:</w:t>
      </w:r>
    </w:p>
    <w:p>
      <w:pPr>
        <w:pStyle w:val="TextBody"/>
        <w:bidi w:val="0"/>
        <w:spacing w:lineRule="auto" w:line="288" w:before="0" w:after="60"/>
        <w:jc w:val="both"/>
        <w:rPr/>
      </w:pPr>
      <w:r>
        <w:rPr>
          <w:rFonts w:ascii="Times New Roman;serif" w:hAnsi="Times New Roman;serif"/>
          <w:b/>
          <w:color w:val="000000"/>
          <w:sz w:val="16"/>
        </w:rPr>
        <w:t>MH and RV</w:t>
      </w:r>
      <w:r>
        <w:rPr>
          <w:color w:val="000000"/>
        </w:rPr>
        <w:t xml:space="preserve"> – </w:t>
      </w:r>
      <w:r>
        <w:rPr>
          <w:rFonts w:ascii="Times New Roman;serif" w:hAnsi="Times New Roman;serif"/>
          <w:b w:val="false"/>
          <w:color w:val="000000"/>
          <w:sz w:val="16"/>
        </w:rPr>
        <w:t>costs related to home sales and ancillary, specifically payroll, utilities, legal, taxes and insurance, supplies and repairs, and other expenses.</w:t>
      </w:r>
    </w:p>
    <w:p>
      <w:pPr>
        <w:pStyle w:val="TextBody"/>
        <w:bidi w:val="0"/>
        <w:spacing w:lineRule="auto" w:line="288" w:before="0" w:after="0"/>
        <w:jc w:val="both"/>
        <w:rPr/>
      </w:pPr>
      <w:r>
        <w:rPr>
          <w:rFonts w:ascii="Times New Roman;serif" w:hAnsi="Times New Roman;serif"/>
          <w:b/>
          <w:color w:val="000000"/>
          <w:sz w:val="16"/>
        </w:rPr>
        <w:t>UK</w:t>
      </w:r>
      <w:r>
        <w:rPr>
          <w:color w:val="000000"/>
        </w:rPr>
        <w:t xml:space="preserve"> – </w:t>
      </w:r>
      <w:r>
        <w:rPr>
          <w:rFonts w:ascii="Times New Roman;serif" w:hAnsi="Times New Roman;serif"/>
          <w:b w:val="false"/>
          <w:color w:val="000000"/>
          <w:sz w:val="16"/>
        </w:rPr>
        <w:t>other costs related to home sales and ancillary, specifically home sales commission expense, payroll, utilities, legal, taxes, and insurance, supplies and repairs, and other expenses.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26" name="Frame2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43"/>
        <w:gridCol w:w="298"/>
        <w:gridCol w:w="301"/>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61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616"/>
        <w:gridCol w:w="155"/>
      </w:tblGrid>
      <w:tr>
        <w:trPr/>
        <w:tc>
          <w:tcPr>
            <w:tcW w:w="7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 - transient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Functional 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Payroll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Utilities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taxes, and insurance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Supplies and repairs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expenses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 estate taxes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 - Cost of sales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 - Cost of goods sold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NOI</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arrive at 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Brokerage commissions and other revenues,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Catastrophic event-related charges,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 (see Note 10)</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foreign currency exchanges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dispositions of properties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remeasurement of notes receivable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nonconsolidated affiliates (see Note 9)</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remeasurement of investment in nonconsolidated affiliates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tax expense (see Note 14)</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benefit (see Note 14)</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discontinued operations,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Preferred return to preferred OP units / equity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SUI Common Shareholders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Other segment items for each reportable segment include:</w:t>
      </w:r>
    </w:p>
    <w:p>
      <w:pPr>
        <w:pStyle w:val="TextBody"/>
        <w:bidi w:val="0"/>
        <w:spacing w:lineRule="auto" w:line="288" w:before="0" w:after="60"/>
        <w:jc w:val="both"/>
        <w:rPr/>
      </w:pPr>
      <w:r>
        <w:rPr>
          <w:rFonts w:ascii="Times New Roman;serif" w:hAnsi="Times New Roman;serif"/>
          <w:b/>
          <w:color w:val="000000"/>
          <w:sz w:val="16"/>
        </w:rPr>
        <w:t>MH and RV</w:t>
      </w:r>
      <w:r>
        <w:rPr>
          <w:color w:val="000000"/>
        </w:rPr>
        <w:t xml:space="preserve"> – </w:t>
      </w:r>
      <w:r>
        <w:rPr>
          <w:rFonts w:ascii="Times New Roman;serif" w:hAnsi="Times New Roman;serif"/>
          <w:b w:val="false"/>
          <w:color w:val="000000"/>
          <w:sz w:val="16"/>
        </w:rPr>
        <w:t>costs related to home sales and ancillary, specifically payroll, utilities, legal, taxes and insurance, supplies and repairs, and other expenses.</w:t>
      </w:r>
    </w:p>
    <w:p>
      <w:pPr>
        <w:pStyle w:val="TextBody"/>
        <w:bidi w:val="0"/>
        <w:spacing w:lineRule="auto" w:line="288" w:before="0" w:after="0"/>
        <w:jc w:val="both"/>
        <w:rPr/>
      </w:pPr>
      <w:r>
        <w:rPr>
          <w:rFonts w:ascii="Times New Roman;serif" w:hAnsi="Times New Roman;serif"/>
          <w:b/>
          <w:color w:val="000000"/>
          <w:sz w:val="16"/>
        </w:rPr>
        <w:t>UK</w:t>
      </w:r>
      <w:r>
        <w:rPr>
          <w:color w:val="000000"/>
        </w:rPr>
        <w:t xml:space="preserve"> – </w:t>
      </w:r>
      <w:r>
        <w:rPr>
          <w:rFonts w:ascii="Times New Roman;serif" w:hAnsi="Times New Roman;serif"/>
          <w:b w:val="false"/>
          <w:color w:val="000000"/>
          <w:sz w:val="16"/>
        </w:rPr>
        <w:t>other costs related to home sales and ancillary, specifically home sales commission expense, payroll, utilities, legal, taxes, and insurance, supplies and repairs, and other expenses.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72465"/>
                <wp:effectExtent l="0" t="0" r="0" b="0"/>
                <wp:wrapNone/>
                <wp:docPr id="27" name="Frame2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1668" w:type="dxa"/>
        <w:jc w:val="left"/>
        <w:tblInd w:w="0" w:type="dxa"/>
        <w:tblLayout w:type="fixed"/>
        <w:tblCellMar>
          <w:top w:w="28" w:type="dxa"/>
          <w:left w:w="28" w:type="dxa"/>
          <w:bottom w:w="28" w:type="dxa"/>
          <w:right w:w="28" w:type="dxa"/>
        </w:tblCellMar>
      </w:tblPr>
      <w:tblGrid>
        <w:gridCol w:w="582"/>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Assets held for sale &amp; discontinued operations,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345" w:type="dxa"/>
        <w:jc w:val="left"/>
        <w:tblInd w:w="0" w:type="dxa"/>
        <w:tblLayout w:type="fixed"/>
        <w:tblCellMar>
          <w:top w:w="28" w:type="dxa"/>
          <w:left w:w="28" w:type="dxa"/>
          <w:bottom w:w="28" w:type="dxa"/>
          <w:right w:w="28" w:type="dxa"/>
        </w:tblCellMar>
      </w:tblPr>
      <w:tblGrid>
        <w:gridCol w:w="466"/>
        <w:gridCol w:w="410"/>
        <w:gridCol w:w="414"/>
        <w:gridCol w:w="109"/>
        <w:gridCol w:w="109"/>
        <w:gridCol w:w="109"/>
        <w:gridCol w:w="203"/>
        <w:gridCol w:w="809"/>
        <w:gridCol w:w="113"/>
        <w:gridCol w:w="109"/>
        <w:gridCol w:w="109"/>
        <w:gridCol w:w="109"/>
        <w:gridCol w:w="278"/>
        <w:gridCol w:w="278"/>
        <w:gridCol w:w="475"/>
        <w:gridCol w:w="109"/>
        <w:gridCol w:w="109"/>
        <w:gridCol w:w="109"/>
        <w:gridCol w:w="270"/>
        <w:gridCol w:w="1079"/>
        <w:gridCol w:w="150"/>
        <w:gridCol w:w="109"/>
        <w:gridCol w:w="109"/>
        <w:gridCol w:w="109"/>
        <w:gridCol w:w="278"/>
        <w:gridCol w:w="278"/>
        <w:gridCol w:w="536"/>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603" w:type="dxa"/>
            <w:gridSpan w:val="18"/>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North America</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10,734.2 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13,948.3 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13,362.1 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Includes $121.1 million and $4.4 billion of total assets from discontinued operations as of June 30, 2025 and December 31, 2024, respectively. Refer to Note 2, "Assets Held for Sale and Discontinued Operations,"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72465"/>
                <wp:effectExtent l="0" t="0" r="0" b="0"/>
                <wp:wrapNone/>
                <wp:docPr id="28" name="Frame2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However, we have a valuation allowance on our taxable REIT subsidiaries' deferred tax assets. During the three months ending June 30, 2025, we released a valuation allowance of $17.7 million to partially offset the Safe Harbor Marina gain on sale. Refer to Note 2, "Assets Held for Sale and Discontinued Operations," for additional details related to the Safe Harbor Sale. We are also subject to local income taxes in Canada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 We also may be subject to Australian withholding taxes on dividends from our Australian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Earnings /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 Our potentially dilutive securities include our potential common shares related to our forward equity offerings, our unvested restricted common shares, and our Operating Partnership outstanding common and preferred OP units, which, if converted or exercised, may impact dilution.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and undistributed earnings allocated to common shareholders by the weighted average number of shares of common stock outstanding for the period; and (2) dividing the sum of distributed earnings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72465"/>
                <wp:effectExtent l="0" t="0" r="0" b="0"/>
                <wp:wrapNone/>
                <wp:docPr id="29" name="Frame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Computations of basic and diluted EPS were as follows (in millions, except for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7"/>
        <w:gridCol w:w="1497"/>
        <w:gridCol w:w="1507"/>
        <w:gridCol w:w="109"/>
        <w:gridCol w:w="109"/>
        <w:gridCol w:w="109"/>
        <w:gridCol w:w="208"/>
        <w:gridCol w:w="736"/>
        <w:gridCol w:w="116"/>
        <w:gridCol w:w="109"/>
        <w:gridCol w:w="109"/>
        <w:gridCol w:w="109"/>
        <w:gridCol w:w="241"/>
        <w:gridCol w:w="574"/>
        <w:gridCol w:w="134"/>
        <w:gridCol w:w="109"/>
        <w:gridCol w:w="109"/>
        <w:gridCol w:w="109"/>
        <w:gridCol w:w="208"/>
        <w:gridCol w:w="736"/>
        <w:gridCol w:w="116"/>
        <w:gridCol w:w="109"/>
        <w:gridCol w:w="109"/>
        <w:gridCol w:w="109"/>
        <w:gridCol w:w="226"/>
        <w:gridCol w:w="597"/>
        <w:gridCol w:w="184"/>
      </w:tblGrid>
      <w:tr>
        <w:trPr/>
        <w:tc>
          <w:tcPr>
            <w:tcW w:w="181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Numerator for 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return to preferred OP units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 (loss) from continuing operations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 (loss) from continuing operations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attributable to common shareholders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Numerator for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 (loss) from continuing operations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Diluted net income / (loss) from continuing operations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(180.2)</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Diluted net 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 net income attributable to common shareholders after allocation to common and preferred OP units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dilutive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Diluted weighted average common shares and securities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EPS Available to Common Shareholders After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7"/>
              </w:rPr>
              <w:t>Diluted earnings per share</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the three and six months ended June 30, 2025 and 2024, diluted earnings per share was calculated using the two-class stock method for restricted common shares as the application of this method resulted in a more diluted earnings per share during those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72465"/>
                <wp:effectExtent l="0" t="0" r="0" b="0"/>
                <wp:wrapNone/>
                <wp:docPr id="30" name="Frame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excluded certain potentially dilutive securities from the computation of diluted EPS because the inclusion of those securities would have been anti-dilutive for the periods presented. The following table presents the outstanding securities that were excluded from the computations of diluted EPS as of June 30, 2025 and 2024 (in thousands):</w:t>
      </w:r>
    </w:p>
    <w:p>
      <w:pPr>
        <w:pStyle w:val="TextBody"/>
        <w:bidi w:val="0"/>
        <w:spacing w:before="0" w:after="0"/>
        <w:jc w:val="left"/>
        <w:rPr/>
      </w:pPr>
      <w:r>
        <w:rPr/>
      </w:r>
    </w:p>
    <w:tbl>
      <w:tblPr>
        <w:tblW w:w="6611" w:type="dxa"/>
        <w:jc w:val="left"/>
        <w:tblInd w:w="0" w:type="dxa"/>
        <w:tblLayout w:type="fixed"/>
        <w:tblCellMar>
          <w:top w:w="28" w:type="dxa"/>
          <w:left w:w="28" w:type="dxa"/>
          <w:bottom w:w="28" w:type="dxa"/>
          <w:right w:w="28" w:type="dxa"/>
        </w:tblCellMar>
      </w:tblPr>
      <w:tblGrid>
        <w:gridCol w:w="1286"/>
        <w:gridCol w:w="1132"/>
        <w:gridCol w:w="1137"/>
        <w:gridCol w:w="109"/>
        <w:gridCol w:w="109"/>
        <w:gridCol w:w="109"/>
        <w:gridCol w:w="374"/>
        <w:gridCol w:w="374"/>
        <w:gridCol w:w="376"/>
        <w:gridCol w:w="109"/>
        <w:gridCol w:w="109"/>
        <w:gridCol w:w="109"/>
        <w:gridCol w:w="374"/>
        <w:gridCol w:w="374"/>
        <w:gridCol w:w="37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E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F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K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Redemption rights - Series G preferred OP units</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6,067 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 January 2025, we issued a redemption right to repurchase Series G preferred OP units to a real estate developer as part of a non-monetary transaction. The redemption right was antidilutive during the three and six months ended June 30, 2025. Refer to Note 11, "Equity and Temporary Equity,"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16. Derivative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utilize treasury rate lock contracts, interest rate swaps, and forward swaps for interest rate risk management purposes. We have also periodically entered into forward swaps to hedge foreign currency exchange risk exposures. We do not enter into derivative instruments for speculative purposes. As of June 30, 2025 and December 31, 2024, we held 5 and 11 derivative contracts, respectively, which have each been designated as cash flow hedges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risk being hedged is the interest rate risk related to forecasted debt issuance transactions, and the benchmark interest rates used is the SOFR Rate. The unrealized gains or losses on the derivative instruments are recorded in AOCI and are reclassified to Interest expense on the Consolidated Statements of Operations during the same period in which the hedged transaction affects earnings. We estimate that $3.5 million will be reclassified as a reduction to Interest expense over the next 12 months for all of our outstanding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Contract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entered into six forward swap contracts with a notional amount totaling $1.0 billion (equivalent to £768.0 million) to hedge a planned repayment of a GBP debt borrowing. In conjunction with the repayment of the debt borrowing during the same period, we settled the forward swap contracts and recognized a gain of $14.4 million, which was recorded within Gain / (loss) on foreign currency exchanges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also terminated three interest rate swap contracts with an aggregate notional amount of $150.0 million in conjunction with the settlement of outstanding debt obligations on our Senior Credit Facility. We recorded a loss on termination of $1.3 million, which was recorded to Other income / (expense),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three forward swaps with a notional amount totaling $646.4 million (equivalent to £500.0 million) expired upon reaching their respective maturity dates.</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72465"/>
                <wp:effectExtent l="0" t="0" r="0" b="0"/>
                <wp:wrapNone/>
                <wp:docPr id="31" name="Frame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fair value amounts of our derivative financial instruments and the associated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5"/>
        <w:gridCol w:w="849"/>
        <w:gridCol w:w="855"/>
        <w:gridCol w:w="109"/>
        <w:gridCol w:w="109"/>
        <w:gridCol w:w="109"/>
        <w:gridCol w:w="196"/>
        <w:gridCol w:w="556"/>
        <w:gridCol w:w="109"/>
        <w:gridCol w:w="109"/>
        <w:gridCol w:w="109"/>
        <w:gridCol w:w="109"/>
        <w:gridCol w:w="246"/>
        <w:gridCol w:w="474"/>
        <w:gridCol w:w="137"/>
        <w:gridCol w:w="109"/>
        <w:gridCol w:w="109"/>
        <w:gridCol w:w="109"/>
        <w:gridCol w:w="300"/>
        <w:gridCol w:w="576"/>
        <w:gridCol w:w="167"/>
        <w:gridCol w:w="109"/>
        <w:gridCol w:w="109"/>
        <w:gridCol w:w="109"/>
        <w:gridCol w:w="196"/>
        <w:gridCol w:w="556"/>
        <w:gridCol w:w="109"/>
        <w:gridCol w:w="109"/>
        <w:gridCol w:w="109"/>
        <w:gridCol w:w="109"/>
        <w:gridCol w:w="246"/>
        <w:gridCol w:w="474"/>
        <w:gridCol w:w="137"/>
        <w:gridCol w:w="109"/>
        <w:gridCol w:w="109"/>
        <w:gridCol w:w="109"/>
        <w:gridCol w:w="293"/>
        <w:gridCol w:w="563"/>
        <w:gridCol w:w="23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Assets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Liabilities</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Assets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Liabilities</w:t>
            </w:r>
            <w:r>
              <w:rPr>
                <w:rFonts w:ascii="Times New Roman;serif" w:hAnsi="Times New Roman;serif"/>
                <w:b/>
                <w:color w:val="000000"/>
                <w:sz w:val="11"/>
              </w:rPr>
              <w:t>(2)</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Included within Other assets, net on the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Included within Other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17, "Fair Value Measurements," for additional information related to the fair value methodology used for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gains / (losses) on derivatives in cash flow hedging relationships recognized in OCI (in millions):</w:t>
      </w:r>
    </w:p>
    <w:p>
      <w:pPr>
        <w:pStyle w:val="TextBody"/>
        <w:bidi w:val="0"/>
        <w:spacing w:before="0" w:after="0"/>
        <w:jc w:val="both"/>
        <w:rPr/>
      </w:pPr>
      <w:r>
        <w:rPr/>
      </w:r>
    </w:p>
    <w:tbl>
      <w:tblPr>
        <w:tblW w:w="9211" w:type="dxa"/>
        <w:jc w:val="left"/>
        <w:tblInd w:w="0" w:type="dxa"/>
        <w:tblLayout w:type="fixed"/>
        <w:tblCellMar>
          <w:top w:w="28" w:type="dxa"/>
          <w:left w:w="28" w:type="dxa"/>
          <w:bottom w:w="28" w:type="dxa"/>
          <w:right w:w="28" w:type="dxa"/>
        </w:tblCellMar>
      </w:tblPr>
      <w:tblGrid>
        <w:gridCol w:w="1215"/>
        <w:gridCol w:w="1069"/>
        <w:gridCol w:w="1076"/>
        <w:gridCol w:w="109"/>
        <w:gridCol w:w="109"/>
        <w:gridCol w:w="109"/>
        <w:gridCol w:w="324"/>
        <w:gridCol w:w="621"/>
        <w:gridCol w:w="180"/>
        <w:gridCol w:w="109"/>
        <w:gridCol w:w="109"/>
        <w:gridCol w:w="109"/>
        <w:gridCol w:w="324"/>
        <w:gridCol w:w="621"/>
        <w:gridCol w:w="180"/>
        <w:gridCol w:w="109"/>
        <w:gridCol w:w="109"/>
        <w:gridCol w:w="109"/>
        <w:gridCol w:w="291"/>
        <w:gridCol w:w="671"/>
        <w:gridCol w:w="162"/>
        <w:gridCol w:w="109"/>
        <w:gridCol w:w="109"/>
        <w:gridCol w:w="109"/>
        <w:gridCol w:w="281"/>
        <w:gridCol w:w="668"/>
        <w:gridCol w:w="220"/>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gains on derivative instruments reclassified from AOCI into earnings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6"/>
        <w:gridCol w:w="806"/>
        <w:gridCol w:w="811"/>
        <w:gridCol w:w="109"/>
        <w:gridCol w:w="109"/>
        <w:gridCol w:w="109"/>
        <w:gridCol w:w="688"/>
        <w:gridCol w:w="688"/>
        <w:gridCol w:w="690"/>
        <w:gridCol w:w="109"/>
        <w:gridCol w:w="109"/>
        <w:gridCol w:w="109"/>
        <w:gridCol w:w="280"/>
        <w:gridCol w:w="537"/>
        <w:gridCol w:w="155"/>
        <w:gridCol w:w="109"/>
        <w:gridCol w:w="109"/>
        <w:gridCol w:w="109"/>
        <w:gridCol w:w="280"/>
        <w:gridCol w:w="537"/>
        <w:gridCol w:w="155"/>
        <w:gridCol w:w="109"/>
        <w:gridCol w:w="109"/>
        <w:gridCol w:w="109"/>
        <w:gridCol w:w="255"/>
        <w:gridCol w:w="606"/>
        <w:gridCol w:w="141"/>
        <w:gridCol w:w="109"/>
        <w:gridCol w:w="109"/>
        <w:gridCol w:w="109"/>
        <w:gridCol w:w="274"/>
        <w:gridCol w:w="527"/>
        <w:gridCol w:w="224"/>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5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2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Interest expense / </w:t>
              <w:br/>
              <w:t>Other (income) /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three months ended June 30, 2025, we released net accumulated gains of $8.7 million from AOCI to earnings in conjunction with the settlement of the 2029 and 2033 Note Redemptions and the repayment of certain mortgage term loans. The debt instruments were previously classified as hedged transactions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the extinguishment of the related debt obligations resulted in the discontinuation of the cash flow hedge relationship. The net accumulated gains were recorded to Other income / (expense), net on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17.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financial instruments consist primarily of cash, cash equivalents and restricted cash, notes and other receivables, derivative assets and liabilities, debt and other liabilities. We utilize fair value measurements to record fair value adjustments to certain assets and liabilities and to determine fair value disclosures, pursuant to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 Quoted unadjusted prices for identical instruments in active markets that we have the ability to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72465"/>
                <wp:effectExtent l="0" t="0" r="0" b="0"/>
                <wp:wrapNone/>
                <wp:docPr id="32" name="Frame3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by Hierarchy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financial assets and liabilities (in millions) that required disclosure of fair value on a recurring basis as of June 30, 2025. The table presents the carrying values and fair values of our financial instruments as of June 30, 2025 and December 31, 2024,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financial instruments are classified as Level 1 in the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3"/>
        <w:gridCol w:w="494"/>
        <w:gridCol w:w="498"/>
        <w:gridCol w:w="109"/>
        <w:gridCol w:w="109"/>
        <w:gridCol w:w="109"/>
        <w:gridCol w:w="207"/>
        <w:gridCol w:w="730"/>
        <w:gridCol w:w="115"/>
        <w:gridCol w:w="109"/>
        <w:gridCol w:w="109"/>
        <w:gridCol w:w="109"/>
        <w:gridCol w:w="373"/>
        <w:gridCol w:w="1317"/>
        <w:gridCol w:w="207"/>
        <w:gridCol w:w="109"/>
        <w:gridCol w:w="109"/>
        <w:gridCol w:w="109"/>
        <w:gridCol w:w="275"/>
        <w:gridCol w:w="969"/>
        <w:gridCol w:w="152"/>
        <w:gridCol w:w="109"/>
        <w:gridCol w:w="109"/>
        <w:gridCol w:w="109"/>
        <w:gridCol w:w="319"/>
        <w:gridCol w:w="905"/>
        <w:gridCol w:w="179"/>
        <w:gridCol w:w="109"/>
        <w:gridCol w:w="109"/>
        <w:gridCol w:w="109"/>
        <w:gridCol w:w="196"/>
        <w:gridCol w:w="691"/>
        <w:gridCol w:w="160"/>
      </w:tblGrid>
      <w:tr>
        <w:trPr/>
        <w:tc>
          <w:tcPr>
            <w:tcW w:w="78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7051" w:type="dxa"/>
            <w:gridSpan w:val="24"/>
            <w:tcBorders/>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w:t>
            </w:r>
          </w:p>
        </w:tc>
      </w:tr>
      <w:tr>
        <w:trPr/>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1,719.8 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Unsecured debt -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4,284.8 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3,872.2 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3,918.8 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5"/>
        <w:gridCol w:w="508"/>
        <w:gridCol w:w="512"/>
        <w:gridCol w:w="109"/>
        <w:gridCol w:w="109"/>
        <w:gridCol w:w="109"/>
        <w:gridCol w:w="207"/>
        <w:gridCol w:w="732"/>
        <w:gridCol w:w="115"/>
        <w:gridCol w:w="109"/>
        <w:gridCol w:w="109"/>
        <w:gridCol w:w="109"/>
        <w:gridCol w:w="460"/>
        <w:gridCol w:w="1095"/>
        <w:gridCol w:w="256"/>
        <w:gridCol w:w="109"/>
        <w:gridCol w:w="109"/>
        <w:gridCol w:w="109"/>
        <w:gridCol w:w="279"/>
        <w:gridCol w:w="986"/>
        <w:gridCol w:w="155"/>
        <w:gridCol w:w="109"/>
        <w:gridCol w:w="109"/>
        <w:gridCol w:w="109"/>
        <w:gridCol w:w="323"/>
        <w:gridCol w:w="917"/>
        <w:gridCol w:w="181"/>
        <w:gridCol w:w="109"/>
        <w:gridCol w:w="109"/>
        <w:gridCol w:w="109"/>
        <w:gridCol w:w="196"/>
        <w:gridCol w:w="691"/>
        <w:gridCol w:w="162"/>
      </w:tblGrid>
      <w:tr>
        <w:trPr/>
        <w:tc>
          <w:tcPr>
            <w:tcW w:w="79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009" w:type="dxa"/>
            <w:gridSpan w:val="24"/>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Installment notes receivable on manufactured homes,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receivable from real estate developers and operators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3,263.4 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3,003.6 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3,889.9 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financial liabilities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7,365.4 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6,843.6 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6,906.1 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33" name="Frame3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cash equivalents and restricted cash approximate their fair market values due to the short-term nature of the instruments. These are classified as Level 1 in the hierarchy. Refer to Note 4, "Cash, Cash Equivalents and Restricted Cash," for additional information.</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Installment Notes Receivable on Manufactured Homes and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Installment notes receivable on manufactured homes are recorded at fair value and are measured using model-derived indicative pricing using primarily unobservable inputs, inclusive of default rates, interest rates and recovery rates (Level 3). Refer to Note 6, "Notes and Other Receivables," and Note 7, "Collateralized Receivables and Transfers of Financial Assets,"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6,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Assets and Liabilities - Interest Rate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 derivatives are recorded at fair value and consist of interest rate swaps and forward swaps. The fair value of these financial instruments are measured using observable inputs based on the SOFR and SONIA Rates, respectively (Level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debt consists primarily of our mortgage term loans. The fair value of mortgage term loans is based on management estimates and on rates currently quoted, rates currently prevailing for comparable loans and instruments of comparable maturities (Level 2). Refer to Note 10,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borrowings on collateralized receivables - recorded at fair value and adjusted based on the same interest rates as the related collateralized receivables (Level 3). Refer to Note 7, "Collateralized Receivables and Transfers of Financial Assets," and Note 10,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10,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Financial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34" name="Frame3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Level 3 Reconciliation, Measurements and Transfers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changes to our financial instruments carried at fair value and classified within Level 3 of the fair value hierarchy for the three and six months ended June 30,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0"/>
        <w:gridCol w:w="309"/>
        <w:gridCol w:w="314"/>
        <w:gridCol w:w="109"/>
        <w:gridCol w:w="109"/>
        <w:gridCol w:w="109"/>
        <w:gridCol w:w="230"/>
        <w:gridCol w:w="656"/>
        <w:gridCol w:w="129"/>
        <w:gridCol w:w="109"/>
        <w:gridCol w:w="109"/>
        <w:gridCol w:w="109"/>
        <w:gridCol w:w="273"/>
        <w:gridCol w:w="649"/>
        <w:gridCol w:w="152"/>
        <w:gridCol w:w="109"/>
        <w:gridCol w:w="109"/>
        <w:gridCol w:w="109"/>
        <w:gridCol w:w="300"/>
        <w:gridCol w:w="714"/>
        <w:gridCol w:w="167"/>
        <w:gridCol w:w="109"/>
        <w:gridCol w:w="109"/>
        <w:gridCol w:w="109"/>
        <w:gridCol w:w="109"/>
        <w:gridCol w:w="109"/>
        <w:gridCol w:w="257"/>
        <w:gridCol w:w="613"/>
        <w:gridCol w:w="145"/>
        <w:gridCol w:w="109"/>
        <w:gridCol w:w="109"/>
        <w:gridCol w:w="109"/>
        <w:gridCol w:w="244"/>
        <w:gridCol w:w="693"/>
        <w:gridCol w:w="137"/>
        <w:gridCol w:w="109"/>
        <w:gridCol w:w="109"/>
        <w:gridCol w:w="109"/>
        <w:gridCol w:w="300"/>
        <w:gridCol w:w="714"/>
        <w:gridCol w:w="167"/>
        <w:gridCol w:w="109"/>
        <w:gridCol w:w="109"/>
        <w:gridCol w:w="164"/>
      </w:tblGrid>
      <w:tr>
        <w:trPr/>
        <w:tc>
          <w:tcPr>
            <w:tcW w:w="48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at March 31,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exchange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June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Loss on remeasurement of notes receivable on the Consolidated Statements of Operations.</w:t>
      </w:r>
    </w:p>
    <w:p>
      <w:pPr>
        <w:pStyle w:val="TextBody"/>
        <w:bidi w:val="0"/>
        <w:spacing w:lineRule="auto" w:line="288" w:before="0" w:after="12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Recorded within Other income / (expense), net on the Consolidated Statements of Operations.</w:t>
      </w:r>
    </w:p>
    <w:tbl>
      <w:tblPr>
        <w:tblW w:w="10205" w:type="dxa"/>
        <w:jc w:val="left"/>
        <w:tblInd w:w="0" w:type="dxa"/>
        <w:tblLayout w:type="fixed"/>
        <w:tblCellMar>
          <w:top w:w="28" w:type="dxa"/>
          <w:left w:w="28" w:type="dxa"/>
          <w:bottom w:w="28" w:type="dxa"/>
          <w:right w:w="28" w:type="dxa"/>
        </w:tblCellMar>
      </w:tblPr>
      <w:tblGrid>
        <w:gridCol w:w="498"/>
        <w:gridCol w:w="326"/>
        <w:gridCol w:w="331"/>
        <w:gridCol w:w="109"/>
        <w:gridCol w:w="109"/>
        <w:gridCol w:w="109"/>
        <w:gridCol w:w="236"/>
        <w:gridCol w:w="672"/>
        <w:gridCol w:w="133"/>
        <w:gridCol w:w="109"/>
        <w:gridCol w:w="109"/>
        <w:gridCol w:w="109"/>
        <w:gridCol w:w="254"/>
        <w:gridCol w:w="721"/>
        <w:gridCol w:w="142"/>
        <w:gridCol w:w="109"/>
        <w:gridCol w:w="109"/>
        <w:gridCol w:w="109"/>
        <w:gridCol w:w="303"/>
        <w:gridCol w:w="722"/>
        <w:gridCol w:w="170"/>
        <w:gridCol w:w="109"/>
        <w:gridCol w:w="109"/>
        <w:gridCol w:w="109"/>
        <w:gridCol w:w="263"/>
        <w:gridCol w:w="629"/>
        <w:gridCol w:w="149"/>
        <w:gridCol w:w="109"/>
        <w:gridCol w:w="109"/>
        <w:gridCol w:w="109"/>
        <w:gridCol w:w="254"/>
        <w:gridCol w:w="721"/>
        <w:gridCol w:w="142"/>
        <w:gridCol w:w="109"/>
        <w:gridCol w:w="109"/>
        <w:gridCol w:w="109"/>
        <w:gridCol w:w="303"/>
        <w:gridCol w:w="722"/>
        <w:gridCol w:w="170"/>
        <w:gridCol w:w="109"/>
        <w:gridCol w:w="109"/>
        <w:gridCol w:w="164"/>
      </w:tblGrid>
      <w:tr>
        <w:trPr/>
        <w:tc>
          <w:tcPr>
            <w:tcW w:w="4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at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(3)</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exchange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June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Loss on remeasurement of notes receivable on the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35" name="Frame3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8"/>
        <w:gridCol w:w="598"/>
        <w:gridCol w:w="600"/>
        <w:gridCol w:w="109"/>
        <w:gridCol w:w="109"/>
        <w:gridCol w:w="109"/>
        <w:gridCol w:w="512"/>
        <w:gridCol w:w="1218"/>
        <w:gridCol w:w="286"/>
        <w:gridCol w:w="109"/>
        <w:gridCol w:w="109"/>
        <w:gridCol w:w="109"/>
        <w:gridCol w:w="392"/>
        <w:gridCol w:w="812"/>
        <w:gridCol w:w="220"/>
        <w:gridCol w:w="109"/>
        <w:gridCol w:w="109"/>
        <w:gridCol w:w="109"/>
        <w:gridCol w:w="512"/>
        <w:gridCol w:w="1218"/>
        <w:gridCol w:w="286"/>
        <w:gridCol w:w="109"/>
        <w:gridCol w:w="109"/>
        <w:gridCol w:w="109"/>
        <w:gridCol w:w="352"/>
        <w:gridCol w:w="838"/>
        <w:gridCol w:w="285"/>
      </w:tblGrid>
      <w:tr>
        <w:trPr/>
        <w:tc>
          <w:tcPr>
            <w:tcW w:w="76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r>
      <w:tr>
        <w:trPr/>
        <w:tc>
          <w:tcPr>
            <w:tcW w:w="1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March 31,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Realized gains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June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1"/>
        <w:gridCol w:w="617"/>
        <w:gridCol w:w="620"/>
        <w:gridCol w:w="109"/>
        <w:gridCol w:w="109"/>
        <w:gridCol w:w="109"/>
        <w:gridCol w:w="506"/>
        <w:gridCol w:w="1204"/>
        <w:gridCol w:w="283"/>
        <w:gridCol w:w="109"/>
        <w:gridCol w:w="109"/>
        <w:gridCol w:w="109"/>
        <w:gridCol w:w="359"/>
        <w:gridCol w:w="855"/>
        <w:gridCol w:w="201"/>
        <w:gridCol w:w="109"/>
        <w:gridCol w:w="109"/>
        <w:gridCol w:w="109"/>
        <w:gridCol w:w="506"/>
        <w:gridCol w:w="1204"/>
        <w:gridCol w:w="283"/>
        <w:gridCol w:w="109"/>
        <w:gridCol w:w="109"/>
        <w:gridCol w:w="109"/>
        <w:gridCol w:w="350"/>
        <w:gridCol w:w="833"/>
        <w:gridCol w:w="285"/>
      </w:tblGrid>
      <w:tr>
        <w:trPr/>
        <w:tc>
          <w:tcPr>
            <w:tcW w:w="7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r>
      <w:tr>
        <w:trPr/>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Realized (gains) / losses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June 30,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 on a Nonrecurring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review the carrying value of long-lived assets to be held for use for impairment quarterly or whenever events or changes in circumstances indicate a possible impairment. During the three months ended June 30, 2025, we recognized asset impairment charges of $132.7 million within the UK segment to reduce the carrying value of three development properties to an aggregate fair value of $8.9 million, driven by our contemplated change in strategic plan for these properties. The fair value measurement was determined using an income approach and Level 3 inputs based on a probability weighted holding period and estimated sale price for the assets. We also recorded a deferred tax benefit of $29.5 million during the three months ended June 30, 2025 in conjunction with the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also recorded asset impairment charges of $32.2 million to reduce the carrying value of three RV properties in the U.S. and Canada to an aggregate fair value of $86.4 million, driven by our contemplated change in strategic plan for these properties. The fair value measurement was determined using an income approach and Level 3 inputs based on a probability weighted holding period and estimated sale price for the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recognized asset impairment charges of $20.5 million related to pre-construction development costs at seven of our MH and RV properties for which the related development projects are no longer probable of being realized. The impairment charges reduce the aggregate carrying values of the impaired properties to $93.4 million. The fair value measurement was determined by estimating discounted cash flows using certain unobservable Level 3 inputs, based on the expectation that the development projects are no longer probable of being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June 30, 2025. As such, our estimates of fair value could differ significantly from the actual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36" name="Frame3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Proceedings - Class Action Litigation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serif" w:hAnsi="Times New Roman;serif"/>
          <w:b w:val="false"/>
          <w:i/>
          <w:color w:val="000000"/>
          <w:sz w:val="20"/>
        </w:rPr>
        <w:t>In re Manufactured Home Lot Rents Antitrust Litigation, No. 1:23-cv-06715.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other legal proceedings arising in the ordinary course of business. All such proceedings, taken together, are not expected to have a material adverse impact on our results of operations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Catastrophic Event-Related Charges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Hurricanes Helene and Milton - </w:t>
      </w:r>
      <w:r>
        <w:rPr>
          <w:rFonts w:ascii="Times New Roman;serif" w:hAnsi="Times New Roman;serif"/>
          <w:b w:val="false"/>
          <w:color w:val="000000"/>
          <w:sz w:val="20"/>
        </w:rPr>
        <w:t>In September and October 2024, Hurricane Helene and Hurricane Milton, respectively, made landfall in Florida and subsequently impacted several of our properties in the Southeastern and Mid-Atlantic region of the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property insurance recoveries, excluding business interruption recoveries, of $37.6 million related to Hurricane Helene and Hurricane Milton, were recorded in Notes and other receivables, net, on the Consolidated Balance Sheets as of June 30, 2025. The table below sets forth changes in estimated property insurance recoveries, excluding business interruption recoveries (in millions):</w:t>
      </w:r>
    </w:p>
    <w:p>
      <w:pPr>
        <w:pStyle w:val="TextBody"/>
        <w:bidi w:val="0"/>
        <w:spacing w:before="0" w:after="0"/>
        <w:jc w:val="both"/>
        <w:rPr/>
      </w:pPr>
      <w:r>
        <w:rPr/>
      </w:r>
    </w:p>
    <w:tbl>
      <w:tblPr>
        <w:tblW w:w="5936" w:type="dxa"/>
        <w:jc w:val="left"/>
        <w:tblInd w:w="0" w:type="dxa"/>
        <w:tblLayout w:type="fixed"/>
        <w:tblCellMar>
          <w:top w:w="28" w:type="dxa"/>
          <w:left w:w="28" w:type="dxa"/>
          <w:bottom w:w="28" w:type="dxa"/>
          <w:right w:w="28" w:type="dxa"/>
        </w:tblCellMar>
      </w:tblPr>
      <w:tblGrid>
        <w:gridCol w:w="1504"/>
        <w:gridCol w:w="1321"/>
        <w:gridCol w:w="1330"/>
        <w:gridCol w:w="109"/>
        <w:gridCol w:w="109"/>
        <w:gridCol w:w="109"/>
        <w:gridCol w:w="349"/>
        <w:gridCol w:w="831"/>
        <w:gridCol w:w="274"/>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br/>
              <w:t>June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Hurricane Ian - </w:t>
      </w:r>
      <w:r>
        <w:rPr>
          <w:rFonts w:ascii="Times New Roman;serif" w:hAnsi="Times New Roman;serif"/>
          <w:b w:val="false"/>
          <w:color w:val="000000"/>
          <w:sz w:val="20"/>
        </w:rPr>
        <w:t>In September 2022, Hurricane Ian primarily affected three RV properties in the Fort Myers area, comprising approximately 2,500 sites. We maintain property, casualty, flood, and business interruption insurance for our community portfolio, subject to customary deductibles and limits.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property insurance recoveries, excluding business interruption recoveries, of $10.2 million related to Hurricane Ian, were recorded in Notes and other receivables, net, on the Consolidated Balance Sheets as of June 30, 2025. The table below sets forth changes in estimated property insurance recoveries, excluding business interruption recoveries (in millions):</w:t>
      </w:r>
    </w:p>
    <w:p>
      <w:pPr>
        <w:pStyle w:val="TextBody"/>
        <w:bidi w:val="0"/>
        <w:spacing w:before="0" w:after="0"/>
        <w:jc w:val="both"/>
        <w:rPr/>
      </w:pPr>
      <w:r>
        <w:rPr/>
      </w:r>
    </w:p>
    <w:tbl>
      <w:tblPr>
        <w:tblW w:w="5936" w:type="dxa"/>
        <w:jc w:val="left"/>
        <w:tblInd w:w="0" w:type="dxa"/>
        <w:tblLayout w:type="fixed"/>
        <w:tblCellMar>
          <w:top w:w="28" w:type="dxa"/>
          <w:left w:w="28" w:type="dxa"/>
          <w:bottom w:w="28" w:type="dxa"/>
          <w:right w:w="28" w:type="dxa"/>
        </w:tblCellMar>
      </w:tblPr>
      <w:tblGrid>
        <w:gridCol w:w="1504"/>
        <w:gridCol w:w="1321"/>
        <w:gridCol w:w="1330"/>
        <w:gridCol w:w="109"/>
        <w:gridCol w:w="109"/>
        <w:gridCol w:w="109"/>
        <w:gridCol w:w="349"/>
        <w:gridCol w:w="831"/>
        <w:gridCol w:w="274"/>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br/>
              <w:t>June 30, 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2465"/>
                <wp:effectExtent l="0" t="0" r="0" b="0"/>
                <wp:wrapNone/>
                <wp:docPr id="37" name="Frame3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working with our insurance providers on claims for business interruption recoveries. During the six months ended June 30, 2025 we received and recognized $10.7 million, net of deductibles, as business interruption recoveries for lost earnings from Hurricane Ian. The related communities are under redevelopment and we have gradually started to lease developed sites at these communities to customers. However, we currently cannot estimate a date when operating results will be restored to pre-hurricane levels. Our business interruption insurance policy provides for up to 60 months of coverage from the date of restoration.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 </w:t>
      </w:r>
      <w:r>
        <w:rPr>
          <w:rFonts w:ascii="Times New Roman;serif" w:hAnsi="Times New Roman;serif"/>
          <w:b w:val="false"/>
          <w:color w:val="000000"/>
          <w:sz w:val="20"/>
        </w:rPr>
        <w:t>In December 2023, one of our RV properties with approximately 300 sites sustained property damage due to heavy rainfall and flooding in the North Conway, New Hampshire area. During the year ended December 31, 2024, we recognized incremental charges of $12.0 million related to the impacted property, comprised of $3.1 million for impaired assets and $8.9 million for debris removal, cleanup, and repairs. We received $6.4 million in insurance proceeds during the year ended December 31, 2024 related to the flood event. The charges and related proceeds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Lessee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lease land under non-cancelable operating leases at certain MH, RV,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June 30, 2025 where we are the lessee include (in millions):</w:t>
      </w:r>
    </w:p>
    <w:p>
      <w:pPr>
        <w:pStyle w:val="TextBody"/>
        <w:bidi w:val="0"/>
        <w:spacing w:before="0" w:after="0"/>
        <w:jc w:val="both"/>
        <w:rPr/>
      </w:pPr>
      <w:r>
        <w:rPr/>
      </w:r>
    </w:p>
    <w:tbl>
      <w:tblPr>
        <w:tblW w:w="8065" w:type="dxa"/>
        <w:jc w:val="left"/>
        <w:tblInd w:w="0" w:type="dxa"/>
        <w:tblLayout w:type="fixed"/>
        <w:tblCellMar>
          <w:top w:w="28" w:type="dxa"/>
          <w:left w:w="28" w:type="dxa"/>
          <w:bottom w:w="28" w:type="dxa"/>
          <w:right w:w="28" w:type="dxa"/>
        </w:tblCellMar>
      </w:tblPr>
      <w:tblGrid>
        <w:gridCol w:w="1314"/>
        <w:gridCol w:w="1155"/>
        <w:gridCol w:w="1160"/>
        <w:gridCol w:w="109"/>
        <w:gridCol w:w="109"/>
        <w:gridCol w:w="109"/>
        <w:gridCol w:w="301"/>
        <w:gridCol w:w="716"/>
        <w:gridCol w:w="167"/>
        <w:gridCol w:w="109"/>
        <w:gridCol w:w="109"/>
        <w:gridCol w:w="109"/>
        <w:gridCol w:w="346"/>
        <w:gridCol w:w="825"/>
        <w:gridCol w:w="194"/>
        <w:gridCol w:w="109"/>
        <w:gridCol w:w="109"/>
        <w:gridCol w:w="109"/>
        <w:gridCol w:w="196"/>
        <w:gridCol w:w="55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2025 (excluding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Right-of-use ("ROU") assets and lease liabilities for finance and operating leases as included in our Consolidated Balance Sheets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86"/>
        <w:gridCol w:w="1222"/>
        <w:gridCol w:w="1227"/>
        <w:gridCol w:w="109"/>
        <w:gridCol w:w="109"/>
        <w:gridCol w:w="109"/>
        <w:gridCol w:w="800"/>
        <w:gridCol w:w="800"/>
        <w:gridCol w:w="802"/>
        <w:gridCol w:w="109"/>
        <w:gridCol w:w="109"/>
        <w:gridCol w:w="109"/>
        <w:gridCol w:w="275"/>
        <w:gridCol w:w="654"/>
        <w:gridCol w:w="153"/>
        <w:gridCol w:w="109"/>
        <w:gridCol w:w="109"/>
        <w:gridCol w:w="109"/>
        <w:gridCol w:w="109"/>
        <w:gridCol w:w="109"/>
        <w:gridCol w:w="109"/>
        <w:gridCol w:w="109"/>
        <w:gridCol w:w="351"/>
        <w:gridCol w:w="836"/>
        <w:gridCol w:w="282"/>
      </w:tblGrid>
      <w:tr>
        <w:trPr/>
        <w:tc>
          <w:tcPr>
            <w:tcW w:w="138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As of </w:t>
            </w:r>
          </w:p>
        </w:tc>
        <w:tc>
          <w:tcPr>
            <w:tcW w:w="1796" w:type="dxa"/>
            <w:gridSpan w:val="6"/>
            <w:tcBorders/>
          </w:tcPr>
          <w:p>
            <w:pPr>
              <w:pStyle w:val="TableContents"/>
              <w:bidi w:val="0"/>
              <w:spacing w:before="0" w:after="283"/>
              <w:jc w:val="left"/>
              <w:rPr>
                <w:sz w:val="4"/>
                <w:szCs w:val="4"/>
              </w:rPr>
            </w:pPr>
            <w:r>
              <w:rPr>
                <w:sz w:val="4"/>
                <w:szCs w:val="4"/>
              </w:rPr>
            </w:r>
          </w:p>
        </w:tc>
      </w:tr>
      <w:tr>
        <w:trPr/>
        <w:tc>
          <w:tcPr>
            <w:tcW w:w="3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 ROU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 ROU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2465"/>
                <wp:effectExtent l="0" t="0" r="0" b="0"/>
                <wp:wrapNone/>
                <wp:docPr id="38" name="Frame3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for finance and operating leases as included in our Consolidated Statements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3"/>
        <w:gridCol w:w="485"/>
        <w:gridCol w:w="488"/>
        <w:gridCol w:w="109"/>
        <w:gridCol w:w="109"/>
        <w:gridCol w:w="109"/>
        <w:gridCol w:w="1091"/>
        <w:gridCol w:w="1091"/>
        <w:gridCol w:w="1094"/>
        <w:gridCol w:w="109"/>
        <w:gridCol w:w="109"/>
        <w:gridCol w:w="109"/>
        <w:gridCol w:w="256"/>
        <w:gridCol w:w="531"/>
        <w:gridCol w:w="142"/>
        <w:gridCol w:w="109"/>
        <w:gridCol w:w="109"/>
        <w:gridCol w:w="109"/>
        <w:gridCol w:w="263"/>
        <w:gridCol w:w="506"/>
        <w:gridCol w:w="146"/>
        <w:gridCol w:w="109"/>
        <w:gridCol w:w="109"/>
        <w:gridCol w:w="109"/>
        <w:gridCol w:w="263"/>
        <w:gridCol w:w="506"/>
        <w:gridCol w:w="146"/>
        <w:gridCol w:w="109"/>
        <w:gridCol w:w="109"/>
        <w:gridCol w:w="109"/>
        <w:gridCol w:w="259"/>
        <w:gridCol w:w="498"/>
        <w:gridCol w:w="212"/>
      </w:tblGrid>
      <w:tr>
        <w:trPr/>
        <w:tc>
          <w:tcPr>
            <w:tcW w:w="5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1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term, discount rates and additional information for finance and operating leases are as follows:</w:t>
      </w:r>
    </w:p>
    <w:p>
      <w:pPr>
        <w:pStyle w:val="TextBody"/>
        <w:bidi w:val="0"/>
        <w:spacing w:before="0" w:after="0"/>
        <w:jc w:val="both"/>
        <w:rPr/>
      </w:pPr>
      <w:r>
        <w:rPr/>
      </w:r>
    </w:p>
    <w:tbl>
      <w:tblPr>
        <w:tblW w:w="7102"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267"/>
        <w:gridCol w:w="267"/>
        <w:gridCol w:w="591"/>
        <w:gridCol w:w="109"/>
        <w:gridCol w:w="109"/>
        <w:gridCol w:w="109"/>
        <w:gridCol w:w="333"/>
        <w:gridCol w:w="333"/>
        <w:gridCol w:w="878"/>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33.79</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0"/>
        <w:jc w:val="both"/>
        <w:rPr/>
      </w:pPr>
      <w:r>
        <w:rPr/>
      </w:r>
    </w:p>
    <w:tbl>
      <w:tblPr>
        <w:tblW w:w="8093" w:type="dxa"/>
        <w:jc w:val="left"/>
        <w:tblInd w:w="0" w:type="dxa"/>
        <w:tblLayout w:type="fixed"/>
        <w:tblCellMar>
          <w:top w:w="28" w:type="dxa"/>
          <w:left w:w="28" w:type="dxa"/>
          <w:bottom w:w="28" w:type="dxa"/>
          <w:right w:w="28" w:type="dxa"/>
        </w:tblCellMar>
      </w:tblPr>
      <w:tblGrid>
        <w:gridCol w:w="1862"/>
        <w:gridCol w:w="1636"/>
        <w:gridCol w:w="1646"/>
        <w:gridCol w:w="109"/>
        <w:gridCol w:w="109"/>
        <w:gridCol w:w="109"/>
        <w:gridCol w:w="324"/>
        <w:gridCol w:w="621"/>
        <w:gridCol w:w="180"/>
        <w:gridCol w:w="109"/>
        <w:gridCol w:w="109"/>
        <w:gridCol w:w="109"/>
        <w:gridCol w:w="316"/>
        <w:gridCol w:w="606"/>
        <w:gridCol w:w="248"/>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outflows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outflows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the lessor for any finance leases at our properties as of June 30, 2025. Nearly all of our operating leases with our residents and customers at our properties where we are the lessor are for a time period not to exceed one year or month-to-month. As of June 30, 2025, future minimum lease payments with our residents or customers would not exceed 12 months. We do not have any operating leases with real estate operators on our properties.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7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Failed Sale Leaseback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connection with our acquisition of Park Holidays, we assumed ground lease arrangements for 34 UK properties that we concluded to be failed sale-leaseback transactions under ASC 842, "</w:t>
      </w:r>
      <w:r>
        <w:rPr>
          <w:rFonts w:ascii="Times New Roman;serif" w:hAnsi="Times New Roman;serif"/>
          <w:b w:val="false"/>
          <w:i/>
          <w:color w:val="000000"/>
          <w:sz w:val="20"/>
        </w:rPr>
        <w:t>Leases</w:t>
      </w:r>
      <w:r>
        <w:rPr>
          <w:rFonts w:ascii="Times New Roman;serif" w:hAnsi="Times New Roman;serif"/>
          <w:b w:val="false"/>
          <w:color w:val="000000"/>
          <w:sz w:val="20"/>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During the three months ended June 30, 2025, we repurchased the titles to 22 UK properties that were previously controlled via ground leases for a total cash payment of $199.2 million, inclusive of taxes and fees. The ground leases terminations reduced our financial liability by $193.8 million and resulted in a gain of $26.0 million, which was recorded to Other income / (expense), net on the Consolidated Statements of Operations, and recorded a receivable of $31.4 million for Value-added Taxes.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2465"/>
                <wp:effectExtent l="0" t="0" r="0" b="0"/>
                <wp:wrapNone/>
                <wp:docPr id="39" name="Frame3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liability was $195.1 million and $355.9 million as of June 30, 2025 and December 31, 2024, respectively. The following table presents the future minimum rental payments for this financial liability as of June 30, 2025 (in millions):</w:t>
      </w:r>
    </w:p>
    <w:p>
      <w:pPr>
        <w:pStyle w:val="TextBody"/>
        <w:bidi w:val="0"/>
        <w:spacing w:before="0" w:after="0"/>
        <w:jc w:val="both"/>
        <w:rPr/>
      </w:pPr>
      <w:r>
        <w:rPr/>
      </w:r>
    </w:p>
    <w:tbl>
      <w:tblPr>
        <w:tblW w:w="5127" w:type="dxa"/>
        <w:jc w:val="left"/>
        <w:tblInd w:w="0" w:type="dxa"/>
        <w:tblLayout w:type="fixed"/>
        <w:tblCellMar>
          <w:top w:w="28" w:type="dxa"/>
          <w:left w:w="28" w:type="dxa"/>
          <w:bottom w:w="28" w:type="dxa"/>
          <w:right w:w="28" w:type="dxa"/>
        </w:tblCellMar>
      </w:tblPr>
      <w:tblGrid>
        <w:gridCol w:w="1314"/>
        <w:gridCol w:w="1153"/>
        <w:gridCol w:w="1163"/>
        <w:gridCol w:w="109"/>
        <w:gridCol w:w="109"/>
        <w:gridCol w:w="109"/>
        <w:gridCol w:w="253"/>
        <w:gridCol w:w="718"/>
        <w:gridCol w:w="199"/>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Maturity of 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2025 (excluding 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933.4 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(766.9)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 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which adds interim and annual disclosure requirements to the US GAAP codification at the request of the SEC. The new 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and will be effective for our annual reporting for the year ending December 31, 2025. Early adoption is permitted and the amendments should be applied prospectively. We are currently evaluating the provisions of this amendment and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(Topic 220-40)</w:t>
      </w:r>
      <w:r>
        <w:rPr>
          <w:rFonts w:ascii="Times New Roman;serif" w:hAnsi="Times New Roman;serif"/>
          <w:b w:val="false"/>
          <w:color w:val="000000"/>
          <w:sz w:val="20"/>
        </w:rPr>
        <w:t>," which requires disaggregated disclosure of certain expense captions into specified categories within the footnotes to the financial statements. This ASU is effective for fiscal years beginning after December 15, 2026 and interim reporting periods beginning after December 15, 2027. Early adoption is permitted. We are currently evaluating the provisions of this amendment and the impact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2465"/>
                <wp:effectExtent l="0" t="0" r="0" b="0"/>
                <wp:wrapNone/>
                <wp:docPr id="40" name="Frame3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 Subsequent Events</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we repurchased approximately 0.8 million shares of our common stock at an average cost of $126.19 per share for a total of $97.4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Transition Announcement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July 2025, our Board of Directors appointed Charles D. Young </w:t>
      </w:r>
      <w:r>
        <w:rPr>
          <w:rFonts w:ascii="Times New Roman;serif" w:hAnsi="Times New Roman;serif"/>
          <w:b w:val="false"/>
          <w:color w:val="000000"/>
          <w:sz w:val="20"/>
          <w:shd w:fill="FFFFFF" w:val="clear"/>
        </w:rPr>
        <w:t xml:space="preserve">as the Company's new Chief Executive Officer ("CEO"), effective </w:t>
      </w:r>
      <w:r>
        <w:rPr>
          <w:rFonts w:ascii="Times New Roman;serif" w:hAnsi="Times New Roman;serif"/>
          <w:b w:val="false"/>
          <w:color w:val="000000"/>
          <w:sz w:val="20"/>
        </w:rPr>
        <w:t xml:space="preserve">October 1, 2025 </w:t>
      </w:r>
      <w:r>
        <w:rPr>
          <w:rFonts w:ascii="Times New Roman;serif" w:hAnsi="Times New Roman;serif"/>
          <w:b w:val="false"/>
          <w:color w:val="000000"/>
          <w:sz w:val="20"/>
          <w:shd w:fill="FFFFFF" w:val="clear"/>
        </w:rPr>
        <w:t>(the "Start Date"). Mr. Young, who will also join the Company's Board of Directors, succeeds Gary Shiffman, who previously announced his planned retirement from the role of CEO after a distinguished 40 years leading Sun Communities. The Company and Mr. Young entered into an employment agreement dated July 20, 2025 (the "Employment Agreement") under which Mr. Young will serve as the Company's CEO beginning on the Start Date. The term of the Employment Agreement will be for five years beginning on the Start Date and is automatically renewable thereafter for successive one-year terms unless either party timely terminates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the Start Date, Mr. Young will receive (i) for 2025, a grant of restricted shares of the Company's common stock with a target grant date value of $3.6 million; (ii) a retention-based unrestricted stock grant with a target grant date value of $1.0 million, which will be fully vested upon its issuance; (iii) a retention-based restricted stock grant with a target grant date value of $4.0 million, which will vest ratably over a four-year period; (iv) a retention based cash bonus of $0.8 million, and (v) relocation benefits having a value of $0.3 million. If the Company unilaterally rescinds its offer of employment to Mr. Young before the Start Date, other than for a reason that would permit the Company to terminate the Employment Agreement for cause, he will receive the severance payments and continued health coverage benefits described in the Employment Agreement, and $9.9 million in lieu of the payments and benefits described in the Employment Agreement. Refer to the Form 8-K filed with the SEC on July 23, 2025 for additional details related to Mr. Young's Employment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our Consolidated Financial Statements for subsequent events through the date that this Form 10-Q was issued.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2465"/>
                <wp:effectExtent l="0" t="0" r="0" b="0"/>
                <wp:wrapNone/>
                <wp:docPr id="41" name="Frame4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945"/>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consolidated financial condition and results of operations should be read in conjunction with the Consolidated Financial Statements and the accompanying Notes, along with our 2024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fully integrated REIT. As of June 30, 2025, we owned and operated, directly or indirectly, or had an interest in, a portfolio of 501 developed properties located in the U.S., Canada, and the United Kingdom including 284 MH communities, 164 RV communities, and 53 UK communities. We also owned, operated, or had an interest in a portfolio of nine marina properties in the U.S., which was classified as discontinued operations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in the business of operating, acquiring, developing and expanding MH and RV communities since 1975,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completed the initial closing of the Safe Harbor Sale, which generated approximately $5.25 billion of pre-tax cash proceeds, net of transaction costs, with a gain on sale of $1.4 billion. Pursuant to the terms of the transaction agreement, 15 Delayed Consent Subsidiaries representing approximately $250.0 million of value were not part of the initial closing. In respect of each Delayed Consent Subsidiary, until such time as the third-party consent is received and the buyer acquires the equity interests of the Delayed Consent Subsidiary, an affiliate of Safe Harbor will manage the properties owned by the Delayed Consent Subsidiaries under an arm's-length management agreement; provided that, the manager is not obligated to continue to manage any such properties for a period longer than three years following the closing of the Safe Harbor Sale. If and when the applicable consent for a Delayed Consent Subsidiary is obtained in the nine months following the signing of the Purchase Agreement, the buyer will, subject to the satisfaction of certain conditions, acquire that Delayed Consent Subsidiary for cash consideration equal to its agreed value. If the required third-party consent for any Delayed Consent Subsidiary is not received by the end of such nine-month period, the buyer will not have the right to acquire any such Delayed Consent Subsidiary, unless such period is extended by the parties. Subsequent to the initial closing, we completed the sale of six Delayed Consent Subsidiaries for $136.7 million. We expect to complete the sale of the remaining nine Delayed Consent Subsidiaries during the three months ending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Safe Harbor Sale accelerates our strategy of focusing on our core MH and RV segments and significantly enhances our leverage profile and financial flexibility. During the three months ended June 30, 2025, we began to deploy the cash proceeds from the Safe Harbor Sale to implement a balanced, tax-efficient capital allocation plan aimed at optimizing shareholder value through significantly lower leverage, greater financial flexibility to drive sustainable cash flow growth, and a thoughtful capital return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Part 1, Item 1A, "Risk Factors – Risks Related to the Safe Harbor Sale" in our Annual Report on Form 10-K for the year ended December 31, 2024, Note 2, "Assets Held for Sale and Discontinued Operations," in our accompanying Consolidated Financial Statements for additional details related to the 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2465"/>
                <wp:effectExtent l="0" t="0" r="0" b="0"/>
                <wp:wrapNone/>
                <wp:docPr id="42" name="Frame4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Total Portfolio NOI - </w:t>
      </w:r>
      <w:r>
        <w:rPr>
          <w:rFonts w:ascii="Times New Roman;serif" w:hAnsi="Times New Roman;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property performance and growth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Same Property NOI</w:t>
      </w:r>
      <w:r>
        <w:rPr>
          <w:color w:val="000000"/>
        </w:rPr>
        <w:t xml:space="preserve"> </w:t>
      </w:r>
      <w:r>
        <w:rPr>
          <w:rFonts w:ascii="Times New Roman;serif" w:hAnsi="Times New Roman;serif"/>
          <w:b w:val="false"/>
          <w:color w:val="000000"/>
          <w:sz w:val="20"/>
        </w:rPr>
        <w:t>- This is a management tool used when evaluating the performance and growth of our Same Property portfolio. We define same properties as those we have owned and operated continuously since January 1, 2024. Same properties exclude ground-up development properties, acquired properties, properties classified as discontinued operations, and properties sold after December 31, 2023. The Same Property data may change from time-to-time depending on acquisitions, dispositions, management discretion, significant transactions, or unique situations. Same Property NOI does not include the revenues and expenses related to home sales, and ancillary activities at the properties. We believe that Same Property NOI is helpful to investors as a supplemental comparative performance measure of the income generated from the Same Property portfolio from one period to the next.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2465"/>
                <wp:effectExtent l="0" t="0" r="0" b="0"/>
                <wp:wrapNone/>
                <wp:docPr id="43" name="Frame4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pPr>
      <w:r>
        <w:rPr>
          <w:rFonts w:ascii="Times New Roman;serif" w:hAnsi="Times New Roman;serif"/>
          <w:b/>
          <w:color w:val="000000"/>
          <w:sz w:val="20"/>
        </w:rPr>
        <w:t>Core FFO</w:t>
      </w:r>
      <w:r>
        <w:rPr>
          <w:color w:val="000000"/>
        </w:rPr>
        <w:t xml:space="preserve"> </w:t>
      </w:r>
      <w:r>
        <w:rPr>
          <w:rFonts w:ascii="Times New Roman;serif" w:hAnsi="Times New Roman;serif"/>
          <w:b w:val="false"/>
          <w:color w:val="000000"/>
          <w:sz w:val="20"/>
        </w:rPr>
        <w:t>- In addition, we use FFO excluding certain gain and loss items that management considers unrelated to the operational and financial performance of our core business ("Core 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2465"/>
                <wp:effectExtent l="0" t="0" r="0" b="0"/>
                <wp:wrapNone/>
                <wp:docPr id="44" name="Frame4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Net income attributable to SUI common shareholders to NOI and summarize our consolidated financial results for the three and six months ended June 30, 2025 and 2024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05"/>
        <w:gridCol w:w="1443"/>
        <w:gridCol w:w="1452"/>
        <w:gridCol w:w="109"/>
        <w:gridCol w:w="109"/>
        <w:gridCol w:w="109"/>
        <w:gridCol w:w="213"/>
        <w:gridCol w:w="752"/>
        <w:gridCol w:w="118"/>
        <w:gridCol w:w="109"/>
        <w:gridCol w:w="109"/>
        <w:gridCol w:w="109"/>
        <w:gridCol w:w="236"/>
        <w:gridCol w:w="672"/>
        <w:gridCol w:w="131"/>
        <w:gridCol w:w="109"/>
        <w:gridCol w:w="109"/>
        <w:gridCol w:w="109"/>
        <w:gridCol w:w="213"/>
        <w:gridCol w:w="752"/>
        <w:gridCol w:w="118"/>
        <w:gridCol w:w="109"/>
        <w:gridCol w:w="109"/>
        <w:gridCol w:w="109"/>
        <w:gridCol w:w="234"/>
        <w:gridCol w:w="666"/>
        <w:gridCol w:w="192"/>
      </w:tblGrid>
      <w:tr>
        <w:trPr/>
        <w:tc>
          <w:tcPr>
            <w:tcW w:w="170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 (see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 (see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 (see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 (see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 (see 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(see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from 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Preferred return to preferred OP units /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383"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NOI</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Home sales NOI</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Ancillary NOI</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properties classified as discontinued operations. During the three and six months ended June 30, 2025, our marina properties generated total NOI of $27.9 million and $92.0 million, respectively. During the three and six months ended June 30, 2024, our marina properties generated total NOI of $92.2 million and $153.8 million, respectively, which was recorded within Income from discontinued operations, net on the Consolidated Statements of Operations. Refer to Note 2, "Assets Held for Sale and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Seasonality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RV and UK segments are seasonal and the results of operations in any one period may not be indicative of results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During the six months ended June 30, 2025, we recognized aggregate Real property - transient revenue from our segments of $30.5 million in the first quarter and $81.4 million in the second quarter. During the year ended December 31, 2024, we recognized Real property - transient revenue as follows:</w:t>
      </w:r>
    </w:p>
    <w:p>
      <w:pPr>
        <w:pStyle w:val="TextBody"/>
        <w:bidi w:val="0"/>
        <w:spacing w:before="0" w:after="0"/>
        <w:jc w:val="both"/>
        <w:rPr/>
      </w:pPr>
      <w:r>
        <w:rPr/>
      </w:r>
    </w:p>
    <w:tbl>
      <w:tblPr>
        <w:tblW w:w="974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87"/>
        <w:gridCol w:w="1666"/>
        <w:gridCol w:w="326"/>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Real property - transient revenue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During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2465"/>
                <wp:effectExtent l="0" t="0" r="0" b="0"/>
                <wp:wrapNone/>
                <wp:docPr id="45" name="Frame4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Total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real estate operations by segment as of and for the three and six months ended June 30, 2025 and 2024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6"/>
        <w:gridCol w:w="375"/>
        <w:gridCol w:w="377"/>
        <w:gridCol w:w="257"/>
        <w:gridCol w:w="209"/>
        <w:gridCol w:w="352"/>
        <w:gridCol w:w="109"/>
        <w:gridCol w:w="109"/>
        <w:gridCol w:w="109"/>
        <w:gridCol w:w="306"/>
        <w:gridCol w:w="250"/>
        <w:gridCol w:w="352"/>
        <w:gridCol w:w="109"/>
        <w:gridCol w:w="109"/>
        <w:gridCol w:w="109"/>
        <w:gridCol w:w="279"/>
        <w:gridCol w:w="187"/>
        <w:gridCol w:w="290"/>
        <w:gridCol w:w="109"/>
        <w:gridCol w:w="109"/>
        <w:gridCol w:w="109"/>
        <w:gridCol w:w="257"/>
        <w:gridCol w:w="209"/>
        <w:gridCol w:w="352"/>
        <w:gridCol w:w="109"/>
        <w:gridCol w:w="109"/>
        <w:gridCol w:w="109"/>
        <w:gridCol w:w="257"/>
        <w:gridCol w:w="209"/>
        <w:gridCol w:w="352"/>
        <w:gridCol w:w="109"/>
        <w:gridCol w:w="109"/>
        <w:gridCol w:w="109"/>
        <w:gridCol w:w="196"/>
        <w:gridCol w:w="556"/>
        <w:gridCol w:w="241"/>
        <w:gridCol w:w="109"/>
        <w:gridCol w:w="109"/>
        <w:gridCol w:w="109"/>
        <w:gridCol w:w="279"/>
        <w:gridCol w:w="187"/>
        <w:gridCol w:w="290"/>
        <w:gridCol w:w="109"/>
        <w:gridCol w:w="109"/>
        <w:gridCol w:w="109"/>
        <w:gridCol w:w="261"/>
        <w:gridCol w:w="205"/>
        <w:gridCol w:w="405"/>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Three Months Ended June 30, 2024</w:t>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351.0</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432.6</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179.0</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253.6</w:t>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Six Months Ended June 30, 2024</w:t>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(excluding transient)</w:t>
            </w:r>
            <w:r>
              <w:rPr>
                <w:rFonts w:ascii="Times New Roman;serif" w:hAnsi="Times New Roman;serif"/>
                <w:b w:val="false"/>
                <w:color w:val="000000"/>
                <w:sz w:val="11"/>
              </w:rPr>
              <w:t>(1)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694.0</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119.1</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813.1</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330.5</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482.6</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2024</w:t>
            </w:r>
          </w:p>
        </w:tc>
      </w:tr>
      <w:tr>
        <w:trPr/>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Sites</w:t>
            </w:r>
            <w:r>
              <w:rPr>
                <w:rFonts w:ascii="Times New Roman;serif" w:hAnsi="Times New Roman;serif"/>
                <w:b w:val="false"/>
                <w:color w:val="000000"/>
                <w:sz w:val="11"/>
              </w:rPr>
              <w:t>(1)</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151,460</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sites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30,300</w:t>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181,760</w:t>
            </w:r>
          </w:p>
        </w:tc>
      </w:tr>
      <w:tr>
        <w:trPr/>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Occupancy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90.3 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89.9 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60"/>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N/M = Not meaningful. N/A = Not applicable.</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MH annual sites included 11,946 and 10,589 rental homes in our rental program as of June 30, 2025 and 2024, respectively. Our investment in occupied rental homes at June 30, 2025 was $812.5 million, an increase of 14.5% from $709.4 million at June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$10.0 million, or 3.9% increase in Real Property NOI as compared to the same period in 2024, consists of an increase of $12.0 million from Same Property MH NOI and an increase of $2.1 million from Same Property UK NOI, partially offset by a decrease of $0.7 million from Same Property RV NOI and an NOI decrease of $3.4 million, net from other recently acquired or developed properties and other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$7.4 million, or 1.5% increase in Real Property NOI as compared to the same period in 2024, consists of an increase of $26.1 million from Same Property MH NOI and an increase of $1.6 million from Same Property UK NOI, partially offset by an NOI decrease of $15.0 million, net from other recently acquired or developed properties and a decrease of $5.3 million from Same Property RV NOI.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2465"/>
                <wp:effectExtent l="0" t="0" r="0" b="0"/>
                <wp:wrapNone/>
                <wp:docPr id="46" name="Frame4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North America Same Property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Same Property data includes all properties that we have owned and operated continuously since January 1, 2024, exclusive of properties recently completed or under construction, acquired properties, properties classified as discontinued operations, other properties as determined by management, and properties sold after December 31, 2023.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2025 average exchange rates for constant currency comparability.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Same Property MH and RV portfolios as of and for the three and six months ended June 30, 2025 and 2024 (in millions, except for statistical information):</w:t>
      </w:r>
    </w:p>
    <w:p>
      <w:pPr>
        <w:pStyle w:val="TextBody"/>
        <w:bidi w:val="0"/>
        <w:spacing w:before="0" w:after="0"/>
        <w:jc w:val="both"/>
        <w:rPr/>
      </w:pPr>
      <w:r>
        <w:rPr/>
      </w:r>
    </w:p>
    <w:tbl>
      <w:tblPr>
        <w:tblW w:w="13151"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466"/>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661"/>
        <w:gridCol w:w="109"/>
        <w:gridCol w:w="196"/>
        <w:gridCol w:w="556"/>
        <w:gridCol w:w="109"/>
        <w:gridCol w:w="165"/>
        <w:gridCol w:w="165"/>
        <w:gridCol w:w="166"/>
        <w:gridCol w:w="196"/>
        <w:gridCol w:w="466"/>
        <w:gridCol w:w="109"/>
        <w:gridCol w:w="109"/>
        <w:gridCol w:w="109"/>
        <w:gridCol w:w="109"/>
        <w:gridCol w:w="240"/>
        <w:gridCol w:w="241"/>
        <w:gridCol w:w="241"/>
        <w:gridCol w:w="109"/>
        <w:gridCol w:w="109"/>
        <w:gridCol w:w="109"/>
        <w:gridCol w:w="195"/>
        <w:gridCol w:w="196"/>
        <w:gridCol w:w="241"/>
        <w:gridCol w:w="109"/>
        <w:gridCol w:w="109"/>
        <w:gridCol w:w="109"/>
        <w:gridCol w:w="109"/>
        <w:gridCol w:w="109"/>
        <w:gridCol w:w="391"/>
        <w:gridCol w:w="32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5"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2220"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2220"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7"/>
              </w:rPr>
              <w:t>Total</w:t>
            </w:r>
            <w:r>
              <w:rPr>
                <w:rFonts w:ascii="Times New Roman;serif" w:hAnsi="Times New Roman;serif"/>
                <w:b/>
                <w:color w:val="000000"/>
                <w:sz w:val="11"/>
              </w:rPr>
              <w:t>(d)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bl>
    <w:tbl>
      <w:tblPr>
        <w:tblW w:w="12262"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5"/>
        <w:gridCol w:w="196"/>
        <w:gridCol w:w="241"/>
        <w:gridCol w:w="109"/>
        <w:gridCol w:w="109"/>
        <w:gridCol w:w="109"/>
        <w:gridCol w:w="240"/>
        <w:gridCol w:w="241"/>
        <w:gridCol w:w="241"/>
        <w:gridCol w:w="109"/>
        <w:gridCol w:w="109"/>
        <w:gridCol w:w="109"/>
        <w:gridCol w:w="240"/>
        <w:gridCol w:w="241"/>
        <w:gridCol w:w="278"/>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3"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7"/>
              </w:rPr>
              <w:t>Total</w:t>
            </w:r>
            <w:r>
              <w:rPr>
                <w:rFonts w:ascii="Times New Roman;serif" w:hAnsi="Times New Roman;serif"/>
                <w:b/>
                <w:color w:val="000000"/>
                <w:sz w:val="11"/>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Sites, wet slips and dry storage spaces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Same Property results for our MH and RV properties reflect constant currency for comparative purposes. Canadian currency figures in the prior comparative period have been translated at the average exchange rate during the three and six months ended June 30, 2025 of $0.7227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$0.7096</w:t>
      </w:r>
      <w:r>
        <w:rPr>
          <w:color w:val="000000"/>
        </w:rPr>
        <w:t xml:space="preserve"> </w:t>
      </w:r>
      <w:r>
        <w:rPr>
          <w:rFonts w:ascii="Times New Roman;serif" w:hAnsi="Times New Roman;serif"/>
          <w:b w:val="false"/>
          <w:color w:val="000000"/>
          <w:sz w:val="16"/>
        </w:rPr>
        <w:t>USD per Canadian dollar,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2465"/>
                <wp:effectExtent l="0" t="0" r="0" b="0"/>
                <wp:wrapNone/>
                <wp:docPr id="47" name="Frame4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We net certain utilities revenues (which include utility reimbursement revenues from residents) against related utility expenses in property operating expenses as follows (in millions):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181"/>
        <w:gridCol w:w="1036"/>
        <w:gridCol w:w="1041"/>
        <w:gridCol w:w="230"/>
        <w:gridCol w:w="547"/>
        <w:gridCol w:w="127"/>
        <w:gridCol w:w="127"/>
        <w:gridCol w:w="127"/>
        <w:gridCol w:w="127"/>
        <w:gridCol w:w="230"/>
        <w:gridCol w:w="441"/>
        <w:gridCol w:w="127"/>
        <w:gridCol w:w="127"/>
        <w:gridCol w:w="127"/>
        <w:gridCol w:w="127"/>
        <w:gridCol w:w="127"/>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09"/>
        <w:gridCol w:w="109"/>
        <w:gridCol w:w="196"/>
        <w:gridCol w:w="466"/>
        <w:gridCol w:w="163"/>
      </w:tblGrid>
      <w:tr>
        <w:trPr/>
        <w:tc>
          <w:tcPr>
            <w:tcW w:w="1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June 30, 2024</w:t>
            </w:r>
          </w:p>
        </w:tc>
        <w:tc>
          <w:tcPr>
            <w:tcW w:w="1370" w:type="dxa"/>
            <w:gridSpan w:val="8"/>
            <w:tcBorders/>
          </w:tcPr>
          <w:p>
            <w:pPr>
              <w:pStyle w:val="TableContents"/>
              <w:bidi w:val="0"/>
              <w:spacing w:before="0" w:after="283"/>
              <w:jc w:val="left"/>
              <w:rPr>
                <w:sz w:val="4"/>
                <w:szCs w:val="4"/>
              </w:rPr>
            </w:pPr>
            <w:r>
              <w:rPr>
                <w:sz w:val="4"/>
                <w:szCs w:val="4"/>
              </w:rPr>
            </w:r>
          </w:p>
        </w:tc>
      </w:tr>
      <w:tr>
        <w:trPr/>
        <w:tc>
          <w:tcPr>
            <w:tcW w:w="3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3258"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37"/>
        <w:gridCol w:w="1085"/>
        <w:gridCol w:w="1091"/>
        <w:gridCol w:w="216"/>
        <w:gridCol w:w="514"/>
        <w:gridCol w:w="119"/>
        <w:gridCol w:w="119"/>
        <w:gridCol w:w="119"/>
        <w:gridCol w:w="119"/>
        <w:gridCol w:w="216"/>
        <w:gridCol w:w="415"/>
        <w:gridCol w:w="119"/>
        <w:gridCol w:w="119"/>
        <w:gridCol w:w="119"/>
        <w:gridCol w:w="119"/>
        <w:gridCol w:w="119"/>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09"/>
        <w:gridCol w:w="109"/>
        <w:gridCol w:w="196"/>
        <w:gridCol w:w="466"/>
        <w:gridCol w:w="167"/>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 2024</w:t>
            </w:r>
          </w:p>
        </w:tc>
        <w:tc>
          <w:tcPr>
            <w:tcW w:w="1374" w:type="dxa"/>
            <w:gridSpan w:val="8"/>
            <w:tcBorders/>
          </w:tcPr>
          <w:p>
            <w:pPr>
              <w:pStyle w:val="TableContents"/>
              <w:bidi w:val="0"/>
              <w:spacing w:before="0" w:after="283"/>
              <w:jc w:val="left"/>
              <w:rPr>
                <w:sz w:val="4"/>
                <w:szCs w:val="4"/>
              </w:rPr>
            </w:pPr>
            <w:r>
              <w:rPr>
                <w:sz w:val="4"/>
                <w:szCs w:val="4"/>
              </w:rPr>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lineRule="auto" w:line="288" w:before="20" w:after="6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Total Same Property operating expenses consist of the following components for the periods shown (in millions), and exclude amounts invested into recently acquired properties to bring them up to our standards.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496"/>
        <w:gridCol w:w="264"/>
        <w:gridCol w:w="266"/>
        <w:gridCol w:w="200"/>
        <w:gridCol w:w="567"/>
        <w:gridCol w:w="111"/>
        <w:gridCol w:w="109"/>
        <w:gridCol w:w="109"/>
        <w:gridCol w:w="109"/>
        <w:gridCol w:w="200"/>
        <w:gridCol w:w="567"/>
        <w:gridCol w:w="111"/>
        <w:gridCol w:w="109"/>
        <w:gridCol w:w="109"/>
        <w:gridCol w:w="109"/>
        <w:gridCol w:w="196"/>
        <w:gridCol w:w="376"/>
        <w:gridCol w:w="109"/>
        <w:gridCol w:w="109"/>
        <w:gridCol w:w="109"/>
        <w:gridCol w:w="109"/>
        <w:gridCol w:w="243"/>
        <w:gridCol w:w="242"/>
        <w:gridCol w:w="478"/>
        <w:gridCol w:w="109"/>
        <w:gridCol w:w="109"/>
        <w:gridCol w:w="109"/>
        <w:gridCol w:w="200"/>
        <w:gridCol w:w="567"/>
        <w:gridCol w:w="111"/>
        <w:gridCol w:w="109"/>
        <w:gridCol w:w="109"/>
        <w:gridCol w:w="109"/>
        <w:gridCol w:w="200"/>
        <w:gridCol w:w="567"/>
        <w:gridCol w:w="111"/>
        <w:gridCol w:w="109"/>
        <w:gridCol w:w="109"/>
        <w:gridCol w:w="109"/>
        <w:gridCol w:w="196"/>
        <w:gridCol w:w="395"/>
        <w:gridCol w:w="109"/>
        <w:gridCol w:w="109"/>
        <w:gridCol w:w="109"/>
        <w:gridCol w:w="109"/>
        <w:gridCol w:w="242"/>
        <w:gridCol w:w="243"/>
        <w:gridCol w:w="549"/>
      </w:tblGrid>
      <w:tr>
        <w:trPr/>
        <w:tc>
          <w:tcPr>
            <w:tcW w:w="4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and benefits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Supplies and repairs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Utilities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Legal, state / local taxes, and insurance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18.7 </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Same Property Operating Expenses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0"/>
        <w:ind w:left="0" w:right="0" w:hanging="180"/>
        <w:jc w:val="both"/>
        <w:rPr/>
      </w:pPr>
      <w:r>
        <w:rPr/>
      </w:r>
    </w:p>
    <w:tbl>
      <w:tblPr>
        <w:tblW w:w="9359" w:type="dxa"/>
        <w:jc w:val="left"/>
        <w:tblInd w:w="0" w:type="dxa"/>
        <w:tblLayout w:type="fixed"/>
        <w:tblCellMar>
          <w:top w:w="28" w:type="dxa"/>
          <w:left w:w="28" w:type="dxa"/>
          <w:bottom w:w="28" w:type="dxa"/>
          <w:right w:w="28" w:type="dxa"/>
        </w:tblCellMar>
      </w:tblPr>
      <w:tblGrid>
        <w:gridCol w:w="1378"/>
        <w:gridCol w:w="1211"/>
        <w:gridCol w:w="1221"/>
        <w:gridCol w:w="109"/>
        <w:gridCol w:w="109"/>
        <w:gridCol w:w="109"/>
        <w:gridCol w:w="196"/>
        <w:gridCol w:w="556"/>
        <w:gridCol w:w="241"/>
        <w:gridCol w:w="109"/>
        <w:gridCol w:w="109"/>
        <w:gridCol w:w="109"/>
        <w:gridCol w:w="205"/>
        <w:gridCol w:w="441"/>
        <w:gridCol w:w="241"/>
        <w:gridCol w:w="109"/>
        <w:gridCol w:w="109"/>
        <w:gridCol w:w="109"/>
        <w:gridCol w:w="109"/>
        <w:gridCol w:w="109"/>
        <w:gridCol w:w="196"/>
        <w:gridCol w:w="556"/>
        <w:gridCol w:w="241"/>
        <w:gridCol w:w="109"/>
        <w:gridCol w:w="109"/>
        <w:gridCol w:w="109"/>
        <w:gridCol w:w="205"/>
        <w:gridCol w:w="441"/>
        <w:gridCol w:w="241"/>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c>
          <w:tcPr>
            <w:tcW w:w="1477"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1477"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 and annual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RV 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MH and Annual RV 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Occupancy</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 in monthly base rent</w:t>
            </w:r>
            <w:r>
              <w:rPr>
                <w:rFonts w:ascii="Times New Roman;serif" w:hAnsi="Times New Roman;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Rental Program Statistics included in 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Number of occupied sites, end of period</w:t>
            </w:r>
            <w:r>
              <w:rPr>
                <w:rFonts w:ascii="Times New Roman;serif" w:hAnsi="Times New Roman;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Monthly rent per home and site - MH rental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w:t>
            </w:r>
            <w:r>
              <w:rPr>
                <w:rFonts w:ascii="Times New Roman;serif" w:hAnsi="Times New Roman;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 = Not applicable.</w:t>
      </w:r>
    </w:p>
    <w:p>
      <w:pPr>
        <w:pStyle w:val="TextBody"/>
        <w:bidi w:val="0"/>
        <w:spacing w:lineRule="auto" w:line="288" w:before="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Same Property adjusted blended occupancy for MH and RV combined increased to 99.0% at June 30, 2025, from 97.5% at June 30, 2024. The 150 basis point increase was driven by MH expansion fills and the conversion of transient RV sites to annual sites. Same Property blended occupancy for MH and RV was 98.2% at June 30, 2025, up 50 basis points from 97.7% at June 30, 2024.</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Occupied rental program sites in Same Property are included in total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2465"/>
                <wp:effectExtent l="0" t="0" r="0" b="0"/>
                <wp:wrapNone/>
                <wp:docPr id="48" name="Frame4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UK Same Property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Same Property UK portfolio as of and for the three and six months ended June 30, 2025 and 2024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0"/>
        <w:gridCol w:w="794"/>
        <w:gridCol w:w="795"/>
        <w:gridCol w:w="459"/>
        <w:gridCol w:w="294"/>
        <w:gridCol w:w="260"/>
        <w:gridCol w:w="109"/>
        <w:gridCol w:w="109"/>
        <w:gridCol w:w="109"/>
        <w:gridCol w:w="459"/>
        <w:gridCol w:w="294"/>
        <w:gridCol w:w="260"/>
        <w:gridCol w:w="109"/>
        <w:gridCol w:w="109"/>
        <w:gridCol w:w="109"/>
        <w:gridCol w:w="234"/>
        <w:gridCol w:w="233"/>
        <w:gridCol w:w="511"/>
        <w:gridCol w:w="109"/>
        <w:gridCol w:w="109"/>
        <w:gridCol w:w="109"/>
        <w:gridCol w:w="459"/>
        <w:gridCol w:w="294"/>
        <w:gridCol w:w="260"/>
        <w:gridCol w:w="109"/>
        <w:gridCol w:w="109"/>
        <w:gridCol w:w="109"/>
        <w:gridCol w:w="459"/>
        <w:gridCol w:w="294"/>
        <w:gridCol w:w="260"/>
        <w:gridCol w:w="109"/>
        <w:gridCol w:w="109"/>
        <w:gridCol w:w="109"/>
        <w:gridCol w:w="233"/>
        <w:gridCol w:w="233"/>
        <w:gridCol w:w="585"/>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(2)</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Financial Information</w:t>
            </w:r>
            <w:r>
              <w:rPr>
                <w:rFonts w:ascii="Times New Roman;serif" w:hAnsi="Times New Roman;serif"/>
                <w:b/>
                <w:color w:val="000000"/>
                <w:sz w:val="11"/>
              </w:rPr>
              <w:t>(1)</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(3)</w:t>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Real Property NOI</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Number of properties</w:t>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Same Property results for our UK properties reflect constant currency for comparative purposes. United Kingdom currency figures in the prior comparative period have been translated at the average exchange rate of $1.3359 and $1.2973 USD per pound sterling, during the three and six months ended June 30, 2025, respectively.</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We net certain utility revenues (which include utility reimbursement revenues from residents) against related utility expenses in property operating expenses as follows (in millions):</w:t>
      </w:r>
    </w:p>
    <w:tbl>
      <w:tblPr>
        <w:tblW w:w="9425" w:type="dxa"/>
        <w:jc w:val="left"/>
        <w:tblInd w:w="0" w:type="dxa"/>
        <w:tblLayout w:type="fixed"/>
        <w:tblCellMar>
          <w:top w:w="28" w:type="dxa"/>
          <w:left w:w="28" w:type="dxa"/>
          <w:bottom w:w="28" w:type="dxa"/>
          <w:right w:w="28" w:type="dxa"/>
        </w:tblCellMar>
      </w:tblPr>
      <w:tblGrid>
        <w:gridCol w:w="1343"/>
        <w:gridCol w:w="1178"/>
        <w:gridCol w:w="1184"/>
        <w:gridCol w:w="533"/>
        <w:gridCol w:w="296"/>
        <w:gridCol w:w="296"/>
        <w:gridCol w:w="151"/>
        <w:gridCol w:w="151"/>
        <w:gridCol w:w="151"/>
        <w:gridCol w:w="533"/>
        <w:gridCol w:w="296"/>
        <w:gridCol w:w="296"/>
        <w:gridCol w:w="109"/>
        <w:gridCol w:w="109"/>
        <w:gridCol w:w="109"/>
        <w:gridCol w:w="532"/>
        <w:gridCol w:w="296"/>
        <w:gridCol w:w="296"/>
        <w:gridCol w:w="132"/>
        <w:gridCol w:w="132"/>
        <w:gridCol w:w="132"/>
        <w:gridCol w:w="500"/>
        <w:gridCol w:w="278"/>
        <w:gridCol w:w="392"/>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w:t>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UK Same Property Summary</w:t>
      </w:r>
    </w:p>
    <w:p>
      <w:pPr>
        <w:pStyle w:val="TextBody"/>
        <w:bidi w:val="0"/>
        <w:spacing w:before="0" w:after="0"/>
        <w:ind w:left="0" w:right="0" w:hanging="180"/>
        <w:jc w:val="both"/>
        <w:rPr/>
      </w:pPr>
      <w:r>
        <w:rPr/>
      </w:r>
    </w:p>
    <w:tbl>
      <w:tblPr>
        <w:tblW w:w="6808"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257"/>
        <w:gridCol w:w="552"/>
        <w:gridCol w:w="316"/>
        <w:gridCol w:w="109"/>
        <w:gridCol w:w="1126"/>
        <w:gridCol w:w="109"/>
        <w:gridCol w:w="109"/>
        <w:gridCol w:w="109"/>
        <w:gridCol w:w="205"/>
        <w:gridCol w:w="441"/>
        <w:gridCol w:w="24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UK Transient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Occupancy</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 in monthly base rent</w:t>
            </w:r>
            <w:r>
              <w:rPr>
                <w:rFonts w:ascii="Times New Roman;serif" w:hAnsi="Times New Roman;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Adjusting for recently delivered and vacant expansion sites, Same Property adjusted occupancy decreased by 40 basis points year over year, to 90.6% at June 30, 2025, from 91.0% at June 30, 2024.</w:t>
      </w:r>
    </w:p>
    <w:p>
      <w:pPr>
        <w:pStyle w:val="TextBody"/>
        <w:bidi w:val="0"/>
        <w:spacing w:lineRule="auto" w:line="288" w:before="2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Calculated using actual results without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2465"/>
                <wp:effectExtent l="0" t="0" r="0" b="0"/>
                <wp:wrapNone/>
                <wp:docPr id="49" name="Frame4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MH segment increase in NOI of $12.0 million, or 7.7%, when compared to the same period in 2024 is primarily due to an increase in Real property (excluding transient) revenue of $14.9 million, or 6.9%. Real property (excluding transient) revenue increased primarily due to a 5.3%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RV segment decrease in NOI of $0.7 million, or 1.1%, when compared to the same period in 2024 is primarily due to a decrease in Real property transient revenue of $4.3 million, or 6.7%, and an increase in Same property operating expenses of $2.0 million, or 3.1%, partially offset by an increase in Real property (excluding transient revenue) of $5.6 million, or 7.7%. The increase in Same Property operating expenses was primarily due to an increase in supplies and repairs expense and other expenses. The increase in Real property (excluding transient) revenue was primarily due to a 5.0%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UK segment increase in NOI of $2.1 million, or 10.2%, when compared to the same period in 2024 is primarily due to an increase in Real property revenue of $3.8 million, or 9.5%, partially offset by an increase in Same property operating expenses by $1.7 million, or 8.8%. The increase in Real property revenue was primarily due to a 5.3% increase in monthly base rent per site and Real property transient revenue growth of $2.6 million, or 18.3%. The increase in Same Property operating expenses was due to increases in payroll wages, utilities and leasing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MH segment increase in NOI of $26.1 million, or 8.3%, when compared to the same period in 2024 is primarily due to an increase in Real property (excluding transient) revenue of $30.5 million, or 7.1%. Real property (excluding transient) revenue increased primarily due to a 5.3%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RV segment decrease in NOI of $5.3 million, or 4.3%, when compared to the same period in 2024 is primarily due to a decrease in Real property transient revenue of $11.1 million, or 11.4%, and an increase in Same property operating expenses of $4.6 million, or 4.1% offset by an increase in Real property (excluding transient) revenue of $10.4 million, or 7.7%. The increase in Real property (excluding transient) revenue was primarily due to a 5.0% increase in monthly base rent and conversions of transient RV sites to annual RV sites. The decrease in Real property transient revenue was primarily due to transient to annual RV site conversions. The increase in Same Property operating expenses was primarily due to an increase in supplies and repairs expense and other expenses.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UK segment increase in NOI of $1.6 million, or 5.0%, when compared to the same period in 2024 is primarily due to the $2.1 million, or 4.1%, increase in Real property (excluding transient) revenue and an increase in Real property transient revenue of $1.8 million, or 10.8%, partially offset by an increase of $2.3 million, or 6.5%, in Same property operating expenses. The increase in Real property (excluding transient) revenue was primarily due to a 5.3% increase in monthly base rent per site. The increase in Same property operating expenses was primarily due to increases in payroll wages, utilities and other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50" name="Frame4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Sales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sell new and pre-owned homes to current and prospective residents and customers in our communities. This inventory is purchased from manufacturers, lenders, dealers, former residents, or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financial and statistical information for our home sales program for the three and six months ended June 30, 2025 and 2024 (in millions, except for average selling price and statistical information):</w:t>
      </w:r>
    </w:p>
    <w:p>
      <w:pPr>
        <w:pStyle w:val="TextBody"/>
        <w:bidi w:val="0"/>
        <w:spacing w:before="0" w:after="0"/>
        <w:jc w:val="both"/>
        <w:rPr/>
      </w:pPr>
      <w:r>
        <w:rPr/>
      </w:r>
    </w:p>
    <w:tbl>
      <w:tblPr>
        <w:tblW w:w="11314" w:type="dxa"/>
        <w:jc w:val="left"/>
        <w:tblInd w:w="0" w:type="dxa"/>
        <w:tblLayout w:type="fixed"/>
        <w:tblCellMar>
          <w:top w:w="28" w:type="dxa"/>
          <w:left w:w="28" w:type="dxa"/>
          <w:bottom w:w="28" w:type="dxa"/>
          <w:right w:w="28" w:type="dxa"/>
        </w:tblCellMar>
      </w:tblPr>
      <w:tblGrid>
        <w:gridCol w:w="266"/>
        <w:gridCol w:w="234"/>
        <w:gridCol w:w="236"/>
        <w:gridCol w:w="196"/>
        <w:gridCol w:w="646"/>
        <w:gridCol w:w="241"/>
        <w:gridCol w:w="109"/>
        <w:gridCol w:w="109"/>
        <w:gridCol w:w="109"/>
        <w:gridCol w:w="196"/>
        <w:gridCol w:w="646"/>
        <w:gridCol w:w="241"/>
        <w:gridCol w:w="109"/>
        <w:gridCol w:w="109"/>
        <w:gridCol w:w="109"/>
        <w:gridCol w:w="196"/>
        <w:gridCol w:w="571"/>
        <w:gridCol w:w="241"/>
        <w:gridCol w:w="109"/>
        <w:gridCol w:w="109"/>
        <w:gridCol w:w="109"/>
        <w:gridCol w:w="240"/>
        <w:gridCol w:w="241"/>
        <w:gridCol w:w="459"/>
        <w:gridCol w:w="109"/>
        <w:gridCol w:w="109"/>
        <w:gridCol w:w="109"/>
        <w:gridCol w:w="196"/>
        <w:gridCol w:w="646"/>
        <w:gridCol w:w="241"/>
        <w:gridCol w:w="109"/>
        <w:gridCol w:w="109"/>
        <w:gridCol w:w="109"/>
        <w:gridCol w:w="196"/>
        <w:gridCol w:w="556"/>
        <w:gridCol w:w="241"/>
        <w:gridCol w:w="109"/>
        <w:gridCol w:w="109"/>
        <w:gridCol w:w="109"/>
        <w:gridCol w:w="196"/>
        <w:gridCol w:w="661"/>
        <w:gridCol w:w="241"/>
        <w:gridCol w:w="109"/>
        <w:gridCol w:w="109"/>
        <w:gridCol w:w="109"/>
        <w:gridCol w:w="240"/>
        <w:gridCol w:w="241"/>
        <w:gridCol w:w="52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North America</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UK</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Units Sold: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North America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home sales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Average Selling Price: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93,419 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85,248 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 - North America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48.5% decrease in NOI was primarily driven by a 23.0% decrease in units sold, primarily driven by fewer available sites in conjunction with reduced expansion and development activity, as well as a 6.8% decrease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44.4% decrease in NOI was primarily driven by a 12.9% decrease in units sold, primarily driven by fewer available sites in conjunction with reduced expansion and development activity, as well as a 11.0% decrease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 - UK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5.7% decrease in NOI was primarily driven by a 7.2% decrease in NOI margin, partially offset by a 15.6% increase in average selling price and a 2.3% increase in total home sales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3.6% decrease in NOI was primarily driven by a 4.9% decrease in NOI margin, partially offset by a 12.5% increase in average selling price and a 0.8% increase in total home sales volume.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51" name="Frame5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pPr>
      <w:r>
        <w:rPr>
          <w:rFonts w:ascii="Times New Roman;serif" w:hAnsi="Times New Roman;serif"/>
          <w:b w:val="false"/>
          <w:i/>
          <w:color w:val="000000"/>
          <w:sz w:val="20"/>
        </w:rPr>
        <w:t>Other Items - Statements of Operations</w:t>
      </w:r>
      <w:r>
        <w:rPr>
          <w:rFonts w:ascii="Times New Roman;serif" w:hAnsi="Times New Roman;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income and expenses for the three and six months ended June 30, 2025 and 2024 (in millions):</w:t>
      </w:r>
    </w:p>
    <w:p>
      <w:pPr>
        <w:pStyle w:val="TextBody"/>
        <w:bidi w:val="0"/>
        <w:spacing w:before="0" w:after="0"/>
        <w:jc w:val="both"/>
        <w:rPr/>
      </w:pPr>
      <w:r>
        <w:rPr/>
      </w:r>
    </w:p>
    <w:tbl>
      <w:tblPr>
        <w:tblW w:w="11347" w:type="dxa"/>
        <w:jc w:val="left"/>
        <w:tblInd w:w="0" w:type="dxa"/>
        <w:tblLayout w:type="fixed"/>
        <w:tblCellMar>
          <w:top w:w="28" w:type="dxa"/>
          <w:left w:w="28" w:type="dxa"/>
          <w:bottom w:w="28" w:type="dxa"/>
          <w:right w:w="28" w:type="dxa"/>
        </w:tblCellMar>
      </w:tblPr>
      <w:tblGrid>
        <w:gridCol w:w="683"/>
        <w:gridCol w:w="317"/>
        <w:gridCol w:w="261"/>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278"/>
        <w:gridCol w:w="278"/>
        <w:gridCol w:w="459"/>
        <w:gridCol w:w="109"/>
        <w:gridCol w:w="109"/>
        <w:gridCol w:w="109"/>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278"/>
        <w:gridCol w:w="278"/>
        <w:gridCol w:w="520"/>
      </w:tblGrid>
      <w:tr>
        <w:trPr/>
        <w:tc>
          <w:tcPr>
            <w:tcW w:w="6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Items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dispositions of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 (loss) from nonconsolidated affiliates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discontinued operations,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return to preferred OP units / equity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attributable to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Only items determined by management to be material, of interest, or unique to the periods disclosed above are explained below.</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N/M = Percentage change is not meaningful. N/A = Not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 for the three and six months ended June 30, 2025, increased due to the interest earned on our increased cash balance from the Safe Harbor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Brokerage commissions and other, net</w:t>
      </w:r>
      <w:r>
        <w:rPr>
          <w:color w:val="000000"/>
        </w:rPr>
        <w:t xml:space="preserve"> </w:t>
      </w:r>
      <w:r>
        <w:rPr>
          <w:rFonts w:ascii="Times New Roman;serif" w:hAnsi="Times New Roman;serif"/>
          <w:b w:val="false"/>
          <w:color w:val="000000"/>
          <w:sz w:val="20"/>
        </w:rPr>
        <w:t>- for the three months ended June 30, 2025, increased primarily due to the receipt of business interruption insurance proceeds from properties impacted by Hurricane Ian. Refer to Note 18, "Commitments and Contingencies,"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General and administrative expense</w:t>
      </w:r>
      <w:r>
        <w:rPr>
          <w:color w:val="000000"/>
        </w:rPr>
        <w:t xml:space="preserve"> </w:t>
      </w:r>
      <w:r>
        <w:rPr>
          <w:rFonts w:ascii="Times New Roman;serif" w:hAnsi="Times New Roman;serif"/>
          <w:b w:val="false"/>
          <w:color w:val="000000"/>
          <w:sz w:val="20"/>
        </w:rPr>
        <w:t>- for the three and six months ended June 30, 2025, increased primarily due to dead deal costs and other transaction costs associated with potential acquisitions, and increases in wages and incentives driven by strategic initiatives.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Catastrophic event-related charges, net</w:t>
      </w:r>
      <w:r>
        <w:rPr>
          <w:color w:val="000000"/>
        </w:rPr>
        <w:t xml:space="preserve"> </w:t>
      </w:r>
      <w:r>
        <w:rPr>
          <w:rFonts w:ascii="Times New Roman;serif" w:hAnsi="Times New Roman;serif"/>
          <w:b w:val="false"/>
          <w:color w:val="000000"/>
          <w:sz w:val="20"/>
        </w:rPr>
        <w:t>- for the six months ended June 30, 2025, decreased primarily due to asset impairment and debris removal charges, net of insurance recoveries, of $10.6 million in the prior period, driven by flooding at an RV community in New Hampshire.</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52" name="Frame5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pPr>
      <w:r>
        <w:rPr>
          <w:rFonts w:ascii="Times New Roman;serif" w:hAnsi="Times New Roman;serif"/>
          <w:b w:val="false"/>
          <w:i/>
          <w:color w:val="000000"/>
          <w:sz w:val="20"/>
        </w:rPr>
        <w:t>Asset impairments</w:t>
      </w:r>
      <w:r>
        <w:rPr>
          <w:color w:val="000000"/>
        </w:rPr>
        <w:t xml:space="preserve"> </w:t>
      </w:r>
      <w:r>
        <w:rPr>
          <w:rFonts w:ascii="Times New Roman;serif" w:hAnsi="Times New Roman;serif"/>
          <w:b w:val="false"/>
          <w:color w:val="000000"/>
          <w:sz w:val="20"/>
        </w:rPr>
        <w:t>- for the three and six months ended June 30, 2025, increased due to asset impairment charges of $132.7 million related to three development properties in the UK, and asset impairment charges of $32.2 million related to three RV properties in the U.S. and Canada, driven by our change in strategic plan for these properties. Refer to Note 17, "Fair Value Measurements,"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 for the three and six months ended June 30, 2025, increased primarily due to the recognition of early extinguishment premiums of $102.4 million, due to the settlement of $3.2 billion of debt obligations using proceeds generated from the Safe Harbor Sale. Refer to Note 10, "Debt and Line of Credit,"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for the three and six months ended June 30, 2025, decreased primarily due to the settlement of $3.2 billion in debt obligations using proceeds generated from the Safe Harbor Sale. Refer to Note 10, "Debt and Line of Credit,"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foreign currency exchanges</w:t>
      </w:r>
      <w:r>
        <w:rPr>
          <w:color w:val="000000"/>
        </w:rPr>
        <w:t xml:space="preserve"> </w:t>
      </w:r>
      <w:r>
        <w:rPr>
          <w:rFonts w:ascii="Times New Roman;serif" w:hAnsi="Times New Roman;serif"/>
          <w:b w:val="false"/>
          <w:color w:val="000000"/>
          <w:sz w:val="20"/>
        </w:rPr>
        <w:t>- for the three and six months ended June 30, 2025, was a gain of $39.4 million and $48.1 million, respectively, as compared to a loss of $2.8 million and $1.7 million, respectively, during the same period in 2024 primarily due to the settlement of six foreign currency forward swaps, as well as the weakening of the U.S. dollar versus the Pound sterling. Refer to Note 16, "Derivative Financial Instruments,"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dispositions of properties</w:t>
      </w:r>
      <w:r>
        <w:rPr>
          <w:color w:val="000000"/>
        </w:rPr>
        <w:t xml:space="preserve"> </w:t>
      </w:r>
      <w:r>
        <w:rPr>
          <w:rFonts w:ascii="Times New Roman;serif" w:hAnsi="Times New Roman;serif"/>
          <w:b w:val="false"/>
          <w:color w:val="000000"/>
          <w:sz w:val="20"/>
        </w:rPr>
        <w:t>- for the three and six months ended June 30, 2025, was a loss of $1.3 million and $2.4 million, respectively, as compared to a gain of $2.5 million and $7.9 million, respectively, during the same periods in 2024, driven by property dispositions in each period. Refer to Note 5,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income / (expense), net</w:t>
      </w:r>
      <w:r>
        <w:rPr>
          <w:color w:val="000000"/>
        </w:rPr>
        <w:t xml:space="preserve"> </w:t>
      </w:r>
      <w:r>
        <w:rPr>
          <w:rFonts w:ascii="Times New Roman;serif" w:hAnsi="Times New Roman;serif"/>
          <w:b w:val="false"/>
          <w:color w:val="000000"/>
          <w:sz w:val="20"/>
        </w:rPr>
        <w:t>- for the three and six months ended June 30, 2025, was income of $31.9 million and $37.6 million, respectively, primarily due to a long-term lease termination gain on the repurchase of titles to 22 UK properties previously controlled via ground leases, as compared to an expense of $1.1 million and $3.5 million, respectively, during the same periods in 2024. Refer to Note 19, "Leases,"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remeasurement of investment in nonconsolidated affiliates</w:t>
      </w:r>
      <w:r>
        <w:rPr>
          <w:color w:val="000000"/>
        </w:rPr>
        <w:t xml:space="preserve"> </w:t>
      </w:r>
      <w:r>
        <w:rPr>
          <w:rFonts w:ascii="Times New Roman;serif" w:hAnsi="Times New Roman;serif"/>
          <w:b w:val="false"/>
          <w:color w:val="000000"/>
          <w:sz w:val="20"/>
        </w:rPr>
        <w:t>- for the six months ended June 30, 2025, was a loss of $1.5 million as compared to a gain of $5.3 million during the same period in 2024 due to the fluctuation in the fair value of a notes receivable portfolio held at our GTSC joint venture. Refer to Note 9,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Deferred tax benefit</w:t>
      </w:r>
      <w:r>
        <w:rPr>
          <w:color w:val="000000"/>
        </w:rPr>
        <w:t xml:space="preserve"> </w:t>
      </w:r>
      <w:r>
        <w:rPr>
          <w:rFonts w:ascii="Times New Roman;serif" w:hAnsi="Times New Roman;serif"/>
          <w:b w:val="false"/>
          <w:color w:val="000000"/>
          <w:sz w:val="20"/>
        </w:rPr>
        <w:t>- for the three and six months ended June 30, 2025, increased primarily due to the recognition of a deferred tax benefit of $29.0 million in conjunction with the impairment of three development properties in the UK. Refer to Note 17, "Fair Value Measurements,"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Income from discontinued operations, net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the three and six months ended June 30, 2025, was $1.4 billion, as compared to $25.7 million and $36.9 million, respectively, in the same periods in 2024, primarily due to the $1.4 billion gain recognized on the initial closing of the Safe Harbor Sale in the current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53" name="Frame5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NET INCOME ATTRIBUTABLE TO SUI COMMON SHAREHOLDERS TO 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attributable to SUI common shareholders to FFO for the three and six months ended June 30, 2025 and 2024 (in millions, except for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0"/>
        <w:gridCol w:w="1540"/>
        <w:gridCol w:w="1550"/>
        <w:gridCol w:w="213"/>
        <w:gridCol w:w="755"/>
        <w:gridCol w:w="119"/>
        <w:gridCol w:w="109"/>
        <w:gridCol w:w="109"/>
        <w:gridCol w:w="109"/>
        <w:gridCol w:w="239"/>
        <w:gridCol w:w="678"/>
        <w:gridCol w:w="132"/>
        <w:gridCol w:w="109"/>
        <w:gridCol w:w="109"/>
        <w:gridCol w:w="109"/>
        <w:gridCol w:w="213"/>
        <w:gridCol w:w="755"/>
        <w:gridCol w:w="119"/>
        <w:gridCol w:w="109"/>
        <w:gridCol w:w="109"/>
        <w:gridCol w:w="109"/>
        <w:gridCol w:w="236"/>
        <w:gridCol w:w="672"/>
        <w:gridCol w:w="193"/>
      </w:tblGrid>
      <w:tr>
        <w:trPr/>
        <w:tc>
          <w:tcPr>
            <w:tcW w:w="181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continuing operations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discontinued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on nonconsolidated affiliates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continuing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discontinued operations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dispositions of properties, including tax effect - continuing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dispositions of properties, including tax effect - discontinued operations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Returns on preferred OP units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attributable to noncontrolling interests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 of assets, net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 Attributable to SUI Common Shareholders and Convertible Securities</w:t>
            </w:r>
            <w:r>
              <w:rPr>
                <w:rFonts w:ascii="Times New Roman;serif" w:hAnsi="Times New Roman;serif"/>
                <w:b w:val="false"/>
                <w:color w:val="000000"/>
                <w:sz w:val="11"/>
              </w:rPr>
              <w:t>(1)(5)(6)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Business combination expense - discontinued operations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Acquisition and other transaction costs - continuing operations</w:t>
            </w:r>
            <w:r>
              <w:rPr>
                <w:rFonts w:ascii="Times New Roman;serif" w:hAnsi="Times New Roman;serif"/>
                <w:b w:val="false"/>
                <w:color w:val="000000"/>
                <w:sz w:val="11"/>
              </w:rPr>
              <w:t>(2)</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Acquisition and other transaction costs - discontinued operations</w:t>
            </w:r>
            <w:r>
              <w:rPr>
                <w:rFonts w:ascii="Times New Roman;serif" w:hAnsi="Times New Roman;serif"/>
                <w:b w:val="false"/>
                <w:color w:val="000000"/>
                <w:sz w:val="11"/>
              </w:rPr>
              <w:t>(2)</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of earnings - catastrophic event-related charges, net</w:t>
            </w:r>
            <w:r>
              <w:rPr>
                <w:rFonts w:ascii="Times New Roman;serif" w:hAnsi="Times New Roman;serif"/>
                <w:b w:val="false"/>
                <w:color w:val="000000"/>
                <w:sz w:val="11"/>
              </w:rPr>
              <w:t>(3)</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adjustments, net - continuing operations</w:t>
            </w:r>
            <w:r>
              <w:rPr>
                <w:rFonts w:ascii="Times New Roman;serif" w:hAnsi="Times New Roman;serif"/>
                <w:b w:val="false"/>
                <w:color w:val="000000"/>
                <w:sz w:val="11"/>
              </w:rPr>
              <w:t>(4)</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adjustments, net - discontinued operations</w:t>
            </w:r>
            <w:r>
              <w:rPr>
                <w:rFonts w:ascii="Times New Roman;serif" w:hAnsi="Times New Roman;serif"/>
                <w:b w:val="false"/>
                <w:color w:val="000000"/>
                <w:sz w:val="11"/>
              </w:rPr>
              <w:t>(4)</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 Attributable to SUI Common Shareholders and Convertible Securities</w:t>
            </w:r>
            <w:r>
              <w:rPr>
                <w:rFonts w:ascii="Times New Roman;serif" w:hAnsi="Times New Roman;serif"/>
                <w:b w:val="false"/>
                <w:color w:val="000000"/>
                <w:sz w:val="11"/>
              </w:rPr>
              <w:t>(1)(5)(6)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Weighted Average Common Shares and OP Units Outstanding</w:t>
            </w:r>
            <w:r>
              <w:rPr>
                <w:rFonts w:ascii="Times New Roman;serif" w:hAnsi="Times New Roman;serif"/>
                <w:b w:val="false"/>
                <w:color w:val="000000"/>
                <w:sz w:val="11"/>
              </w:rPr>
              <w:t>(1)</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 Attributable to SUI Common Shareholders and Convertible Securities</w:t>
            </w:r>
            <w:r>
              <w:rPr>
                <w:rFonts w:ascii="Times New Roman;serif" w:hAnsi="Times New Roman;serif"/>
                <w:b w:val="false"/>
                <w:color w:val="000000"/>
                <w:sz w:val="11"/>
              </w:rPr>
              <w:t>(1)(5)(6)</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 Attributable to SUI Common Shareholders and Convertible Securities</w:t>
            </w:r>
            <w:r>
              <w:rPr>
                <w:rFonts w:ascii="Times New Roman;serif" w:hAnsi="Times New Roman;serif"/>
                <w:b w:val="false"/>
                <w:color w:val="000000"/>
                <w:sz w:val="11"/>
              </w:rPr>
              <w:t>(1)(5)(6)</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Assumes full conversion of all equity participating units, including common and preferred OP units, into our common stock, and has no material impact on previously reported results.</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These costs represent (i) nonrecurring integration expenses associated with acquisitions during the three and six months ended June 30, 2025 and 2024, (ii) costs associated with potential acquisitions that will not close, (iii) expenses incurred to bring recently acquired properties up to our operating standards, including items such as tree trimming and painting costs that do not meet our capitalization policy. Acquisition and other transaction costs - discontinued operations primarily represent non-recurring costs directly attributable to the Safe Harbor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2465"/>
                <wp:effectExtent l="0" t="0" r="0" b="0"/>
                <wp:wrapNone/>
                <wp:docPr id="54" name="Frame5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Loss of earnings - catastrophic event-related charges, net include the following:</w:t>
      </w:r>
    </w:p>
    <w:tbl>
      <w:tblPr>
        <w:tblW w:w="10205" w:type="dxa"/>
        <w:jc w:val="left"/>
        <w:tblInd w:w="0" w:type="dxa"/>
        <w:tblLayout w:type="fixed"/>
        <w:tblCellMar>
          <w:top w:w="28" w:type="dxa"/>
          <w:left w:w="28" w:type="dxa"/>
          <w:bottom w:w="28" w:type="dxa"/>
          <w:right w:w="28" w:type="dxa"/>
        </w:tblCellMar>
      </w:tblPr>
      <w:tblGrid>
        <w:gridCol w:w="1943"/>
        <w:gridCol w:w="1708"/>
        <w:gridCol w:w="1719"/>
        <w:gridCol w:w="248"/>
        <w:gridCol w:w="562"/>
        <w:gridCol w:w="138"/>
        <w:gridCol w:w="109"/>
        <w:gridCol w:w="109"/>
        <w:gridCol w:w="109"/>
        <w:gridCol w:w="272"/>
        <w:gridCol w:w="522"/>
        <w:gridCol w:w="151"/>
        <w:gridCol w:w="109"/>
        <w:gridCol w:w="109"/>
        <w:gridCol w:w="109"/>
        <w:gridCol w:w="248"/>
        <w:gridCol w:w="562"/>
        <w:gridCol w:w="138"/>
        <w:gridCol w:w="109"/>
        <w:gridCol w:w="109"/>
        <w:gridCol w:w="109"/>
        <w:gridCol w:w="241"/>
        <w:gridCol w:w="575"/>
        <w:gridCol w:w="197"/>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2024</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val="false"/>
                <w:color w:val="000000"/>
                <w:sz w:val="16"/>
              </w:rPr>
            </w:pPr>
            <w:r>
              <w:rPr>
                <w:rFonts w:ascii="Times New Roman;serif" w:hAnsi="Times New Roman;serif"/>
                <w:b w:val="false"/>
                <w:color w:val="000000"/>
                <w:sz w:val="16"/>
              </w:rPr>
              <w:t>Hurricane Ian - three Fort Myers, Florida RV communities impaired</w:t>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Estimated loss of earnings in excess of the applicable business interruption deductible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Insurance recoveries realized for previously estimated loss of earnings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Hurricane Helene - one Dunedin Florida RV community impaired</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Estimated loss of earnings in excess of the applicable business interruption deductible, net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Loss of earnings - catastrophic event-related charges, net</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Other adjustments, net - continuing operations relates primarily to deferred tax benefits and long-term lease termination gains during the three and six months ended June 30, 2025 and 2024, and Other adjustments, net - discontinued operations relates primarily to a contingent consideration expense during the six months ended June 30, 2025 and litigation settlement gains during the three and six months ended June 30, 2024.</w:t>
      </w:r>
    </w:p>
    <w:p>
      <w:pPr>
        <w:pStyle w:val="TextBody"/>
        <w:bidi w:val="0"/>
        <w:spacing w:lineRule="auto" w:line="288" w:before="0" w:after="60"/>
        <w:ind w:left="0" w:right="0" w:hanging="180"/>
        <w:jc w:val="both"/>
        <w:rPr/>
      </w:pPr>
      <w:r>
        <w:rPr>
          <w:rFonts w:ascii="Times New Roman;serif" w:hAnsi="Times New Roman;serif"/>
          <w:b w:val="false"/>
          <w:color w:val="000000"/>
          <w:sz w:val="10"/>
        </w:rPr>
        <w:t>(5)</w:t>
      </w:r>
      <w:r>
        <w:rPr>
          <w:rFonts w:ascii="Times New Roman;serif" w:hAnsi="Times New Roman;serif"/>
          <w:b w:val="false"/>
          <w:color w:val="000000"/>
          <w:sz w:val="16"/>
        </w:rPr>
        <w:t>FFO and Core FFO includes discontinued operations activity of $(22.6) million or $(0.17) per Share, and $26.2 million or $0.20 per Share, respectively, during the three months ended June 30, 2025, and $76.3 million or $0.59 per Share, and $78.6 million or $0.61 per Share, respectively, during the three months ended June 30, 2024.</w:t>
      </w:r>
    </w:p>
    <w:p>
      <w:pPr>
        <w:pStyle w:val="TextBody"/>
        <w:bidi w:val="0"/>
        <w:spacing w:lineRule="auto" w:line="288" w:before="0" w:after="0"/>
        <w:ind w:left="0" w:right="0" w:hanging="180"/>
        <w:jc w:val="both"/>
        <w:rPr/>
      </w:pPr>
      <w:r>
        <w:rPr>
          <w:rFonts w:ascii="Times New Roman;serif" w:hAnsi="Times New Roman;serif"/>
          <w:b w:val="false"/>
          <w:color w:val="000000"/>
          <w:sz w:val="10"/>
        </w:rPr>
        <w:t>(6)</w:t>
      </w:r>
      <w:r>
        <w:rPr>
          <w:rFonts w:ascii="Times New Roman;serif" w:hAnsi="Times New Roman;serif"/>
          <w:b w:val="false"/>
          <w:color w:val="000000"/>
          <w:sz w:val="16"/>
        </w:rPr>
        <w:t>FFO and Core FFO include discontinued operations activity of $(2.6) million or $(0.02) per Share, and $75.3 million or $0.57 per Share, respectively, during the six months ended June 30, 2025, and $132.7 million or $1.03 per Share, and $125.5 million or $0.97 per Share, respectively,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2465"/>
                <wp:effectExtent l="0" t="0" r="0" b="0"/>
                <wp:wrapNone/>
                <wp:docPr id="55" name="Frame5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Short-term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short-term liquidity demands are expected to consist of distributions to our shareholders and the unit holders of the Operating Partnership through cash distributions and share repurchases, property acquisitions, development and expansion of our properties, capital improvement of our properties, and the purchase of new and pre-owned homes. We intend to meet our short-term liquidity requirements through available cash balances, cash flow generated from operations, cash generated from the Safe Harbor Sale, draws on our senior credit facility, and the use of debt and equity offerings under our shelf registration statement. Refer to Note 10, "Debt and Line of Credit," and Note 11, "Equity and Temporary Equity," and Note 21, "Subsequent Events," in our accompanying Consolidated Financial Statements for additional information and related activity subsequent to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take a disciplined approach to selecting the optimal mix of financing sources to meet our liquidity demands and minimize our overall cost of capital. During the three months ended June 30, 2025, we completed the initial closing of the Safe Harbor Sale and generated $5.25 billion of pre-tax cash proceeds, net of transaction costs. The Safe Harbor Sale advances our strategy of focusing on our core MH and RV segments and enhances our leverage profile and financial flexibility. We have deployed the cash proceeds from the Safe Harbor Sale to implement a capital allocation plan that reflects a balanced, tax-efficient approach to optimize shareholder value through significantly lower leverage, greater financial flexibility to drive sustainable cash flow growth, and a thoughtful capital return strategy. We intend to maintain our strong financial position and lower leverage profile by focusing on our core fundamentals, which are generating positive cash flows from operations, maintaining appropriate debt levels and leverage ratios, and controlling overhead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For the remainder of 2025, we continue to expect rental rate growth that exceeds headline inflation with ongoing focus on expense management to continue generating strong organic cash flow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cash proceeds generated from the Safe Harbor Sale, during the three months ended June 30, 2025, we initiated the following capital allocation decisions: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Repaid approximately $3.3 billion of debt, including $1.6 billion of outstanding borrowings under our senior credit facility, as well as $737.7 million in secured mortgage debt, and $956.5 million in unsecured notes, inclusive of prepayment costs.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Returned capital to shareholders, including the payment of a special cash distribution of $4.00 per share, totaling $521.3 million, and the initiation of our Stock Repurchase Program.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Targeted reinvestment in strategic growth by allocating $565.3 million into 1031 exchange escrow accounts to fund potential future MH and RV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Initiated other opportunistic financial enhancements, including deploying cash of $199.2 million to repurchase the titles to 22 UK properties that were previously controlled via ground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 "Basis of Presentation," and Note 2, "Assets Held for Sale and Discontinued Operations," for additional details related to the Safe Harbor Sale. Refer to Note 19, "Leases," for additional details related to the UK long-term lease terminations.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Acquisitions, Dispositions,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As of June 30, 2025, we have allocated restricted cash of $565.3 million into 1031 exchange escrow accounts to fund potential future MH and RV acquisitions. Given the higher interest rate environment, we continue to selectively pursue acquisition and development opportunities that meet our underwriting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a targeted disposition program to divest non-strategic assets in an effort to simplify management and maintain financial flexibility. During the six months ended June 30, 2025, we sold three MH properties, three RV properties, and one MH development land parcel for a gross sale price of approximately $164.2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2465"/>
                <wp:effectExtent l="0" t="0" r="0" b="0"/>
                <wp:wrapNone/>
                <wp:docPr id="56" name="Frame5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selectively expand our properties utilizing our inventory of owned and entitled land. We have 16,020 MH and RV sites suitable for future development. Refer to Note 5, "Real Estate Acquisitions and Dispositions," in our accompanying Consolidated Financial Statements for additional details on acquisitions and dispositions completed to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 (excluding Acquisition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capital expenditure activity is summarized as follows (in millions):</w:t>
      </w:r>
    </w:p>
    <w:p>
      <w:pPr>
        <w:pStyle w:val="TextBody"/>
        <w:bidi w:val="0"/>
        <w:spacing w:before="0" w:after="0"/>
        <w:jc w:val="both"/>
        <w:rPr/>
      </w:pPr>
      <w:r>
        <w:rPr/>
      </w:r>
    </w:p>
    <w:tbl>
      <w:tblPr>
        <w:tblW w:w="7167" w:type="dxa"/>
        <w:jc w:val="left"/>
        <w:tblInd w:w="0" w:type="dxa"/>
        <w:tblLayout w:type="fixed"/>
        <w:tblCellMar>
          <w:top w:w="28" w:type="dxa"/>
          <w:left w:w="28" w:type="dxa"/>
          <w:bottom w:w="28" w:type="dxa"/>
          <w:right w:w="28" w:type="dxa"/>
        </w:tblCellMar>
      </w:tblPr>
      <w:tblGrid>
        <w:gridCol w:w="1646"/>
        <w:gridCol w:w="1448"/>
        <w:gridCol w:w="1451"/>
        <w:gridCol w:w="256"/>
        <w:gridCol w:w="727"/>
        <w:gridCol w:w="142"/>
        <w:gridCol w:w="109"/>
        <w:gridCol w:w="109"/>
        <w:gridCol w:w="109"/>
        <w:gridCol w:w="253"/>
        <w:gridCol w:w="718"/>
        <w:gridCol w:w="199"/>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Recurring Capital Expenditures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Non-Recurring Capital Expenditures and Related Activities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Lot modifications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Growth projects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Rebranding</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improvements to recent acquisitions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Expansion and development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program</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Non-Recurring Capital Expenditure and Related Activities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Capital Expenditure and Related Activities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"Liquidity and Capital Resources" section in Part II, Item 7 of our 2024 Annual Report for capital expenditure activity definitions and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 activities from continuing operations are summarized as follows (in millions):</w:t>
      </w:r>
    </w:p>
    <w:p>
      <w:pPr>
        <w:pStyle w:val="TextBody"/>
        <w:bidi w:val="0"/>
        <w:spacing w:before="0" w:after="0"/>
        <w:jc w:val="both"/>
        <w:rPr/>
      </w:pPr>
      <w:r>
        <w:rPr/>
      </w:r>
    </w:p>
    <w:tbl>
      <w:tblPr>
        <w:tblW w:w="6581" w:type="dxa"/>
        <w:jc w:val="left"/>
        <w:tblInd w:w="0" w:type="dxa"/>
        <w:tblLayout w:type="fixed"/>
        <w:tblCellMar>
          <w:top w:w="28" w:type="dxa"/>
          <w:left w:w="28" w:type="dxa"/>
          <w:bottom w:w="28" w:type="dxa"/>
          <w:right w:w="28" w:type="dxa"/>
        </w:tblCellMar>
      </w:tblPr>
      <w:tblGrid>
        <w:gridCol w:w="1436"/>
        <w:gridCol w:w="1260"/>
        <w:gridCol w:w="1264"/>
        <w:gridCol w:w="221"/>
        <w:gridCol w:w="781"/>
        <w:gridCol w:w="123"/>
        <w:gridCol w:w="109"/>
        <w:gridCol w:w="109"/>
        <w:gridCol w:w="109"/>
        <w:gridCol w:w="233"/>
        <w:gridCol w:w="753"/>
        <w:gridCol w:w="183"/>
      </w:tblGrid>
      <w:tr>
        <w:trPr/>
        <w:tc>
          <w:tcPr>
            <w:tcW w:w="14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Used For Investing Activities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Financing Activities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increased by $1.4 billion from $57.1 million as of December 31, 2024, to $1.5 billion as of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Net cash provided by operating activities increased by $5.4 million to $409.6 million for the six months ended June 30, 2025, compared to $404.2 million for the six months ended June 30, 2024. The increase in operating cash flow was primarily due growth in Same Property operating performance at our MH and UK properties, partially offset by the timing of changes in inventory, other assets, and other liabilities, and reduced operating performance at our RV properties, during the six months ended June 30, 2025 as compared to the corresponding period in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2465"/>
                <wp:effectExtent l="0" t="0" r="0" b="0"/>
                <wp:wrapNone/>
                <wp:docPr id="57" name="Frame5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 cash flows provided by operating activities from continuing operations may be adversely impacted by, among other things: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market and economic conditions in our current markets generally, and specifically in the metropolitan areas of our current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lower occupancy and rental rates of our properties;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increases in other operating costs, such as wage and benefit costs, supplies and repairs, real estate taxes, and utilities;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substantial increases in insurance premiums;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decreased sales of manufactured homes;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current volatility in economic conditions and the financial markets;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outbreaks of disease and related restrictions on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"Risk Factors" in Part I, Item 1A of our 2024 Annual Report, and Part II, Item 1A of our Quarterly Report on Form 10-Q for the three months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 Net cash used for investing activities decreased by $142.2 million to $44.8 million for the six months ended June 30, 2025, compared to $187.0 million for the six months ended June 30, 2024. The decrease in Net cash used for investing activities was primarily driven by an increase in proceeds received from the disposition of MH and RV properties, and an increase in settlements of notes receivable from real estate developers during the six months ended June 30, 2025 as compared to the corresponding period in 2024. Refer to the Consolidated Statements of Cash Flows for detail on the net cash used for investing activities during the six months ended June 30,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Net cash provided by financing activities was $1.0 billion for the six months ended June 30, 2025, compared to net cash used for financing activities of $163.9 million for the six months ended June 30, 2024. The change in Net cash provided by / (used for) financing activities was primarily driven by a net capital transfer of $5.4 billion from Safe Harbor to the Company in conjunction with the Safe Harbor Sale, partially offset by an increase in cash deployed to settle debt obligations and distribute cash to shareholders through a special cash dividend paid during the six months ended June 30, 2025, as compared to the corresponding period in 2024. Refer to the Consolidated Statements of Cash Flows for detail on the net cash provided by financing activities during the six months ended June 30, 2025 and 2024. Refer to Note 10, "Debt and Line of Credit,"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 from discontinued activities are summarized as follows (in millions):</w:t>
      </w:r>
    </w:p>
    <w:p>
      <w:pPr>
        <w:pStyle w:val="TextBody"/>
        <w:bidi w:val="0"/>
        <w:spacing w:before="0" w:after="0"/>
        <w:jc w:val="both"/>
        <w:rPr/>
      </w:pPr>
      <w:r>
        <w:rPr/>
      </w:r>
    </w:p>
    <w:tbl>
      <w:tblPr>
        <w:tblW w:w="8170" w:type="dxa"/>
        <w:jc w:val="left"/>
        <w:tblInd w:w="0" w:type="dxa"/>
        <w:tblLayout w:type="fixed"/>
        <w:tblCellMar>
          <w:top w:w="28" w:type="dxa"/>
          <w:left w:w="28" w:type="dxa"/>
          <w:bottom w:w="28" w:type="dxa"/>
          <w:right w:w="28" w:type="dxa"/>
        </w:tblCellMar>
      </w:tblPr>
      <w:tblGrid>
        <w:gridCol w:w="2008"/>
        <w:gridCol w:w="1768"/>
        <w:gridCol w:w="1773"/>
        <w:gridCol w:w="206"/>
        <w:gridCol w:w="805"/>
        <w:gridCol w:w="114"/>
        <w:gridCol w:w="109"/>
        <w:gridCol w:w="109"/>
        <w:gridCol w:w="109"/>
        <w:gridCol w:w="233"/>
        <w:gridCol w:w="753"/>
        <w:gridCol w:w="183"/>
      </w:tblGrid>
      <w:tr>
        <w:trPr/>
        <w:tc>
          <w:tcPr>
            <w:tcW w:w="200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2024</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 - discontinued operations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investing activities - discontinued operations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for financing activities - discontinued operations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for discontinued operations decreased by $2.7 million from $6.8 million as of December 31, 2024, to $4.1 million as of June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Net cash provided by operating activities for discontinued operations decreased by $59.3 million to $90.3 million for the six months ended June 30, 2025, compared to $149.6 million for the six months ended June 30, 2024. The decrease in net cash provided by operating activities for discontinued operations was due to a reduction in owned marinas, due to the initial closing of the Safe Harbor Sale during the six months ended June 30, 2025 as compared to the corresponding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 Net cash provided by investing activities for discontinued operations was $5.4 billion for the six months ended June 30, 2025, compared to net cash used for investing activities for discontinued operations of $132.9 million for the six months ended June 30, 2024. The change in net cash provided by / (used for) investing activities for discontinued operations is driven by cash proceeds received from the initial closing of the Safe Harbor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Net cash used for financing activities for discontinued operations increased by $5.4 billion to $5.5 billion for the six months ended June 30, 2025, compared to $8.2 million for the six months ended June 30, 2024. The increase in net cash used for financing activities is due to the net capital transfer of $5.4 billion from Safe Harbor to the Company in conjunction with the Safe Harbor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2465"/>
                <wp:effectExtent l="0" t="0" r="0" b="0"/>
                <wp:wrapNone/>
                <wp:docPr id="58" name="Frame5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Consolidated Statements of Cash Flows for detail on the net cash used for financing activities for discontinued operations during the six months ended June 30, 2025 and 2024. Refer to Note 2, "Assets Held for Sale and Discontinued Operations,"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absence of future cash flows from discontinued operations is not expected to significantly impact our liquidity, as the cash proceeds from the Safe Harbor Sale have been allocated to pay down debt, which will generate annualized interest expense savings, and to reinvest in our core MH and RV segments by means of a $565.3 million cash allocation to 1031 exchange escrow accounts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variability associated with our outstanding floating rate debt and any maturing debt that has to be refinanced. Interest rate movements impact our borrowing costs and, while as of June 30, 2025, approximately 100% of our total debt was fixed rate financing, increases in interest costs have the potential to adversely affect our financial results. Following the debt paydown after the Safe Harbor Sale, 100% of our total debt was fixed rate financing as of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and Debt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our ATM program with certain sales agents and forward sellers pursuant to which we may sell, from time to time, up to an aggregate gross sales price of $1.25 billion of our common stock. Through June 30,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repurchased shares are retired and returned to authorized but unissued status upon settlement. During the three months ended June 30, 2025, we repurchased and retired 1.6 million shares of our outstanding common stock for $202.8 million. As of June 30, 2025, we had $797.2 million remaining authorized for purchase under this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09"/>
        <w:gridCol w:w="1662"/>
        <w:gridCol w:w="1678"/>
        <w:gridCol w:w="109"/>
        <w:gridCol w:w="109"/>
        <w:gridCol w:w="109"/>
        <w:gridCol w:w="267"/>
        <w:gridCol w:w="943"/>
        <w:gridCol w:w="148"/>
        <w:gridCol w:w="109"/>
        <w:gridCol w:w="109"/>
        <w:gridCol w:w="109"/>
        <w:gridCol w:w="218"/>
        <w:gridCol w:w="773"/>
        <w:gridCol w:w="121"/>
        <w:gridCol w:w="109"/>
        <w:gridCol w:w="109"/>
        <w:gridCol w:w="109"/>
        <w:gridCol w:w="282"/>
        <w:gridCol w:w="996"/>
        <w:gridCol w:w="227"/>
      </w:tblGrid>
      <w:tr>
        <w:trPr/>
        <w:tc>
          <w:tcPr>
            <w:tcW w:w="19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5.5% notes, issued in January 2024 and due in January 2029 (the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5.7% notes, issued in January 2023 and due in January 2033 (the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396.1</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redeemed the aggregate principal amount of $900.0 million on the 2029 Notes and the 2033 Notes using cash proceeds generated from the Safe Harbor Sale. In accordance with the terms of each series of Notes, the redemption price was inclusive of a customary make-whole premium and accrued and unpaid interest. As a result, we recorded charges of $56.5 million to Loss on extinguishment of debt on the Consolidated Statements of Operations in connection with early extinguishment premiums on the 2029 and 2033 Note Redemptions. Refer to Note 16, "Derivative Financial Instruments," for cash flow hedge activity resulting from the redemptions.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2465"/>
                <wp:effectExtent l="0" t="0" r="0" b="0"/>
                <wp:wrapNone/>
                <wp:docPr id="59" name="Frame5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Operating Partnership (as borrower), SUI (as guarantor), and certain lenders are parties to a credit agreement which governs our senior credit facility. The aggregate amount available under the senior credit facility consists of a revolving loan in an amount up to $3.05 billion with a maturity date on April 7, 2026. At our option, the maturity date may be extended for two additional six-month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bears interest at a floating rate based on the Adjusted Term SOFR, the Adjusted Eurocurrency Rate, the Australian BBSY Rate, the Daily SONIA Rate, or the CORRA, as applicable, plus a margin, in all cases, ranging from 0.725% to 1.6%, subject to certain adjustments. As of June 30, 2025, the margins based on our credit ratings were 0.775% on the revolving loan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lenders' option, the senior credit facility will become immediately due and payable upon an event of default under the Credit Facility Agreement. During the three months ended June 30, 2025, we repaid the remaining outstanding debt balances of $1.6 billion under our senior credit facility. We had zero and $1.4 billion of borrowings outstanding under the revolving loan as of June 30, 2025 and December 31, 2024, respectively. The balance is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$10.3 million and $11.5 million of outstanding letters of credit at June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senior credit facility, we are subject to various financial and other covenants. The most restrictive financial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covenants for the senior credit facility are as follows:</w:t>
      </w:r>
    </w:p>
    <w:p>
      <w:pPr>
        <w:pStyle w:val="TextBody"/>
        <w:bidi w:val="0"/>
        <w:spacing w:before="0" w:after="0"/>
        <w:jc w:val="both"/>
        <w:rPr/>
      </w:pPr>
      <w:r>
        <w:rPr/>
      </w:r>
    </w:p>
    <w:tbl>
      <w:tblPr>
        <w:tblW w:w="6040" w:type="dxa"/>
        <w:jc w:val="left"/>
        <w:tblInd w:w="0" w:type="dxa"/>
        <w:tblLayout w:type="fixed"/>
        <w:tblCellMar>
          <w:top w:w="28" w:type="dxa"/>
          <w:left w:w="28" w:type="dxa"/>
          <w:bottom w:w="28" w:type="dxa"/>
          <w:right w:w="28" w:type="dxa"/>
        </w:tblCellMar>
      </w:tblPr>
      <w:tblGrid>
        <w:gridCol w:w="1000"/>
        <w:gridCol w:w="877"/>
        <w:gridCol w:w="883"/>
        <w:gridCol w:w="109"/>
        <w:gridCol w:w="109"/>
        <w:gridCol w:w="109"/>
        <w:gridCol w:w="345"/>
        <w:gridCol w:w="345"/>
        <w:gridCol w:w="346"/>
        <w:gridCol w:w="109"/>
        <w:gridCol w:w="109"/>
        <w:gridCol w:w="109"/>
        <w:gridCol w:w="465"/>
        <w:gridCol w:w="465"/>
        <w:gridCol w:w="660"/>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Covenant</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2025</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17.4%</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11.3%</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June 30, 2025, we did not have any borrowings outstanding under the senior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maintain the following covenants with respect to the senior unsecured notes payable:</w:t>
      </w:r>
    </w:p>
    <w:p>
      <w:pPr>
        <w:pStyle w:val="TextBody"/>
        <w:bidi w:val="0"/>
        <w:spacing w:before="0" w:after="0"/>
        <w:jc w:val="both"/>
        <w:rPr/>
      </w:pPr>
      <w:r>
        <w:rPr/>
      </w:r>
    </w:p>
    <w:tbl>
      <w:tblPr>
        <w:tblW w:w="7689"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465"/>
        <w:gridCol w:w="465"/>
        <w:gridCol w:w="660"/>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June 30, 2025</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26.0%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15.1%</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7.48</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743.9%</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we were in compliance with the above covenants and do not anticipate that we will be unable to meet these covenants in the near term.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2465"/>
                <wp:effectExtent l="0" t="0" r="0" b="0"/>
                <wp:wrapNone/>
                <wp:docPr id="60" name="Frame5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Financing and 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we had unrestricted cash on hand of $889.8 million, $3.05 billion of remaining capacity on the senior credit facility, and a total of 400 unencumbered MH, RV, and UK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and RV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2024 Annual Report. If we are unable to obtain additional debt or equity financing on acceptable terms, our business, results of operations and financial condition would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2025, our net debt to enterprise value was 17.0% (assuming conversion of all common and preferred OP units to shares of common stock). Our debt has a weighted average interest rate of 3.38% and a weighted average maturity of 7.6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9, "Investments in Nonconsolidated Affiliates," in the accompanying Consolidated Financial Statements for additional information about these entities.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GTSC</w:t>
      </w:r>
      <w:r>
        <w:rPr>
          <w:color w:val="000000"/>
        </w:rPr>
        <w:t xml:space="preserve"> </w:t>
      </w:r>
      <w:r>
        <w:rPr>
          <w:rFonts w:ascii="Times New Roman;serif" w:hAnsi="Times New Roman;serif"/>
          <w:b w:val="false"/>
          <w:color w:val="000000"/>
          <w:sz w:val="20"/>
        </w:rPr>
        <w:t>- GTSC maintains a warehouse line of credit with a maximum borrowing capacity of $275.0 million. As of June 30, 2025 and December 31, 2024, the aggregate carrying amount of debt, including both our and our partner's share, incurred by GTSC was $235.3 million (of which our proportionate share is $94.1 million), and $242.9 million (of which our proportionate share is $97.1 million), respectively. The debt bears interest at a variable rate based on a Commercial Paper or adjusted SOFR plus a margin ranging from 1.65% to 2.5% per annum and matures on December 15,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Sungenia JV</w:t>
      </w:r>
      <w:r>
        <w:rPr>
          <w:color w:val="000000"/>
        </w:rPr>
        <w:t xml:space="preserve"> </w:t>
      </w:r>
      <w:r>
        <w:rPr>
          <w:rFonts w:ascii="Times New Roman;serif" w:hAnsi="Times New Roman;serif"/>
          <w:b w:val="false"/>
          <w:color w:val="000000"/>
          <w:sz w:val="20"/>
        </w:rPr>
        <w:t>- Sungenia maintains a debt facility agreement with a maximum borrowing capacity of $54.1 million Australian dollars, or $35.3 million converted at the June 30, 2025 exchange rate. As of June 30, 2025 and December 31, 2024, the aggregate carrying amount of the debt, including both our and our partners' share, incurred by Sungenia JV was $25.5 million (of which our proportionate share is approximately $12.8 million), and $25.0 million (of which our proportionate share is $12.5 million), respectively. The debt bears interest at a variable rate based on the Australian BBSY rate plus a margin ranging from 0.95% to 1.4%, subject to adjustment for additional future commitments, per annum and matures on June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2465"/>
                <wp:effectExtent l="0" t="0" r="0" b="0"/>
                <wp:wrapNone/>
                <wp:docPr id="61" name="Frame6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"forward-looking statements" within the meaning of the Securities Act of 1933, as amended (the "Securities Act"), and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uncertainties, and other factors,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2024 Annual Report, in Part II, Item 1A of our Quarterly Report on Form 10-Q for the three months ended March 31, 2025, and in our other filings with the SEC, from time to time, such risks, uncertainties and other factors include, but are not limited to: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1"/>
        <w:gridCol w:w="2853"/>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General volatility of the capital markets and the market price of shares of our capital stock;</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Increases in interest rates and operating costs, including insurance premiums and real estate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Difficulties in our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ability to complete the sale of the remaining Safe Harbor properties that are subject to receipt of third-party consents on a timely basis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ability to realize the anticipated benefits of the Safe Harbor Sale, including with respect to tax strategies,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succession plan for our CEO, which could impact the execution of our strategic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remediation plan and our ability to remediate the material weakness in our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general economic conditions, including inflation, deflation, energy costs, the real estate industry, the effects of tariffs or threats of tariffs, trade wars, immigration issues, supply chain disruptions,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Changes in foreign currency exchange rates, including between the U.S. dollar and each of the Canadian dollar, Australian dollar, and pound sterling;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Litigation, judgments or settlements, including costs associated with prosecuting or defending claims and any adverse outcomes;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2465"/>
                <wp:effectExtent l="0" t="0" r="0" b="0"/>
                <wp:wrapNone/>
                <wp:docPr id="62" name="Frame6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 As of June 30, 2025, all of our outstanding debt obligations bore interest at fixed rates, which minimizes the impact of interest rate variability on our results of operations and cash flows in the near term. Additionally, we have exposure to long-term interest rates, which could affect the cost of refinancing existing debt or incurring additional debt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2025 and December 31, 2024, our shareholder's equity included $1.0 billion and $672.3 million from our investments and operations in the United Kingdom, Canada, and Australia which collectively represented 13.5% and 9.3% of total shareholder's equity, respectively. Based on our sensitivity analysis, a 10.0% strengthening of the U.S. dollar against the pound sterling, Canadian dollar, and Australian dollar would have caused a reduction of $101.9 million and $67.2 million to our total shareholder's equity at June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2465"/>
                <wp:effectExtent l="0" t="0" r="0" b="0"/>
                <wp:wrapNone/>
                <wp:docPr id="63" name="Frame6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An evaluation of the effectiveness of the design and operation of our disclosure controls and procedures as of the end of the period was made under the supervision and with the participation of our management, including our principal executive officer and principal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this evaluation, our principal executive officer and principal financial officer have concluded that, as of June 30, 2025, our disclosure controls and procedures were not effective as of that date due to a material weakness in internal control over financial reporting relating to our risk assessment process,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Part II, Item 9A "Controls and Procedures" of our 2024 Annual Report, as of December 31, 2024, management identified a material weakness because we did not have an effective risk assessment and response process ("risk assessment") that defined clear financial reporting objectives, that identified and evaluated risks of misstatement due to errors over certain financial reporting processes, or that developed internal controls to mitigate those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Remediation of Material Weaknesses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invested considerable time and resources to undertake a number of actions related to the material weakness relating to our risk assessment process and we are in the process of developing and implementing additional actions as part of a detailed plan for remediation. The Audit Committee has continued to actively oversee these remediation plans, monitoring plan progression, and ensuring appropriate resources are allocated and implemented to effectively execute management's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believe our remediation efforts will improve the effectiveness of our internal control over financial reporting, we cannot assure that the measures will be sufficient to remediate the material weakness we have identified or will prevent potential future material weaknesses. In addition, many of the improvements have not operated for a sufficient period of time to be able to conclude on the effectiveness of relevant internal controls. Accordingly, we will continue to monitor, with oversight from our Board of Directors, and evaluate the effectiveness of our internal control over financial reporting and further enhance our plan for remediation as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discussed in the preceding paragraph, there were no changes in internal control over financial reporting during the three months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2465"/>
                <wp:effectExtent l="0" t="0" r="0" b="0"/>
                <wp:wrapNone/>
                <wp:docPr id="64" name="Frame6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Refer to "Legal Proceedings - Class Action Litigation" and "Other Legal Proceedings" in Part I - Item 1 - Note 18, "Commitments and Contingencies," in our accompanying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described in Part 1, Item 1A., "Risk Factors," in our 2024 Annual Report and Part II, Item 1A., "Risk Factors," in our Quarterly Report on Form 10-Q for the three months ended March 31, 2025, which could materially affect our business, financial condition, or future results. There have been no material changes to the disclosure on these matters as set forth in such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72465"/>
                <wp:effectExtent l="0" t="0" r="0" b="0"/>
                <wp:wrapNone/>
                <wp:docPr id="65" name="Frame6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our OP units have converted the following units during the three months ended June 30, 2025:</w:t>
      </w:r>
    </w:p>
    <w:p>
      <w:pPr>
        <w:pStyle w:val="TextBody"/>
        <w:bidi w:val="0"/>
        <w:spacing w:before="0" w:after="0"/>
        <w:jc w:val="left"/>
        <w:rPr/>
      </w:pPr>
      <w:r>
        <w:rPr/>
      </w:r>
    </w:p>
    <w:tbl>
      <w:tblPr>
        <w:tblW w:w="8168"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39"/>
        <w:gridCol w:w="439"/>
        <w:gridCol w:w="441"/>
        <w:gridCol w:w="109"/>
        <w:gridCol w:w="109"/>
        <w:gridCol w:w="109"/>
        <w:gridCol w:w="634"/>
        <w:gridCol w:w="634"/>
        <w:gridCol w:w="636"/>
        <w:gridCol w:w="178"/>
        <w:gridCol w:w="178"/>
        <w:gridCol w:w="178"/>
        <w:gridCol w:w="444"/>
        <w:gridCol w:w="444"/>
        <w:gridCol w:w="446"/>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61,518 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61,518 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common stock repurchases during the three months ended June 30, 2025 (in millions, except for number of shares and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3"/>
        <w:gridCol w:w="319"/>
        <w:gridCol w:w="322"/>
        <w:gridCol w:w="109"/>
        <w:gridCol w:w="109"/>
        <w:gridCol w:w="109"/>
        <w:gridCol w:w="438"/>
        <w:gridCol w:w="438"/>
        <w:gridCol w:w="439"/>
        <w:gridCol w:w="109"/>
        <w:gridCol w:w="109"/>
        <w:gridCol w:w="109"/>
        <w:gridCol w:w="259"/>
        <w:gridCol w:w="855"/>
        <w:gridCol w:w="144"/>
        <w:gridCol w:w="109"/>
        <w:gridCol w:w="109"/>
        <w:gridCol w:w="109"/>
        <w:gridCol w:w="936"/>
        <w:gridCol w:w="724"/>
        <w:gridCol w:w="726"/>
        <w:gridCol w:w="109"/>
        <w:gridCol w:w="109"/>
        <w:gridCol w:w="109"/>
        <w:gridCol w:w="630"/>
        <w:gridCol w:w="1795"/>
        <w:gridCol w:w="509"/>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Total number of shares purchased</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Maximum number (or approximate dollar value) of shares that may yet be purchased under the plans or programs</w:t>
            </w:r>
            <w:r>
              <w:rPr>
                <w:rFonts w:ascii="Times New Roman;serif" w:hAnsi="Times New Roman;serif"/>
                <w:b/>
                <w:color w:val="000000"/>
                <w:sz w:val="11"/>
              </w:rPr>
              <w:t>(2)</w:t>
            </w:r>
          </w:p>
        </w:tc>
      </w:tr>
      <w:tr>
        <w:trPr/>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3,881 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373,733 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954.7 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1,261,334 </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797.2 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4,053 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114.69 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1,635,067 </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three months ended June 30, 2025, we withheld 4,053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On April 30, 2025, we announced by press release that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 Refer to Note 11, "Equity and Temporary Equity," for additional information regarding our Stock Repurchase Program.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72465"/>
                <wp:effectExtent l="0" t="0" r="0" b="0"/>
                <wp:wrapNone/>
                <wp:docPr id="66" name="Frame6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none of our officers or directors, as defined in Rule 16a-1(f) of the Securities Exchange Act of 1934, adopted, modified, or terminated a Rule 10b5-1 trading arrangement or a non-Rule 10b5-1 trading arrangement, as defined in Item 408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The OBBBA made significant changes to the U.S. federal income tax laws in various areas. Among the notable changes, the OBBBA permanently extended certain provisions that were enacted in the Tax Cuts and Jobs Act of 2017, most of which were set to expire after December 31, 2025. As a result of such extensions, individuals and other non-corporate taxpayers will continue to be entitled to a 20% deduction for certain “qualified REIT dividends” for taxable years after 2025, subject to certain requirements, and the maximum U.S. federal income tax rate on ordinary income for individuals and other non-corporate taxpayers will continue to be 37% after 2025 (before application of the 3.8% Medicare tax on “net investment income”). In addition, the OBBBA also increased the percentage limit under the REIT asset test applicable to securities of one or more taxable REIT subsidiaries from 20% to 25% for 2026 and subsequent taxable years. You are urged to consult with your own tax advisor to determine the effects of the OBBBA and the ownership and disposition of our securities or debt securities of the Operating Partnership on your individual tax situation, including any state, local or non-U.S. tax consequences.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72465"/>
                <wp:effectExtent l="0" t="0" r="0" b="0"/>
                <wp:wrapNone/>
                <wp:docPr id="67" name="Frame6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70"/>
        <w:gridCol w:w="1771"/>
        <w:gridCol w:w="1675"/>
        <w:gridCol w:w="1690"/>
        <w:gridCol w:w="1290"/>
        <w:gridCol w:w="1290"/>
        <w:gridCol w:w="164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51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422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Method of Filing</w:t>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5136" w:type="dxa"/>
            <w:gridSpan w:val="3"/>
            <w:tcBorders/>
            <w:vAlign w:val="center"/>
          </w:tcPr>
          <w:p>
            <w:pPr>
              <w:pStyle w:val="TableContents"/>
              <w:bidi w:val="0"/>
              <w:spacing w:before="0" w:after="283"/>
              <w:jc w:val="left"/>
              <w:rPr>
                <w:sz w:val="4"/>
                <w:szCs w:val="4"/>
              </w:rPr>
            </w:pPr>
            <w:r>
              <w:rPr>
                <w:sz w:val="4"/>
                <w:szCs w:val="4"/>
              </w:rPr>
            </w:r>
          </w:p>
        </w:tc>
        <w:tc>
          <w:tcPr>
            <w:tcW w:w="4224" w:type="dxa"/>
            <w:gridSpan w:val="3"/>
            <w:tcBorders/>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Sun Communities, Inc. Articles of Restatement</w:t>
              </w:r>
            </w:hyperlink>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Annual Report on Form 10-K filed on February 22, 2018</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Fifth Amended and Restated Bylaws</w:t>
              </w:r>
            </w:hyperlink>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Current Report on Form 8-K filed on May 15, 2025</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20"/>
                  <w:u w:val="single"/>
                </w:rPr>
                <w:t>Sun Communities, Inc. Articles of Amendment effective May 18, 2023</w:t>
              </w:r>
            </w:hyperlink>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Current Report on Form 8-K filed on May 19, 2023</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21-2025630listofis.htm">
              <w:r>
                <w:rPr>
                  <w:rStyle w:val="InternetLink"/>
                  <w:rFonts w:ascii="Times New Roman;serif" w:hAnsi="Times New Roman;serif"/>
                  <w:b w:val="false"/>
                  <w:color w:val="0000FF"/>
                  <w:sz w:val="20"/>
                  <w:u w:val="single"/>
                </w:rPr>
                <w:t>List of issuers of guaranteed securities</w:t>
              </w:r>
            </w:hyperlink>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2025630ceocerti.htm">
              <w:r>
                <w:rPr>
                  <w:rStyle w:val="InternetLink"/>
                  <w:rFonts w:ascii="Times New Roman;serif" w:hAnsi="Times New Roman;serif"/>
                  <w:b w:val="false"/>
                  <w:color w:val="0000FF"/>
                  <w:sz w:val="20"/>
                  <w:u w:val="single"/>
                </w:rPr>
                <w:t>Certification of Chief Executive Officer pursuant to Securities Exchange Act Rules 13a-14(a)/15(d)-14(a), as adopted pursuant to Section 302 of the Sarbanes-Oxley Act of 2002.</w:t>
              </w:r>
            </w:hyperlink>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2025630cfocerti.htm">
              <w:r>
                <w:rPr>
                  <w:rStyle w:val="InternetLink"/>
                  <w:rFonts w:ascii="Times New Roman;serif" w:hAnsi="Times New Roman;serif"/>
                  <w:b w:val="false"/>
                  <w:color w:val="0000FF"/>
                  <w:sz w:val="20"/>
                  <w:u w:val="single"/>
                </w:rPr>
                <w:t>Certification of Chief Financial Officer pursuant to Securities Exchange Act Rules 13a-14(a)/15(d)-14(a), as adopted pursuant to Section 302 of the Sarbanes-Oxley Act of 2002.</w:t>
              </w:r>
            </w:hyperlink>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w:anchor="exhibit321-2025630ceoandcf.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51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422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513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422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top w:val="single" w:sz="8" w:space="0" w:color="000000"/>
              <w:left w:val="single" w:sz="8" w:space="0" w:color="000000"/>
              <w:bottom w:val="single" w:sz="8" w:space="0" w:color="000000"/>
            </w:tcBorders>
            <w:shd w:fill="FFFFFF" w:val="clear"/>
            <w:tcMar>
              <w:top w:w="30" w:type="dxa"/>
              <w:left w:w="14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13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422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9360" w:type="dxa"/>
            <w:gridSpan w:val="6"/>
            <w:tcBorders/>
          </w:tcPr>
          <w:p>
            <w:pPr>
              <w:pStyle w:val="TableContents"/>
              <w:bidi w:val="0"/>
              <w:spacing w:before="0" w:after="283"/>
              <w:jc w:val="left"/>
              <w:rPr>
                <w:sz w:val="4"/>
                <w:szCs w:val="4"/>
              </w:rPr>
            </w:pPr>
            <w:r>
              <w:rPr>
                <w:sz w:val="4"/>
                <w:szCs w:val="4"/>
              </w:rPr>
            </w:r>
          </w:p>
        </w:tc>
      </w:tr>
      <w:tr>
        <w:trPr/>
        <w:tc>
          <w:tcPr>
            <w:tcW w:w="845" w:type="dxa"/>
            <w:gridSpan w:val="3"/>
            <w:tcBorders/>
            <w:vAlign w:val="center"/>
          </w:tcPr>
          <w:p>
            <w:pPr>
              <w:pStyle w:val="TableContents"/>
              <w:bidi w:val="0"/>
              <w:spacing w:before="0" w:after="283"/>
              <w:jc w:val="left"/>
              <w:rPr>
                <w:sz w:val="4"/>
                <w:szCs w:val="4"/>
              </w:rPr>
            </w:pPr>
            <w:r>
              <w:rPr>
                <w:sz w:val="4"/>
                <w:szCs w:val="4"/>
              </w:rPr>
            </w:r>
          </w:p>
        </w:tc>
        <w:tc>
          <w:tcPr>
            <w:tcW w:w="9360"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2465"/>
                <wp:effectExtent l="0" t="0" r="0" b="0"/>
                <wp:wrapNone/>
                <wp:docPr id="68" name="Frame6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057"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2003"/>
        <w:gridCol w:w="2003"/>
        <w:gridCol w:w="2833"/>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Loftus</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72465"/>
                <wp:effectExtent l="0" t="0" r="0" b="0"/>
                <wp:wrapNone/>
                <wp:docPr id="69" name="Frame6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List of Issuers of Guaranteed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31, 2025, the debt instruments indicated below are fully and unconditionally guaranteed by Sun Communities, Inc.</w:t>
      </w:r>
    </w:p>
    <w:p>
      <w:pPr>
        <w:pStyle w:val="TextBody"/>
        <w:bidi w:val="0"/>
        <w:spacing w:before="0" w:after="0"/>
        <w:jc w:val="left"/>
        <w:rPr/>
      </w:pPr>
      <w:r>
        <w:rPr/>
      </w:r>
    </w:p>
    <w:tbl>
      <w:tblPr>
        <w:tblW w:w="971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 Senior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Gary A. Shiffman,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695" w:type="dxa"/>
        <w:jc w:val="center"/>
        <w:tblInd w:w="0" w:type="dxa"/>
        <w:tblLayout w:type="fixed"/>
        <w:tblCellMar>
          <w:top w:w="28" w:type="dxa"/>
          <w:left w:w="28" w:type="dxa"/>
          <w:bottom w:w="28" w:type="dxa"/>
          <w:right w:w="28" w:type="dxa"/>
        </w:tblCellMar>
      </w:tblPr>
      <w:tblGrid>
        <w:gridCol w:w="656"/>
        <w:gridCol w:w="576"/>
        <w:gridCol w:w="582"/>
        <w:gridCol w:w="109"/>
        <w:gridCol w:w="109"/>
        <w:gridCol w:w="109"/>
        <w:gridCol w:w="1039"/>
        <w:gridCol w:w="1039"/>
        <w:gridCol w:w="147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A. Shiffman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A. Shiffman,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Fernando Castro-Caratini,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968" w:type="dxa"/>
        <w:jc w:val="left"/>
        <w:tblInd w:w="0" w:type="dxa"/>
        <w:tblLayout w:type="fixed"/>
        <w:tblCellMar>
          <w:top w:w="28" w:type="dxa"/>
          <w:left w:w="28" w:type="dxa"/>
          <w:bottom w:w="28" w:type="dxa"/>
          <w:right w:w="28" w:type="dxa"/>
        </w:tblCellMar>
      </w:tblPr>
      <w:tblGrid>
        <w:gridCol w:w="656"/>
        <w:gridCol w:w="576"/>
        <w:gridCol w:w="582"/>
        <w:gridCol w:w="1217"/>
        <w:gridCol w:w="1217"/>
        <w:gridCol w:w="172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31, 2025</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Fernando Castro-Caratini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Fernando Castro-Caratini,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(Adopted Under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officers, Gary A. Shiffman and Fernando Castro-Caratini, hereby certify that to the best of their knowledge: (a) this Quarterly Report on Form 10-Q of Sun Communities, Inc., for the period ended June 30, 2025,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bidi w:val="0"/>
        <w:spacing w:before="0" w:after="0"/>
        <w:jc w:val="both"/>
        <w:rPr/>
      </w:pPr>
      <w:r>
        <w:rPr/>
      </w:r>
    </w:p>
    <w:tbl>
      <w:tblPr>
        <w:tblW w:w="5384" w:type="dxa"/>
        <w:jc w:val="left"/>
        <w:tblInd w:w="0" w:type="dxa"/>
        <w:tblLayout w:type="fixed"/>
        <w:tblCellMar>
          <w:top w:w="28" w:type="dxa"/>
          <w:left w:w="28" w:type="dxa"/>
          <w:bottom w:w="28" w:type="dxa"/>
          <w:right w:w="28" w:type="dxa"/>
        </w:tblCellMar>
      </w:tblPr>
      <w:tblGrid>
        <w:gridCol w:w="1491"/>
        <w:gridCol w:w="1312"/>
        <w:gridCol w:w="1321"/>
        <w:gridCol w:w="368"/>
        <w:gridCol w:w="368"/>
        <w:gridCol w:w="524"/>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Gary A. Shiffman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Gary A. Shiffman, Chief Executive Officer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Fernando Castro-Caratini</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Fernando Castro-Caratini, Chief Financial Officer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593/000091259318000049/exhibit31-suncommunitiesin.htm" TargetMode="External"/><Relationship Id="rId4" Type="http://schemas.openxmlformats.org/officeDocument/2006/relationships/hyperlink" Target="https://www.sec.gov/Archives/edgar/data/912593/000091259325000176/suncommunitiesfifthamended.htm" TargetMode="External"/><Relationship Id="rId5" Type="http://schemas.openxmlformats.org/officeDocument/2006/relationships/hyperlink" Target="https://www.sec.gov/Archives/edgar/data/912593/000091259323000182/articlesofamendment-incre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33692</Words>
  <Characters>181060</Characters>
  <CharactersWithSpaces>211147</CharactersWithSpaces>
  <Paragraphs>6585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