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1308.xml.htm"/>
      <w:bookmarkStart w:id="1" w:name="kswkform4_17889813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Garechana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27777 FRANKLIN RD.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 COMMUNITIES INC</w:t>
              </w:r>
            </w:hyperlink>
            <w:r>
              <w:rPr/>
              <w:t xml:space="preserve"> [ </w:t>
            </w:r>
            <w:r>
              <w:rPr>
                <w:rFonts w:ascii="Times;serif" w:hAnsi="Times;serif"/>
                <w:color w:val="0000FF"/>
                <w:sz w:val="24"/>
                <w:shd w:fill="FFFFFF" w:val="clear"/>
              </w:rPr>
              <w:t>SUI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3"/>
        <w:gridCol w:w="774"/>
        <w:gridCol w:w="600"/>
        <w:gridCol w:w="343"/>
        <w:gridCol w:w="873"/>
        <w:gridCol w:w="439"/>
        <w:gridCol w:w="836"/>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6,374</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117.65</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6,374</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59"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6,374 of the shares are subject to time vesting: 2,125 of these time vesting shares vest on each of September 8, 2027 and 2028; and 2,124 on September 8,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of Sun Communities, Inc (the "Company"). The target number of shares of common stock is set forth in columns 5 and 7 of Table II. Between 0% and 200% of the target number will be earned based on the achievement of performance criteria related to the Company's total shareholder return relative to industry indices and to certain of the Company's financial results over a three-year performance period. Any shares that do not vest at the end of the performance period will be forfeited.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A. Garechana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568" TargetMode="External"/><Relationship Id="rId5" Type="http://schemas.openxmlformats.org/officeDocument/2006/relationships/hyperlink" Target="http://www.sec.gov/cgi-bin/browse-edgar?action=getcompany&amp;CIK=00009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3798</Characters>
  <CharactersWithSpaces>4433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