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jc w:val="center"/>
        <w:ind w:left="4320" w:right="240" w:hanging="4081"/>
        <w:spacing w:after="0" w:line="282" w:lineRule="auto"/>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48" w:lineRule="exact"/>
        <w:rPr>
          <w:sz w:val="24"/>
          <w:szCs w:val="24"/>
          <w:color w:val="auto"/>
        </w:rPr>
      </w:pPr>
    </w:p>
    <w:p>
      <w:pPr>
        <w:ind w:left="1540" w:hanging="222"/>
        <w:spacing w:after="0"/>
        <w:tabs>
          <w:tab w:leader="none" w:pos="1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SUN COMMUNITIES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363" w:right="339" w:bottom="1440" w:gutter="0" w:footer="0" w:header="0"/>
        </w:sectPr>
      </w:pPr>
    </w:p>
    <w:p>
      <w:pPr>
        <w:spacing w:after="0" w:line="286" w:lineRule="exact"/>
        <w:rPr>
          <w:sz w:val="24"/>
          <w:szCs w:val="24"/>
          <w:color w:val="auto"/>
        </w:rPr>
      </w:pPr>
    </w:p>
    <w:p>
      <w:pPr>
        <w:ind w:left="168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1-12616</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38-2730780</w:t>
      </w:r>
    </w:p>
    <w:p>
      <w:pPr>
        <w:spacing w:after="0" w:line="90" w:lineRule="exact"/>
        <w:rPr>
          <w:sz w:val="24"/>
          <w:szCs w:val="24"/>
          <w:color w:val="auto"/>
        </w:rPr>
      </w:pPr>
    </w:p>
    <w:p>
      <w:pPr>
        <w:sectPr>
          <w:pgSz w:w="11900" w:h="16838" w:orient="portrait"/>
          <w:cols w:equalWidth="0" w:num="3">
            <w:col w:w="4600" w:space="720"/>
            <w:col w:w="2700" w:space="720"/>
            <w:col w:w="2500"/>
          </w:cols>
          <w:pgMar w:left="320" w:top="1363" w:right="339" w:bottom="1440" w:gutter="0" w:footer="0" w:header="0"/>
          <w:type w:val="continuous"/>
        </w:sectPr>
      </w:pPr>
    </w:p>
    <w:p>
      <w:pPr>
        <w:ind w:left="122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00" w:space="720"/>
            <w:col w:w="2420" w:space="720"/>
            <w:col w:w="3380"/>
          </w:cols>
          <w:pgMar w:left="320" w:top="1363" w:right="339" w:bottom="1440" w:gutter="0" w:footer="0" w:header="0"/>
          <w:type w:val="continuous"/>
        </w:sectPr>
      </w:pPr>
    </w:p>
    <w:p>
      <w:pPr>
        <w:spacing w:after="0" w:line="6" w:lineRule="exact"/>
        <w:rPr>
          <w:sz w:val="24"/>
          <w:szCs w:val="24"/>
          <w:color w:val="auto"/>
        </w:rPr>
      </w:pPr>
    </w:p>
    <w:p>
      <w:pPr>
        <w:ind w:left="660"/>
        <w:spacing w:after="0"/>
        <w:tabs>
          <w:tab w:leader="none" w:pos="3180" w:val="left"/>
          <w:tab w:leader="none" w:pos="4280" w:val="left"/>
        </w:tabs>
        <w:rPr>
          <w:sz w:val="20"/>
          <w:szCs w:val="20"/>
          <w:color w:val="auto"/>
        </w:rPr>
      </w:pPr>
      <w:r>
        <w:rPr>
          <w:rFonts w:ascii="Arial" w:cs="Arial" w:eastAsia="Arial" w:hAnsi="Arial"/>
          <w:sz w:val="18"/>
          <w:szCs w:val="18"/>
          <w:b w:val="1"/>
          <w:bCs w:val="1"/>
          <w:color w:val="auto"/>
        </w:rPr>
        <w:t>27777 Franklin Rd, Suite 200,</w:t>
        <w:tab/>
        <w:t>Southfield,</w:t>
      </w:r>
      <w:r>
        <w:rPr>
          <w:sz w:val="20"/>
          <w:szCs w:val="20"/>
          <w:color w:val="auto"/>
        </w:rPr>
        <w:tab/>
      </w:r>
      <w:r>
        <w:rPr>
          <w:rFonts w:ascii="Arial" w:cs="Arial" w:eastAsia="Arial" w:hAnsi="Arial"/>
          <w:sz w:val="16"/>
          <w:szCs w:val="16"/>
          <w:b w:val="1"/>
          <w:bCs w:val="1"/>
          <w:color w:val="auto"/>
        </w:rPr>
        <w:t>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48034</w:t>
      </w:r>
    </w:p>
    <w:p>
      <w:pPr>
        <w:spacing w:after="0" w:line="89" w:lineRule="exact"/>
        <w:rPr>
          <w:sz w:val="24"/>
          <w:szCs w:val="24"/>
          <w:color w:val="auto"/>
        </w:rPr>
      </w:pPr>
    </w:p>
    <w:p>
      <w:pPr>
        <w:sectPr>
          <w:pgSz w:w="11900" w:h="16838" w:orient="portrait"/>
          <w:cols w:equalWidth="0" w:num="2">
            <w:col w:w="8220" w:space="720"/>
            <w:col w:w="2300"/>
          </w:cols>
          <w:pgMar w:left="320" w:top="1363" w:right="33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63" w:lineRule="exact"/>
        <w:rPr>
          <w:sz w:val="24"/>
          <w:szCs w:val="24"/>
          <w:color w:val="auto"/>
        </w:rPr>
      </w:pPr>
    </w:p>
    <w:p>
      <w:pPr>
        <w:sectPr>
          <w:pgSz w:w="11900" w:h="16838" w:orient="portrait"/>
          <w:cols w:equalWidth="0" w:num="2">
            <w:col w:w="8060" w:space="720"/>
            <w:col w:w="2460"/>
          </w:cols>
          <w:pgMar w:left="320" w:top="136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(248) 208-2500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1363" w:right="339" w:bottom="1440" w:gutter="0" w:footer="0" w:header="0"/>
          <w:type w:val="continuous"/>
        </w:sect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7" w:lineRule="exact"/>
        <w:rPr>
          <w:sz w:val="24"/>
          <w:szCs w:val="24"/>
          <w:color w:val="auto"/>
        </w:rPr>
      </w:pPr>
    </w:p>
    <w:tbl>
      <w:tblPr>
        <w:tblLayout w:type="fixed"/>
        <w:tblInd w:w="300" w:type="dxa"/>
        <w:tblCellMar>
          <w:top w:w="0" w:type="dxa"/>
          <w:left w:w="0" w:type="dxa"/>
          <w:bottom w:w="0" w:type="dxa"/>
          <w:right w:w="0" w:type="dxa"/>
        </w:tblCellMar>
      </w:tblPr>
      <w:tr>
        <w:trPr>
          <w:trHeight w:val="230"/>
        </w:trPr>
        <w:tc>
          <w:tcPr>
            <w:tcW w:w="42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Title of each class</w:t>
            </w:r>
          </w:p>
        </w:tc>
        <w:tc>
          <w:tcPr>
            <w:tcW w:w="23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Trading Symbol(s)</w:t>
            </w:r>
          </w:p>
        </w:tc>
        <w:tc>
          <w:tcPr>
            <w:tcW w:w="40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6"/>
        </w:trPr>
        <w:tc>
          <w:tcPr>
            <w:tcW w:w="42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Common Stock, $0.01 par value</w:t>
            </w:r>
          </w:p>
        </w:tc>
        <w:tc>
          <w:tcPr>
            <w:tcW w:w="23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SUI</w:t>
            </w:r>
          </w:p>
        </w:tc>
        <w:tc>
          <w:tcPr>
            <w:tcW w:w="40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6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(Check one):</w:t>
      </w:r>
    </w:p>
    <w:p>
      <w:pPr>
        <w:sectPr>
          <w:pgSz w:w="11900" w:h="16838" w:orient="portrait"/>
          <w:cols w:equalWidth="0" w:num="1">
            <w:col w:w="11240"/>
          </w:cols>
          <w:pgMar w:left="320" w:top="1363" w:right="339" w:bottom="1440" w:gutter="0" w:footer="0" w:header="0"/>
          <w:type w:val="continuous"/>
        </w:sectPr>
      </w:pPr>
    </w:p>
    <w:p>
      <w:pPr>
        <w:spacing w:after="0" w:line="8" w:lineRule="exact"/>
        <w:rPr>
          <w:sz w:val="24"/>
          <w:szCs w:val="24"/>
          <w:color w:val="auto"/>
        </w:rPr>
      </w:pPr>
    </w:p>
    <w:p>
      <w:pPr>
        <w:ind w:left="2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w:t>
      </w:r>
    </w:p>
    <w:p>
      <w:pPr>
        <w:spacing w:after="0" w:line="53" w:lineRule="exact"/>
        <w:rPr>
          <w:sz w:val="24"/>
          <w:szCs w:val="24"/>
          <w:color w:val="auto"/>
        </w:rPr>
      </w:pPr>
    </w:p>
    <w:p>
      <w:pPr>
        <w:sectPr>
          <w:pgSz w:w="11900" w:h="16838" w:orient="portrait"/>
          <w:cols w:equalWidth="0" w:num="5">
            <w:col w:w="1840" w:space="460"/>
            <w:col w:w="1200" w:space="560"/>
            <w:col w:w="1520" w:space="580"/>
            <w:col w:w="1960" w:space="520"/>
            <w:col w:w="2600"/>
          </w:cols>
          <w:pgMar w:left="320" w:top="1363" w:right="339" w:bottom="1440" w:gutter="0" w:footer="0" w:header="0"/>
          <w:type w:val="continuous"/>
        </w:sectPr>
      </w:pPr>
    </w:p>
    <w:p>
      <w:pPr>
        <w:ind w:left="9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0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6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5">
            <w:col w:w="2100" w:space="720"/>
            <w:col w:w="1200" w:space="720"/>
            <w:col w:w="1600" w:space="720"/>
            <w:col w:w="1760" w:space="720"/>
            <w:col w:w="1700"/>
          </w:cols>
          <w:pgMar w:left="320" w:top="1363" w:right="339" w:bottom="1440" w:gutter="0" w:footer="0" w:header="0"/>
          <w:type w:val="continuous"/>
        </w:sectPr>
      </w:pPr>
    </w:p>
    <w:p>
      <w:pPr>
        <w:spacing w:after="0" w:line="1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per share, outstanding as of October 15, 2020: 98,280,096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1" w:name="page2"/>
    <w:bookmarkEnd w:id="1"/>
    <w:p>
      <w:pPr>
        <w:jc w:val="center"/>
        <w:ind w:left="700"/>
        <w:spacing w:after="0"/>
        <w:rPr>
          <w:sz w:val="20"/>
          <w:szCs w:val="20"/>
          <w:color w:val="auto"/>
        </w:rPr>
      </w:pPr>
      <w:r>
        <w:rPr>
          <w:rFonts w:ascii="Arial" w:cs="Arial" w:eastAsia="Arial" w:hAnsi="Arial"/>
          <w:sz w:val="18"/>
          <w:szCs w:val="18"/>
          <w:b w:val="1"/>
          <w:bCs w:val="1"/>
          <w:color w:val="auto"/>
        </w:rPr>
        <w:t>INDEX</w:t>
      </w:r>
    </w:p>
    <w:p>
      <w:pPr>
        <w:spacing w:after="0" w:line="266"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PART I – FINANCIAL INFORMATION</w:t>
      </w:r>
    </w:p>
    <w:p>
      <w:pPr>
        <w:spacing w:after="0" w:line="28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Consolidated Financial Statements</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Balance Sheets as of September 30, 2020 (Unaudited) and December 31, 2019</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Consolidated Statements of Operations for the Three and Nine Months Ended September 30, 2020 and 2019 (Unaudited)</w:t>
      </w:r>
    </w:p>
    <w:p>
      <w:pPr>
        <w:spacing w:after="0" w:line="3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Consolidated Statements of Comprehensive Income for the Three and Nine Months Ended September 30, 2020 and 2019 (Unaudited)</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Consolidated Statements of Cash Flows for the Three and Nine Months Ended September 30, 2020 and 2019 (Unaudited)</w:t>
      </w:r>
    </w:p>
    <w:p>
      <w:pPr>
        <w:spacing w:after="0" w:line="3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 of Equity for the Three and Nine Months Ended September 30, 2020 and 2019 (Unaudited)</w:t>
      </w:r>
    </w:p>
    <w:p>
      <w:pPr>
        <w:spacing w:after="0" w:line="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Notes to Consolidated Financial Statements</w:t>
      </w:r>
    </w:p>
    <w:p>
      <w:pPr>
        <w:spacing w:after="0" w:line="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Controls and Procedures</w:t>
      </w:r>
    </w:p>
    <w:p>
      <w:pPr>
        <w:spacing w:after="0" w:line="329"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PART II – OTHER INFORMATION</w:t>
      </w:r>
    </w:p>
    <w:p>
      <w:pPr>
        <w:spacing w:after="0" w:line="28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Legal Proceedings</w:t>
      </w:r>
    </w:p>
    <w:p>
      <w:pPr>
        <w:spacing w:after="0" w:line="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Exhibits</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837565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7</w:t>
        </w:r>
      </w:hyperlink>
    </w:p>
    <w:p>
      <w:pPr>
        <w:spacing w:after="0" w:line="62" w:lineRule="exact"/>
        <w:rPr>
          <w:sz w:val="20"/>
          <w:szCs w:val="20"/>
          <w:color w:val="auto"/>
        </w:rPr>
      </w:pPr>
    </w:p>
    <w:p>
      <w:pPr>
        <w:spacing w:after="0"/>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34</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52">
        <w:r>
          <w:rPr>
            <w:rFonts w:ascii="Arial" w:cs="Arial" w:eastAsia="Arial" w:hAnsi="Arial"/>
            <w:sz w:val="16"/>
            <w:szCs w:val="16"/>
            <w:u w:val="single" w:color="auto"/>
            <w:color w:val="0000FF"/>
          </w:rPr>
          <w:t>51</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53">
        <w:r>
          <w:rPr>
            <w:rFonts w:ascii="Arial" w:cs="Arial" w:eastAsia="Arial" w:hAnsi="Arial"/>
            <w:sz w:val="16"/>
            <w:szCs w:val="16"/>
            <w:u w:val="single" w:color="auto"/>
            <w:color w:val="0000FF"/>
          </w:rPr>
          <w:t>51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rFonts w:ascii="Arial" w:cs="Arial" w:eastAsia="Arial" w:hAnsi="Arial"/>
          <w:sz w:val="16"/>
          <w:szCs w:val="16"/>
          <w:u w:val="single" w:color="auto"/>
          <w:color w:val="0000FF"/>
        </w:rPr>
      </w:pPr>
      <w:hyperlink w:anchor="page54">
        <w:r>
          <w:rPr>
            <w:rFonts w:ascii="Arial" w:cs="Arial" w:eastAsia="Arial" w:hAnsi="Arial"/>
            <w:sz w:val="16"/>
            <w:szCs w:val="16"/>
            <w:u w:val="single" w:color="auto"/>
            <w:color w:val="0000FF"/>
          </w:rPr>
          <w:t>52</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54">
        <w:r>
          <w:rPr>
            <w:rFonts w:ascii="Arial" w:cs="Arial" w:eastAsia="Arial" w:hAnsi="Arial"/>
            <w:sz w:val="16"/>
            <w:szCs w:val="16"/>
            <w:u w:val="single" w:color="auto"/>
            <w:color w:val="0000FF"/>
          </w:rPr>
          <w:t>52</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59">
        <w:r>
          <w:rPr>
            <w:rFonts w:ascii="Arial" w:cs="Arial" w:eastAsia="Arial" w:hAnsi="Arial"/>
            <w:sz w:val="16"/>
            <w:szCs w:val="16"/>
            <w:u w:val="single" w:color="auto"/>
            <w:color w:val="0000FF"/>
          </w:rPr>
          <w:t>58</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59</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61">
        <w:r>
          <w:rPr>
            <w:rFonts w:ascii="Arial" w:cs="Arial" w:eastAsia="Arial" w:hAnsi="Arial"/>
            <w:sz w:val="16"/>
            <w:szCs w:val="16"/>
            <w:u w:val="single" w:color="auto"/>
            <w:color w:val="0000FF"/>
          </w:rPr>
          <w:t>60</w:t>
        </w:r>
      </w:hyperlink>
    </w:p>
    <w:p>
      <w:pPr>
        <w:sectPr>
          <w:pgSz w:w="11900" w:h="16838" w:orient="portrait"/>
          <w:cols w:equalWidth="0" w:num="2">
            <w:col w:w="10520" w:space="500"/>
            <w:col w:w="180"/>
          </w:cols>
          <w:pgMar w:left="340" w:top="1255"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740" w:type="dxa"/>
            <w:vAlign w:val="bottom"/>
          </w:tcPr>
          <w:p>
            <w:pPr>
              <w:ind w:left="4340"/>
              <w:spacing w:after="0"/>
              <w:rPr>
                <w:sz w:val="20"/>
                <w:szCs w:val="20"/>
                <w:color w:val="auto"/>
              </w:rPr>
            </w:pPr>
            <w:r>
              <w:rPr>
                <w:rFonts w:ascii="Arial" w:cs="Arial" w:eastAsia="Arial" w:hAnsi="Arial"/>
                <w:sz w:val="14"/>
                <w:szCs w:val="14"/>
                <w:b w:val="1"/>
                <w:bCs w:val="1"/>
                <w:color w:val="auto"/>
              </w:rPr>
              <w:t>(In thousands, except per share amounts)</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ind w:left="320"/>
              <w:spacing w:after="0"/>
              <w:rPr>
                <w:sz w:val="20"/>
                <w:szCs w:val="20"/>
                <w:color w:val="auto"/>
              </w:rPr>
            </w:pPr>
            <w:r>
              <w:rPr>
                <w:rFonts w:ascii="Arial" w:cs="Arial" w:eastAsia="Arial" w:hAnsi="Arial"/>
                <w:sz w:val="15"/>
                <w:szCs w:val="15"/>
                <w:b w:val="1"/>
                <w:bCs w:val="1"/>
                <w:color w:val="auto"/>
              </w:rPr>
              <w:t>(Unaudited)</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2020</w:t>
            </w:r>
          </w:p>
        </w:tc>
        <w:tc>
          <w:tcPr>
            <w:tcW w:w="120" w:type="dxa"/>
            <w:vAlign w:val="bottom"/>
          </w:tcPr>
          <w:p>
            <w:pPr>
              <w:spacing w:after="0"/>
              <w:rPr>
                <w:sz w:val="18"/>
                <w:szCs w:val="18"/>
                <w:color w:val="auto"/>
              </w:rPr>
            </w:pPr>
          </w:p>
        </w:tc>
        <w:tc>
          <w:tcPr>
            <w:tcW w:w="1460" w:type="dxa"/>
            <w:vAlign w:val="bottom"/>
          </w:tcPr>
          <w:p>
            <w:pPr>
              <w:jc w:val="right"/>
              <w:ind w:right="104"/>
              <w:spacing w:after="0"/>
              <w:rPr>
                <w:sz w:val="20"/>
                <w:szCs w:val="20"/>
                <w:color w:val="auto"/>
              </w:rPr>
            </w:pPr>
            <w:r>
              <w:rPr>
                <w:rFonts w:ascii="Arial" w:cs="Arial" w:eastAsia="Arial" w:hAnsi="Arial"/>
                <w:sz w:val="15"/>
                <w:szCs w:val="15"/>
                <w:b w:val="1"/>
                <w:bCs w:val="1"/>
                <w:color w:val="auto"/>
                <w:w w:val="93"/>
              </w:rPr>
              <w:t>December 31, 2019</w:t>
            </w:r>
          </w:p>
        </w:tc>
        <w:tc>
          <w:tcPr>
            <w:tcW w:w="0" w:type="dxa"/>
            <w:vAlign w:val="bottom"/>
          </w:tcPr>
          <w:p>
            <w:pPr>
              <w:spacing w:after="0"/>
              <w:rPr>
                <w:sz w:val="1"/>
                <w:szCs w:val="1"/>
                <w:color w:val="auto"/>
              </w:rPr>
            </w:pPr>
          </w:p>
        </w:tc>
      </w:tr>
      <w:tr>
        <w:trPr>
          <w:trHeight w:val="212"/>
        </w:trPr>
        <w:tc>
          <w:tcPr>
            <w:tcW w:w="774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1,441,372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1,414,279</w:t>
            </w:r>
          </w:p>
        </w:tc>
        <w:tc>
          <w:tcPr>
            <w:tcW w:w="0" w:type="dxa"/>
            <w:vAlign w:val="bottom"/>
          </w:tcPr>
          <w:p>
            <w:pPr>
              <w:spacing w:after="0"/>
              <w:rPr>
                <w:sz w:val="1"/>
                <w:szCs w:val="1"/>
                <w:color w:val="auto"/>
              </w:rPr>
            </w:pPr>
          </w:p>
        </w:tc>
      </w:tr>
      <w:tr>
        <w:trPr>
          <w:trHeight w:val="212"/>
        </w:trPr>
        <w:tc>
          <w:tcPr>
            <w:tcW w:w="7740" w:type="dxa"/>
            <w:vAlign w:val="bottom"/>
          </w:tcPr>
          <w:p>
            <w:pPr>
              <w:ind w:left="200"/>
              <w:spacing w:after="0"/>
              <w:rPr>
                <w:sz w:val="20"/>
                <w:szCs w:val="20"/>
                <w:color w:val="auto"/>
              </w:rPr>
            </w:pPr>
            <w:r>
              <w:rPr>
                <w:rFonts w:ascii="Arial" w:cs="Arial" w:eastAsia="Arial" w:hAnsi="Arial"/>
                <w:sz w:val="15"/>
                <w:szCs w:val="15"/>
                <w:color w:val="auto"/>
              </w:rPr>
              <w:t>Land improvements and buildings</w:t>
            </w:r>
          </w:p>
        </w:tc>
        <w:tc>
          <w:tcPr>
            <w:tcW w:w="12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7,119,163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6,595,272</w:t>
            </w:r>
          </w:p>
        </w:tc>
        <w:tc>
          <w:tcPr>
            <w:tcW w:w="0" w:type="dxa"/>
            <w:vAlign w:val="bottom"/>
          </w:tcPr>
          <w:p>
            <w:pPr>
              <w:spacing w:after="0"/>
              <w:rPr>
                <w:sz w:val="1"/>
                <w:szCs w:val="1"/>
                <w:color w:val="auto"/>
              </w:rPr>
            </w:pPr>
          </w:p>
        </w:tc>
      </w:tr>
      <w:tr>
        <w:trPr>
          <w:trHeight w:val="220"/>
        </w:trPr>
        <w:tc>
          <w:tcPr>
            <w:tcW w:w="7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Rental homes and improvements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649,004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627,175</w:t>
            </w:r>
          </w:p>
        </w:tc>
        <w:tc>
          <w:tcPr>
            <w:tcW w:w="0" w:type="dxa"/>
            <w:vAlign w:val="bottom"/>
          </w:tcPr>
          <w:p>
            <w:pPr>
              <w:spacing w:after="0"/>
              <w:rPr>
                <w:sz w:val="1"/>
                <w:szCs w:val="1"/>
                <w:color w:val="auto"/>
              </w:rPr>
            </w:pPr>
          </w:p>
        </w:tc>
      </w:tr>
      <w:tr>
        <w:trPr>
          <w:trHeight w:val="212"/>
        </w:trPr>
        <w:tc>
          <w:tcPr>
            <w:tcW w:w="77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Furniture, fixtures and equipment</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338,236</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282,874</w:t>
            </w:r>
          </w:p>
        </w:tc>
        <w:tc>
          <w:tcPr>
            <w:tcW w:w="0" w:type="dxa"/>
            <w:vAlign w:val="bottom"/>
          </w:tcPr>
          <w:p>
            <w:pPr>
              <w:spacing w:after="0"/>
              <w:rPr>
                <w:sz w:val="1"/>
                <w:szCs w:val="1"/>
                <w:color w:val="auto"/>
              </w:rPr>
            </w:pPr>
          </w:p>
        </w:tc>
      </w:tr>
      <w:tr>
        <w:trPr>
          <w:trHeight w:val="213"/>
        </w:trPr>
        <w:tc>
          <w:tcPr>
            <w:tcW w:w="7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Investment property</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9,547,775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8,919,600</w:t>
            </w:r>
          </w:p>
        </w:tc>
        <w:tc>
          <w:tcPr>
            <w:tcW w:w="0" w:type="dxa"/>
            <w:vAlign w:val="bottom"/>
          </w:tcPr>
          <w:p>
            <w:pPr>
              <w:spacing w:after="0"/>
              <w:rPr>
                <w:sz w:val="1"/>
                <w:szCs w:val="1"/>
                <w:color w:val="auto"/>
              </w:rPr>
            </w:pPr>
          </w:p>
        </w:tc>
      </w:tr>
      <w:tr>
        <w:trPr>
          <w:trHeight w:val="212"/>
        </w:trPr>
        <w:tc>
          <w:tcPr>
            <w:tcW w:w="77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Accumulated depreciation</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(1,900,306)</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(1,686,980)</w:t>
            </w:r>
          </w:p>
        </w:tc>
        <w:tc>
          <w:tcPr>
            <w:tcW w:w="0" w:type="dxa"/>
            <w:vAlign w:val="bottom"/>
          </w:tcPr>
          <w:p>
            <w:pPr>
              <w:spacing w:after="0"/>
              <w:rPr>
                <w:sz w:val="1"/>
                <w:szCs w:val="1"/>
                <w:color w:val="auto"/>
              </w:rPr>
            </w:pPr>
          </w:p>
        </w:tc>
      </w:tr>
      <w:tr>
        <w:trPr>
          <w:trHeight w:val="133"/>
        </w:trPr>
        <w:tc>
          <w:tcPr>
            <w:tcW w:w="7740" w:type="dxa"/>
            <w:vAlign w:val="bottom"/>
            <w:shd w:val="clear" w:color="auto" w:fill="CCEEFF"/>
          </w:tcPr>
          <w:p>
            <w:pPr>
              <w:ind w:left="220"/>
              <w:spacing w:after="0" w:line="133" w:lineRule="exact"/>
              <w:rPr>
                <w:sz w:val="20"/>
                <w:szCs w:val="20"/>
                <w:color w:val="auto"/>
              </w:rPr>
            </w:pPr>
            <w:r>
              <w:rPr>
                <w:rFonts w:ascii="Arial" w:cs="Arial" w:eastAsia="Arial" w:hAnsi="Arial"/>
                <w:sz w:val="15"/>
                <w:szCs w:val="15"/>
                <w:color w:val="auto"/>
                <w:w w:val="93"/>
              </w:rPr>
              <w:t>Investment property, net (including $385,296 and $344,300 for consolidated VIEs at September 30, 2020 and December</w:t>
            </w:r>
          </w:p>
        </w:tc>
        <w:tc>
          <w:tcPr>
            <w:tcW w:w="120" w:type="dxa"/>
            <w:vAlign w:val="bottom"/>
            <w:shd w:val="clear" w:color="auto" w:fill="CCEEFF"/>
          </w:tcPr>
          <w:p>
            <w:pPr>
              <w:spacing w:after="0"/>
              <w:rPr>
                <w:sz w:val="11"/>
                <w:szCs w:val="11"/>
                <w:color w:val="auto"/>
              </w:rPr>
            </w:pPr>
          </w:p>
        </w:tc>
        <w:tc>
          <w:tcPr>
            <w:tcW w:w="15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7,647,469</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7,232,620</w:t>
            </w:r>
          </w:p>
        </w:tc>
        <w:tc>
          <w:tcPr>
            <w:tcW w:w="0" w:type="dxa"/>
            <w:vAlign w:val="bottom"/>
          </w:tcPr>
          <w:p>
            <w:pPr>
              <w:spacing w:after="0"/>
              <w:rPr>
                <w:sz w:val="1"/>
                <w:szCs w:val="1"/>
                <w:color w:val="auto"/>
              </w:rPr>
            </w:pPr>
          </w:p>
        </w:tc>
      </w:tr>
      <w:tr>
        <w:trPr>
          <w:trHeight w:val="202"/>
        </w:trPr>
        <w:tc>
          <w:tcPr>
            <w:tcW w:w="7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31, 2019; see Note 7)</w:t>
            </w:r>
          </w:p>
        </w:tc>
        <w:tc>
          <w:tcPr>
            <w:tcW w:w="12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40" w:type="dxa"/>
            <w:vAlign w:val="bottom"/>
          </w:tcPr>
          <w:p>
            <w:pPr>
              <w:ind w:left="200"/>
              <w:spacing w:after="0"/>
              <w:rPr>
                <w:sz w:val="20"/>
                <w:szCs w:val="20"/>
                <w:color w:val="auto"/>
              </w:rPr>
            </w:pPr>
            <w:r>
              <w:rPr>
                <w:rFonts w:ascii="Arial" w:cs="Arial" w:eastAsia="Arial" w:hAnsi="Arial"/>
                <w:sz w:val="15"/>
                <w:szCs w:val="15"/>
                <w:color w:val="auto"/>
              </w:rPr>
              <w:t>Cash, cash equivalents and restricted cash</w:t>
            </w:r>
          </w:p>
        </w:tc>
        <w:tc>
          <w:tcPr>
            <w:tcW w:w="12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115,529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34,830</w:t>
            </w:r>
          </w:p>
        </w:tc>
        <w:tc>
          <w:tcPr>
            <w:tcW w:w="0" w:type="dxa"/>
            <w:vAlign w:val="bottom"/>
          </w:tcPr>
          <w:p>
            <w:pPr>
              <w:spacing w:after="0"/>
              <w:rPr>
                <w:sz w:val="1"/>
                <w:szCs w:val="1"/>
                <w:color w:val="auto"/>
              </w:rPr>
            </w:pPr>
          </w:p>
        </w:tc>
      </w:tr>
      <w:tr>
        <w:trPr>
          <w:trHeight w:val="220"/>
        </w:trPr>
        <w:tc>
          <w:tcPr>
            <w:tcW w:w="7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Marketable securities; (see Note 14)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107,083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94,727</w:t>
            </w:r>
          </w:p>
        </w:tc>
        <w:tc>
          <w:tcPr>
            <w:tcW w:w="0" w:type="dxa"/>
            <w:vAlign w:val="bottom"/>
          </w:tcPr>
          <w:p>
            <w:pPr>
              <w:spacing w:after="0"/>
              <w:rPr>
                <w:sz w:val="1"/>
                <w:szCs w:val="1"/>
                <w:color w:val="auto"/>
              </w:rPr>
            </w:pPr>
          </w:p>
        </w:tc>
      </w:tr>
      <w:tr>
        <w:trPr>
          <w:trHeight w:val="212"/>
        </w:trPr>
        <w:tc>
          <w:tcPr>
            <w:tcW w:w="7740" w:type="dxa"/>
            <w:vAlign w:val="bottom"/>
          </w:tcPr>
          <w:p>
            <w:pPr>
              <w:ind w:left="200"/>
              <w:spacing w:after="0"/>
              <w:rPr>
                <w:sz w:val="20"/>
                <w:szCs w:val="20"/>
                <w:color w:val="auto"/>
              </w:rPr>
            </w:pPr>
            <w:r>
              <w:rPr>
                <w:rFonts w:ascii="Arial" w:cs="Arial" w:eastAsia="Arial" w:hAnsi="Arial"/>
                <w:sz w:val="15"/>
                <w:szCs w:val="15"/>
                <w:color w:val="auto"/>
              </w:rPr>
              <w:t>Inventory of manufactured homes</w:t>
            </w:r>
          </w:p>
        </w:tc>
        <w:tc>
          <w:tcPr>
            <w:tcW w:w="12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48,130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62,061</w:t>
            </w:r>
          </w:p>
        </w:tc>
        <w:tc>
          <w:tcPr>
            <w:tcW w:w="0" w:type="dxa"/>
            <w:vAlign w:val="bottom"/>
          </w:tcPr>
          <w:p>
            <w:pPr>
              <w:spacing w:after="0"/>
              <w:rPr>
                <w:sz w:val="1"/>
                <w:szCs w:val="1"/>
                <w:color w:val="auto"/>
              </w:rPr>
            </w:pPr>
          </w:p>
        </w:tc>
      </w:tr>
      <w:tr>
        <w:trPr>
          <w:trHeight w:val="220"/>
        </w:trPr>
        <w:tc>
          <w:tcPr>
            <w:tcW w:w="7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Notes and other receivables, net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191,508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157,926</w:t>
            </w:r>
          </w:p>
        </w:tc>
        <w:tc>
          <w:tcPr>
            <w:tcW w:w="0" w:type="dxa"/>
            <w:vAlign w:val="bottom"/>
          </w:tcPr>
          <w:p>
            <w:pPr>
              <w:spacing w:after="0"/>
              <w:rPr>
                <w:sz w:val="1"/>
                <w:szCs w:val="1"/>
                <w:color w:val="auto"/>
              </w:rPr>
            </w:pPr>
          </w:p>
        </w:tc>
      </w:tr>
      <w:tr>
        <w:trPr>
          <w:trHeight w:val="148"/>
        </w:trPr>
        <w:tc>
          <w:tcPr>
            <w:tcW w:w="7740" w:type="dxa"/>
            <w:vAlign w:val="bottom"/>
          </w:tcPr>
          <w:p>
            <w:pPr>
              <w:ind w:left="220"/>
              <w:spacing w:after="0" w:line="149" w:lineRule="exact"/>
              <w:rPr>
                <w:sz w:val="20"/>
                <w:szCs w:val="20"/>
                <w:color w:val="auto"/>
              </w:rPr>
            </w:pPr>
            <w:r>
              <w:rPr>
                <w:rFonts w:ascii="Arial" w:cs="Arial" w:eastAsia="Arial" w:hAnsi="Arial"/>
                <w:sz w:val="15"/>
                <w:szCs w:val="15"/>
                <w:color w:val="auto"/>
                <w:w w:val="93"/>
              </w:rPr>
              <w:t>Other assets, net (including $24,651 and $23,894 for consolidated VIEs at September 30, 2020 and December 31, 2019;</w:t>
            </w:r>
          </w:p>
        </w:tc>
        <w:tc>
          <w:tcPr>
            <w:tcW w:w="120" w:type="dxa"/>
            <w:vAlign w:val="bottom"/>
          </w:tcPr>
          <w:p>
            <w:pPr>
              <w:spacing w:after="0"/>
              <w:rPr>
                <w:sz w:val="12"/>
                <w:szCs w:val="12"/>
                <w:color w:val="auto"/>
              </w:rPr>
            </w:pPr>
          </w:p>
        </w:tc>
        <w:tc>
          <w:tcPr>
            <w:tcW w:w="1500" w:type="dxa"/>
            <w:vAlign w:val="bottom"/>
            <w:vMerge w:val="restart"/>
          </w:tcPr>
          <w:p>
            <w:pPr>
              <w:jc w:val="right"/>
              <w:ind w:right="4"/>
              <w:spacing w:after="0"/>
              <w:rPr>
                <w:sz w:val="20"/>
                <w:szCs w:val="20"/>
                <w:color w:val="auto"/>
              </w:rPr>
            </w:pPr>
            <w:r>
              <w:rPr>
                <w:rFonts w:ascii="Arial" w:cs="Arial" w:eastAsia="Arial" w:hAnsi="Arial"/>
                <w:sz w:val="15"/>
                <w:szCs w:val="15"/>
                <w:color w:val="auto"/>
              </w:rPr>
              <w:t>225,998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right"/>
              <w:ind w:right="24"/>
              <w:spacing w:after="0"/>
              <w:rPr>
                <w:sz w:val="20"/>
                <w:szCs w:val="20"/>
                <w:color w:val="auto"/>
              </w:rPr>
            </w:pPr>
            <w:r>
              <w:rPr>
                <w:rFonts w:ascii="Arial" w:cs="Arial" w:eastAsia="Arial" w:hAnsi="Arial"/>
                <w:sz w:val="15"/>
                <w:szCs w:val="15"/>
                <w:color w:val="auto"/>
              </w:rPr>
              <w:t>219,896</w:t>
            </w:r>
          </w:p>
        </w:tc>
        <w:tc>
          <w:tcPr>
            <w:tcW w:w="0" w:type="dxa"/>
            <w:vAlign w:val="bottom"/>
          </w:tcPr>
          <w:p>
            <w:pPr>
              <w:spacing w:after="0"/>
              <w:rPr>
                <w:sz w:val="1"/>
                <w:szCs w:val="1"/>
                <w:color w:val="auto"/>
              </w:rPr>
            </w:pPr>
          </w:p>
        </w:tc>
      </w:tr>
      <w:tr>
        <w:trPr>
          <w:trHeight w:val="200"/>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see Note 7</w:t>
            </w:r>
            <w:r>
              <w:rPr>
                <w:rFonts w:ascii="Arial" w:cs="Arial" w:eastAsia="Arial" w:hAnsi="Arial"/>
                <w:sz w:val="15"/>
                <w:szCs w:val="15"/>
                <w:b w:val="1"/>
                <w:bCs w:val="1"/>
                <w:color w:val="auto"/>
              </w:rPr>
              <w:t>)</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5"/>
                <w:szCs w:val="15"/>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8,335,717</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7,802,060</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74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w w:val="93"/>
              </w:rPr>
              <w:t>Mortgage loans payable (including $46,197 and $46,993 for consolidated VIEs at September 30, 2020 and December 31,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3,191,380</w:t>
            </w:r>
          </w:p>
        </w:tc>
        <w:tc>
          <w:tcPr>
            <w:tcW w:w="24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3,180,592</w:t>
            </w:r>
          </w:p>
        </w:tc>
        <w:tc>
          <w:tcPr>
            <w:tcW w:w="0" w:type="dxa"/>
            <w:vAlign w:val="bottom"/>
          </w:tcPr>
          <w:p>
            <w:pPr>
              <w:spacing w:after="0"/>
              <w:rPr>
                <w:sz w:val="1"/>
                <w:szCs w:val="1"/>
                <w:color w:val="auto"/>
              </w:rPr>
            </w:pPr>
          </w:p>
        </w:tc>
      </w:tr>
      <w:tr>
        <w:trPr>
          <w:trHeight w:val="202"/>
        </w:trPr>
        <w:tc>
          <w:tcPr>
            <w:tcW w:w="77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2019; see Note 7)</w:t>
            </w:r>
          </w:p>
        </w:tc>
        <w:tc>
          <w:tcPr>
            <w:tcW w:w="120" w:type="dxa"/>
            <w:vAlign w:val="bottom"/>
            <w:vMerge w:val="continue"/>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Arial" w:cs="Arial" w:eastAsia="Arial" w:hAnsi="Arial"/>
                <w:sz w:val="15"/>
                <w:szCs w:val="15"/>
                <w:color w:val="auto"/>
                <w:w w:val="95"/>
              </w:rPr>
              <w:t>Preferred Equity - Sun NG RV Resorts LLC - mandatorily redeemable (fully attributable to consolidated VIEs; see Note</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200"/>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35,249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35,249</w:t>
            </w:r>
          </w:p>
        </w:tc>
        <w:tc>
          <w:tcPr>
            <w:tcW w:w="0" w:type="dxa"/>
            <w:vAlign w:val="bottom"/>
          </w:tcPr>
          <w:p>
            <w:pPr>
              <w:spacing w:after="0"/>
              <w:rPr>
                <w:sz w:val="1"/>
                <w:szCs w:val="1"/>
                <w:color w:val="auto"/>
              </w:rPr>
            </w:pPr>
          </w:p>
        </w:tc>
      </w:tr>
      <w:tr>
        <w:trPr>
          <w:trHeight w:val="220"/>
        </w:trPr>
        <w:tc>
          <w:tcPr>
            <w:tcW w:w="7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Preferred OP units - mandatorily redeemable</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34,663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34,663</w:t>
            </w:r>
          </w:p>
        </w:tc>
        <w:tc>
          <w:tcPr>
            <w:tcW w:w="0" w:type="dxa"/>
            <w:vAlign w:val="bottom"/>
          </w:tcPr>
          <w:p>
            <w:pPr>
              <w:spacing w:after="0"/>
              <w:rPr>
                <w:sz w:val="1"/>
                <w:szCs w:val="1"/>
                <w:color w:val="auto"/>
              </w:rPr>
            </w:pPr>
          </w:p>
        </w:tc>
      </w:tr>
      <w:tr>
        <w:trPr>
          <w:trHeight w:val="212"/>
        </w:trPr>
        <w:tc>
          <w:tcPr>
            <w:tcW w:w="7740" w:type="dxa"/>
            <w:vAlign w:val="bottom"/>
          </w:tcPr>
          <w:p>
            <w:pPr>
              <w:ind w:left="200"/>
              <w:spacing w:after="0"/>
              <w:rPr>
                <w:sz w:val="20"/>
                <w:szCs w:val="20"/>
                <w:color w:val="auto"/>
              </w:rPr>
            </w:pPr>
            <w:r>
              <w:rPr>
                <w:rFonts w:ascii="Arial" w:cs="Arial" w:eastAsia="Arial" w:hAnsi="Arial"/>
                <w:sz w:val="15"/>
                <w:szCs w:val="15"/>
                <w:color w:val="auto"/>
              </w:rPr>
              <w:t>Lines of credit and other debt</w:t>
            </w:r>
          </w:p>
        </w:tc>
        <w:tc>
          <w:tcPr>
            <w:tcW w:w="12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79,321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183,898</w:t>
            </w:r>
          </w:p>
        </w:tc>
        <w:tc>
          <w:tcPr>
            <w:tcW w:w="0" w:type="dxa"/>
            <w:vAlign w:val="bottom"/>
          </w:tcPr>
          <w:p>
            <w:pPr>
              <w:spacing w:after="0"/>
              <w:rPr>
                <w:sz w:val="1"/>
                <w:szCs w:val="1"/>
                <w:color w:val="auto"/>
              </w:rPr>
            </w:pPr>
          </w:p>
        </w:tc>
      </w:tr>
      <w:tr>
        <w:trPr>
          <w:trHeight w:val="220"/>
        </w:trPr>
        <w:tc>
          <w:tcPr>
            <w:tcW w:w="7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Distributions payable</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79,600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71,704</w:t>
            </w:r>
          </w:p>
        </w:tc>
        <w:tc>
          <w:tcPr>
            <w:tcW w:w="0" w:type="dxa"/>
            <w:vAlign w:val="bottom"/>
          </w:tcPr>
          <w:p>
            <w:pPr>
              <w:spacing w:after="0"/>
              <w:rPr>
                <w:sz w:val="1"/>
                <w:szCs w:val="1"/>
                <w:color w:val="auto"/>
              </w:rPr>
            </w:pPr>
          </w:p>
        </w:tc>
      </w:tr>
      <w:tr>
        <w:trPr>
          <w:trHeight w:val="212"/>
        </w:trPr>
        <w:tc>
          <w:tcPr>
            <w:tcW w:w="7740" w:type="dxa"/>
            <w:vAlign w:val="bottom"/>
          </w:tcPr>
          <w:p>
            <w:pPr>
              <w:ind w:left="200"/>
              <w:spacing w:after="0"/>
              <w:rPr>
                <w:sz w:val="20"/>
                <w:szCs w:val="20"/>
                <w:color w:val="auto"/>
              </w:rPr>
            </w:pPr>
            <w:r>
              <w:rPr>
                <w:rFonts w:ascii="Arial" w:cs="Arial" w:eastAsia="Arial" w:hAnsi="Arial"/>
                <w:sz w:val="15"/>
                <w:szCs w:val="15"/>
                <w:color w:val="auto"/>
              </w:rPr>
              <w:t>Advanced reservation deposits and rent</w:t>
            </w:r>
          </w:p>
        </w:tc>
        <w:tc>
          <w:tcPr>
            <w:tcW w:w="12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146,909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133,420</w:t>
            </w:r>
          </w:p>
        </w:tc>
        <w:tc>
          <w:tcPr>
            <w:tcW w:w="0" w:type="dxa"/>
            <w:vAlign w:val="bottom"/>
          </w:tcPr>
          <w:p>
            <w:pPr>
              <w:spacing w:after="0"/>
              <w:rPr>
                <w:sz w:val="1"/>
                <w:szCs w:val="1"/>
                <w:color w:val="auto"/>
              </w:rPr>
            </w:pPr>
          </w:p>
        </w:tc>
      </w:tr>
      <w:tr>
        <w:trPr>
          <w:trHeight w:val="220"/>
        </w:trPr>
        <w:tc>
          <w:tcPr>
            <w:tcW w:w="7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Accrued expenses and accounts payable</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140,848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127,289</w:t>
            </w:r>
          </w:p>
        </w:tc>
        <w:tc>
          <w:tcPr>
            <w:tcW w:w="0" w:type="dxa"/>
            <w:vAlign w:val="bottom"/>
          </w:tcPr>
          <w:p>
            <w:pPr>
              <w:spacing w:after="0"/>
              <w:rPr>
                <w:sz w:val="1"/>
                <w:szCs w:val="1"/>
                <w:color w:val="auto"/>
              </w:rPr>
            </w:pPr>
          </w:p>
        </w:tc>
      </w:tr>
      <w:tr>
        <w:trPr>
          <w:trHeight w:val="149"/>
        </w:trPr>
        <w:tc>
          <w:tcPr>
            <w:tcW w:w="7740" w:type="dxa"/>
            <w:vAlign w:val="bottom"/>
          </w:tcPr>
          <w:p>
            <w:pPr>
              <w:ind w:left="220"/>
              <w:spacing w:after="0" w:line="149" w:lineRule="exact"/>
              <w:rPr>
                <w:sz w:val="20"/>
                <w:szCs w:val="20"/>
                <w:color w:val="auto"/>
              </w:rPr>
            </w:pPr>
            <w:r>
              <w:rPr>
                <w:rFonts w:ascii="Arial" w:cs="Arial" w:eastAsia="Arial" w:hAnsi="Arial"/>
                <w:sz w:val="15"/>
                <w:szCs w:val="15"/>
                <w:color w:val="auto"/>
                <w:w w:val="95"/>
              </w:rPr>
              <w:t>Other liabilities (including $21,380 and $13,631 for consolidated VIEs at September 30, 2020 and December 31, 2019;</w:t>
            </w:r>
          </w:p>
        </w:tc>
        <w:tc>
          <w:tcPr>
            <w:tcW w:w="120" w:type="dxa"/>
            <w:vAlign w:val="bottom"/>
          </w:tcPr>
          <w:p>
            <w:pPr>
              <w:spacing w:after="0"/>
              <w:rPr>
                <w:sz w:val="12"/>
                <w:szCs w:val="12"/>
                <w:color w:val="auto"/>
              </w:rPr>
            </w:pPr>
          </w:p>
        </w:tc>
        <w:tc>
          <w:tcPr>
            <w:tcW w:w="1500" w:type="dxa"/>
            <w:vAlign w:val="bottom"/>
            <w:vMerge w:val="restart"/>
          </w:tcPr>
          <w:p>
            <w:pPr>
              <w:jc w:val="right"/>
              <w:ind w:right="4"/>
              <w:spacing w:after="0"/>
              <w:rPr>
                <w:sz w:val="20"/>
                <w:szCs w:val="20"/>
                <w:color w:val="auto"/>
              </w:rPr>
            </w:pPr>
            <w:r>
              <w:rPr>
                <w:rFonts w:ascii="Arial" w:cs="Arial" w:eastAsia="Arial" w:hAnsi="Arial"/>
                <w:sz w:val="15"/>
                <w:szCs w:val="15"/>
                <w:color w:val="auto"/>
              </w:rPr>
              <w:t>83,952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right"/>
              <w:ind w:right="24"/>
              <w:spacing w:after="0"/>
              <w:rPr>
                <w:sz w:val="20"/>
                <w:szCs w:val="20"/>
                <w:color w:val="auto"/>
              </w:rPr>
            </w:pPr>
            <w:r>
              <w:rPr>
                <w:rFonts w:ascii="Arial" w:cs="Arial" w:eastAsia="Arial" w:hAnsi="Arial"/>
                <w:sz w:val="15"/>
                <w:szCs w:val="15"/>
                <w:color w:val="auto"/>
              </w:rPr>
              <w:t>81,289</w:t>
            </w:r>
          </w:p>
        </w:tc>
        <w:tc>
          <w:tcPr>
            <w:tcW w:w="0" w:type="dxa"/>
            <w:vAlign w:val="bottom"/>
          </w:tcPr>
          <w:p>
            <w:pPr>
              <w:spacing w:after="0"/>
              <w:rPr>
                <w:sz w:val="1"/>
                <w:szCs w:val="1"/>
                <w:color w:val="auto"/>
              </w:rPr>
            </w:pPr>
          </w:p>
        </w:tc>
      </w:tr>
      <w:tr>
        <w:trPr>
          <w:trHeight w:val="198"/>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see Note 7)</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40" w:type="dxa"/>
            <w:vAlign w:val="bottom"/>
            <w:shd w:val="clear" w:color="auto" w:fill="CCEEFF"/>
          </w:tcPr>
          <w:p>
            <w:pPr>
              <w:ind w:left="440"/>
              <w:spacing w:after="0"/>
              <w:rPr>
                <w:sz w:val="20"/>
                <w:szCs w:val="20"/>
                <w:color w:val="auto"/>
              </w:rPr>
            </w:pPr>
            <w:r>
              <w:rPr>
                <w:rFonts w:ascii="Arial" w:cs="Arial" w:eastAsia="Arial" w:hAnsi="Arial"/>
                <w:sz w:val="15"/>
                <w:szCs w:val="15"/>
                <w:b w:val="1"/>
                <w:bCs w:val="1"/>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3,791,922</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3,848,104</w:t>
            </w:r>
          </w:p>
        </w:tc>
        <w:tc>
          <w:tcPr>
            <w:tcW w:w="0" w:type="dxa"/>
            <w:vAlign w:val="bottom"/>
          </w:tcPr>
          <w:p>
            <w:pPr>
              <w:spacing w:after="0"/>
              <w:rPr>
                <w:sz w:val="1"/>
                <w:szCs w:val="1"/>
                <w:color w:val="auto"/>
              </w:rPr>
            </w:pPr>
          </w:p>
        </w:tc>
      </w:tr>
      <w:tr>
        <w:trPr>
          <w:trHeight w:val="192"/>
        </w:trPr>
        <w:tc>
          <w:tcPr>
            <w:tcW w:w="7740" w:type="dxa"/>
            <w:vAlign w:val="bottom"/>
          </w:tcPr>
          <w:p>
            <w:pPr>
              <w:ind w:left="200"/>
              <w:spacing w:after="0"/>
              <w:rPr>
                <w:sz w:val="20"/>
                <w:szCs w:val="20"/>
                <w:color w:val="auto"/>
              </w:rPr>
            </w:pPr>
            <w:r>
              <w:rPr>
                <w:rFonts w:ascii="Arial" w:cs="Arial" w:eastAsia="Arial" w:hAnsi="Arial"/>
                <w:sz w:val="15"/>
                <w:szCs w:val="15"/>
                <w:color w:val="auto"/>
              </w:rPr>
              <w:t>Commitments and contingencies (see Note 15)</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Series D preferred OP units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50,034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50,913</w:t>
            </w:r>
          </w:p>
        </w:tc>
        <w:tc>
          <w:tcPr>
            <w:tcW w:w="0" w:type="dxa"/>
            <w:vAlign w:val="bottom"/>
          </w:tcPr>
          <w:p>
            <w:pPr>
              <w:spacing w:after="0"/>
              <w:rPr>
                <w:sz w:val="1"/>
                <w:szCs w:val="1"/>
                <w:color w:val="auto"/>
              </w:rPr>
            </w:pPr>
          </w:p>
        </w:tc>
      </w:tr>
      <w:tr>
        <w:trPr>
          <w:trHeight w:val="212"/>
        </w:trPr>
        <w:tc>
          <w:tcPr>
            <w:tcW w:w="7740" w:type="dxa"/>
            <w:vAlign w:val="bottom"/>
          </w:tcPr>
          <w:p>
            <w:pPr>
              <w:ind w:left="200"/>
              <w:spacing w:after="0"/>
              <w:rPr>
                <w:sz w:val="20"/>
                <w:szCs w:val="20"/>
                <w:color w:val="auto"/>
              </w:rPr>
            </w:pPr>
            <w:r>
              <w:rPr>
                <w:rFonts w:ascii="Arial" w:cs="Arial" w:eastAsia="Arial" w:hAnsi="Arial"/>
                <w:sz w:val="15"/>
                <w:szCs w:val="15"/>
                <w:color w:val="auto"/>
              </w:rPr>
              <w:t>Series F preferred OP units</w:t>
            </w:r>
          </w:p>
        </w:tc>
        <w:tc>
          <w:tcPr>
            <w:tcW w:w="12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8,930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7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Series G preferred OP units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26,072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7740" w:type="dxa"/>
            <w:vAlign w:val="bottom"/>
          </w:tcPr>
          <w:p>
            <w:pPr>
              <w:ind w:left="200"/>
              <w:spacing w:after="0"/>
              <w:rPr>
                <w:sz w:val="20"/>
                <w:szCs w:val="20"/>
                <w:color w:val="auto"/>
              </w:rPr>
            </w:pPr>
            <w:r>
              <w:rPr>
                <w:rFonts w:ascii="Arial" w:cs="Arial" w:eastAsia="Arial" w:hAnsi="Arial"/>
                <w:sz w:val="15"/>
                <w:szCs w:val="15"/>
                <w:color w:val="auto"/>
              </w:rPr>
              <w:t>Equity interests - NG Sun LLC and NG Sun Whitewater LLC (fully attributable to consolidated VIEs; see Note 7)</w:t>
            </w:r>
          </w:p>
        </w:tc>
        <w:tc>
          <w:tcPr>
            <w:tcW w:w="12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27,513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27,091</w:t>
            </w:r>
          </w:p>
        </w:tc>
        <w:tc>
          <w:tcPr>
            <w:tcW w:w="0" w:type="dxa"/>
            <w:vAlign w:val="bottom"/>
          </w:tcPr>
          <w:p>
            <w:pPr>
              <w:spacing w:after="0"/>
              <w:rPr>
                <w:sz w:val="1"/>
                <w:szCs w:val="1"/>
                <w:color w:val="auto"/>
              </w:rPr>
            </w:pPr>
          </w:p>
        </w:tc>
      </w:tr>
      <w:tr>
        <w:trPr>
          <w:trHeight w:val="220"/>
        </w:trPr>
        <w:tc>
          <w:tcPr>
            <w:tcW w:w="7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7740" w:type="dxa"/>
            <w:vAlign w:val="bottom"/>
          </w:tcPr>
          <w:p>
            <w:pPr>
              <w:ind w:left="220"/>
              <w:spacing w:after="0" w:line="149" w:lineRule="exact"/>
              <w:rPr>
                <w:sz w:val="20"/>
                <w:szCs w:val="20"/>
                <w:color w:val="auto"/>
              </w:rPr>
            </w:pPr>
            <w:r>
              <w:rPr>
                <w:rFonts w:ascii="Arial" w:cs="Arial" w:eastAsia="Arial" w:hAnsi="Arial"/>
                <w:sz w:val="15"/>
                <w:szCs w:val="15"/>
                <w:color w:val="auto"/>
                <w:w w:val="94"/>
              </w:rPr>
              <w:t>Common stock, $0.01 par value. Authorized: 180,000 shares; Issued and outstanding: 98,280 September 30, 2020 and</w:t>
            </w:r>
          </w:p>
        </w:tc>
        <w:tc>
          <w:tcPr>
            <w:tcW w:w="120" w:type="dxa"/>
            <w:vAlign w:val="bottom"/>
          </w:tcPr>
          <w:p>
            <w:pPr>
              <w:spacing w:after="0"/>
              <w:rPr>
                <w:sz w:val="12"/>
                <w:szCs w:val="12"/>
                <w:color w:val="auto"/>
              </w:rPr>
            </w:pPr>
          </w:p>
        </w:tc>
        <w:tc>
          <w:tcPr>
            <w:tcW w:w="1500" w:type="dxa"/>
            <w:vAlign w:val="bottom"/>
            <w:vMerge w:val="restart"/>
          </w:tcPr>
          <w:p>
            <w:pPr>
              <w:jc w:val="right"/>
              <w:ind w:right="4"/>
              <w:spacing w:after="0"/>
              <w:rPr>
                <w:sz w:val="20"/>
                <w:szCs w:val="20"/>
                <w:color w:val="auto"/>
              </w:rPr>
            </w:pPr>
            <w:r>
              <w:rPr>
                <w:rFonts w:ascii="Arial" w:cs="Arial" w:eastAsia="Arial" w:hAnsi="Arial"/>
                <w:sz w:val="15"/>
                <w:szCs w:val="15"/>
                <w:color w:val="auto"/>
              </w:rPr>
              <w:t>983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right"/>
              <w:ind w:right="24"/>
              <w:spacing w:after="0"/>
              <w:rPr>
                <w:sz w:val="20"/>
                <w:szCs w:val="20"/>
                <w:color w:val="auto"/>
              </w:rPr>
            </w:pPr>
            <w:r>
              <w:rPr>
                <w:rFonts w:ascii="Arial" w:cs="Arial" w:eastAsia="Arial" w:hAnsi="Arial"/>
                <w:sz w:val="15"/>
                <w:szCs w:val="15"/>
                <w:color w:val="auto"/>
              </w:rPr>
              <w:t>932</w:t>
            </w:r>
          </w:p>
        </w:tc>
        <w:tc>
          <w:tcPr>
            <w:tcW w:w="0" w:type="dxa"/>
            <w:vAlign w:val="bottom"/>
          </w:tcPr>
          <w:p>
            <w:pPr>
              <w:spacing w:after="0"/>
              <w:rPr>
                <w:sz w:val="1"/>
                <w:szCs w:val="1"/>
                <w:color w:val="auto"/>
              </w:rPr>
            </w:pPr>
          </w:p>
        </w:tc>
      </w:tr>
      <w:tr>
        <w:trPr>
          <w:trHeight w:val="198"/>
        </w:trPr>
        <w:tc>
          <w:tcPr>
            <w:tcW w:w="7740" w:type="dxa"/>
            <w:vAlign w:val="bottom"/>
          </w:tcPr>
          <w:p>
            <w:pPr>
              <w:ind w:left="220"/>
              <w:spacing w:after="0"/>
              <w:rPr>
                <w:sz w:val="20"/>
                <w:szCs w:val="20"/>
                <w:color w:val="auto"/>
              </w:rPr>
            </w:pPr>
            <w:r>
              <w:rPr>
                <w:rFonts w:ascii="Arial" w:cs="Arial" w:eastAsia="Arial" w:hAnsi="Arial"/>
                <w:sz w:val="15"/>
                <w:szCs w:val="15"/>
                <w:color w:val="auto"/>
              </w:rPr>
              <w:t>93,180 December 31, 2019</w:t>
            </w:r>
          </w:p>
        </w:tc>
        <w:tc>
          <w:tcPr>
            <w:tcW w:w="12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Additional paid-in capital</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5,851,380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5,213,264</w:t>
            </w:r>
          </w:p>
        </w:tc>
        <w:tc>
          <w:tcPr>
            <w:tcW w:w="0" w:type="dxa"/>
            <w:vAlign w:val="bottom"/>
          </w:tcPr>
          <w:p>
            <w:pPr>
              <w:spacing w:after="0"/>
              <w:rPr>
                <w:sz w:val="1"/>
                <w:szCs w:val="1"/>
                <w:color w:val="auto"/>
              </w:rPr>
            </w:pPr>
          </w:p>
        </w:tc>
      </w:tr>
      <w:tr>
        <w:trPr>
          <w:trHeight w:val="212"/>
        </w:trPr>
        <w:tc>
          <w:tcPr>
            <w:tcW w:w="7740" w:type="dxa"/>
            <w:vAlign w:val="bottom"/>
          </w:tcPr>
          <w:p>
            <w:pPr>
              <w:ind w:left="200"/>
              <w:spacing w:after="0"/>
              <w:rPr>
                <w:sz w:val="20"/>
                <w:szCs w:val="20"/>
                <w:color w:val="auto"/>
              </w:rPr>
            </w:pPr>
            <w:r>
              <w:rPr>
                <w:rFonts w:ascii="Arial" w:cs="Arial" w:eastAsia="Arial" w:hAnsi="Arial"/>
                <w:sz w:val="15"/>
                <w:szCs w:val="15"/>
                <w:color w:val="auto"/>
              </w:rPr>
              <w:t>Accumulated other comprehensive loss</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(2,226)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(1,331)</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Distributions in excess of accumulated earnings</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(1,491,338)</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(1,393,141)</w:t>
            </w:r>
          </w:p>
        </w:tc>
        <w:tc>
          <w:tcPr>
            <w:tcW w:w="0" w:type="dxa"/>
            <w:vAlign w:val="bottom"/>
          </w:tcPr>
          <w:p>
            <w:pPr>
              <w:spacing w:after="0"/>
              <w:rPr>
                <w:sz w:val="1"/>
                <w:szCs w:val="1"/>
                <w:color w:val="auto"/>
              </w:rPr>
            </w:pPr>
          </w:p>
        </w:tc>
      </w:tr>
      <w:tr>
        <w:trPr>
          <w:trHeight w:val="210"/>
        </w:trPr>
        <w:tc>
          <w:tcPr>
            <w:tcW w:w="7740" w:type="dxa"/>
            <w:vAlign w:val="bottom"/>
          </w:tcPr>
          <w:p>
            <w:pPr>
              <w:ind w:left="320"/>
              <w:spacing w:after="0"/>
              <w:rPr>
                <w:sz w:val="20"/>
                <w:szCs w:val="20"/>
                <w:color w:val="auto"/>
              </w:rPr>
            </w:pPr>
            <w:r>
              <w:rPr>
                <w:rFonts w:ascii="Arial" w:cs="Arial" w:eastAsia="Arial" w:hAnsi="Arial"/>
                <w:sz w:val="15"/>
                <w:szCs w:val="15"/>
                <w:color w:val="auto"/>
              </w:rPr>
              <w:t>Total Sun Communities, Inc. stockholders' equity</w:t>
            </w:r>
          </w:p>
        </w:tc>
        <w:tc>
          <w:tcPr>
            <w:tcW w:w="12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4,358,799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3,819,724</w:t>
            </w:r>
          </w:p>
        </w:tc>
        <w:tc>
          <w:tcPr>
            <w:tcW w:w="0" w:type="dxa"/>
            <w:vAlign w:val="bottom"/>
          </w:tcPr>
          <w:p>
            <w:pPr>
              <w:spacing w:after="0"/>
              <w:rPr>
                <w:sz w:val="1"/>
                <w:szCs w:val="1"/>
                <w:color w:val="auto"/>
              </w:rPr>
            </w:pPr>
          </w:p>
        </w:tc>
      </w:tr>
      <w:tr>
        <w:trPr>
          <w:trHeight w:val="220"/>
        </w:trPr>
        <w:tc>
          <w:tcPr>
            <w:tcW w:w="7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Noncontrolling interests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740" w:type="dxa"/>
            <w:vAlign w:val="bottom"/>
          </w:tcPr>
          <w:p>
            <w:pPr>
              <w:ind w:left="320"/>
              <w:spacing w:after="0"/>
              <w:rPr>
                <w:sz w:val="20"/>
                <w:szCs w:val="20"/>
                <w:color w:val="auto"/>
              </w:rPr>
            </w:pPr>
            <w:r>
              <w:rPr>
                <w:rFonts w:ascii="Arial" w:cs="Arial" w:eastAsia="Arial" w:hAnsi="Arial"/>
                <w:sz w:val="15"/>
                <w:szCs w:val="15"/>
                <w:color w:val="auto"/>
              </w:rPr>
              <w:t>Common and preferred OP units</w:t>
            </w:r>
          </w:p>
        </w:tc>
        <w:tc>
          <w:tcPr>
            <w:tcW w:w="12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61,350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47,686</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Consolidated VIEs (fully attributable to consolidated VIEs; see Note 7)</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11,097</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8,542</w:t>
            </w:r>
          </w:p>
        </w:tc>
        <w:tc>
          <w:tcPr>
            <w:tcW w:w="0" w:type="dxa"/>
            <w:vAlign w:val="bottom"/>
          </w:tcPr>
          <w:p>
            <w:pPr>
              <w:spacing w:after="0"/>
              <w:rPr>
                <w:sz w:val="1"/>
                <w:szCs w:val="1"/>
                <w:color w:val="auto"/>
              </w:rPr>
            </w:pPr>
          </w:p>
        </w:tc>
      </w:tr>
      <w:tr>
        <w:trPr>
          <w:trHeight w:val="209"/>
        </w:trPr>
        <w:tc>
          <w:tcPr>
            <w:tcW w:w="77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noncontrolling interests</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72,447</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56,228</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440"/>
              <w:spacing w:after="0"/>
              <w:rPr>
                <w:sz w:val="20"/>
                <w:szCs w:val="20"/>
                <w:color w:val="auto"/>
              </w:rPr>
            </w:pPr>
            <w:r>
              <w:rPr>
                <w:rFonts w:ascii="Arial" w:cs="Arial" w:eastAsia="Arial" w:hAnsi="Arial"/>
                <w:sz w:val="15"/>
                <w:szCs w:val="15"/>
                <w:b w:val="1"/>
                <w:bCs w:val="1"/>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4,431,246</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3,875,952</w:t>
            </w:r>
          </w:p>
        </w:tc>
        <w:tc>
          <w:tcPr>
            <w:tcW w:w="0" w:type="dxa"/>
            <w:vAlign w:val="bottom"/>
          </w:tcPr>
          <w:p>
            <w:pPr>
              <w:spacing w:after="0"/>
              <w:rPr>
                <w:sz w:val="1"/>
                <w:szCs w:val="1"/>
                <w:color w:val="auto"/>
              </w:rPr>
            </w:pPr>
          </w:p>
        </w:tc>
      </w:tr>
      <w:tr>
        <w:trPr>
          <w:trHeight w:val="213"/>
        </w:trPr>
        <w:tc>
          <w:tcPr>
            <w:tcW w:w="7740" w:type="dxa"/>
            <w:vAlign w:val="bottom"/>
          </w:tcPr>
          <w:p>
            <w:pPr>
              <w:ind w:left="200"/>
              <w:spacing w:after="0"/>
              <w:rPr>
                <w:sz w:val="20"/>
                <w:szCs w:val="20"/>
                <w:color w:val="auto"/>
              </w:rPr>
            </w:pPr>
            <w:r>
              <w:rPr>
                <w:rFonts w:ascii="Arial" w:cs="Arial" w:eastAsia="Arial" w:hAnsi="Arial"/>
                <w:sz w:val="15"/>
                <w:szCs w:val="15"/>
                <w:b w:val="1"/>
                <w:bCs w:val="1"/>
                <w:color w:val="auto"/>
              </w:rPr>
              <w:t>Total Liabilities, Temporary Equity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8,335,717</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7,802,060</w:t>
            </w:r>
          </w:p>
        </w:tc>
        <w:tc>
          <w:tcPr>
            <w:tcW w:w="0" w:type="dxa"/>
            <w:vAlign w:val="bottom"/>
          </w:tcPr>
          <w:p>
            <w:pPr>
              <w:spacing w:after="0"/>
              <w:rPr>
                <w:sz w:val="1"/>
                <w:szCs w:val="1"/>
                <w:color w:val="auto"/>
              </w:rPr>
            </w:pPr>
          </w:p>
        </w:tc>
      </w:tr>
      <w:tr>
        <w:trPr>
          <w:trHeight w:val="21"/>
        </w:trPr>
        <w:tc>
          <w:tcPr>
            <w:tcW w:w="7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 (Unaudited)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Three Months Ended</w:t>
            </w:r>
          </w:p>
        </w:tc>
        <w:tc>
          <w:tcPr>
            <w:tcW w:w="6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rPr>
              <w:t>Nine Months Ended</w:t>
            </w:r>
          </w:p>
        </w:tc>
        <w:tc>
          <w:tcPr>
            <w:tcW w:w="680" w:type="dxa"/>
            <w:vAlign w:val="bottom"/>
            <w:tcBorders>
              <w:bottom w:val="single" w:sz="8" w:color="auto"/>
            </w:tcBorders>
          </w:tcPr>
          <w:p>
            <w:pPr>
              <w:spacing w:after="0"/>
              <w:rPr>
                <w:sz w:val="17"/>
                <w:szCs w:val="17"/>
                <w:color w:val="auto"/>
              </w:rPr>
            </w:pPr>
          </w:p>
        </w:tc>
      </w:tr>
      <w:tr>
        <w:trPr>
          <w:trHeight w:val="207"/>
        </w:trPr>
        <w:tc>
          <w:tcPr>
            <w:tcW w:w="528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5"/>
                <w:szCs w:val="15"/>
                <w:b w:val="1"/>
                <w:bCs w:val="1"/>
                <w:color w:val="auto"/>
                <w:w w:val="99"/>
              </w:rPr>
              <w:t>September 30, 2020</w:t>
            </w:r>
          </w:p>
        </w:tc>
        <w:tc>
          <w:tcPr>
            <w:tcW w:w="1600" w:type="dxa"/>
            <w:vAlign w:val="bottom"/>
            <w:gridSpan w:val="3"/>
          </w:tcPr>
          <w:p>
            <w:pPr>
              <w:ind w:left="60"/>
              <w:spacing w:after="0"/>
              <w:rPr>
                <w:sz w:val="20"/>
                <w:szCs w:val="20"/>
                <w:color w:val="auto"/>
              </w:rPr>
            </w:pPr>
            <w:r>
              <w:rPr>
                <w:rFonts w:ascii="Arial" w:cs="Arial" w:eastAsia="Arial" w:hAnsi="Arial"/>
                <w:sz w:val="15"/>
                <w:szCs w:val="15"/>
                <w:b w:val="1"/>
                <w:bCs w:val="1"/>
                <w:color w:val="auto"/>
              </w:rPr>
              <w:t>September 30, 2019</w:t>
            </w:r>
          </w:p>
        </w:tc>
        <w:tc>
          <w:tcPr>
            <w:tcW w:w="1480" w:type="dxa"/>
            <w:vAlign w:val="bottom"/>
            <w:gridSpan w:val="3"/>
          </w:tcPr>
          <w:p>
            <w:pPr>
              <w:ind w:left="60"/>
              <w:spacing w:after="0"/>
              <w:rPr>
                <w:sz w:val="20"/>
                <w:szCs w:val="20"/>
                <w:color w:val="auto"/>
              </w:rPr>
            </w:pPr>
            <w:r>
              <w:rPr>
                <w:rFonts w:ascii="Arial" w:cs="Arial" w:eastAsia="Arial" w:hAnsi="Arial"/>
                <w:sz w:val="15"/>
                <w:szCs w:val="15"/>
                <w:b w:val="1"/>
                <w:bCs w:val="1"/>
                <w:color w:val="auto"/>
                <w:w w:val="99"/>
              </w:rPr>
              <w:t>September 30, 2020</w:t>
            </w:r>
          </w:p>
        </w:tc>
        <w:tc>
          <w:tcPr>
            <w:tcW w:w="140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September 30, 2019</w:t>
            </w:r>
          </w:p>
        </w:tc>
      </w:tr>
      <w:tr>
        <w:trPr>
          <w:trHeight w:val="212"/>
        </w:trPr>
        <w:tc>
          <w:tcPr>
            <w:tcW w:w="5280" w:type="dxa"/>
            <w:vAlign w:val="bottom"/>
          </w:tcPr>
          <w:p>
            <w:pPr>
              <w:ind w:left="20"/>
              <w:spacing w:after="0"/>
              <w:rPr>
                <w:sz w:val="20"/>
                <w:szCs w:val="20"/>
                <w:color w:val="auto"/>
              </w:rPr>
            </w:pPr>
            <w:r>
              <w:rPr>
                <w:rFonts w:ascii="Arial" w:cs="Arial" w:eastAsia="Arial" w:hAnsi="Arial"/>
                <w:sz w:val="15"/>
                <w:szCs w:val="15"/>
                <w:b w:val="1"/>
                <w:bCs w:val="1"/>
                <w:color w:val="auto"/>
              </w:rPr>
              <w:t>Revenues</w:t>
            </w: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Income from real property</w:t>
            </w: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284,373</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251,163</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753,642</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689,890</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Revenue from home sales</w:t>
            </w:r>
          </w:p>
        </w:tc>
        <w:tc>
          <w:tcPr>
            <w:tcW w:w="420" w:type="dxa"/>
            <w:vAlign w:val="bottom"/>
          </w:tcPr>
          <w:p>
            <w:pPr>
              <w:spacing w:after="0"/>
              <w:rPr>
                <w:sz w:val="18"/>
                <w:szCs w:val="18"/>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47,662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49,805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126,779</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136,665</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Rental home revenue</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16,171</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14,444</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46,611</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42,827</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Ancillary revenue</w:t>
            </w:r>
          </w:p>
        </w:tc>
        <w:tc>
          <w:tcPr>
            <w:tcW w:w="420" w:type="dxa"/>
            <w:vAlign w:val="bottom"/>
          </w:tcPr>
          <w:p>
            <w:pPr>
              <w:spacing w:after="0"/>
              <w:rPr>
                <w:sz w:val="18"/>
                <w:szCs w:val="18"/>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43,803</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37,259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66,373</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67,157</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 income</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2,624</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4,770</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7,609</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14,489</w:t>
            </w:r>
          </w:p>
        </w:tc>
      </w:tr>
      <w:tr>
        <w:trPr>
          <w:trHeight w:val="212"/>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Brokerage commissions and other revenues, net</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5,881</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5,002</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13,068</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11,190</w:t>
            </w:r>
          </w:p>
        </w:tc>
      </w:tr>
      <w:tr>
        <w:trPr>
          <w:trHeight w:val="213"/>
        </w:trPr>
        <w:tc>
          <w:tcPr>
            <w:tcW w:w="5280" w:type="dxa"/>
            <w:vAlign w:val="bottom"/>
            <w:shd w:val="clear" w:color="auto" w:fill="CCEEFF"/>
          </w:tcPr>
          <w:p>
            <w:pPr>
              <w:ind w:left="340"/>
              <w:spacing w:after="0"/>
              <w:rPr>
                <w:sz w:val="20"/>
                <w:szCs w:val="20"/>
                <w:color w:val="auto"/>
              </w:rPr>
            </w:pPr>
            <w:r>
              <w:rPr>
                <w:rFonts w:ascii="Arial" w:cs="Arial" w:eastAsia="Arial" w:hAnsi="Arial"/>
                <w:sz w:val="15"/>
                <w:szCs w:val="15"/>
                <w:b w:val="1"/>
                <w:bCs w:val="1"/>
                <w:color w:val="auto"/>
              </w:rPr>
              <w:t>Total Revenues</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400,514</w:t>
            </w: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362,443</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1,014,082</w:t>
            </w: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962,218</w:t>
            </w:r>
          </w:p>
        </w:tc>
      </w:tr>
      <w:tr>
        <w:trPr>
          <w:trHeight w:val="206"/>
        </w:trPr>
        <w:tc>
          <w:tcPr>
            <w:tcW w:w="5280" w:type="dxa"/>
            <w:vAlign w:val="bottom"/>
          </w:tcPr>
          <w:p>
            <w:pPr>
              <w:ind w:left="20"/>
              <w:spacing w:after="0"/>
              <w:rPr>
                <w:sz w:val="20"/>
                <w:szCs w:val="20"/>
                <w:color w:val="auto"/>
              </w:rPr>
            </w:pPr>
            <w:r>
              <w:rPr>
                <w:rFonts w:ascii="Arial" w:cs="Arial" w:eastAsia="Arial" w:hAnsi="Arial"/>
                <w:sz w:val="15"/>
                <w:szCs w:val="15"/>
                <w:b w:val="1"/>
                <w:bCs w:val="1"/>
                <w:color w:val="auto"/>
              </w:rPr>
              <w:t>Expenses</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Property operating and maintenance</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90,647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79,095</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219,908</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202,892</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Real estate taxes</w:t>
            </w:r>
          </w:p>
        </w:tc>
        <w:tc>
          <w:tcPr>
            <w:tcW w:w="420" w:type="dxa"/>
            <w:vAlign w:val="bottom"/>
          </w:tcPr>
          <w:p>
            <w:pPr>
              <w:spacing w:after="0"/>
              <w:rPr>
                <w:sz w:val="18"/>
                <w:szCs w:val="18"/>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17,442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15,399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52,341</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46,455</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Cost of home sales</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36,237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36,318</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95,450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100,030</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Rental home operating and maintenance</w:t>
            </w:r>
          </w:p>
        </w:tc>
        <w:tc>
          <w:tcPr>
            <w:tcW w:w="420" w:type="dxa"/>
            <w:vAlign w:val="bottom"/>
          </w:tcPr>
          <w:p>
            <w:pPr>
              <w:spacing w:after="0"/>
              <w:rPr>
                <w:sz w:val="18"/>
                <w:szCs w:val="18"/>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5,949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6,444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16,128</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16,453</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Ancillary expenses</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20,023</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18,752</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35,731</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38,333</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Home selling expenses</w:t>
            </w:r>
          </w:p>
        </w:tc>
        <w:tc>
          <w:tcPr>
            <w:tcW w:w="420" w:type="dxa"/>
            <w:vAlign w:val="bottom"/>
          </w:tcPr>
          <w:p>
            <w:pPr>
              <w:spacing w:after="0"/>
              <w:rPr>
                <w:sz w:val="18"/>
                <w:szCs w:val="18"/>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3,652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3,972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10,508</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10,922</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General and administrative expenses</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27,243</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22,946</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79,493</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68,530</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Catastrophic weather-related charges, net</w:t>
            </w:r>
          </w:p>
        </w:tc>
        <w:tc>
          <w:tcPr>
            <w:tcW w:w="420" w:type="dxa"/>
            <w:vAlign w:val="bottom"/>
          </w:tcPr>
          <w:p>
            <w:pPr>
              <w:spacing w:after="0"/>
              <w:rPr>
                <w:sz w:val="18"/>
                <w:szCs w:val="18"/>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341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54</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1,302</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88,499</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76,532</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259,453</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229,241</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Loss on extinguishment of debt (see Note 8)</w:t>
            </w:r>
          </w:p>
        </w:tc>
        <w:tc>
          <w:tcPr>
            <w:tcW w:w="4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12,755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5,209</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13,478</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 expense</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30,214</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32,219</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94,058</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99,894</w:t>
            </w:r>
          </w:p>
        </w:tc>
      </w:tr>
      <w:tr>
        <w:trPr>
          <w:trHeight w:val="212"/>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Interest on mandatorily redeemable preferred OP units / equity</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1,047</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1,216</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3,130</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3,491</w:t>
            </w:r>
          </w:p>
        </w:tc>
      </w:tr>
      <w:tr>
        <w:trPr>
          <w:trHeight w:val="214"/>
        </w:trPr>
        <w:tc>
          <w:tcPr>
            <w:tcW w:w="5280" w:type="dxa"/>
            <w:vAlign w:val="bottom"/>
            <w:shd w:val="clear" w:color="auto" w:fill="CCEEFF"/>
          </w:tcPr>
          <w:p>
            <w:pPr>
              <w:ind w:left="340"/>
              <w:spacing w:after="0"/>
              <w:rPr>
                <w:sz w:val="20"/>
                <w:szCs w:val="20"/>
                <w:color w:val="auto"/>
              </w:rPr>
            </w:pPr>
            <w:r>
              <w:rPr>
                <w:rFonts w:ascii="Arial" w:cs="Arial" w:eastAsia="Arial" w:hAnsi="Arial"/>
                <w:sz w:val="15"/>
                <w:szCs w:val="15"/>
                <w:b w:val="1"/>
                <w:bCs w:val="1"/>
                <w:color w:val="auto"/>
              </w:rPr>
              <w:t>Total Expenses</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320,967</w:t>
            </w: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305,989</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871,463</w:t>
            </w: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831,021</w:t>
            </w:r>
          </w:p>
        </w:tc>
      </w:tr>
      <w:tr>
        <w:trPr>
          <w:trHeight w:val="205"/>
        </w:trPr>
        <w:tc>
          <w:tcPr>
            <w:tcW w:w="5280" w:type="dxa"/>
            <w:vAlign w:val="bottom"/>
          </w:tcPr>
          <w:p>
            <w:pPr>
              <w:ind w:left="20"/>
              <w:spacing w:after="0"/>
              <w:rPr>
                <w:sz w:val="20"/>
                <w:szCs w:val="20"/>
                <w:color w:val="auto"/>
              </w:rPr>
            </w:pPr>
            <w:r>
              <w:rPr>
                <w:rFonts w:ascii="Arial" w:cs="Arial" w:eastAsia="Arial" w:hAnsi="Arial"/>
                <w:sz w:val="15"/>
                <w:szCs w:val="15"/>
                <w:b w:val="1"/>
                <w:bCs w:val="1"/>
                <w:color w:val="auto"/>
              </w:rPr>
              <w:t>Income Before Other Items</w:t>
            </w:r>
          </w:p>
        </w:tc>
        <w:tc>
          <w:tcPr>
            <w:tcW w:w="42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79,547</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56,454</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142,619</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131,197</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remeasurement of marketable securities (see Note 14)</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1,492</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12,661</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(2,636)</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16,548</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Gain / (loss) on foreign currency translation</w:t>
            </w:r>
          </w:p>
        </w:tc>
        <w:tc>
          <w:tcPr>
            <w:tcW w:w="420" w:type="dxa"/>
            <w:vAlign w:val="bottom"/>
          </w:tcPr>
          <w:p>
            <w:pPr>
              <w:spacing w:after="0"/>
              <w:rPr>
                <w:sz w:val="18"/>
                <w:szCs w:val="18"/>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4,664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(3,046)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(2,441)</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35</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on disposition of property</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5,595</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5,595</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Other expense, net</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(2,524)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(1,362)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(3,378)</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(1,524)</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Loss on remeasurement of notes receivable (see Note 4)</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(2,311)</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Income from nonconsolidated affiliates (see Note 6)</w:t>
            </w:r>
          </w:p>
        </w:tc>
        <w:tc>
          <w:tcPr>
            <w:tcW w:w="420" w:type="dxa"/>
            <w:vAlign w:val="bottom"/>
          </w:tcPr>
          <w:p>
            <w:pPr>
              <w:spacing w:after="0"/>
              <w:rPr>
                <w:sz w:val="18"/>
                <w:szCs w:val="18"/>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1,204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513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1,348</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1,380</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w w:val="95"/>
              </w:rPr>
              <w:t>Loss on remeasurement of investment in nonconsolidated affiliates (see Note 6)</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(1,505)</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Current tax benefit / (expense) (see Note 12)</w:t>
            </w:r>
          </w:p>
        </w:tc>
        <w:tc>
          <w:tcPr>
            <w:tcW w:w="420" w:type="dxa"/>
            <w:vAlign w:val="bottom"/>
          </w:tcPr>
          <w:p>
            <w:pPr>
              <w:spacing w:after="0"/>
              <w:rPr>
                <w:sz w:val="18"/>
                <w:szCs w:val="18"/>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107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(420)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(462)</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(906)</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Deferred tax benefit / (expense) (see Note 12)</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562</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w:t>
            </w:r>
          </w:p>
        </w:tc>
        <w:tc>
          <w:tcPr>
            <w:tcW w:w="2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804</w:t>
            </w:r>
          </w:p>
        </w:tc>
        <w:tc>
          <w:tcPr>
            <w:tcW w:w="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r>
      <w:tr>
        <w:trPr>
          <w:trHeight w:val="205"/>
        </w:trPr>
        <w:tc>
          <w:tcPr>
            <w:tcW w:w="5280" w:type="dxa"/>
            <w:vAlign w:val="bottom"/>
          </w:tcPr>
          <w:p>
            <w:pPr>
              <w:ind w:left="20"/>
              <w:spacing w:after="0"/>
              <w:rPr>
                <w:sz w:val="20"/>
                <w:szCs w:val="20"/>
                <w:color w:val="auto"/>
              </w:rPr>
            </w:pPr>
            <w:r>
              <w:rPr>
                <w:rFonts w:ascii="Arial" w:cs="Arial" w:eastAsia="Arial" w:hAnsi="Arial"/>
                <w:sz w:val="15"/>
                <w:szCs w:val="15"/>
                <w:b w:val="1"/>
                <w:bCs w:val="1"/>
                <w:color w:val="auto"/>
              </w:rPr>
              <w:t>Net Income</w:t>
            </w:r>
          </w:p>
        </w:tc>
        <w:tc>
          <w:tcPr>
            <w:tcW w:w="42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89,756</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64,451</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137,633</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146,694</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Less: Preferred return to preferred OP units / equity</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1,645</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1,599</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4,799</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4,640</w:t>
            </w:r>
          </w:p>
        </w:tc>
      </w:tr>
      <w:tr>
        <w:trPr>
          <w:trHeight w:val="212"/>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Less: Income attributable to noncontrolling interests</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6,907</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5,422</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8,806</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9,048</w:t>
            </w:r>
          </w:p>
        </w:tc>
      </w:tr>
      <w:tr>
        <w:trPr>
          <w:trHeight w:val="214"/>
        </w:trPr>
        <w:tc>
          <w:tcPr>
            <w:tcW w:w="52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Attributable to Sun Communities, Inc.</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81,204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57,430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124,028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133,006</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Less: Preferred stock distribution</w:t>
            </w:r>
          </w:p>
        </w:tc>
        <w:tc>
          <w:tcPr>
            <w:tcW w:w="4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428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1,288</w:t>
            </w:r>
          </w:p>
        </w:tc>
      </w:tr>
      <w:tr>
        <w:trPr>
          <w:trHeight w:val="238"/>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Attributable to Sun Communities, Inc. Common Stockholders</w:t>
            </w:r>
          </w:p>
        </w:tc>
        <w:tc>
          <w:tcPr>
            <w:tcW w:w="42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81,204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57,002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124,028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ind w:right="544"/>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131,718</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97,542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89,847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95,270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87,499</w:t>
            </w:r>
          </w:p>
        </w:tc>
      </w:tr>
      <w:tr>
        <w:trPr>
          <w:trHeight w:val="212"/>
        </w:trPr>
        <w:tc>
          <w:tcPr>
            <w:tcW w:w="5280" w:type="dxa"/>
            <w:vAlign w:val="bottom"/>
          </w:tcPr>
          <w:p>
            <w:pPr>
              <w:ind w:left="20"/>
              <w:spacing w:after="0"/>
              <w:rPr>
                <w:sz w:val="20"/>
                <w:szCs w:val="20"/>
                <w:color w:val="auto"/>
              </w:rPr>
            </w:pPr>
            <w:r>
              <w:rPr>
                <w:rFonts w:ascii="Arial" w:cs="Arial" w:eastAsia="Arial" w:hAnsi="Arial"/>
                <w:sz w:val="15"/>
                <w:szCs w:val="15"/>
                <w:color w:val="auto"/>
              </w:rPr>
              <w:t>Weighted average common shares outstanding - diluted</w:t>
            </w:r>
          </w:p>
        </w:tc>
        <w:tc>
          <w:tcPr>
            <w:tcW w:w="420" w:type="dxa"/>
            <w:vAlign w:val="bottom"/>
          </w:tcPr>
          <w:p>
            <w:pPr>
              <w:spacing w:after="0"/>
              <w:rPr>
                <w:sz w:val="18"/>
                <w:szCs w:val="18"/>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97,549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90,332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95,273</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87,500</w:t>
            </w:r>
          </w:p>
        </w:tc>
      </w:tr>
      <w:tr>
        <w:trPr>
          <w:trHeight w:val="207"/>
        </w:trPr>
        <w:tc>
          <w:tcPr>
            <w:tcW w:w="5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2"/>
        </w:trPr>
        <w:tc>
          <w:tcPr>
            <w:tcW w:w="5280" w:type="dxa"/>
            <w:vAlign w:val="bottom"/>
          </w:tcPr>
          <w:p>
            <w:pPr>
              <w:ind w:left="20"/>
              <w:spacing w:after="0"/>
              <w:rPr>
                <w:sz w:val="20"/>
                <w:szCs w:val="20"/>
                <w:color w:val="auto"/>
              </w:rPr>
            </w:pPr>
            <w:r>
              <w:rPr>
                <w:rFonts w:ascii="Arial" w:cs="Arial" w:eastAsia="Arial" w:hAnsi="Arial"/>
                <w:sz w:val="15"/>
                <w:szCs w:val="15"/>
                <w:color w:val="auto"/>
              </w:rPr>
              <w:t>Basic earnings per share (see Note 13)</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0.83</w:t>
            </w:r>
          </w:p>
        </w:tc>
        <w:tc>
          <w:tcPr>
            <w:tcW w:w="80" w:type="dxa"/>
            <w:vAlign w:val="bottom"/>
          </w:tcPr>
          <w:p>
            <w:pPr>
              <w:spacing w:after="0"/>
              <w:rPr>
                <w:sz w:val="18"/>
                <w:szCs w:val="18"/>
                <w:color w:val="auto"/>
              </w:rPr>
            </w:pPr>
          </w:p>
        </w:tc>
        <w:tc>
          <w:tcPr>
            <w:tcW w:w="740" w:type="dxa"/>
            <w:vAlign w:val="bottom"/>
          </w:tcPr>
          <w:p>
            <w:pPr>
              <w:jc w:val="right"/>
              <w:ind w:right="564"/>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0.63</w:t>
            </w:r>
          </w:p>
        </w:tc>
        <w:tc>
          <w:tcPr>
            <w:tcW w:w="200" w:type="dxa"/>
            <w:vAlign w:val="bottom"/>
          </w:tcPr>
          <w:p>
            <w:pPr>
              <w:spacing w:after="0"/>
              <w:rPr>
                <w:sz w:val="18"/>
                <w:szCs w:val="18"/>
                <w:color w:val="auto"/>
              </w:rPr>
            </w:pPr>
          </w:p>
        </w:tc>
        <w:tc>
          <w:tcPr>
            <w:tcW w:w="400" w:type="dxa"/>
            <w:vAlign w:val="bottom"/>
          </w:tcPr>
          <w:p>
            <w:pPr>
              <w:jc w:val="right"/>
              <w:ind w:right="22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1.29</w:t>
            </w:r>
          </w:p>
        </w:tc>
        <w:tc>
          <w:tcPr>
            <w:tcW w:w="80" w:type="dxa"/>
            <w:vAlign w:val="bottom"/>
          </w:tcPr>
          <w:p>
            <w:pPr>
              <w:spacing w:after="0"/>
              <w:rPr>
                <w:sz w:val="18"/>
                <w:szCs w:val="18"/>
                <w:color w:val="auto"/>
              </w:rPr>
            </w:pPr>
          </w:p>
        </w:tc>
        <w:tc>
          <w:tcPr>
            <w:tcW w:w="720" w:type="dxa"/>
            <w:vAlign w:val="bottom"/>
          </w:tcPr>
          <w:p>
            <w:pPr>
              <w:jc w:val="right"/>
              <w:ind w:right="544"/>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1.49</w:t>
            </w: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Diluted earnings per share (see Note 13)</w:t>
            </w: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0.83</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6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0.63</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1.29</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1.49</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 (Unaudited)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300"/>
              <w:spacing w:after="0"/>
              <w:rPr>
                <w:sz w:val="20"/>
                <w:szCs w:val="20"/>
                <w:color w:val="auto"/>
              </w:rPr>
            </w:pPr>
            <w:r>
              <w:rPr>
                <w:rFonts w:ascii="Arial" w:cs="Arial" w:eastAsia="Arial" w:hAnsi="Arial"/>
                <w:sz w:val="15"/>
                <w:szCs w:val="15"/>
                <w:b w:val="1"/>
                <w:bCs w:val="1"/>
                <w:color w:val="auto"/>
                <w:w w:val="99"/>
              </w:rPr>
              <w:t>Three Months Ended</w:t>
            </w: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ind w:left="320"/>
              <w:spacing w:after="0"/>
              <w:rPr>
                <w:sz w:val="20"/>
                <w:szCs w:val="20"/>
                <w:color w:val="auto"/>
              </w:rPr>
            </w:pPr>
            <w:r>
              <w:rPr>
                <w:rFonts w:ascii="Arial" w:cs="Arial" w:eastAsia="Arial" w:hAnsi="Arial"/>
                <w:sz w:val="15"/>
                <w:szCs w:val="15"/>
                <w:b w:val="1"/>
                <w:bCs w:val="1"/>
                <w:color w:val="auto"/>
                <w:w w:val="97"/>
              </w:rPr>
              <w:t>Nine Months Ended</w:t>
            </w:r>
          </w:p>
        </w:tc>
        <w:tc>
          <w:tcPr>
            <w:tcW w:w="660" w:type="dxa"/>
            <w:vAlign w:val="bottom"/>
            <w:tcBorders>
              <w:bottom w:val="single" w:sz="8" w:color="auto"/>
            </w:tcBorders>
          </w:tcPr>
          <w:p>
            <w:pPr>
              <w:spacing w:after="0"/>
              <w:rPr>
                <w:sz w:val="17"/>
                <w:szCs w:val="17"/>
                <w:color w:val="auto"/>
              </w:rPr>
            </w:pPr>
          </w:p>
        </w:tc>
      </w:tr>
      <w:tr>
        <w:trPr>
          <w:trHeight w:val="210"/>
        </w:trPr>
        <w:tc>
          <w:tcPr>
            <w:tcW w:w="544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5"/>
                <w:szCs w:val="15"/>
                <w:b w:val="1"/>
                <w:bCs w:val="1"/>
                <w:color w:val="auto"/>
                <w:w w:val="99"/>
              </w:rPr>
              <w:t>September 30, 2020</w:t>
            </w:r>
          </w:p>
        </w:tc>
        <w:tc>
          <w:tcPr>
            <w:tcW w:w="1560" w:type="dxa"/>
            <w:vAlign w:val="bottom"/>
            <w:gridSpan w:val="3"/>
          </w:tcPr>
          <w:p>
            <w:pPr>
              <w:ind w:left="20"/>
              <w:spacing w:after="0"/>
              <w:rPr>
                <w:sz w:val="20"/>
                <w:szCs w:val="20"/>
                <w:color w:val="auto"/>
              </w:rPr>
            </w:pPr>
            <w:r>
              <w:rPr>
                <w:rFonts w:ascii="Arial" w:cs="Arial" w:eastAsia="Arial" w:hAnsi="Arial"/>
                <w:sz w:val="15"/>
                <w:szCs w:val="15"/>
                <w:b w:val="1"/>
                <w:bCs w:val="1"/>
                <w:color w:val="auto"/>
              </w:rPr>
              <w:t>September 30, 2019</w:t>
            </w:r>
          </w:p>
        </w:tc>
        <w:tc>
          <w:tcPr>
            <w:tcW w:w="1440" w:type="dxa"/>
            <w:vAlign w:val="bottom"/>
            <w:gridSpan w:val="3"/>
          </w:tcPr>
          <w:p>
            <w:pPr>
              <w:ind w:left="20"/>
              <w:spacing w:after="0"/>
              <w:rPr>
                <w:sz w:val="20"/>
                <w:szCs w:val="20"/>
                <w:color w:val="auto"/>
              </w:rPr>
            </w:pPr>
            <w:r>
              <w:rPr>
                <w:rFonts w:ascii="Arial" w:cs="Arial" w:eastAsia="Arial" w:hAnsi="Arial"/>
                <w:sz w:val="15"/>
                <w:szCs w:val="15"/>
                <w:b w:val="1"/>
                <w:bCs w:val="1"/>
                <w:color w:val="auto"/>
                <w:w w:val="99"/>
              </w:rPr>
              <w:t>September 30, 2020</w:t>
            </w:r>
          </w:p>
        </w:tc>
        <w:tc>
          <w:tcPr>
            <w:tcW w:w="1340" w:type="dxa"/>
            <w:vAlign w:val="bottom"/>
            <w:gridSpan w:val="2"/>
          </w:tcPr>
          <w:p>
            <w:pPr>
              <w:ind w:left="40"/>
              <w:spacing w:after="0"/>
              <w:rPr>
                <w:sz w:val="20"/>
                <w:szCs w:val="20"/>
                <w:color w:val="auto"/>
              </w:rPr>
            </w:pPr>
            <w:r>
              <w:rPr>
                <w:rFonts w:ascii="Arial" w:cs="Arial" w:eastAsia="Arial" w:hAnsi="Arial"/>
                <w:sz w:val="15"/>
                <w:szCs w:val="15"/>
                <w:b w:val="1"/>
                <w:bCs w:val="1"/>
                <w:color w:val="auto"/>
                <w:w w:val="91"/>
              </w:rPr>
              <w:t>September 30, 2019</w:t>
            </w:r>
          </w:p>
        </w:tc>
      </w:tr>
      <w:tr>
        <w:trPr>
          <w:trHeight w:val="21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89,756</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64,451</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137,633</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146,694</w:t>
            </w:r>
          </w:p>
        </w:tc>
      </w:tr>
      <w:tr>
        <w:trPr>
          <w:trHeight w:val="212"/>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Foreign currency translation gain / (loss) adjustment</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2,146</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w w:val="96"/>
              </w:rPr>
              <w:t>(1,717)</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(1,282)</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1,771</w:t>
            </w:r>
          </w:p>
        </w:tc>
      </w:tr>
      <w:tr>
        <w:trPr>
          <w:trHeight w:val="214"/>
        </w:trPr>
        <w:tc>
          <w:tcPr>
            <w:tcW w:w="5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Comprehensive Income</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91,902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62,734</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136,351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148,465</w:t>
            </w:r>
          </w:p>
        </w:tc>
      </w:tr>
      <w:tr>
        <w:trPr>
          <w:trHeight w:val="212"/>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Less: Comprehensive Income attributable to noncontrolling interests</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(6,804)</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w w:val="96"/>
              </w:rPr>
              <w:t>(5,346)</w:t>
            </w:r>
          </w:p>
        </w:tc>
        <w:tc>
          <w:tcPr>
            <w:tcW w:w="2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(8,419)</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(9,140)</w:t>
            </w:r>
          </w:p>
        </w:tc>
      </w:tr>
      <w:tr>
        <w:trPr>
          <w:trHeight w:val="23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Comprehensive Income attributable to Sun Communities, Inc.</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85,098</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57,388</w:t>
            </w:r>
          </w:p>
        </w:tc>
        <w:tc>
          <w:tcPr>
            <w:tcW w:w="2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127,932</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139,325</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1004"/>
              <w:spacing w:after="0"/>
              <w:rPr>
                <w:sz w:val="20"/>
                <w:szCs w:val="20"/>
                <w:color w:val="auto"/>
              </w:rPr>
            </w:pPr>
            <w:r>
              <w:rPr>
                <w:rFonts w:ascii="Arial" w:cs="Arial" w:eastAsia="Arial" w:hAnsi="Arial"/>
                <w:sz w:val="15"/>
                <w:szCs w:val="15"/>
                <w:b w:val="1"/>
                <w:bCs w:val="1"/>
                <w:color w:val="auto"/>
              </w:rPr>
              <w:t>Nine Months Ended</w:t>
            </w:r>
          </w:p>
        </w:tc>
      </w:tr>
      <w:tr>
        <w:trPr>
          <w:trHeight w:val="207"/>
        </w:trPr>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2020</w:t>
            </w:r>
          </w:p>
        </w:tc>
        <w:tc>
          <w:tcPr>
            <w:tcW w:w="14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Arial" w:cs="Arial" w:eastAsia="Arial" w:hAnsi="Arial"/>
                <w:sz w:val="15"/>
                <w:szCs w:val="15"/>
                <w:b w:val="1"/>
                <w:bCs w:val="1"/>
                <w:color w:val="auto"/>
                <w:w w:val="91"/>
              </w:rPr>
              <w:t>September 30, 2019</w:t>
            </w:r>
          </w:p>
        </w:tc>
      </w:tr>
      <w:tr>
        <w:trPr>
          <w:trHeight w:val="212"/>
        </w:trPr>
        <w:tc>
          <w:tcPr>
            <w:tcW w:w="7780" w:type="dxa"/>
            <w:vAlign w:val="bottom"/>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20"/>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Net Cash Provided By Operating Activities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464,458</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398,293</w:t>
            </w:r>
          </w:p>
        </w:tc>
      </w:tr>
      <w:tr>
        <w:trPr>
          <w:trHeight w:val="205"/>
        </w:trPr>
        <w:tc>
          <w:tcPr>
            <w:tcW w:w="778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0"/>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Investment in properties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(401,976)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(412,092)</w:t>
            </w:r>
          </w:p>
        </w:tc>
      </w:tr>
      <w:tr>
        <w:trPr>
          <w:trHeight w:val="212"/>
        </w:trPr>
        <w:tc>
          <w:tcPr>
            <w:tcW w:w="7780" w:type="dxa"/>
            <w:vAlign w:val="bottom"/>
          </w:tcPr>
          <w:p>
            <w:pPr>
              <w:ind w:left="220"/>
              <w:spacing w:after="0"/>
              <w:rPr>
                <w:sz w:val="20"/>
                <w:szCs w:val="20"/>
                <w:color w:val="auto"/>
              </w:rPr>
            </w:pPr>
            <w:r>
              <w:rPr>
                <w:rFonts w:ascii="Arial" w:cs="Arial" w:eastAsia="Arial" w:hAnsi="Arial"/>
                <w:sz w:val="15"/>
                <w:szCs w:val="15"/>
                <w:color w:val="auto"/>
              </w:rPr>
              <w:t>Acquisitions of properties, net of cash acquired</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(256,359)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(403,889)</w:t>
            </w:r>
          </w:p>
        </w:tc>
      </w:tr>
      <w:tr>
        <w:trPr>
          <w:trHeight w:val="220"/>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dispositions of assets and depreciated homes, net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37,389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43,157</w:t>
            </w:r>
          </w:p>
        </w:tc>
      </w:tr>
      <w:tr>
        <w:trPr>
          <w:trHeight w:val="212"/>
        </w:trPr>
        <w:tc>
          <w:tcPr>
            <w:tcW w:w="7780" w:type="dxa"/>
            <w:vAlign w:val="bottom"/>
          </w:tcPr>
          <w:p>
            <w:pPr>
              <w:ind w:left="220"/>
              <w:spacing w:after="0"/>
              <w:rPr>
                <w:sz w:val="20"/>
                <w:szCs w:val="20"/>
                <w:color w:val="auto"/>
              </w:rPr>
            </w:pPr>
            <w:r>
              <w:rPr>
                <w:rFonts w:ascii="Arial" w:cs="Arial" w:eastAsia="Arial" w:hAnsi="Arial"/>
                <w:sz w:val="15"/>
                <w:szCs w:val="15"/>
                <w:color w:val="auto"/>
              </w:rPr>
              <w:t>Proceeds from disposition of properties</w:t>
            </w:r>
          </w:p>
        </w:tc>
        <w:tc>
          <w:tcPr>
            <w:tcW w:w="12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12,612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20"/>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Issuance of notes and other receivables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(35,188)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(30,186)</w:t>
            </w:r>
          </w:p>
        </w:tc>
      </w:tr>
      <w:tr>
        <w:trPr>
          <w:trHeight w:val="212"/>
        </w:trPr>
        <w:tc>
          <w:tcPr>
            <w:tcW w:w="7780" w:type="dxa"/>
            <w:vAlign w:val="bottom"/>
          </w:tcPr>
          <w:p>
            <w:pPr>
              <w:ind w:left="220"/>
              <w:spacing w:after="0"/>
              <w:rPr>
                <w:sz w:val="20"/>
                <w:szCs w:val="20"/>
                <w:color w:val="auto"/>
              </w:rPr>
            </w:pPr>
            <w:r>
              <w:rPr>
                <w:rFonts w:ascii="Arial" w:cs="Arial" w:eastAsia="Arial" w:hAnsi="Arial"/>
                <w:sz w:val="15"/>
                <w:szCs w:val="15"/>
                <w:color w:val="auto"/>
              </w:rPr>
              <w:t>Repayments of notes and other receivables</w:t>
            </w:r>
          </w:p>
        </w:tc>
        <w:tc>
          <w:tcPr>
            <w:tcW w:w="12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2,713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3,249</w:t>
            </w:r>
          </w:p>
        </w:tc>
      </w:tr>
      <w:tr>
        <w:trPr>
          <w:trHeight w:val="220"/>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Investments in nonconsolidated affiliates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(33,390)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(42,896)</w:t>
            </w:r>
          </w:p>
        </w:tc>
      </w:tr>
      <w:tr>
        <w:trPr>
          <w:trHeight w:val="212"/>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Distributions from nonconsolidated affiliates</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8,491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43,406</w:t>
            </w:r>
          </w:p>
        </w:tc>
      </w:tr>
      <w:tr>
        <w:trPr>
          <w:trHeight w:val="214"/>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Net Cash Used For Investing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(665,708)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(799,251)</w:t>
            </w:r>
          </w:p>
        </w:tc>
      </w:tr>
      <w:tr>
        <w:trPr>
          <w:trHeight w:val="205"/>
        </w:trPr>
        <w:tc>
          <w:tcPr>
            <w:tcW w:w="7780" w:type="dxa"/>
            <w:vAlign w:val="bottom"/>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0"/>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Issuance of common stock, OP units, and preferred OP units, net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619,793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441,871</w:t>
            </w:r>
          </w:p>
        </w:tc>
      </w:tr>
      <w:tr>
        <w:trPr>
          <w:trHeight w:val="212"/>
        </w:trPr>
        <w:tc>
          <w:tcPr>
            <w:tcW w:w="7780" w:type="dxa"/>
            <w:vAlign w:val="bottom"/>
          </w:tcPr>
          <w:p>
            <w:pPr>
              <w:ind w:left="220"/>
              <w:spacing w:after="0"/>
              <w:rPr>
                <w:sz w:val="20"/>
                <w:szCs w:val="20"/>
                <w:color w:val="auto"/>
              </w:rPr>
            </w:pPr>
            <w:r>
              <w:rPr>
                <w:rFonts w:ascii="Arial" w:cs="Arial" w:eastAsia="Arial" w:hAnsi="Arial"/>
                <w:sz w:val="15"/>
                <w:szCs w:val="15"/>
                <w:color w:val="auto"/>
              </w:rPr>
              <w:t>Redemption of Series B-3 preferred OP units</w:t>
            </w:r>
          </w:p>
        </w:tc>
        <w:tc>
          <w:tcPr>
            <w:tcW w:w="12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(2,675)</w:t>
            </w:r>
          </w:p>
        </w:tc>
      </w:tr>
      <w:tr>
        <w:trPr>
          <w:trHeight w:val="220"/>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Borrowings on lines of credit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1,221,980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2,681,980</w:t>
            </w:r>
          </w:p>
        </w:tc>
      </w:tr>
      <w:tr>
        <w:trPr>
          <w:trHeight w:val="212"/>
        </w:trPr>
        <w:tc>
          <w:tcPr>
            <w:tcW w:w="7780" w:type="dxa"/>
            <w:vAlign w:val="bottom"/>
          </w:tcPr>
          <w:p>
            <w:pPr>
              <w:ind w:left="220"/>
              <w:spacing w:after="0"/>
              <w:rPr>
                <w:sz w:val="20"/>
                <w:szCs w:val="20"/>
                <w:color w:val="auto"/>
              </w:rPr>
            </w:pPr>
            <w:r>
              <w:rPr>
                <w:rFonts w:ascii="Arial" w:cs="Arial" w:eastAsia="Arial" w:hAnsi="Arial"/>
                <w:sz w:val="15"/>
                <w:szCs w:val="15"/>
                <w:color w:val="auto"/>
              </w:rPr>
              <w:t>Payments on lines of credit</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(1,328,440)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(2,669,348)</w:t>
            </w:r>
          </w:p>
        </w:tc>
      </w:tr>
      <w:tr>
        <w:trPr>
          <w:trHeight w:val="220"/>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issuance of other debt</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230,000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523,721</w:t>
            </w:r>
          </w:p>
        </w:tc>
      </w:tr>
      <w:tr>
        <w:trPr>
          <w:trHeight w:val="212"/>
        </w:trPr>
        <w:tc>
          <w:tcPr>
            <w:tcW w:w="7780" w:type="dxa"/>
            <w:vAlign w:val="bottom"/>
          </w:tcPr>
          <w:p>
            <w:pPr>
              <w:ind w:left="220"/>
              <w:spacing w:after="0"/>
              <w:rPr>
                <w:sz w:val="20"/>
                <w:szCs w:val="20"/>
                <w:color w:val="auto"/>
              </w:rPr>
            </w:pPr>
            <w:r>
              <w:rPr>
                <w:rFonts w:ascii="Arial" w:cs="Arial" w:eastAsia="Arial" w:hAnsi="Arial"/>
                <w:sz w:val="15"/>
                <w:szCs w:val="15"/>
                <w:color w:val="auto"/>
              </w:rPr>
              <w:t>Payments on other debt</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(220,288)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(372,219)</w:t>
            </w:r>
          </w:p>
        </w:tc>
      </w:tr>
      <w:tr>
        <w:trPr>
          <w:trHeight w:val="220"/>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Prepayment penalty on collateralized term loans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(12,610)</w:t>
            </w:r>
          </w:p>
        </w:tc>
      </w:tr>
      <w:tr>
        <w:trPr>
          <w:trHeight w:val="212"/>
        </w:trPr>
        <w:tc>
          <w:tcPr>
            <w:tcW w:w="7780" w:type="dxa"/>
            <w:vAlign w:val="bottom"/>
          </w:tcPr>
          <w:p>
            <w:pPr>
              <w:ind w:left="220"/>
              <w:spacing w:after="0"/>
              <w:rPr>
                <w:sz w:val="20"/>
                <w:szCs w:val="20"/>
                <w:color w:val="auto"/>
              </w:rPr>
            </w:pPr>
            <w:r>
              <w:rPr>
                <w:rFonts w:ascii="Arial" w:cs="Arial" w:eastAsia="Arial" w:hAnsi="Arial"/>
                <w:sz w:val="15"/>
                <w:szCs w:val="15"/>
                <w:color w:val="auto"/>
              </w:rPr>
              <w:t>Proceeds received from return of prepaid deferred financing costs</w:t>
            </w:r>
          </w:p>
        </w:tc>
        <w:tc>
          <w:tcPr>
            <w:tcW w:w="12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1,618</w:t>
            </w:r>
          </w:p>
        </w:tc>
      </w:tr>
      <w:tr>
        <w:trPr>
          <w:trHeight w:val="220"/>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Distributions to stockholders, OP unit holders, and preferred OP unit holders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(231,500)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(205,639)</w:t>
            </w:r>
          </w:p>
        </w:tc>
      </w:tr>
      <w:tr>
        <w:trPr>
          <w:trHeight w:val="212"/>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Payments for deferred financing costs</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(3,322)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(6,568)</w:t>
            </w:r>
          </w:p>
        </w:tc>
      </w:tr>
      <w:tr>
        <w:trPr>
          <w:trHeight w:val="210"/>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Net Cash Provided By Financing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281,997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380,131</w:t>
            </w:r>
          </w:p>
        </w:tc>
      </w:tr>
      <w:tr>
        <w:trPr>
          <w:trHeight w:val="21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291</w:t>
            </w:r>
          </w:p>
        </w:tc>
      </w:tr>
      <w:tr>
        <w:trPr>
          <w:trHeight w:val="213"/>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change in cash, cash equivalents and restricted cash</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80,699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(20,536)</w:t>
            </w:r>
          </w:p>
        </w:tc>
      </w:tr>
      <w:tr>
        <w:trPr>
          <w:trHeight w:val="212"/>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34,830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62,262</w:t>
            </w:r>
          </w:p>
        </w:tc>
      </w:tr>
      <w:tr>
        <w:trPr>
          <w:trHeight w:val="23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Cash Equivalents and Restricted Cash,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115,529</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41,726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1004"/>
              <w:spacing w:after="0"/>
              <w:rPr>
                <w:sz w:val="20"/>
                <w:szCs w:val="20"/>
                <w:color w:val="auto"/>
              </w:rPr>
            </w:pPr>
            <w:r>
              <w:rPr>
                <w:rFonts w:ascii="Arial" w:cs="Arial" w:eastAsia="Arial" w:hAnsi="Arial"/>
                <w:sz w:val="15"/>
                <w:szCs w:val="15"/>
                <w:b w:val="1"/>
                <w:bCs w:val="1"/>
                <w:color w:val="auto"/>
              </w:rPr>
              <w:t>Nine Months Ended</w:t>
            </w:r>
          </w:p>
        </w:tc>
      </w:tr>
      <w:tr>
        <w:trPr>
          <w:trHeight w:val="207"/>
        </w:trPr>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2020</w:t>
            </w:r>
          </w:p>
        </w:tc>
        <w:tc>
          <w:tcPr>
            <w:tcW w:w="14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Arial" w:cs="Arial" w:eastAsia="Arial" w:hAnsi="Arial"/>
                <w:sz w:val="15"/>
                <w:szCs w:val="15"/>
                <w:b w:val="1"/>
                <w:bCs w:val="1"/>
                <w:color w:val="auto"/>
                <w:w w:val="91"/>
              </w:rPr>
              <w:t>September 30, 2019</w:t>
            </w:r>
          </w:p>
        </w:tc>
      </w:tr>
      <w:tr>
        <w:trPr>
          <w:trHeight w:val="212"/>
        </w:trPr>
        <w:tc>
          <w:tcPr>
            <w:tcW w:w="7780" w:type="dxa"/>
            <w:vAlign w:val="bottom"/>
          </w:tcPr>
          <w:p>
            <w:pPr>
              <w:ind w:left="20"/>
              <w:spacing w:after="0"/>
              <w:rPr>
                <w:sz w:val="20"/>
                <w:szCs w:val="20"/>
                <w:color w:val="auto"/>
              </w:rPr>
            </w:pPr>
            <w:r>
              <w:rPr>
                <w:rFonts w:ascii="Arial" w:cs="Arial" w:eastAsia="Arial" w:hAnsi="Arial"/>
                <w:sz w:val="15"/>
                <w:szCs w:val="15"/>
                <w:b w:val="1"/>
                <w:bCs w:val="1"/>
                <w:color w:val="auto"/>
              </w:rPr>
              <w:t>Supplemental Information</w:t>
            </w: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20"/>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paid for interest (net of capitalized interest of $7,169 and $5,673 respectively)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100,047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99,925</w:t>
            </w:r>
          </w:p>
        </w:tc>
      </w:tr>
      <w:tr>
        <w:trPr>
          <w:trHeight w:val="212"/>
        </w:trPr>
        <w:tc>
          <w:tcPr>
            <w:tcW w:w="7780" w:type="dxa"/>
            <w:vAlign w:val="bottom"/>
          </w:tcPr>
          <w:p>
            <w:pPr>
              <w:ind w:left="20"/>
              <w:spacing w:after="0"/>
              <w:rPr>
                <w:sz w:val="20"/>
                <w:szCs w:val="20"/>
                <w:color w:val="auto"/>
              </w:rPr>
            </w:pPr>
            <w:r>
              <w:rPr>
                <w:rFonts w:ascii="Arial" w:cs="Arial" w:eastAsia="Arial" w:hAnsi="Arial"/>
                <w:sz w:val="15"/>
                <w:szCs w:val="15"/>
                <w:color w:val="auto"/>
              </w:rPr>
              <w:t>Cash paid for interest on mandatorily redeemable debt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3,130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3,132</w:t>
            </w:r>
          </w:p>
        </w:tc>
      </w:tr>
      <w:tr>
        <w:trPr>
          <w:trHeight w:val="220"/>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paid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1,069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818</w:t>
            </w:r>
          </w:p>
        </w:tc>
      </w:tr>
      <w:tr>
        <w:trPr>
          <w:trHeight w:val="212"/>
        </w:trPr>
        <w:tc>
          <w:tcPr>
            <w:tcW w:w="7780" w:type="dxa"/>
            <w:vAlign w:val="bottom"/>
          </w:tcPr>
          <w:p>
            <w:pPr>
              <w:ind w:left="20"/>
              <w:spacing w:after="0"/>
              <w:rPr>
                <w:sz w:val="20"/>
                <w:szCs w:val="20"/>
                <w:color w:val="auto"/>
              </w:rPr>
            </w:pPr>
            <w:r>
              <w:rPr>
                <w:rFonts w:ascii="Arial" w:cs="Arial" w:eastAsia="Arial" w:hAnsi="Arial"/>
                <w:sz w:val="15"/>
                <w:szCs w:val="15"/>
                <w:color w:val="auto"/>
              </w:rPr>
              <w:t>Noncash investing and financing activities</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0"/>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Reduction in secured borrowing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14,062</w:t>
            </w:r>
          </w:p>
        </w:tc>
      </w:tr>
      <w:tr>
        <w:trPr>
          <w:trHeight w:val="212"/>
        </w:trPr>
        <w:tc>
          <w:tcPr>
            <w:tcW w:w="7780" w:type="dxa"/>
            <w:vAlign w:val="bottom"/>
          </w:tcPr>
          <w:p>
            <w:pPr>
              <w:ind w:left="220"/>
              <w:spacing w:after="0"/>
              <w:rPr>
                <w:sz w:val="20"/>
                <w:szCs w:val="20"/>
                <w:color w:val="auto"/>
              </w:rPr>
            </w:pPr>
            <w:r>
              <w:rPr>
                <w:rFonts w:ascii="Arial" w:cs="Arial" w:eastAsia="Arial" w:hAnsi="Arial"/>
                <w:sz w:val="15"/>
                <w:szCs w:val="15"/>
                <w:color w:val="auto"/>
              </w:rPr>
              <w:t>Change in distributions declared and outstanding</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7,861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6,442</w:t>
            </w:r>
          </w:p>
        </w:tc>
      </w:tr>
      <w:tr>
        <w:trPr>
          <w:trHeight w:val="220"/>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Conversion of common and preferred OP units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1,411</w:t>
            </w:r>
          </w:p>
        </w:tc>
      </w:tr>
      <w:tr>
        <w:trPr>
          <w:trHeight w:val="212"/>
        </w:trPr>
        <w:tc>
          <w:tcPr>
            <w:tcW w:w="7780" w:type="dxa"/>
            <w:vAlign w:val="bottom"/>
          </w:tcPr>
          <w:p>
            <w:pPr>
              <w:ind w:left="220"/>
              <w:spacing w:after="0"/>
              <w:rPr>
                <w:sz w:val="20"/>
                <w:szCs w:val="20"/>
                <w:color w:val="auto"/>
              </w:rPr>
            </w:pPr>
            <w:r>
              <w:rPr>
                <w:rFonts w:ascii="Arial" w:cs="Arial" w:eastAsia="Arial" w:hAnsi="Arial"/>
                <w:sz w:val="15"/>
                <w:szCs w:val="15"/>
                <w:color w:val="auto"/>
              </w:rPr>
              <w:t>Conversion of Series A-4 preferred stock</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337</w:t>
            </w:r>
          </w:p>
        </w:tc>
      </w:tr>
      <w:tr>
        <w:trPr>
          <w:trHeight w:val="220"/>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Acquisitions - Common stock and OP units issued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10,114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12"/>
        </w:trPr>
        <w:tc>
          <w:tcPr>
            <w:tcW w:w="7780" w:type="dxa"/>
            <w:vAlign w:val="bottom"/>
          </w:tcPr>
          <w:p>
            <w:pPr>
              <w:ind w:left="220"/>
              <w:spacing w:after="0"/>
              <w:rPr>
                <w:sz w:val="20"/>
                <w:szCs w:val="20"/>
                <w:color w:val="auto"/>
              </w:rPr>
            </w:pPr>
            <w:r>
              <w:rPr>
                <w:rFonts w:ascii="Arial" w:cs="Arial" w:eastAsia="Arial" w:hAnsi="Arial"/>
                <w:sz w:val="15"/>
                <w:szCs w:val="15"/>
                <w:color w:val="auto"/>
              </w:rPr>
              <w:t>Acquisitions - Debt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3,900</w:t>
            </w:r>
          </w:p>
        </w:tc>
      </w:tr>
      <w:tr>
        <w:trPr>
          <w:trHeight w:val="220"/>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Acquisitions - Series D preferred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51,930</w:t>
            </w:r>
          </w:p>
        </w:tc>
      </w:tr>
      <w:tr>
        <w:trPr>
          <w:trHeight w:val="212"/>
        </w:trPr>
        <w:tc>
          <w:tcPr>
            <w:tcW w:w="7780" w:type="dxa"/>
            <w:vAlign w:val="bottom"/>
          </w:tcPr>
          <w:p>
            <w:pPr>
              <w:ind w:left="220"/>
              <w:spacing w:after="0"/>
              <w:rPr>
                <w:sz w:val="20"/>
                <w:szCs w:val="20"/>
                <w:color w:val="auto"/>
              </w:rPr>
            </w:pPr>
            <w:r>
              <w:rPr>
                <w:rFonts w:ascii="Arial" w:cs="Arial" w:eastAsia="Arial" w:hAnsi="Arial"/>
                <w:sz w:val="15"/>
                <w:szCs w:val="15"/>
                <w:color w:val="auto"/>
              </w:rPr>
              <w:t>Acquisitions - Series E preferred interest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9,000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20"/>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Acquisitions - Series F preferred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9,000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12"/>
        </w:trPr>
        <w:tc>
          <w:tcPr>
            <w:tcW w:w="7780" w:type="dxa"/>
            <w:vAlign w:val="bottom"/>
          </w:tcPr>
          <w:p>
            <w:pPr>
              <w:ind w:left="220"/>
              <w:spacing w:after="0"/>
              <w:rPr>
                <w:sz w:val="20"/>
                <w:szCs w:val="20"/>
                <w:color w:val="auto"/>
              </w:rPr>
            </w:pPr>
            <w:r>
              <w:rPr>
                <w:rFonts w:ascii="Arial" w:cs="Arial" w:eastAsia="Arial" w:hAnsi="Arial"/>
                <w:sz w:val="15"/>
                <w:szCs w:val="15"/>
                <w:color w:val="auto"/>
              </w:rPr>
              <w:t>Acquisitions - Series G preferred interest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26,071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20"/>
        </w:trPr>
        <w:tc>
          <w:tcPr>
            <w:tcW w:w="77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Acquisitions - Escrow</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1,395</w:t>
            </w:r>
          </w:p>
        </w:tc>
      </w:tr>
      <w:tr>
        <w:trPr>
          <w:trHeight w:val="208"/>
        </w:trPr>
        <w:tc>
          <w:tcPr>
            <w:tcW w:w="7780" w:type="dxa"/>
            <w:vAlign w:val="bottom"/>
          </w:tcPr>
          <w:p>
            <w:pPr>
              <w:ind w:left="220"/>
              <w:spacing w:after="0"/>
              <w:rPr>
                <w:sz w:val="20"/>
                <w:szCs w:val="20"/>
                <w:color w:val="auto"/>
              </w:rPr>
            </w:pPr>
            <w:r>
              <w:rPr>
                <w:rFonts w:ascii="Arial" w:cs="Arial" w:eastAsia="Arial" w:hAnsi="Arial"/>
                <w:sz w:val="15"/>
                <w:szCs w:val="15"/>
                <w:color w:val="auto"/>
              </w:rPr>
              <w:t>Acquisitions - Deferred liability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12,597</w:t>
            </w:r>
          </w:p>
        </w:tc>
      </w:tr>
    </w:tbl>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Distributions in</w:t>
            </w: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3"/>
                <w:szCs w:val="13"/>
                <w:color w:val="auto"/>
              </w:rPr>
            </w:pPr>
          </w:p>
        </w:tc>
        <w:tc>
          <w:tcPr>
            <w:tcW w:w="80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Temporary</w:t>
            </w:r>
          </w:p>
        </w:tc>
        <w:tc>
          <w:tcPr>
            <w:tcW w:w="100" w:type="dxa"/>
            <w:vAlign w:val="bottom"/>
          </w:tcPr>
          <w:p>
            <w:pPr>
              <w:spacing w:after="0"/>
              <w:rPr>
                <w:sz w:val="12"/>
                <w:szCs w:val="12"/>
                <w:color w:val="auto"/>
              </w:rPr>
            </w:pPr>
          </w:p>
        </w:tc>
        <w:tc>
          <w:tcPr>
            <w:tcW w:w="68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5"/>
              </w:rPr>
              <w:t>Excess of</w:t>
            </w: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44"/>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9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1140" w:type="dxa"/>
            <w:vAlign w:val="bottom"/>
          </w:tcPr>
          <w:p>
            <w:pPr>
              <w:jc w:val="right"/>
              <w:ind w:right="64"/>
              <w:spacing w:after="0" w:line="149" w:lineRule="exact"/>
              <w:rPr>
                <w:sz w:val="20"/>
                <w:szCs w:val="20"/>
                <w:color w:val="auto"/>
              </w:rPr>
            </w:pPr>
            <w:r>
              <w:rPr>
                <w:rFonts w:ascii="Arial" w:cs="Arial" w:eastAsia="Arial" w:hAnsi="Arial"/>
                <w:sz w:val="14"/>
                <w:szCs w:val="14"/>
                <w:b w:val="1"/>
                <w:bCs w:val="1"/>
                <w:color w:val="auto"/>
                <w:w w:val="93"/>
              </w:rPr>
              <w:t>Comprehensive</w:t>
            </w:r>
          </w:p>
        </w:tc>
        <w:tc>
          <w:tcPr>
            <w:tcW w:w="120" w:type="dxa"/>
            <w:vAlign w:val="bottom"/>
          </w:tcPr>
          <w:p>
            <w:pPr>
              <w:spacing w:after="0"/>
              <w:rPr>
                <w:sz w:val="12"/>
                <w:szCs w:val="12"/>
                <w:color w:val="auto"/>
              </w:rPr>
            </w:pPr>
          </w:p>
        </w:tc>
        <w:tc>
          <w:tcPr>
            <w:tcW w:w="8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680" w:type="dxa"/>
            <w:vAlign w:val="bottom"/>
          </w:tcPr>
          <w:p>
            <w:pPr>
              <w:jc w:val="right"/>
              <w:ind w:right="124"/>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800" w:type="dxa"/>
            <w:vAlign w:val="bottom"/>
          </w:tcPr>
          <w:p>
            <w:pPr>
              <w:jc w:val="right"/>
              <w:ind w:right="144"/>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940" w:type="dxa"/>
            <w:vAlign w:val="bottom"/>
          </w:tcPr>
          <w:p>
            <w:pPr>
              <w:jc w:val="center"/>
              <w:ind w:right="24"/>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1140" w:type="dxa"/>
            <w:vAlign w:val="bottom"/>
          </w:tcPr>
          <w:p>
            <w:pPr>
              <w:jc w:val="right"/>
              <w:ind w:right="404"/>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800" w:type="dxa"/>
            <w:vAlign w:val="bottom"/>
          </w:tcPr>
          <w:p>
            <w:pPr>
              <w:jc w:val="center"/>
              <w:ind w:right="24"/>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180" w:type="dxa"/>
            <w:vAlign w:val="bottom"/>
          </w:tcPr>
          <w:p>
            <w:pPr>
              <w:spacing w:after="0"/>
              <w:rPr>
                <w:sz w:val="16"/>
                <w:szCs w:val="16"/>
                <w:color w:val="auto"/>
              </w:rPr>
            </w:pPr>
          </w:p>
        </w:tc>
        <w:tc>
          <w:tcPr>
            <w:tcW w:w="760" w:type="dxa"/>
            <w:vAlign w:val="bottom"/>
          </w:tcPr>
          <w:p>
            <w:pPr>
              <w:jc w:val="right"/>
              <w:ind w:right="18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78,004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5,213,264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(1,393,141)</w:t>
            </w: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56,228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3,875,952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8"/>
              </w:rPr>
              <w:t>3,953,956</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rPr>
                <w:sz w:val="20"/>
                <w:szCs w:val="20"/>
                <w:color w:val="auto"/>
              </w:rPr>
            </w:pPr>
            <w:r>
              <w:rPr>
                <w:rFonts w:ascii="Arial" w:cs="Arial" w:eastAsia="Arial" w:hAnsi="Arial"/>
                <w:sz w:val="15"/>
                <w:szCs w:val="15"/>
                <w:color w:val="auto"/>
                <w:w w:val="97"/>
              </w:rPr>
              <w:t>Issuance of common stock and common OP</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5"/>
                <w:szCs w:val="15"/>
                <w:color w:val="auto"/>
              </w:rPr>
              <w:t>units, net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(7,141)</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(7,140)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(7,140)</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Conversion of OP units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rPr>
                <w:sz w:val="20"/>
                <w:szCs w:val="20"/>
                <w:color w:val="auto"/>
              </w:rPr>
            </w:pPr>
            <w:r>
              <w:rPr>
                <w:rFonts w:ascii="Arial" w:cs="Arial" w:eastAsia="Arial" w:hAnsi="Arial"/>
                <w:sz w:val="15"/>
                <w:szCs w:val="15"/>
                <w:color w:val="auto"/>
              </w:rPr>
              <w:t>Equity Interests - NG Sun LLC &amp; NG Sun</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5"/>
                <w:szCs w:val="15"/>
                <w:color w:val="auto"/>
              </w:rPr>
              <w:t>Whitewater LLC</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(85)</w:t>
            </w:r>
          </w:p>
        </w:tc>
        <w:tc>
          <w:tcPr>
            <w:tcW w:w="1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3"/>
              </w:rPr>
              <w:t>Share-based compensation - amortization and</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forfeitures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4,928</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5,021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5,021</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5"/>
                <w:szCs w:val="15"/>
                <w:color w:val="auto"/>
              </w:rPr>
              <w:t>Issuance of Series E preferred OP units</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181</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8,819</w:t>
            </w:r>
          </w:p>
        </w:tc>
        <w:tc>
          <w:tcPr>
            <w:tcW w:w="14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9,000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9,000</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(7,300)</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rPr>
                <w:sz w:val="20"/>
                <w:szCs w:val="20"/>
                <w:color w:val="auto"/>
              </w:rPr>
            </w:pPr>
            <w:r>
              <w:rPr>
                <w:rFonts w:ascii="Arial" w:cs="Arial" w:eastAsia="Arial" w:hAnsi="Arial"/>
                <w:sz w:val="15"/>
                <w:szCs w:val="15"/>
                <w:color w:val="auto"/>
                <w:w w:val="91"/>
              </w:rPr>
              <w:t>Remeasurement of notes receivable and equity</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5"/>
                <w:szCs w:val="15"/>
                <w:color w:val="auto"/>
              </w:rPr>
              <w:t>method investment (see Note 17)</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1,953</w:t>
            </w:r>
          </w:p>
        </w:tc>
        <w:tc>
          <w:tcPr>
            <w:tcW w:w="1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1,953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1,953</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(14,514)</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(14,283)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(15,478)</w:t>
            </w:r>
          </w:p>
        </w:tc>
        <w:tc>
          <w:tcPr>
            <w:tcW w:w="0" w:type="dxa"/>
            <w:vAlign w:val="bottom"/>
          </w:tcPr>
          <w:p>
            <w:pPr>
              <w:spacing w:after="0"/>
              <w:rPr>
                <w:sz w:val="1"/>
                <w:szCs w:val="1"/>
                <w:color w:val="auto"/>
              </w:rPr>
            </w:pPr>
          </w:p>
        </w:tc>
      </w:tr>
      <w:tr>
        <w:trPr>
          <w:trHeight w:val="212"/>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Distributions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(73,730)</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(2,918)</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(76,648)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(77,105)</w:t>
            </w:r>
          </w:p>
        </w:tc>
        <w:tc>
          <w:tcPr>
            <w:tcW w:w="0" w:type="dxa"/>
            <w:vAlign w:val="bottom"/>
          </w:tcPr>
          <w:p>
            <w:pPr>
              <w:spacing w:after="0"/>
              <w:rPr>
                <w:sz w:val="1"/>
                <w:szCs w:val="1"/>
                <w:color w:val="auto"/>
              </w:rPr>
            </w:pPr>
          </w:p>
        </w:tc>
      </w:tr>
      <w:tr>
        <w:trPr>
          <w:trHeight w:val="23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March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76,450</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5,211,678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(1,479,424)</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61,608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3,786,470</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8"/>
              </w:rPr>
              <w:t>3,862,920</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5"/>
                <w:szCs w:val="15"/>
                <w:color w:val="auto"/>
                <w:w w:val="97"/>
              </w:rPr>
              <w:t>Issuance of common stock and common OP</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9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5"/>
                <w:szCs w:val="15"/>
                <w:color w:val="auto"/>
              </w:rPr>
              <w:t>units, net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49</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628,506</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10,114</w:t>
            </w:r>
          </w:p>
        </w:tc>
        <w:tc>
          <w:tcPr>
            <w:tcW w:w="14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638,669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638,669</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Conversion of OP units</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rPr>
                <w:sz w:val="20"/>
                <w:szCs w:val="20"/>
                <w:color w:val="auto"/>
              </w:rPr>
            </w:pPr>
            <w:r>
              <w:rPr>
                <w:rFonts w:ascii="Arial" w:cs="Arial" w:eastAsia="Arial" w:hAnsi="Arial"/>
                <w:sz w:val="15"/>
                <w:szCs w:val="15"/>
                <w:color w:val="auto"/>
              </w:rPr>
              <w:t>Equity Interests - NG Sun LLC &amp; NG Sun</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5"/>
                <w:szCs w:val="15"/>
                <w:color w:val="auto"/>
              </w:rPr>
              <w:t>Whitewater LLC</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(641)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(67)</w:t>
            </w:r>
          </w:p>
        </w:tc>
        <w:tc>
          <w:tcPr>
            <w:tcW w:w="1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(708)</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Series F preferred OP units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8,965</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rPr>
                <w:sz w:val="20"/>
                <w:szCs w:val="20"/>
                <w:color w:val="auto"/>
              </w:rPr>
            </w:pPr>
            <w:r>
              <w:rPr>
                <w:rFonts w:ascii="Arial" w:cs="Arial" w:eastAsia="Arial" w:hAnsi="Arial"/>
                <w:sz w:val="15"/>
                <w:szCs w:val="15"/>
                <w:color w:val="auto"/>
                <w:w w:val="93"/>
              </w:rPr>
              <w:t>Share-based compensation - amortization and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5"/>
                <w:szCs w:val="15"/>
                <w:color w:val="auto"/>
              </w:rPr>
              <w:t>forfeitures</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7,284</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92</w:t>
            </w:r>
          </w:p>
        </w:tc>
        <w:tc>
          <w:tcPr>
            <w:tcW w:w="1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7,376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7,376</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3,850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3,872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3,872</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60,492</w:t>
            </w:r>
          </w:p>
        </w:tc>
        <w:tc>
          <w:tcPr>
            <w:tcW w:w="1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3,163</w:t>
            </w:r>
          </w:p>
        </w:tc>
        <w:tc>
          <w:tcPr>
            <w:tcW w:w="14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63,655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63,355</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(77,635)</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(2,971)</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(80,606)</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(81,098)</w:t>
            </w:r>
          </w:p>
        </w:tc>
        <w:tc>
          <w:tcPr>
            <w:tcW w:w="0" w:type="dxa"/>
            <w:vAlign w:val="bottom"/>
          </w:tcPr>
          <w:p>
            <w:pPr>
              <w:spacing w:after="0"/>
              <w:rPr>
                <w:sz w:val="1"/>
                <w:szCs w:val="1"/>
                <w:color w:val="auto"/>
              </w:rPr>
            </w:pPr>
          </w:p>
        </w:tc>
      </w:tr>
      <w:tr>
        <w:trPr>
          <w:trHeight w:val="214"/>
        </w:trPr>
        <w:tc>
          <w:tcPr>
            <w:tcW w:w="2920" w:type="dxa"/>
            <w:vAlign w:val="bottom"/>
          </w:tcPr>
          <w:p>
            <w:pPr>
              <w:ind w:left="20"/>
              <w:spacing w:after="0"/>
              <w:rPr>
                <w:sz w:val="20"/>
                <w:szCs w:val="20"/>
                <w:color w:val="auto"/>
              </w:rPr>
            </w:pPr>
            <w:r>
              <w:rPr>
                <w:rFonts w:ascii="Arial" w:cs="Arial" w:eastAsia="Arial" w:hAnsi="Arial"/>
                <w:sz w:val="15"/>
                <w:szCs w:val="15"/>
                <w:b w:val="1"/>
                <w:bCs w:val="1"/>
                <w:color w:val="auto"/>
              </w:rPr>
              <w:t>Balance at June 30,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83,982</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5,847,598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(1,496,542)</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(4,475)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71,805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4,419,369</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8"/>
              </w:rPr>
              <w:t>4,503,351</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20" w:type="dxa"/>
            <w:vAlign w:val="bottom"/>
            <w:shd w:val="clear" w:color="auto" w:fill="CCEEFF"/>
          </w:tcPr>
          <w:p>
            <w:pPr>
              <w:ind w:left="20"/>
              <w:spacing w:after="0" w:line="143" w:lineRule="exact"/>
              <w:rPr>
                <w:sz w:val="20"/>
                <w:szCs w:val="20"/>
                <w:color w:val="auto"/>
              </w:rPr>
            </w:pPr>
            <w:r>
              <w:rPr>
                <w:rFonts w:ascii="Arial" w:cs="Arial" w:eastAsia="Arial" w:hAnsi="Arial"/>
                <w:sz w:val="15"/>
                <w:szCs w:val="15"/>
                <w:color w:val="auto"/>
                <w:w w:val="97"/>
              </w:rPr>
              <w:t>Issuance of common stock and common OP</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units, net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(1,622)</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(1,622)</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5"/>
                <w:szCs w:val="15"/>
                <w:color w:val="auto"/>
              </w:rPr>
              <w:t>Conversion of OP units</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216</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(216)</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 Interests - NG Sun LLC &amp; NG Sun</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Whitewater LLC</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5"/>
                <w:szCs w:val="15"/>
                <w:color w:val="auto"/>
              </w:rPr>
              <w:t>Issuance of Series G preferred OP units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26,071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26,071</w:t>
            </w: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3"/>
              </w:rPr>
              <w:t>Share-based compensation - amortization and</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forfeitures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5,188</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5,251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5,251</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5"/>
                <w:szCs w:val="15"/>
                <w:color w:val="auto"/>
              </w:rPr>
              <w:t>Foreign currency translation</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2,249</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(103)</w:t>
            </w:r>
          </w:p>
        </w:tc>
        <w:tc>
          <w:tcPr>
            <w:tcW w:w="14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2,146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2,146</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82,849</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3,949</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86,798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89,756</w:t>
            </w:r>
          </w:p>
        </w:tc>
        <w:tc>
          <w:tcPr>
            <w:tcW w:w="0" w:type="dxa"/>
            <w:vAlign w:val="bottom"/>
          </w:tcPr>
          <w:p>
            <w:pPr>
              <w:spacing w:after="0"/>
              <w:rPr>
                <w:sz w:val="1"/>
                <w:szCs w:val="1"/>
                <w:color w:val="auto"/>
              </w:rPr>
            </w:pPr>
          </w:p>
        </w:tc>
      </w:tr>
      <w:tr>
        <w:trPr>
          <w:trHeight w:val="212"/>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Distributions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(77,641)</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(2,988)</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(80,629)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(81,158)</w:t>
            </w:r>
          </w:p>
        </w:tc>
        <w:tc>
          <w:tcPr>
            <w:tcW w:w="0" w:type="dxa"/>
            <w:vAlign w:val="bottom"/>
          </w:tcPr>
          <w:p>
            <w:pPr>
              <w:spacing w:after="0"/>
              <w:rPr>
                <w:sz w:val="1"/>
                <w:szCs w:val="1"/>
                <w:color w:val="auto"/>
              </w:rPr>
            </w:pPr>
          </w:p>
        </w:tc>
      </w:tr>
      <w:tr>
        <w:trPr>
          <w:trHeight w:val="23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September 30,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112,549</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5,851,380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(1,491,338)</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72,447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4,431,246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8"/>
              </w:rPr>
              <w:t>4,543,795</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w w:val="93"/>
              </w:rPr>
              <w:t>Additional</w:t>
            </w:r>
          </w:p>
        </w:tc>
        <w:tc>
          <w:tcPr>
            <w:tcW w:w="10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Distributions in</w:t>
            </w: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3"/>
                <w:szCs w:val="13"/>
                <w:color w:val="auto"/>
              </w:rPr>
            </w:pPr>
          </w:p>
        </w:tc>
        <w:tc>
          <w:tcPr>
            <w:tcW w:w="80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Temporary</w:t>
            </w:r>
          </w:p>
        </w:tc>
        <w:tc>
          <w:tcPr>
            <w:tcW w:w="120" w:type="dxa"/>
            <w:vAlign w:val="bottom"/>
          </w:tcPr>
          <w:p>
            <w:pPr>
              <w:spacing w:after="0"/>
              <w:rPr>
                <w:sz w:val="12"/>
                <w:szCs w:val="12"/>
                <w:color w:val="auto"/>
              </w:rPr>
            </w:pPr>
          </w:p>
        </w:tc>
        <w:tc>
          <w:tcPr>
            <w:tcW w:w="66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5"/>
              </w:rPr>
              <w:t>Excess of</w:t>
            </w: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64"/>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9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140" w:type="dxa"/>
            <w:vAlign w:val="bottom"/>
          </w:tcPr>
          <w:p>
            <w:pPr>
              <w:jc w:val="right"/>
              <w:ind w:right="64"/>
              <w:spacing w:after="0" w:line="149" w:lineRule="exact"/>
              <w:rPr>
                <w:sz w:val="20"/>
                <w:szCs w:val="20"/>
                <w:color w:val="auto"/>
              </w:rPr>
            </w:pPr>
            <w:r>
              <w:rPr>
                <w:rFonts w:ascii="Arial" w:cs="Arial" w:eastAsia="Arial" w:hAnsi="Arial"/>
                <w:sz w:val="14"/>
                <w:szCs w:val="14"/>
                <w:b w:val="1"/>
                <w:bCs w:val="1"/>
                <w:color w:val="auto"/>
                <w:w w:val="93"/>
              </w:rPr>
              <w:t>Comprehensive</w:t>
            </w:r>
          </w:p>
        </w:tc>
        <w:tc>
          <w:tcPr>
            <w:tcW w:w="120" w:type="dxa"/>
            <w:vAlign w:val="bottom"/>
          </w:tcPr>
          <w:p>
            <w:pPr>
              <w:spacing w:after="0"/>
              <w:rPr>
                <w:sz w:val="12"/>
                <w:szCs w:val="12"/>
                <w:color w:val="auto"/>
              </w:rPr>
            </w:pPr>
          </w:p>
        </w:tc>
        <w:tc>
          <w:tcPr>
            <w:tcW w:w="8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940" w:type="dxa"/>
            <w:vAlign w:val="bottom"/>
            <w:gridSpan w:val="2"/>
            <w:vMerge w:val="restart"/>
          </w:tcPr>
          <w:p>
            <w:pPr>
              <w:jc w:val="right"/>
              <w:ind w:right="4"/>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660" w:type="dxa"/>
            <w:vAlign w:val="bottom"/>
          </w:tcPr>
          <w:p>
            <w:pPr>
              <w:jc w:val="right"/>
              <w:ind w:right="124"/>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800" w:type="dxa"/>
            <w:vAlign w:val="bottom"/>
          </w:tcPr>
          <w:p>
            <w:pPr>
              <w:jc w:val="right"/>
              <w:ind w:right="164"/>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960" w:type="dxa"/>
            <w:vAlign w:val="bottom"/>
          </w:tcPr>
          <w:p>
            <w:pPr>
              <w:jc w:val="center"/>
              <w:ind w:right="4"/>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1140" w:type="dxa"/>
            <w:vAlign w:val="bottom"/>
          </w:tcPr>
          <w:p>
            <w:pPr>
              <w:jc w:val="right"/>
              <w:ind w:right="404"/>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800" w:type="dxa"/>
            <w:vAlign w:val="bottom"/>
          </w:tcPr>
          <w:p>
            <w:pPr>
              <w:jc w:val="center"/>
              <w:ind w:right="24"/>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63,592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4,398,949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(1,288,486)</w:t>
            </w: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60,499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3,167,322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8"/>
              </w:rPr>
              <w:t>3,230,914</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rPr>
                <w:sz w:val="20"/>
                <w:szCs w:val="20"/>
                <w:color w:val="auto"/>
              </w:rPr>
            </w:pPr>
            <w:r>
              <w:rPr>
                <w:rFonts w:ascii="Arial" w:cs="Arial" w:eastAsia="Arial" w:hAnsi="Arial"/>
                <w:sz w:val="15"/>
                <w:szCs w:val="15"/>
                <w:color w:val="auto"/>
                <w:w w:val="97"/>
              </w:rPr>
              <w:t>Issuance of common stock and common OP</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5"/>
                <w:szCs w:val="15"/>
                <w:color w:val="auto"/>
              </w:rPr>
              <w:t>units, net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(4,322)</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(4,321)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(4,321)</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Conversion of OP units</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5"/>
                <w:szCs w:val="15"/>
                <w:color w:val="auto"/>
              </w:rPr>
              <w:t>Equity Interests - NG Sun LLC</w:t>
            </w:r>
          </w:p>
        </w:tc>
        <w:tc>
          <w:tcPr>
            <w:tcW w:w="10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(65)</w:t>
            </w:r>
          </w:p>
        </w:tc>
        <w:tc>
          <w:tcPr>
            <w:tcW w:w="1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(191)</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3"/>
              </w:rPr>
              <w:t>Share-based compensation - amortization and</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forfeitures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3,719</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3,793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3,793</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5"/>
                <w:szCs w:val="15"/>
                <w:color w:val="auto"/>
              </w:rPr>
              <w:t>Issuance of Series D OP units</w:t>
            </w:r>
          </w:p>
        </w:tc>
        <w:tc>
          <w:tcPr>
            <w:tcW w:w="10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51,930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51,930</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1,498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1,575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1,575</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36,086</w:t>
            </w:r>
          </w:p>
        </w:tc>
        <w:tc>
          <w:tcPr>
            <w:tcW w:w="1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863</w:t>
            </w:r>
          </w:p>
        </w:tc>
        <w:tc>
          <w:tcPr>
            <w:tcW w:w="14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36,949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37,127</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(65,214)</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(2,954)</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(68,153)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(68,681)</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5"/>
                <w:szCs w:val="15"/>
                <w:b w:val="1"/>
                <w:bCs w:val="1"/>
                <w:color w:val="auto"/>
              </w:rPr>
              <w:t>Balance at March 31, 2019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115,428</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4,398,641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(1,317,605)</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58,014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3,136,909</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8"/>
              </w:rPr>
              <w:t>3,252,337</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20" w:type="dxa"/>
            <w:vAlign w:val="bottom"/>
            <w:shd w:val="clear" w:color="auto" w:fill="CCEEFF"/>
          </w:tcPr>
          <w:p>
            <w:pPr>
              <w:ind w:left="20"/>
              <w:spacing w:after="0" w:line="143" w:lineRule="exact"/>
              <w:rPr>
                <w:sz w:val="20"/>
                <w:szCs w:val="20"/>
                <w:color w:val="auto"/>
              </w:rPr>
            </w:pPr>
            <w:r>
              <w:rPr>
                <w:rFonts w:ascii="Arial" w:cs="Arial" w:eastAsia="Arial" w:hAnsi="Arial"/>
                <w:sz w:val="15"/>
                <w:szCs w:val="15"/>
                <w:color w:val="auto"/>
                <w:w w:val="97"/>
              </w:rPr>
              <w:t>Issuance of common stock and common OP</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units, net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447,704</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447,741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447,741</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5"/>
                <w:szCs w:val="15"/>
                <w:color w:val="auto"/>
              </w:rPr>
              <w:t>Conversion of OP units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w:t>
            </w:r>
          </w:p>
        </w:tc>
        <w:tc>
          <w:tcPr>
            <w:tcW w:w="16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242</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(135)</w:t>
            </w:r>
          </w:p>
        </w:tc>
        <w:tc>
          <w:tcPr>
            <w:tcW w:w="14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112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Conversion of Series A-4 preferred stock</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5"/>
                <w:szCs w:val="15"/>
                <w:color w:val="auto"/>
              </w:rPr>
              <w:t>Equity Interests - NG Sun LLC</w:t>
            </w:r>
          </w:p>
        </w:tc>
        <w:tc>
          <w:tcPr>
            <w:tcW w:w="10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(308)</w:t>
            </w:r>
          </w:p>
        </w:tc>
        <w:tc>
          <w:tcPr>
            <w:tcW w:w="1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191</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3"/>
              </w:rPr>
              <w:t>Share-based compensation - amortization and</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forfeitures</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4,414</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4,498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4,498</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5"/>
                <w:szCs w:val="15"/>
                <w:color w:val="auto"/>
              </w:rPr>
              <w:t>Foreign currency translation</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1,822</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91</w:t>
            </w:r>
          </w:p>
        </w:tc>
        <w:tc>
          <w:tcPr>
            <w:tcW w:w="14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1,913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1,913</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42,531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2,570</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45,101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45,116</w:t>
            </w:r>
          </w:p>
        </w:tc>
        <w:tc>
          <w:tcPr>
            <w:tcW w:w="0" w:type="dxa"/>
            <w:vAlign w:val="bottom"/>
          </w:tcPr>
          <w:p>
            <w:pPr>
              <w:spacing w:after="0"/>
              <w:rPr>
                <w:sz w:val="1"/>
                <w:szCs w:val="1"/>
                <w:color w:val="auto"/>
              </w:rPr>
            </w:pPr>
          </w:p>
        </w:tc>
      </w:tr>
      <w:tr>
        <w:trPr>
          <w:trHeight w:val="212"/>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Distributions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(68,494)</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(2,642)</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(71,151)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(71,709)</w:t>
            </w:r>
          </w:p>
        </w:tc>
        <w:tc>
          <w:tcPr>
            <w:tcW w:w="0" w:type="dxa"/>
            <w:vAlign w:val="bottom"/>
          </w:tcPr>
          <w:p>
            <w:pPr>
              <w:spacing w:after="0"/>
              <w:rPr>
                <w:sz w:val="1"/>
                <w:szCs w:val="1"/>
                <w:color w:val="auto"/>
              </w:rPr>
            </w:pPr>
          </w:p>
        </w:tc>
      </w:tr>
      <w:tr>
        <w:trPr>
          <w:trHeight w:val="239"/>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June 30, 2019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114,553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4,851,323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(1,343,792)</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58,089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3,565,343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8"/>
              </w:rPr>
              <w:t>3,679,896</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5"/>
                <w:szCs w:val="15"/>
                <w:color w:val="auto"/>
                <w:w w:val="97"/>
              </w:rPr>
              <w:t>Issuance of common stock and common OP</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5"/>
                <w:szCs w:val="15"/>
                <w:color w:val="auto"/>
              </w:rPr>
              <w:t>units, net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(1,549)</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(1,549)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(1,549)</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Conversion of OP units</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884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rPr>
                <w:sz w:val="20"/>
                <w:szCs w:val="20"/>
                <w:color w:val="auto"/>
              </w:rPr>
            </w:pPr>
            <w:r>
              <w:rPr>
                <w:rFonts w:ascii="Arial" w:cs="Arial" w:eastAsia="Arial" w:hAnsi="Arial"/>
                <w:sz w:val="15"/>
                <w:szCs w:val="15"/>
                <w:color w:val="auto"/>
              </w:rPr>
              <w:t>Equity Interests - NG Sun LLC &amp; NG Sun</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20" w:type="dxa"/>
            <w:vAlign w:val="bottom"/>
          </w:tcPr>
          <w:p>
            <w:pPr>
              <w:ind w:left="20"/>
              <w:spacing w:after="0"/>
              <w:rPr>
                <w:sz w:val="20"/>
                <w:szCs w:val="20"/>
                <w:color w:val="auto"/>
              </w:rPr>
            </w:pPr>
            <w:r>
              <w:rPr>
                <w:rFonts w:ascii="Arial" w:cs="Arial" w:eastAsia="Arial" w:hAnsi="Arial"/>
                <w:sz w:val="15"/>
                <w:szCs w:val="15"/>
                <w:color w:val="auto"/>
              </w:rPr>
              <w:t>Whitewater LLC</w:t>
            </w:r>
          </w:p>
        </w:tc>
        <w:tc>
          <w:tcPr>
            <w:tcW w:w="10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3,192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(93)</w:t>
            </w:r>
          </w:p>
        </w:tc>
        <w:tc>
          <w:tcPr>
            <w:tcW w:w="1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3,099</w:t>
            </w:r>
          </w:p>
        </w:tc>
        <w:tc>
          <w:tcPr>
            <w:tcW w:w="0" w:type="dxa"/>
            <w:vAlign w:val="bottom"/>
          </w:tcPr>
          <w:p>
            <w:pPr>
              <w:spacing w:after="0"/>
              <w:rPr>
                <w:sz w:val="1"/>
                <w:szCs w:val="1"/>
                <w:color w:val="auto"/>
              </w:rPr>
            </w:pPr>
          </w:p>
        </w:tc>
      </w:tr>
      <w:tr>
        <w:trPr>
          <w:trHeight w:val="220"/>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(1,717)</w:t>
            </w:r>
          </w:p>
        </w:tc>
        <w:tc>
          <w:tcPr>
            <w:tcW w:w="0" w:type="dxa"/>
            <w:vAlign w:val="bottom"/>
          </w:tcPr>
          <w:p>
            <w:pPr>
              <w:spacing w:after="0"/>
              <w:rPr>
                <w:sz w:val="1"/>
                <w:szCs w:val="1"/>
                <w:color w:val="auto"/>
              </w:rPr>
            </w:pPr>
          </w:p>
        </w:tc>
      </w:tr>
      <w:tr>
        <w:trPr>
          <w:trHeight w:val="212"/>
        </w:trPr>
        <w:tc>
          <w:tcPr>
            <w:tcW w:w="292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2,533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59,028</w:t>
            </w:r>
          </w:p>
        </w:tc>
        <w:tc>
          <w:tcPr>
            <w:tcW w:w="14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2,890</w:t>
            </w:r>
          </w:p>
        </w:tc>
        <w:tc>
          <w:tcPr>
            <w:tcW w:w="14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Arial" w:cs="Arial" w:eastAsia="Arial" w:hAnsi="Arial"/>
                <w:sz w:val="15"/>
                <w:szCs w:val="15"/>
                <w:color w:val="auto"/>
              </w:rPr>
              <w:t>61,918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64,451</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(68,439)</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(2,625)</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(71,064)</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(71,691)</w:t>
            </w:r>
          </w:p>
        </w:tc>
        <w:tc>
          <w:tcPr>
            <w:tcW w:w="0" w:type="dxa"/>
            <w:vAlign w:val="bottom"/>
          </w:tcPr>
          <w:p>
            <w:pPr>
              <w:spacing w:after="0"/>
              <w:rPr>
                <w:sz w:val="1"/>
                <w:szCs w:val="1"/>
                <w:color w:val="auto"/>
              </w:rPr>
            </w:pPr>
          </w:p>
        </w:tc>
      </w:tr>
      <w:tr>
        <w:trPr>
          <w:trHeight w:val="214"/>
        </w:trPr>
        <w:tc>
          <w:tcPr>
            <w:tcW w:w="2920" w:type="dxa"/>
            <w:vAlign w:val="bottom"/>
          </w:tcPr>
          <w:p>
            <w:pPr>
              <w:ind w:left="20"/>
              <w:spacing w:after="0"/>
              <w:rPr>
                <w:sz w:val="20"/>
                <w:szCs w:val="20"/>
                <w:color w:val="auto"/>
              </w:rPr>
            </w:pPr>
            <w:r>
              <w:rPr>
                <w:rFonts w:ascii="Arial" w:cs="Arial" w:eastAsia="Arial" w:hAnsi="Arial"/>
                <w:sz w:val="15"/>
                <w:szCs w:val="15"/>
                <w:b w:val="1"/>
                <w:bCs w:val="1"/>
                <w:color w:val="auto"/>
              </w:rPr>
              <w:t>Balance at September 30, 2019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119,651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4,854,958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(1,353,214)</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57,394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3,557,220</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8"/>
              </w:rPr>
              <w:t>3,676,871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50"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Sun Communities, Inc., a Maryland corporation, and all wholly-owned or majority-owned and controlled subsidiaries, including Sun Communities Operating Limited Partnership (the “Operating Partnership”) and Sun Home Services, Inc. (“SHS”) are referred to herein as the “Company,” “us,” “we,” and “our.”</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follow accounting standards set by the Financial Accounting Standards Board (“FASB”). FASB establishes accounting principles generally accepted in the United States of America (“GAAP”), which we follow to ensure that we consistently report our financial condition, results of operations, and cash flows. References to GAAP issued by the FASB in these footnotes are to the FASB Accounting Standards Codification (“ASC”).</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unaudited Consolidated Financial Statements have been prepared pursuant to the rules and regulations of the Securities and Exchange Commission (“SEC”) for interim financial information and in accordance with GAAP. We present interim disclosures and certain information and footnote disclosures as required by SEC rules and regulations. Accordingly, the unaudited Consolidated Financial Statements do not include all of the information and footnotes required by GAAP for complete financial statements. The accompanying unaudited Consolidated Financial Statements reflect, in the opinion of management, all adjustments, including adjustments of a normal and recurring nature, necessary for a fair presentation of the interim financial statements. All intercompany transactions have been eliminated in consolidation. Certain reclassifications have been made to prior period financial statements in order to conform to current period presentation.</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Estimates inherent in the current financial reporting process inevitably involve assumptions about future events. Since December 2019, a novel strain of coronavirus, referred to as the COVID-19 virus, has spread to countries in which we operate. COVID-19 has become a global pandemic. Commencing in March 2020, authorities in jurisdictions where our properties are located have issued restrictions on travel and the types of businesses that may continue to operate. Our property site count consists of 65 percent manufactured housing (“MH”) for residents and 35 percent recreational vehicle (“RV”) for guests. All of our RV resorts are now open, however government regulations may limit the amenities available at any given park. The extent and duration of the travel and business restrictions will have an effect on estimates used in the preparation of financial statements. This includes the net operating income (“NOI”) assumptions in our long-lived asset impairment testing, the ultimate collectability of rent payments from residents and guests due to the effects of COVID-19 on their financial position, and fair value measurement changes for financial assets that we have elected to measure at fair value.</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results of operations for interim periods are not necessarily indicative of results that may be expected for any other interim period or for the full year. These unaudited Consolidated Financial Statements should be read in conjunction with the Consolidated Financial Statements and notes thereto included in our Annual Report on Form 10-K for the year ended December 31, 2019 as filed with the SEC on February 20, 2020 (our “2019 Annual Report”). These statements have been prepared on a basis that is substantially consistent with the accounting principles applied in our 2019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7" w:lineRule="exact"/>
        <w:rPr>
          <w:sz w:val="20"/>
          <w:szCs w:val="20"/>
          <w:color w:val="auto"/>
        </w:rPr>
      </w:pPr>
    </w:p>
    <w:p>
      <w:pPr>
        <w:ind w:right="9260" w:firstLine="8"/>
        <w:spacing w:after="0" w:line="347"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 </w:t>
      </w:r>
      <w:r>
        <w:rPr>
          <w:rFonts w:ascii="Arial" w:cs="Arial" w:eastAsia="Arial" w:hAnsi="Arial"/>
          <w:sz w:val="16"/>
          <w:szCs w:val="16"/>
          <w:i w:val="1"/>
          <w:iCs w:val="1"/>
          <w:color w:val="auto"/>
        </w:rPr>
        <w:t>Disaggregation of Revenue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details our revenue by major source (in thousands):</w:t>
      </w: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jc w:val="right"/>
              <w:ind w:right="504"/>
              <w:spacing w:after="0"/>
              <w:rPr>
                <w:sz w:val="20"/>
                <w:szCs w:val="20"/>
                <w:color w:val="auto"/>
              </w:rPr>
            </w:pPr>
            <w:r>
              <w:rPr>
                <w:rFonts w:ascii="Arial" w:cs="Arial" w:eastAsia="Arial" w:hAnsi="Arial"/>
                <w:sz w:val="15"/>
                <w:szCs w:val="15"/>
                <w:b w:val="1"/>
                <w:bCs w:val="1"/>
                <w:color w:val="auto"/>
              </w:rPr>
              <w:t>Three Months Ended</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09"/>
        </w:trPr>
        <w:tc>
          <w:tcPr>
            <w:tcW w:w="3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5"/>
                <w:szCs w:val="15"/>
                <w:b w:val="1"/>
                <w:bCs w:val="1"/>
                <w:color w:val="auto"/>
                <w:w w:val="91"/>
              </w:rPr>
              <w:t>September 30, 2020</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5"/>
                <w:szCs w:val="15"/>
                <w:b w:val="1"/>
                <w:bCs w:val="1"/>
                <w:color w:val="auto"/>
                <w:w w:val="94"/>
              </w:rPr>
              <w:t>September 30, 2019</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69"/>
        </w:trPr>
        <w:tc>
          <w:tcPr>
            <w:tcW w:w="3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ind w:left="40"/>
              <w:spacing w:after="0" w:line="169" w:lineRule="exact"/>
              <w:rPr>
                <w:sz w:val="20"/>
                <w:szCs w:val="20"/>
                <w:color w:val="auto"/>
              </w:rPr>
            </w:pPr>
            <w:r>
              <w:rPr>
                <w:rFonts w:ascii="Arial" w:cs="Arial" w:eastAsia="Arial" w:hAnsi="Arial"/>
                <w:sz w:val="15"/>
                <w:szCs w:val="15"/>
                <w:b w:val="1"/>
                <w:bCs w:val="1"/>
                <w:color w:val="auto"/>
              </w:rPr>
              <w:t>Home Sales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Home Sales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0"/>
        </w:trPr>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3"/>
              </w:rPr>
              <w:t>Operations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ind w:left="20"/>
              <w:spacing w:after="0"/>
              <w:rPr>
                <w:sz w:val="20"/>
                <w:szCs w:val="20"/>
                <w:color w:val="auto"/>
              </w:rPr>
            </w:pPr>
            <w:r>
              <w:rPr>
                <w:rFonts w:ascii="Arial" w:cs="Arial" w:eastAsia="Arial" w:hAnsi="Arial"/>
                <w:sz w:val="15"/>
                <w:szCs w:val="15"/>
                <w:b w:val="1"/>
                <w:bCs w:val="1"/>
                <w:color w:val="auto"/>
              </w:rPr>
              <w:t>and Rentals</w:t>
            </w:r>
          </w:p>
        </w:tc>
        <w:tc>
          <w:tcPr>
            <w:tcW w:w="100" w:type="dxa"/>
            <w:vAlign w:val="bottom"/>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Arial" w:cs="Arial" w:eastAsia="Arial" w:hAnsi="Arial"/>
                <w:sz w:val="15"/>
                <w:szCs w:val="15"/>
                <w:b w:val="1"/>
                <w:bCs w:val="1"/>
                <w:color w:val="auto"/>
              </w:rPr>
              <w:t>Consolidated</w:t>
            </w: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5"/>
                <w:szCs w:val="15"/>
                <w:b w:val="1"/>
                <w:bCs w:val="1"/>
                <w:color w:val="auto"/>
                <w:w w:val="90"/>
              </w:rPr>
              <w:t>Operations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5"/>
                <w:szCs w:val="15"/>
                <w:b w:val="1"/>
                <w:bCs w:val="1"/>
                <w:color w:val="auto"/>
              </w:rPr>
              <w:t>and Rentals</w:t>
            </w:r>
          </w:p>
        </w:tc>
        <w:tc>
          <w:tcPr>
            <w:tcW w:w="120" w:type="dxa"/>
            <w:vAlign w:val="bottom"/>
          </w:tcPr>
          <w:p>
            <w:pPr>
              <w:spacing w:after="0"/>
              <w:rPr>
                <w:sz w:val="17"/>
                <w:szCs w:val="17"/>
                <w:color w:val="auto"/>
              </w:rPr>
            </w:pPr>
          </w:p>
        </w:tc>
        <w:tc>
          <w:tcPr>
            <w:tcW w:w="1040" w:type="dxa"/>
            <w:vAlign w:val="bottom"/>
          </w:tcPr>
          <w:p>
            <w:pPr>
              <w:jc w:val="right"/>
              <w:ind w:right="84"/>
              <w:spacing w:after="0"/>
              <w:rPr>
                <w:sz w:val="20"/>
                <w:szCs w:val="20"/>
                <w:color w:val="auto"/>
              </w:rPr>
            </w:pPr>
            <w:r>
              <w:rPr>
                <w:rFonts w:ascii="Arial" w:cs="Arial" w:eastAsia="Arial" w:hAnsi="Arial"/>
                <w:sz w:val="15"/>
                <w:szCs w:val="15"/>
                <w:b w:val="1"/>
                <w:bCs w:val="1"/>
                <w:color w:val="auto"/>
                <w:w w:val="90"/>
              </w:rPr>
              <w:t>Consolidated</w:t>
            </w:r>
          </w:p>
        </w:tc>
      </w:tr>
      <w:tr>
        <w:trPr>
          <w:trHeight w:val="198"/>
        </w:trPr>
        <w:tc>
          <w:tcPr>
            <w:tcW w:w="3620" w:type="dxa"/>
            <w:vAlign w:val="bottom"/>
            <w:gridSpan w:val="2"/>
          </w:tcPr>
          <w:p>
            <w:pPr>
              <w:ind w:left="20"/>
              <w:spacing w:after="0"/>
              <w:rPr>
                <w:sz w:val="20"/>
                <w:szCs w:val="20"/>
                <w:color w:val="auto"/>
              </w:rPr>
            </w:pPr>
            <w:r>
              <w:rPr>
                <w:rFonts w:ascii="Arial" w:cs="Arial" w:eastAsia="Arial" w:hAnsi="Arial"/>
                <w:sz w:val="15"/>
                <w:szCs w:val="15"/>
                <w:b w:val="1"/>
                <w:bCs w:val="1"/>
                <w:color w:val="auto"/>
              </w:rPr>
              <w:t>Revenues</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20"/>
        </w:trPr>
        <w:tc>
          <w:tcPr>
            <w:tcW w:w="36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Income from real property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284,373</w:t>
            </w:r>
          </w:p>
        </w:tc>
        <w:tc>
          <w:tcPr>
            <w:tcW w:w="28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284,373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251,163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251,163</w:t>
            </w:r>
          </w:p>
        </w:tc>
      </w:tr>
      <w:tr>
        <w:trPr>
          <w:trHeight w:val="212"/>
        </w:trPr>
        <w:tc>
          <w:tcPr>
            <w:tcW w:w="3620" w:type="dxa"/>
            <w:vAlign w:val="bottom"/>
            <w:gridSpan w:val="2"/>
          </w:tcPr>
          <w:p>
            <w:pPr>
              <w:ind w:left="200"/>
              <w:spacing w:after="0"/>
              <w:rPr>
                <w:sz w:val="20"/>
                <w:szCs w:val="20"/>
                <w:color w:val="auto"/>
              </w:rPr>
            </w:pPr>
            <w:r>
              <w:rPr>
                <w:rFonts w:ascii="Arial" w:cs="Arial" w:eastAsia="Arial" w:hAnsi="Arial"/>
                <w:sz w:val="15"/>
                <w:szCs w:val="15"/>
                <w:color w:val="auto"/>
              </w:rPr>
              <w:t>Revenue from home sales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47,662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47,662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49,805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49,805</w:t>
            </w:r>
          </w:p>
        </w:tc>
      </w:tr>
      <w:tr>
        <w:trPr>
          <w:trHeight w:val="220"/>
        </w:trPr>
        <w:tc>
          <w:tcPr>
            <w:tcW w:w="36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Rental home revenue</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16,171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14,444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14,444</w:t>
            </w:r>
          </w:p>
        </w:tc>
      </w:tr>
      <w:tr>
        <w:trPr>
          <w:trHeight w:val="212"/>
        </w:trPr>
        <w:tc>
          <w:tcPr>
            <w:tcW w:w="3620" w:type="dxa"/>
            <w:vAlign w:val="bottom"/>
            <w:gridSpan w:val="2"/>
          </w:tcPr>
          <w:p>
            <w:pPr>
              <w:ind w:left="200"/>
              <w:spacing w:after="0"/>
              <w:rPr>
                <w:sz w:val="20"/>
                <w:szCs w:val="20"/>
                <w:color w:val="auto"/>
              </w:rPr>
            </w:pPr>
            <w:r>
              <w:rPr>
                <w:rFonts w:ascii="Arial" w:cs="Arial" w:eastAsia="Arial" w:hAnsi="Arial"/>
                <w:sz w:val="15"/>
                <w:szCs w:val="15"/>
                <w:color w:val="auto"/>
              </w:rPr>
              <w:t>Ancillary revenue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43,803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43,803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37,259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37,259</w:t>
            </w:r>
          </w:p>
        </w:tc>
      </w:tr>
      <w:tr>
        <w:trPr>
          <w:trHeight w:val="220"/>
        </w:trPr>
        <w:tc>
          <w:tcPr>
            <w:tcW w:w="36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Interest income</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2,624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4,770</w:t>
            </w:r>
          </w:p>
        </w:tc>
      </w:tr>
      <w:tr>
        <w:trPr>
          <w:trHeight w:val="212"/>
        </w:trPr>
        <w:tc>
          <w:tcPr>
            <w:tcW w:w="362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Brokerage commissions and other revenues, net</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5,881</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5,881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5,002</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5,002</w:t>
            </w:r>
          </w:p>
        </w:tc>
      </w:tr>
      <w:tr>
        <w:trPr>
          <w:trHeight w:val="233"/>
        </w:trPr>
        <w:tc>
          <w:tcPr>
            <w:tcW w:w="36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5"/>
                <w:szCs w:val="15"/>
                <w:b w:val="1"/>
                <w:bCs w:val="1"/>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336,681</w:t>
            </w:r>
          </w:p>
        </w:tc>
        <w:tc>
          <w:tcPr>
            <w:tcW w:w="60" w:type="dxa"/>
            <w:vAlign w:val="bottom"/>
            <w:tcBorders>
              <w:bottom w:val="single" w:sz="8" w:color="auto"/>
            </w:tcBorders>
            <w:gridSpan w:val="2"/>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63,833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400,514</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298,194</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64,249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362,443</w:t>
            </w:r>
          </w:p>
        </w:tc>
      </w:tr>
      <w:tr>
        <w:trPr>
          <w:trHeight w:val="20"/>
        </w:trPr>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64"/>
        </w:trPr>
        <w:tc>
          <w:tcPr>
            <w:tcW w:w="3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ind w:right="544"/>
              <w:spacing w:after="0"/>
              <w:rPr>
                <w:sz w:val="20"/>
                <w:szCs w:val="20"/>
                <w:color w:val="auto"/>
              </w:rPr>
            </w:pPr>
            <w:r>
              <w:rPr>
                <w:rFonts w:ascii="Arial" w:cs="Arial" w:eastAsia="Arial" w:hAnsi="Arial"/>
                <w:sz w:val="15"/>
                <w:szCs w:val="15"/>
                <w:b w:val="1"/>
                <w:bCs w:val="1"/>
                <w:color w:val="auto"/>
              </w:rPr>
              <w:t>Nine Months Ended</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9"/>
        </w:trPr>
        <w:tc>
          <w:tcPr>
            <w:tcW w:w="3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5"/>
                <w:szCs w:val="15"/>
                <w:b w:val="1"/>
                <w:bCs w:val="1"/>
                <w:color w:val="auto"/>
                <w:w w:val="91"/>
              </w:rPr>
              <w:t>September 30, 2020</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5"/>
                <w:szCs w:val="15"/>
                <w:b w:val="1"/>
                <w:bCs w:val="1"/>
                <w:color w:val="auto"/>
                <w:w w:val="94"/>
              </w:rPr>
              <w:t>September 30, 2019</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69"/>
        </w:trPr>
        <w:tc>
          <w:tcPr>
            <w:tcW w:w="3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4"/>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260"/>
              <w:spacing w:after="0" w:line="169" w:lineRule="exact"/>
              <w:rPr>
                <w:sz w:val="20"/>
                <w:szCs w:val="20"/>
                <w:color w:val="auto"/>
              </w:rPr>
            </w:pPr>
            <w:r>
              <w:rPr>
                <w:rFonts w:ascii="Arial" w:cs="Arial" w:eastAsia="Arial" w:hAnsi="Arial"/>
                <w:sz w:val="15"/>
                <w:szCs w:val="15"/>
                <w:b w:val="1"/>
                <w:bCs w:val="1"/>
                <w:color w:val="auto"/>
                <w:w w:val="89"/>
              </w:rPr>
              <w:t>Home Sales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Home Sales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2"/>
        </w:trPr>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4"/>
              <w:spacing w:after="0"/>
              <w:rPr>
                <w:sz w:val="20"/>
                <w:szCs w:val="20"/>
                <w:color w:val="auto"/>
              </w:rPr>
            </w:pPr>
            <w:r>
              <w:rPr>
                <w:rFonts w:ascii="Arial" w:cs="Arial" w:eastAsia="Arial" w:hAnsi="Arial"/>
                <w:sz w:val="15"/>
                <w:szCs w:val="15"/>
                <w:b w:val="1"/>
                <w:bCs w:val="1"/>
                <w:color w:val="auto"/>
                <w:w w:val="90"/>
              </w:rPr>
              <w:t>Operations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91"/>
              </w:rPr>
              <w:t>and Rentals</w:t>
            </w:r>
          </w:p>
        </w:tc>
        <w:tc>
          <w:tcPr>
            <w:tcW w:w="10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Arial" w:cs="Arial" w:eastAsia="Arial" w:hAnsi="Arial"/>
                <w:sz w:val="15"/>
                <w:szCs w:val="15"/>
                <w:b w:val="1"/>
                <w:bCs w:val="1"/>
                <w:color w:val="auto"/>
              </w:rPr>
              <w:t>Consolidated</w:t>
            </w:r>
          </w:p>
        </w:tc>
        <w:tc>
          <w:tcPr>
            <w:tcW w:w="120" w:type="dxa"/>
            <w:vAlign w:val="bottom"/>
          </w:tcPr>
          <w:p>
            <w:pPr>
              <w:spacing w:after="0"/>
              <w:rPr>
                <w:sz w:val="17"/>
                <w:szCs w:val="17"/>
                <w:color w:val="auto"/>
              </w:rPr>
            </w:pPr>
          </w:p>
        </w:tc>
        <w:tc>
          <w:tcPr>
            <w:tcW w:w="1060" w:type="dxa"/>
            <w:vAlign w:val="bottom"/>
          </w:tcPr>
          <w:p>
            <w:pPr>
              <w:jc w:val="center"/>
              <w:ind w:right="4"/>
              <w:spacing w:after="0"/>
              <w:rPr>
                <w:sz w:val="20"/>
                <w:szCs w:val="20"/>
                <w:color w:val="auto"/>
              </w:rPr>
            </w:pPr>
            <w:r>
              <w:rPr>
                <w:rFonts w:ascii="Arial" w:cs="Arial" w:eastAsia="Arial" w:hAnsi="Arial"/>
                <w:sz w:val="15"/>
                <w:szCs w:val="15"/>
                <w:b w:val="1"/>
                <w:bCs w:val="1"/>
                <w:color w:val="auto"/>
                <w:w w:val="93"/>
              </w:rPr>
              <w:t>Operations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5"/>
                <w:szCs w:val="15"/>
                <w:b w:val="1"/>
                <w:bCs w:val="1"/>
                <w:color w:val="auto"/>
              </w:rPr>
              <w:t>and Rentals</w:t>
            </w:r>
          </w:p>
        </w:tc>
        <w:tc>
          <w:tcPr>
            <w:tcW w:w="120" w:type="dxa"/>
            <w:vAlign w:val="bottom"/>
          </w:tcPr>
          <w:p>
            <w:pPr>
              <w:spacing w:after="0"/>
              <w:rPr>
                <w:sz w:val="17"/>
                <w:szCs w:val="17"/>
                <w:color w:val="auto"/>
              </w:rPr>
            </w:pPr>
          </w:p>
        </w:tc>
        <w:tc>
          <w:tcPr>
            <w:tcW w:w="1040" w:type="dxa"/>
            <w:vAlign w:val="bottom"/>
          </w:tcPr>
          <w:p>
            <w:pPr>
              <w:jc w:val="right"/>
              <w:ind w:right="84"/>
              <w:spacing w:after="0"/>
              <w:rPr>
                <w:sz w:val="20"/>
                <w:szCs w:val="20"/>
                <w:color w:val="auto"/>
              </w:rPr>
            </w:pPr>
            <w:r>
              <w:rPr>
                <w:rFonts w:ascii="Arial" w:cs="Arial" w:eastAsia="Arial" w:hAnsi="Arial"/>
                <w:sz w:val="15"/>
                <w:szCs w:val="15"/>
                <w:b w:val="1"/>
                <w:bCs w:val="1"/>
                <w:color w:val="auto"/>
                <w:w w:val="90"/>
              </w:rPr>
              <w:t>Consolidated</w:t>
            </w:r>
          </w:p>
        </w:tc>
      </w:tr>
      <w:tr>
        <w:trPr>
          <w:trHeight w:val="196"/>
        </w:trPr>
        <w:tc>
          <w:tcPr>
            <w:tcW w:w="3600" w:type="dxa"/>
            <w:vAlign w:val="bottom"/>
          </w:tcPr>
          <w:p>
            <w:pPr>
              <w:ind w:left="20"/>
              <w:spacing w:after="0"/>
              <w:rPr>
                <w:sz w:val="20"/>
                <w:szCs w:val="20"/>
                <w:color w:val="auto"/>
              </w:rPr>
            </w:pPr>
            <w:r>
              <w:rPr>
                <w:rFonts w:ascii="Arial" w:cs="Arial" w:eastAsia="Arial" w:hAnsi="Arial"/>
                <w:sz w:val="15"/>
                <w:szCs w:val="15"/>
                <w:b w:val="1"/>
                <w:bCs w:val="1"/>
                <w:color w:val="auto"/>
              </w:rPr>
              <w:t>Revenues</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20"/>
        </w:trPr>
        <w:tc>
          <w:tcPr>
            <w:tcW w:w="36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Income from real property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753,642</w:t>
            </w:r>
          </w:p>
        </w:tc>
        <w:tc>
          <w:tcPr>
            <w:tcW w:w="28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753,642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689,890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689,890</w:t>
            </w:r>
          </w:p>
        </w:tc>
      </w:tr>
      <w:tr>
        <w:trPr>
          <w:trHeight w:val="212"/>
        </w:trPr>
        <w:tc>
          <w:tcPr>
            <w:tcW w:w="3620" w:type="dxa"/>
            <w:vAlign w:val="bottom"/>
            <w:gridSpan w:val="2"/>
          </w:tcPr>
          <w:p>
            <w:pPr>
              <w:ind w:left="200"/>
              <w:spacing w:after="0"/>
              <w:rPr>
                <w:sz w:val="20"/>
                <w:szCs w:val="20"/>
                <w:color w:val="auto"/>
              </w:rPr>
            </w:pPr>
            <w:r>
              <w:rPr>
                <w:rFonts w:ascii="Arial" w:cs="Arial" w:eastAsia="Arial" w:hAnsi="Arial"/>
                <w:sz w:val="15"/>
                <w:szCs w:val="15"/>
                <w:color w:val="auto"/>
              </w:rPr>
              <w:t>Revenue from home sales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126,779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126,779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136,665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136,665</w:t>
            </w:r>
          </w:p>
        </w:tc>
      </w:tr>
      <w:tr>
        <w:trPr>
          <w:trHeight w:val="220"/>
        </w:trPr>
        <w:tc>
          <w:tcPr>
            <w:tcW w:w="36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Rental home revenue</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46,611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46,611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42,827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42,827</w:t>
            </w:r>
          </w:p>
        </w:tc>
      </w:tr>
      <w:tr>
        <w:trPr>
          <w:trHeight w:val="212"/>
        </w:trPr>
        <w:tc>
          <w:tcPr>
            <w:tcW w:w="3620" w:type="dxa"/>
            <w:vAlign w:val="bottom"/>
            <w:gridSpan w:val="2"/>
          </w:tcPr>
          <w:p>
            <w:pPr>
              <w:ind w:left="200"/>
              <w:spacing w:after="0"/>
              <w:rPr>
                <w:sz w:val="20"/>
                <w:szCs w:val="20"/>
                <w:color w:val="auto"/>
              </w:rPr>
            </w:pPr>
            <w:r>
              <w:rPr>
                <w:rFonts w:ascii="Arial" w:cs="Arial" w:eastAsia="Arial" w:hAnsi="Arial"/>
                <w:sz w:val="15"/>
                <w:szCs w:val="15"/>
                <w:color w:val="auto"/>
              </w:rPr>
              <w:t>Ancillary revenue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66,373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66,373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67,157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67,157</w:t>
            </w:r>
          </w:p>
        </w:tc>
      </w:tr>
      <w:tr>
        <w:trPr>
          <w:trHeight w:val="220"/>
        </w:trPr>
        <w:tc>
          <w:tcPr>
            <w:tcW w:w="36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Interest income</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7,609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7,609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14,489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14,489</w:t>
            </w:r>
          </w:p>
        </w:tc>
      </w:tr>
      <w:tr>
        <w:trPr>
          <w:trHeight w:val="212"/>
        </w:trPr>
        <w:tc>
          <w:tcPr>
            <w:tcW w:w="360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Brokerage commissions and other revenues, net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13,068</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13,068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11,190</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11,190</w:t>
            </w:r>
          </w:p>
        </w:tc>
      </w:tr>
      <w:tr>
        <w:trPr>
          <w:trHeight w:val="233"/>
        </w:trPr>
        <w:tc>
          <w:tcPr>
            <w:tcW w:w="3620" w:type="dxa"/>
            <w:vAlign w:val="bottom"/>
            <w:gridSpan w:val="2"/>
            <w:shd w:val="clear" w:color="auto" w:fill="CCEEFF"/>
          </w:tcPr>
          <w:p>
            <w:pPr>
              <w:ind w:left="480"/>
              <w:spacing w:after="0"/>
              <w:rPr>
                <w:sz w:val="20"/>
                <w:szCs w:val="20"/>
                <w:color w:val="auto"/>
              </w:rPr>
            </w:pPr>
            <w:r>
              <w:rPr>
                <w:rFonts w:ascii="Arial" w:cs="Arial" w:eastAsia="Arial" w:hAnsi="Arial"/>
                <w:sz w:val="15"/>
                <w:szCs w:val="15"/>
                <w:b w:val="1"/>
                <w:bCs w:val="1"/>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840,692</w:t>
            </w:r>
          </w:p>
        </w:tc>
        <w:tc>
          <w:tcPr>
            <w:tcW w:w="28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173,390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1,014,082</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782,726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179,492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962,218</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Policies and Performance Obligations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1, 2018, we adopted FASB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the other related ASUs and amendments to the codification (collectively “ASC 606”). The core principle of ASC 606 is that an entity should recognize revenue to depict the transfer of promised goods or services to customers in an amount that reflects the consideration to which the entity expects to be entitled in exchange for those goods or services. A five-step transactional analysis is required to determine how and when to recognize revenue. ASC 606 applies to all contracts with customers, except those that are within the scope of other topics in the FASB accounting standards codification.</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real estate owner and operator, the majority of our revenue is derived from site and home leases that are accounted for pursuant to ASC 842 “</w:t>
      </w:r>
      <w:r>
        <w:rPr>
          <w:rFonts w:ascii="Arial" w:cs="Arial" w:eastAsia="Arial" w:hAnsi="Arial"/>
          <w:sz w:val="17"/>
          <w:szCs w:val="17"/>
          <w:i w:val="1"/>
          <w:iCs w:val="1"/>
          <w:color w:val="auto"/>
        </w:rPr>
        <w:t>Leases</w:t>
      </w:r>
      <w:r>
        <w:rPr>
          <w:rFonts w:ascii="Arial" w:cs="Arial" w:eastAsia="Arial" w:hAnsi="Arial"/>
          <w:sz w:val="17"/>
          <w:szCs w:val="17"/>
          <w:color w:val="auto"/>
        </w:rPr>
        <w:t>.” For transactions in the scope of ASC 606, we recognize revenue when control of goods or services transfers to the customer, in the amount that we expect to receive for the transfer of goods or provision of services. The adoption of ASC 606 did not result in any change to the timing and pattern of revenue recognition. Accordingly, retrospective application to prior periods or a cumulative catch-up adjustment was unnecessary.</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Income from real property </w:t>
      </w:r>
      <w:r>
        <w:rPr>
          <w:rFonts w:ascii="Arial" w:cs="Arial" w:eastAsia="Arial" w:hAnsi="Arial"/>
          <w:sz w:val="16"/>
          <w:szCs w:val="16"/>
          <w:color w:val="auto"/>
        </w:rPr>
        <w:t>- residents in our communities lease the site on which their home is located and either own or lease their home. Resident leases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generally for one-year or month-to-month terms and are renewable by mutual agreement between us and the resident, or in some cases, as provided by jurisdictional statute. Lease revenues for sites and homes fall under the scope of ASC 842 and are accounted for as operating leases with straight-line recognition. Income from real property includes income from site leases for annual MH residents, site leases for annual RV residents and site rentals to transient RV residents. Non-lease components of our site lease contracts, which are primarily provision of utility services, are accounted for with the site lease as a single lease under ASC 842. Additionally, we include collections of real estate taxes from residents within Income from real property.</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Revenue from home sales </w:t>
      </w:r>
      <w:r>
        <w:rPr>
          <w:rFonts w:ascii="Arial" w:cs="Arial" w:eastAsia="Arial" w:hAnsi="Arial"/>
          <w:sz w:val="17"/>
          <w:szCs w:val="17"/>
          <w:color w:val="auto"/>
        </w:rPr>
        <w:t>- our taxable REIT subsidiary, SHS, sells manufactured homes to current and prospective residents in our communities. We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revenue for home sales pursuant to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 manufactured homes are tangible personal property that can be located on any land parcel. Manufactured homes are not permanent fixtures or improvements to the underlying real estate and were therefore not considered to be subject to the guidance in ASC 360-20 “</w:t>
      </w:r>
      <w:r>
        <w:rPr>
          <w:rFonts w:ascii="Arial" w:cs="Arial" w:eastAsia="Arial" w:hAnsi="Arial"/>
          <w:sz w:val="17"/>
          <w:szCs w:val="17"/>
          <w:i w:val="1"/>
          <w:iCs w:val="1"/>
          <w:color w:val="auto"/>
        </w:rPr>
        <w:t>Real Estate Sales</w:t>
      </w:r>
      <w:r>
        <w:rPr>
          <w:rFonts w:ascii="Arial" w:cs="Arial" w:eastAsia="Arial" w:hAnsi="Arial"/>
          <w:sz w:val="17"/>
          <w:szCs w:val="17"/>
          <w:color w:val="auto"/>
        </w:rPr>
        <w:t>” by us. In accordance with the core principle of ASC 606, we recognize revenue from home sales at the time of closing when control of the home transfers to the customer. After closing of the sale transaction, we have no remaining performance obligation. As of September 30, 2020, and December 31, 2019, we had $20.8 million and $20.9 million, respectively, of receivables from contracts with customers, which consists of home sales proceeds, and are presented as a component of Notes and other receivables, net on our Consolidated Balance Sheets. These receivables represent balances owed to us for previously completed performance obligations for sales of manufactured homes.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Rental home revenue </w:t>
      </w:r>
      <w:r>
        <w:rPr>
          <w:rFonts w:ascii="Arial" w:cs="Arial" w:eastAsia="Arial" w:hAnsi="Arial"/>
          <w:sz w:val="18"/>
          <w:szCs w:val="18"/>
          <w:color w:val="auto"/>
        </w:rPr>
        <w:t>- is comprised of rental agreements whereby we lease homes to residents in our communities. We account for these revenues under</w:t>
      </w:r>
      <w:r>
        <w:rPr>
          <w:rFonts w:ascii="Arial" w:cs="Arial" w:eastAsia="Arial" w:hAnsi="Arial"/>
          <w:sz w:val="18"/>
          <w:szCs w:val="18"/>
          <w:i w:val="1"/>
          <w:iCs w:val="1"/>
          <w:color w:val="auto"/>
        </w:rPr>
        <w:t xml:space="preserve"> </w:t>
      </w:r>
      <w:r>
        <w:rPr>
          <w:rFonts w:ascii="Arial" w:cs="Arial" w:eastAsia="Arial" w:hAnsi="Arial"/>
          <w:sz w:val="18"/>
          <w:szCs w:val="18"/>
          <w:color w:val="auto"/>
        </w:rPr>
        <w:t>ASC 842.</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Ancillary revenue </w:t>
      </w:r>
      <w:r>
        <w:rPr>
          <w:rFonts w:ascii="Arial" w:cs="Arial" w:eastAsia="Arial" w:hAnsi="Arial"/>
          <w:sz w:val="17"/>
          <w:szCs w:val="17"/>
          <w:color w:val="auto"/>
        </w:rPr>
        <w:t>- is primarily composed of proceeds from restaurant, golf, merchandise and other activities at our RV communities and is included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of ASC 606. Revenues are recognized at point of sale when control of the good or service transfers to the customer and our performance obligation is satisfied. In addition, leasing of short-term vacation home rentals is included within Ancillary revenue and falls within the scope of ASC 842. Sales and other taxes that we collect concurrent with revenue-producing activities are excluded from the transaction price.</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 is earned primarily on our notes receivable, which include installment notes receivables on manufactured homes purchased by us from</w:t>
      </w:r>
      <w:r>
        <w:rPr>
          <w:rFonts w:ascii="Arial" w:cs="Arial" w:eastAsia="Arial" w:hAnsi="Arial"/>
          <w:sz w:val="18"/>
          <w:szCs w:val="18"/>
          <w:i w:val="1"/>
          <w:iCs w:val="1"/>
          <w:color w:val="auto"/>
        </w:rPr>
        <w:t xml:space="preserve"> </w:t>
      </w:r>
      <w:r>
        <w:rPr>
          <w:rFonts w:ascii="Arial" w:cs="Arial" w:eastAsia="Arial" w:hAnsi="Arial"/>
          <w:sz w:val="18"/>
          <w:szCs w:val="18"/>
          <w:color w:val="auto"/>
        </w:rPr>
        <w:t>loan originators and notes receivables from real estate developers. Interest income on these receivables is accrued based on the unpaid principal balances of the underlying loans on a level yield basis over the life of the loans. Interest income is not in the scope of ASC 606. Refer to Note 4, “Notes and Other Receivables,” for additional information.</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Broker commissions and other revenues, net </w:t>
      </w:r>
      <w:r>
        <w:rPr>
          <w:rFonts w:ascii="Arial" w:cs="Arial" w:eastAsia="Arial" w:hAnsi="Arial"/>
          <w:sz w:val="17"/>
          <w:szCs w:val="17"/>
          <w:color w:val="auto"/>
        </w:rPr>
        <w:t>- is primarily comprised of brokerage commissions for sales of manufactured homes, where we act as agent</w:t>
      </w:r>
      <w:r>
        <w:rPr>
          <w:rFonts w:ascii="Arial" w:cs="Arial" w:eastAsia="Arial" w:hAnsi="Arial"/>
          <w:sz w:val="17"/>
          <w:szCs w:val="17"/>
          <w:i w:val="1"/>
          <w:iCs w:val="1"/>
          <w:color w:val="auto"/>
        </w:rPr>
        <w:t xml:space="preserve"> </w:t>
      </w:r>
      <w:r>
        <w:rPr>
          <w:rFonts w:ascii="Arial" w:cs="Arial" w:eastAsia="Arial" w:hAnsi="Arial"/>
          <w:sz w:val="17"/>
          <w:szCs w:val="17"/>
          <w:color w:val="auto"/>
        </w:rPr>
        <w:t>and arrange for a third party to transfer a manufactured home to a customer within one of our communities. Brokerage commission revenues are recognized on a net basis at closing, when the transaction is completed and our performance obligations have been fulfilled.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7"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Acquisitions and Dispositions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2020, we have acquired the following communities: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80" w:type="dxa"/>
            <w:vAlign w:val="bottom"/>
            <w:tcBorders>
              <w:bottom w:val="single" w:sz="8" w:color="auto"/>
            </w:tcBorders>
          </w:tcPr>
          <w:p>
            <w:pPr>
              <w:ind w:left="700"/>
              <w:spacing w:after="0"/>
              <w:rPr>
                <w:sz w:val="20"/>
                <w:szCs w:val="20"/>
                <w:color w:val="auto"/>
              </w:rPr>
            </w:pPr>
            <w:r>
              <w:rPr>
                <w:rFonts w:ascii="Arial" w:cs="Arial" w:eastAsia="Arial" w:hAnsi="Arial"/>
                <w:sz w:val="15"/>
                <w:szCs w:val="15"/>
                <w:b w:val="1"/>
                <w:bCs w:val="1"/>
                <w:color w:val="auto"/>
              </w:rPr>
              <w:t>Community Name</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Type</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Sites</w:t>
            </w: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Development Sites</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ind w:left="640"/>
              <w:spacing w:after="0"/>
              <w:rPr>
                <w:sz w:val="20"/>
                <w:szCs w:val="20"/>
                <w:color w:val="auto"/>
              </w:rPr>
            </w:pPr>
            <w:r>
              <w:rPr>
                <w:rFonts w:ascii="Arial" w:cs="Arial" w:eastAsia="Arial" w:hAnsi="Arial"/>
                <w:sz w:val="15"/>
                <w:szCs w:val="15"/>
                <w:b w:val="1"/>
                <w:bCs w:val="1"/>
                <w:color w:val="auto"/>
              </w:rPr>
              <w:t>State</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Month Acquired</w:t>
            </w:r>
          </w:p>
        </w:tc>
      </w:tr>
      <w:tr>
        <w:trPr>
          <w:trHeight w:val="213"/>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xml:space="preserve">Cape Cod </w:t>
            </w:r>
            <w:r>
              <w:rPr>
                <w:rFonts w:ascii="Arial" w:cs="Arial" w:eastAsia="Arial" w:hAnsi="Arial"/>
                <w:sz w:val="9"/>
                <w:szCs w:val="9"/>
                <w:color w:val="auto"/>
              </w:rPr>
              <w:t>(1)</w:t>
            </w:r>
          </w:p>
        </w:tc>
        <w:tc>
          <w:tcPr>
            <w:tcW w:w="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w:t>
            </w:r>
          </w:p>
        </w:tc>
        <w:tc>
          <w:tcPr>
            <w:tcW w:w="1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r>
      <w:tr>
        <w:trPr>
          <w:trHeight w:val="212"/>
        </w:trPr>
        <w:tc>
          <w:tcPr>
            <w:tcW w:w="2700" w:type="dxa"/>
            <w:vAlign w:val="bottom"/>
            <w:gridSpan w:val="2"/>
          </w:tcPr>
          <w:p>
            <w:pPr>
              <w:ind w:left="20"/>
              <w:spacing w:after="0"/>
              <w:rPr>
                <w:sz w:val="20"/>
                <w:szCs w:val="20"/>
                <w:color w:val="auto"/>
              </w:rPr>
            </w:pPr>
            <w:r>
              <w:rPr>
                <w:rFonts w:ascii="Arial" w:cs="Arial" w:eastAsia="Arial" w:hAnsi="Arial"/>
                <w:sz w:val="15"/>
                <w:szCs w:val="15"/>
                <w:color w:val="auto"/>
              </w:rPr>
              <w:t>Jellystone Natural Bridge</w:t>
            </w:r>
          </w:p>
        </w:tc>
        <w:tc>
          <w:tcPr>
            <w:tcW w:w="500" w:type="dxa"/>
            <w:vAlign w:val="bottom"/>
          </w:tcPr>
          <w:p>
            <w:pPr>
              <w:ind w:left="20"/>
              <w:spacing w:after="0"/>
              <w:rPr>
                <w:sz w:val="20"/>
                <w:szCs w:val="20"/>
                <w:color w:val="auto"/>
              </w:rPr>
            </w:pPr>
            <w:r>
              <w:rPr>
                <w:rFonts w:ascii="Arial" w:cs="Arial" w:eastAsia="Arial" w:hAnsi="Arial"/>
                <w:sz w:val="15"/>
                <w:szCs w:val="15"/>
                <w:color w:val="auto"/>
              </w:rPr>
              <w:t>RV</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299</w:t>
            </w:r>
          </w:p>
        </w:tc>
        <w:tc>
          <w:tcPr>
            <w:tcW w:w="120" w:type="dxa"/>
            <w:vAlign w:val="bottom"/>
          </w:tcPr>
          <w:p>
            <w:pPr>
              <w:spacing w:after="0"/>
              <w:rPr>
                <w:sz w:val="18"/>
                <w:szCs w:val="18"/>
                <w:color w:val="auto"/>
              </w:rPr>
            </w:pPr>
          </w:p>
        </w:tc>
        <w:tc>
          <w:tcPr>
            <w:tcW w:w="1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VA</w:t>
            </w:r>
          </w:p>
        </w:tc>
        <w:tc>
          <w:tcPr>
            <w:tcW w:w="1640" w:type="dxa"/>
            <w:vAlign w:val="bottom"/>
          </w:tcPr>
          <w:p>
            <w:pPr>
              <w:ind w:left="20"/>
              <w:spacing w:after="0"/>
              <w:rPr>
                <w:sz w:val="20"/>
                <w:szCs w:val="20"/>
                <w:color w:val="auto"/>
              </w:rPr>
            </w:pPr>
            <w:r>
              <w:rPr>
                <w:rFonts w:ascii="Arial" w:cs="Arial" w:eastAsia="Arial" w:hAnsi="Arial"/>
                <w:sz w:val="15"/>
                <w:szCs w:val="15"/>
                <w:color w:val="auto"/>
              </w:rPr>
              <w:t>February</w:t>
            </w:r>
          </w:p>
        </w:tc>
      </w:tr>
      <w:tr>
        <w:trPr>
          <w:trHeight w:val="220"/>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xml:space="preserve">Forest Springs </w:t>
            </w:r>
            <w:r>
              <w:rPr>
                <w:rFonts w:ascii="Arial" w:cs="Arial" w:eastAsia="Arial" w:hAnsi="Arial"/>
                <w:sz w:val="9"/>
                <w:szCs w:val="9"/>
                <w:color w:val="auto"/>
              </w:rPr>
              <w:t>(2)</w:t>
            </w:r>
          </w:p>
        </w:tc>
        <w:tc>
          <w:tcPr>
            <w:tcW w:w="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w:t>
            </w:r>
          </w:p>
        </w:tc>
        <w:tc>
          <w:tcPr>
            <w:tcW w:w="1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May</w:t>
            </w:r>
          </w:p>
        </w:tc>
      </w:tr>
      <w:tr>
        <w:trPr>
          <w:trHeight w:val="212"/>
        </w:trPr>
        <w:tc>
          <w:tcPr>
            <w:tcW w:w="2700" w:type="dxa"/>
            <w:vAlign w:val="bottom"/>
            <w:gridSpan w:val="2"/>
          </w:tcPr>
          <w:p>
            <w:pPr>
              <w:ind w:left="20"/>
              <w:spacing w:after="0"/>
              <w:rPr>
                <w:sz w:val="20"/>
                <w:szCs w:val="20"/>
                <w:color w:val="auto"/>
              </w:rPr>
            </w:pPr>
            <w:r>
              <w:rPr>
                <w:rFonts w:ascii="Arial" w:cs="Arial" w:eastAsia="Arial" w:hAnsi="Arial"/>
                <w:sz w:val="15"/>
                <w:szCs w:val="15"/>
                <w:color w:val="auto"/>
              </w:rPr>
              <w:t>Crown Villa</w:t>
            </w:r>
          </w:p>
        </w:tc>
        <w:tc>
          <w:tcPr>
            <w:tcW w:w="500" w:type="dxa"/>
            <w:vAlign w:val="bottom"/>
          </w:tcPr>
          <w:p>
            <w:pPr>
              <w:ind w:left="20"/>
              <w:spacing w:after="0"/>
              <w:rPr>
                <w:sz w:val="20"/>
                <w:szCs w:val="20"/>
                <w:color w:val="auto"/>
              </w:rPr>
            </w:pPr>
            <w:r>
              <w:rPr>
                <w:rFonts w:ascii="Arial" w:cs="Arial" w:eastAsia="Arial" w:hAnsi="Arial"/>
                <w:sz w:val="15"/>
                <w:szCs w:val="15"/>
                <w:color w:val="auto"/>
              </w:rPr>
              <w:t>RV</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123</w:t>
            </w:r>
          </w:p>
        </w:tc>
        <w:tc>
          <w:tcPr>
            <w:tcW w:w="120" w:type="dxa"/>
            <w:vAlign w:val="bottom"/>
          </w:tcPr>
          <w:p>
            <w:pPr>
              <w:spacing w:after="0"/>
              <w:rPr>
                <w:sz w:val="18"/>
                <w:szCs w:val="18"/>
                <w:color w:val="auto"/>
              </w:rPr>
            </w:pPr>
          </w:p>
        </w:tc>
        <w:tc>
          <w:tcPr>
            <w:tcW w:w="1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OR</w:t>
            </w:r>
          </w:p>
        </w:tc>
        <w:tc>
          <w:tcPr>
            <w:tcW w:w="1640" w:type="dxa"/>
            <w:vAlign w:val="bottom"/>
          </w:tcPr>
          <w:p>
            <w:pPr>
              <w:ind w:left="20"/>
              <w:spacing w:after="0"/>
              <w:rPr>
                <w:sz w:val="20"/>
                <w:szCs w:val="20"/>
                <w:color w:val="auto"/>
              </w:rPr>
            </w:pPr>
            <w:r>
              <w:rPr>
                <w:rFonts w:ascii="Arial" w:cs="Arial" w:eastAsia="Arial" w:hAnsi="Arial"/>
                <w:sz w:val="15"/>
                <w:szCs w:val="15"/>
                <w:color w:val="auto"/>
              </w:rPr>
              <w:t>June</w:t>
            </w:r>
          </w:p>
        </w:tc>
      </w:tr>
      <w:tr>
        <w:trPr>
          <w:trHeight w:val="220"/>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Flamingo Lake</w:t>
            </w:r>
          </w:p>
        </w:tc>
        <w:tc>
          <w:tcPr>
            <w:tcW w:w="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July</w:t>
            </w:r>
          </w:p>
        </w:tc>
      </w:tr>
      <w:tr>
        <w:trPr>
          <w:trHeight w:val="212"/>
        </w:trPr>
        <w:tc>
          <w:tcPr>
            <w:tcW w:w="2700" w:type="dxa"/>
            <w:vAlign w:val="bottom"/>
            <w:gridSpan w:val="2"/>
          </w:tcPr>
          <w:p>
            <w:pPr>
              <w:ind w:left="20"/>
              <w:spacing w:after="0"/>
              <w:rPr>
                <w:sz w:val="20"/>
                <w:szCs w:val="20"/>
                <w:color w:val="auto"/>
              </w:rPr>
            </w:pPr>
            <w:r>
              <w:rPr>
                <w:rFonts w:ascii="Arial" w:cs="Arial" w:eastAsia="Arial" w:hAnsi="Arial"/>
                <w:sz w:val="15"/>
                <w:szCs w:val="15"/>
                <w:color w:val="auto"/>
              </w:rPr>
              <w:t>Woodsmoke</w:t>
            </w:r>
          </w:p>
        </w:tc>
        <w:tc>
          <w:tcPr>
            <w:tcW w:w="500" w:type="dxa"/>
            <w:vAlign w:val="bottom"/>
          </w:tcPr>
          <w:p>
            <w:pPr>
              <w:ind w:left="20"/>
              <w:spacing w:after="0"/>
              <w:rPr>
                <w:sz w:val="20"/>
                <w:szCs w:val="20"/>
                <w:color w:val="auto"/>
              </w:rPr>
            </w:pPr>
            <w:r>
              <w:rPr>
                <w:rFonts w:ascii="Arial" w:cs="Arial" w:eastAsia="Arial" w:hAnsi="Arial"/>
                <w:sz w:val="15"/>
                <w:szCs w:val="15"/>
                <w:color w:val="auto"/>
              </w:rPr>
              <w:t>RV</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300</w:t>
            </w:r>
          </w:p>
        </w:tc>
        <w:tc>
          <w:tcPr>
            <w:tcW w:w="120" w:type="dxa"/>
            <w:vAlign w:val="bottom"/>
          </w:tcPr>
          <w:p>
            <w:pPr>
              <w:spacing w:after="0"/>
              <w:rPr>
                <w:sz w:val="18"/>
                <w:szCs w:val="18"/>
                <w:color w:val="auto"/>
              </w:rPr>
            </w:pPr>
          </w:p>
        </w:tc>
        <w:tc>
          <w:tcPr>
            <w:tcW w:w="16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FL</w:t>
            </w:r>
          </w:p>
        </w:tc>
        <w:tc>
          <w:tcPr>
            <w:tcW w:w="1640" w:type="dxa"/>
            <w:vAlign w:val="bottom"/>
          </w:tcPr>
          <w:p>
            <w:pPr>
              <w:ind w:left="20"/>
              <w:spacing w:after="0"/>
              <w:rPr>
                <w:sz w:val="20"/>
                <w:szCs w:val="20"/>
                <w:color w:val="auto"/>
              </w:rPr>
            </w:pPr>
            <w:r>
              <w:rPr>
                <w:rFonts w:ascii="Arial" w:cs="Arial" w:eastAsia="Arial" w:hAnsi="Arial"/>
                <w:sz w:val="15"/>
                <w:szCs w:val="15"/>
                <w:color w:val="auto"/>
              </w:rPr>
              <w:t>September</w:t>
            </w:r>
          </w:p>
        </w:tc>
      </w:tr>
      <w:tr>
        <w:trPr>
          <w:trHeight w:val="220"/>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Jellystone Lone Star</w:t>
            </w:r>
          </w:p>
        </w:tc>
        <w:tc>
          <w:tcPr>
            <w:tcW w:w="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TX</w:t>
            </w:r>
          </w:p>
        </w:tc>
        <w:tc>
          <w:tcPr>
            <w:tcW w:w="1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w:t>
            </w:r>
          </w:p>
        </w:tc>
      </w:tr>
      <w:tr>
        <w:trPr>
          <w:trHeight w:val="212"/>
        </w:trPr>
        <w:tc>
          <w:tcPr>
            <w:tcW w:w="2700" w:type="dxa"/>
            <w:vAlign w:val="bottom"/>
            <w:gridSpan w:val="2"/>
          </w:tcPr>
          <w:p>
            <w:pPr>
              <w:ind w:left="20"/>
              <w:spacing w:after="0"/>
              <w:rPr>
                <w:sz w:val="20"/>
                <w:szCs w:val="20"/>
                <w:color w:val="auto"/>
              </w:rPr>
            </w:pPr>
            <w:r>
              <w:rPr>
                <w:rFonts w:ascii="Arial" w:cs="Arial" w:eastAsia="Arial" w:hAnsi="Arial"/>
                <w:sz w:val="15"/>
                <w:szCs w:val="15"/>
                <w:color w:val="auto"/>
              </w:rPr>
              <w:t xml:space="preserve">El Capitan &amp; Ocean Mesa </w:t>
            </w:r>
            <w:r>
              <w:rPr>
                <w:rFonts w:ascii="Arial" w:cs="Arial" w:eastAsia="Arial" w:hAnsi="Arial"/>
                <w:sz w:val="9"/>
                <w:szCs w:val="9"/>
                <w:color w:val="auto"/>
              </w:rPr>
              <w:t>(3)(4)</w:t>
            </w:r>
          </w:p>
        </w:tc>
        <w:tc>
          <w:tcPr>
            <w:tcW w:w="500" w:type="dxa"/>
            <w:vAlign w:val="bottom"/>
          </w:tcPr>
          <w:p>
            <w:pPr>
              <w:ind w:left="20"/>
              <w:spacing w:after="0"/>
              <w:rPr>
                <w:sz w:val="20"/>
                <w:szCs w:val="20"/>
                <w:color w:val="auto"/>
              </w:rPr>
            </w:pPr>
            <w:r>
              <w:rPr>
                <w:rFonts w:ascii="Arial" w:cs="Arial" w:eastAsia="Arial" w:hAnsi="Arial"/>
                <w:sz w:val="15"/>
                <w:szCs w:val="15"/>
                <w:color w:val="auto"/>
              </w:rPr>
              <w:t>RV</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266</w:t>
            </w:r>
          </w:p>
        </w:tc>
        <w:tc>
          <w:tcPr>
            <w:tcW w:w="120" w:type="dxa"/>
            <w:vAlign w:val="bottom"/>
          </w:tcPr>
          <w:p>
            <w:pPr>
              <w:spacing w:after="0"/>
              <w:rPr>
                <w:sz w:val="18"/>
                <w:szCs w:val="18"/>
                <w:color w:val="auto"/>
              </w:rPr>
            </w:pPr>
          </w:p>
        </w:tc>
        <w:tc>
          <w:tcPr>
            <w:tcW w:w="1640" w:type="dxa"/>
            <w:vAlign w:val="bottom"/>
          </w:tcPr>
          <w:p>
            <w:pPr>
              <w:jc w:val="right"/>
              <w:ind w:right="4"/>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640" w:type="dxa"/>
            <w:vAlign w:val="bottom"/>
          </w:tcPr>
          <w:p>
            <w:pPr>
              <w:ind w:left="20"/>
              <w:spacing w:after="0"/>
              <w:rPr>
                <w:sz w:val="20"/>
                <w:szCs w:val="20"/>
                <w:color w:val="auto"/>
              </w:rPr>
            </w:pPr>
            <w:r>
              <w:rPr>
                <w:rFonts w:ascii="Arial" w:cs="Arial" w:eastAsia="Arial" w:hAnsi="Arial"/>
                <w:sz w:val="15"/>
                <w:szCs w:val="15"/>
                <w:color w:val="auto"/>
              </w:rPr>
              <w:t>September</w:t>
            </w:r>
          </w:p>
        </w:tc>
      </w:tr>
      <w:tr>
        <w:trPr>
          <w:trHeight w:val="21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xml:space="preserve">Highland Green Estates &amp; Troy Villa </w:t>
            </w:r>
            <w:r>
              <w:rPr>
                <w:rFonts w:ascii="Arial" w:cs="Arial" w:eastAsia="Arial" w:hAnsi="Arial"/>
                <w:sz w:val="9"/>
                <w:szCs w:val="9"/>
                <w:color w:val="auto"/>
              </w:rPr>
              <w:t>(4)</w:t>
            </w:r>
          </w:p>
        </w:tc>
        <w:tc>
          <w:tcPr>
            <w:tcW w:w="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1,162</w:t>
            </w:r>
          </w:p>
        </w:tc>
        <w:tc>
          <w:tcPr>
            <w:tcW w:w="12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MI</w:t>
            </w:r>
          </w:p>
        </w:tc>
        <w:tc>
          <w:tcPr>
            <w:tcW w:w="1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w:t>
            </w:r>
          </w:p>
        </w:tc>
      </w:tr>
      <w:tr>
        <w:trPr>
          <w:trHeight w:val="213"/>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5"/>
                <w:szCs w:val="15"/>
                <w:b w:val="1"/>
                <w:bCs w:val="1"/>
                <w:color w:val="auto"/>
              </w:rPr>
              <w:t>Total</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3,517</w:t>
            </w:r>
          </w:p>
        </w:tc>
        <w:tc>
          <w:tcPr>
            <w:tcW w:w="120" w:type="dxa"/>
            <w:vAlign w:val="bottom"/>
          </w:tcPr>
          <w:p>
            <w:pPr>
              <w:spacing w:after="0"/>
              <w:rPr>
                <w:sz w:val="18"/>
                <w:szCs w:val="18"/>
                <w:color w:val="auto"/>
              </w:rPr>
            </w:pPr>
          </w:p>
        </w:tc>
        <w:tc>
          <w:tcPr>
            <w:tcW w:w="1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109</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89" w:lineRule="exact"/>
        <w:rPr>
          <w:sz w:val="20"/>
          <w:szCs w:val="20"/>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In conjunction with the acquisition, we issued Series E preferred OP units. As of September 30, 2020, 90,000 Series E preferred OP units were outstanding.</w:t>
      </w:r>
    </w:p>
    <w:p>
      <w:pPr>
        <w:spacing w:after="0" w:line="13" w:lineRule="exact"/>
        <w:rPr>
          <w:rFonts w:ascii="Arial" w:cs="Arial" w:eastAsia="Arial" w:hAnsi="Arial"/>
          <w:sz w:val="9"/>
          <w:szCs w:val="9"/>
          <w:color w:val="auto"/>
        </w:rPr>
      </w:pPr>
    </w:p>
    <w:p>
      <w:pPr>
        <w:ind w:left="180" w:hanging="172"/>
        <w:spacing w:after="0" w:line="241" w:lineRule="auto"/>
        <w:tabs>
          <w:tab w:leader="none" w:pos="150" w:val="left"/>
        </w:tabs>
        <w:numPr>
          <w:ilvl w:val="0"/>
          <w:numId w:val="6"/>
        </w:numPr>
        <w:rPr>
          <w:rFonts w:ascii="Arial" w:cs="Arial" w:eastAsia="Arial" w:hAnsi="Arial"/>
          <w:sz w:val="9"/>
          <w:szCs w:val="9"/>
          <w:color w:val="auto"/>
        </w:rPr>
      </w:pPr>
      <w:r>
        <w:rPr>
          <w:rFonts w:ascii="Arial" w:cs="Arial" w:eastAsia="Arial" w:hAnsi="Arial"/>
          <w:sz w:val="14"/>
          <w:szCs w:val="14"/>
          <w:color w:val="auto"/>
        </w:rPr>
        <w:t>In conjunction with the acquisition, we issued Series F preferred OP units and common OP units. As of September 30, 2020, 90,000 Series F preferred OP units and 82,420 common OP units, specific to this acquisition, were outstanding.</w:t>
      </w:r>
    </w:p>
    <w:p>
      <w:pPr>
        <w:ind w:left="160" w:hanging="152"/>
        <w:spacing w:after="0"/>
        <w:tabs>
          <w:tab w:leader="none" w:pos="160" w:val="left"/>
        </w:tabs>
        <w:numPr>
          <w:ilvl w:val="0"/>
          <w:numId w:val="6"/>
        </w:numPr>
        <w:rPr>
          <w:rFonts w:ascii="Arial" w:cs="Arial" w:eastAsia="Arial" w:hAnsi="Arial"/>
          <w:sz w:val="9"/>
          <w:szCs w:val="9"/>
          <w:color w:val="auto"/>
        </w:rPr>
      </w:pPr>
      <w:r>
        <w:rPr>
          <w:rFonts w:ascii="Arial" w:cs="Arial" w:eastAsia="Arial" w:hAnsi="Arial"/>
          <w:sz w:val="14"/>
          <w:szCs w:val="14"/>
          <w:color w:val="auto"/>
        </w:rPr>
        <w:t>In conjunction with the acquisition, we issued Series G preferred OP units. As of September 30, 2020, 260,710 Series G preferred OP units were outstanding.</w:t>
      </w:r>
    </w:p>
    <w:p>
      <w:pPr>
        <w:spacing w:after="0" w:line="1" w:lineRule="exact"/>
        <w:rPr>
          <w:rFonts w:ascii="Arial" w:cs="Arial" w:eastAsia="Arial" w:hAnsi="Arial"/>
          <w:sz w:val="9"/>
          <w:szCs w:val="9"/>
          <w:color w:val="auto"/>
        </w:rPr>
      </w:pPr>
    </w:p>
    <w:p>
      <w:pPr>
        <w:ind w:left="160" w:hanging="152"/>
        <w:spacing w:after="0"/>
        <w:tabs>
          <w:tab w:leader="none" w:pos="160" w:val="left"/>
        </w:tabs>
        <w:numPr>
          <w:ilvl w:val="0"/>
          <w:numId w:val="6"/>
        </w:numPr>
        <w:rPr>
          <w:rFonts w:ascii="Arial" w:cs="Arial" w:eastAsia="Arial" w:hAnsi="Arial"/>
          <w:sz w:val="9"/>
          <w:szCs w:val="9"/>
          <w:color w:val="auto"/>
        </w:rPr>
      </w:pPr>
      <w:r>
        <w:rPr>
          <w:rFonts w:ascii="Arial" w:cs="Arial" w:eastAsia="Arial" w:hAnsi="Arial"/>
          <w:sz w:val="14"/>
          <w:szCs w:val="14"/>
          <w:color w:val="auto"/>
        </w:rPr>
        <w:t>Contains two communities.</w:t>
      </w:r>
    </w:p>
    <w:p>
      <w:pPr>
        <w:spacing w:after="0" w:line="2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amounts of assets acquired net of liabilities assumed at the acquisition date and the consideration paid for the acquisitions completed for the nine months ended September 30, 2020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5"/>
          </w:tcPr>
          <w:p>
            <w:pPr>
              <w:ind w:left="280"/>
              <w:spacing w:after="0"/>
              <w:rPr>
                <w:sz w:val="20"/>
                <w:szCs w:val="20"/>
                <w:color w:val="auto"/>
              </w:rPr>
            </w:pPr>
            <w:r>
              <w:rPr>
                <w:rFonts w:ascii="Arial" w:cs="Arial" w:eastAsia="Arial" w:hAnsi="Arial"/>
                <w:sz w:val="15"/>
                <w:szCs w:val="15"/>
                <w:b w:val="1"/>
                <w:bCs w:val="1"/>
                <w:color w:val="auto"/>
              </w:rPr>
              <w:t>At Acquisition Date</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220"/>
              <w:spacing w:after="0"/>
              <w:rPr>
                <w:sz w:val="20"/>
                <w:szCs w:val="20"/>
                <w:color w:val="auto"/>
              </w:rPr>
            </w:pPr>
            <w:r>
              <w:rPr>
                <w:rFonts w:ascii="Arial" w:cs="Arial" w:eastAsia="Arial" w:hAnsi="Arial"/>
                <w:sz w:val="15"/>
                <w:szCs w:val="15"/>
                <w:b w:val="1"/>
                <w:bCs w:val="1"/>
                <w:color w:val="auto"/>
                <w:w w:val="95"/>
              </w:rPr>
              <w:t>Consideration</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69"/>
        </w:trPr>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00"/>
              <w:spacing w:after="0" w:line="169" w:lineRule="exact"/>
              <w:rPr>
                <w:sz w:val="20"/>
                <w:szCs w:val="20"/>
                <w:color w:val="auto"/>
              </w:rPr>
            </w:pPr>
            <w:r>
              <w:rPr>
                <w:rFonts w:ascii="Arial" w:cs="Arial" w:eastAsia="Arial" w:hAnsi="Arial"/>
                <w:sz w:val="15"/>
                <w:szCs w:val="15"/>
                <w:color w:val="auto"/>
                <w:w w:val="96"/>
              </w:rPr>
              <w:t>Inventory of</w:t>
            </w:r>
          </w:p>
        </w:tc>
        <w:tc>
          <w:tcPr>
            <w:tcW w:w="1420" w:type="dxa"/>
            <w:vAlign w:val="bottom"/>
            <w:gridSpan w:val="3"/>
          </w:tcPr>
          <w:p>
            <w:pPr>
              <w:jc w:val="center"/>
              <w:ind w:right="100"/>
              <w:spacing w:after="0" w:line="169" w:lineRule="exact"/>
              <w:rPr>
                <w:sz w:val="20"/>
                <w:szCs w:val="20"/>
                <w:color w:val="auto"/>
              </w:rPr>
            </w:pPr>
            <w:r>
              <w:rPr>
                <w:rFonts w:ascii="Arial" w:cs="Arial" w:eastAsia="Arial" w:hAnsi="Arial"/>
                <w:sz w:val="15"/>
                <w:szCs w:val="15"/>
                <w:color w:val="auto"/>
                <w:w w:val="89"/>
              </w:rPr>
              <w:t>In-place leases and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jc w:val="center"/>
              <w:ind w:right="160"/>
              <w:spacing w:after="0" w:line="169" w:lineRule="exact"/>
              <w:rPr>
                <w:sz w:val="20"/>
                <w:szCs w:val="20"/>
                <w:color w:val="auto"/>
              </w:rPr>
            </w:pPr>
            <w:r>
              <w:rPr>
                <w:rFonts w:ascii="Arial" w:cs="Arial" w:eastAsia="Arial" w:hAnsi="Arial"/>
                <w:sz w:val="15"/>
                <w:szCs w:val="15"/>
                <w:b w:val="1"/>
                <w:bCs w:val="1"/>
                <w:color w:val="auto"/>
                <w:w w:val="89"/>
              </w:rPr>
              <w:t>Total identifiable assets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1060" w:type="dxa"/>
            <w:vAlign w:val="bottom"/>
            <w:gridSpan w:val="3"/>
          </w:tcPr>
          <w:p>
            <w:pPr>
              <w:ind w:left="80"/>
              <w:spacing w:after="0" w:line="162" w:lineRule="exact"/>
              <w:rPr>
                <w:sz w:val="20"/>
                <w:szCs w:val="20"/>
                <w:color w:val="auto"/>
              </w:rPr>
            </w:pPr>
            <w:r>
              <w:rPr>
                <w:rFonts w:ascii="Arial" w:cs="Arial" w:eastAsia="Arial" w:hAnsi="Arial"/>
                <w:sz w:val="15"/>
                <w:szCs w:val="15"/>
                <w:color w:val="auto"/>
              </w:rPr>
              <w:t>Investment in</w:t>
            </w:r>
          </w:p>
        </w:tc>
        <w:tc>
          <w:tcPr>
            <w:tcW w:w="120" w:type="dxa"/>
            <w:vAlign w:val="bottom"/>
          </w:tcPr>
          <w:p>
            <w:pPr>
              <w:spacing w:after="0"/>
              <w:rPr>
                <w:sz w:val="14"/>
                <w:szCs w:val="14"/>
                <w:color w:val="auto"/>
              </w:rPr>
            </w:pPr>
          </w:p>
        </w:tc>
        <w:tc>
          <w:tcPr>
            <w:tcW w:w="1080" w:type="dxa"/>
            <w:vAlign w:val="bottom"/>
            <w:gridSpan w:val="2"/>
          </w:tcPr>
          <w:p>
            <w:pPr>
              <w:jc w:val="center"/>
              <w:ind w:right="200"/>
              <w:spacing w:after="0" w:line="162" w:lineRule="exact"/>
              <w:rPr>
                <w:sz w:val="20"/>
                <w:szCs w:val="20"/>
                <w:color w:val="auto"/>
              </w:rPr>
            </w:pPr>
            <w:r>
              <w:rPr>
                <w:rFonts w:ascii="Arial" w:cs="Arial" w:eastAsia="Arial" w:hAnsi="Arial"/>
                <w:sz w:val="15"/>
                <w:szCs w:val="15"/>
                <w:color w:val="auto"/>
                <w:w w:val="91"/>
              </w:rPr>
              <w:t>manufactured</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3"/>
              </w:rPr>
              <w:t>other intangible</w:t>
            </w:r>
          </w:p>
        </w:tc>
        <w:tc>
          <w:tcPr>
            <w:tcW w:w="120" w:type="dxa"/>
            <w:vAlign w:val="bottom"/>
          </w:tcPr>
          <w:p>
            <w:pPr>
              <w:spacing w:after="0"/>
              <w:rPr>
                <w:sz w:val="14"/>
                <w:szCs w:val="14"/>
                <w:color w:val="auto"/>
              </w:rPr>
            </w:pPr>
          </w:p>
        </w:tc>
        <w:tc>
          <w:tcPr>
            <w:tcW w:w="11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Other assets /</w:t>
            </w:r>
          </w:p>
        </w:tc>
        <w:tc>
          <w:tcPr>
            <w:tcW w:w="160" w:type="dxa"/>
            <w:vAlign w:val="bottom"/>
          </w:tcPr>
          <w:p>
            <w:pPr>
              <w:spacing w:after="0"/>
              <w:rPr>
                <w:sz w:val="14"/>
                <w:szCs w:val="14"/>
                <w:color w:val="auto"/>
              </w:rPr>
            </w:pPr>
          </w:p>
        </w:tc>
        <w:tc>
          <w:tcPr>
            <w:tcW w:w="16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1"/>
              </w:rPr>
              <w:t>acquired net of</w:t>
            </w:r>
          </w:p>
        </w:tc>
        <w:tc>
          <w:tcPr>
            <w:tcW w:w="100" w:type="dxa"/>
            <w:vAlign w:val="bottom"/>
          </w:tcPr>
          <w:p>
            <w:pPr>
              <w:spacing w:after="0"/>
              <w:rPr>
                <w:sz w:val="14"/>
                <w:szCs w:val="14"/>
                <w:color w:val="auto"/>
              </w:rPr>
            </w:pPr>
          </w:p>
        </w:tc>
        <w:tc>
          <w:tcPr>
            <w:tcW w:w="760" w:type="dxa"/>
            <w:vAlign w:val="bottom"/>
            <w:gridSpan w:val="2"/>
          </w:tcPr>
          <w:p>
            <w:pPr>
              <w:spacing w:after="0" w:line="162" w:lineRule="exact"/>
              <w:rPr>
                <w:sz w:val="20"/>
                <w:szCs w:val="20"/>
                <w:color w:val="auto"/>
              </w:rPr>
            </w:pPr>
            <w:r>
              <w:rPr>
                <w:rFonts w:ascii="Arial" w:cs="Arial" w:eastAsia="Arial" w:hAnsi="Arial"/>
                <w:sz w:val="15"/>
                <w:szCs w:val="15"/>
                <w:color w:val="auto"/>
              </w:rPr>
              <w:t>Cash and</w:t>
            </w:r>
          </w:p>
        </w:tc>
        <w:tc>
          <w:tcPr>
            <w:tcW w:w="120" w:type="dxa"/>
            <w:vAlign w:val="bottom"/>
          </w:tcPr>
          <w:p>
            <w:pPr>
              <w:spacing w:after="0"/>
              <w:rPr>
                <w:sz w:val="14"/>
                <w:szCs w:val="14"/>
                <w:color w:val="auto"/>
              </w:rPr>
            </w:pPr>
          </w:p>
        </w:tc>
        <w:tc>
          <w:tcPr>
            <w:tcW w:w="1200" w:type="dxa"/>
            <w:vAlign w:val="bottom"/>
            <w:gridSpan w:val="2"/>
          </w:tcPr>
          <w:p>
            <w:pPr>
              <w:jc w:val="center"/>
              <w:ind w:right="200"/>
              <w:spacing w:after="0" w:line="162" w:lineRule="exact"/>
              <w:rPr>
                <w:sz w:val="20"/>
                <w:szCs w:val="20"/>
                <w:color w:val="auto"/>
              </w:rPr>
            </w:pPr>
            <w:r>
              <w:rPr>
                <w:rFonts w:ascii="Arial" w:cs="Arial" w:eastAsia="Arial" w:hAnsi="Arial"/>
                <w:sz w:val="15"/>
                <w:szCs w:val="15"/>
                <w:color w:val="auto"/>
                <w:w w:val="90"/>
              </w:rPr>
              <w:t>Temporary and</w:t>
            </w:r>
          </w:p>
        </w:tc>
        <w:tc>
          <w:tcPr>
            <w:tcW w:w="100" w:type="dxa"/>
            <w:vAlign w:val="bottom"/>
          </w:tcPr>
          <w:p>
            <w:pPr>
              <w:spacing w:after="0"/>
              <w:rPr>
                <w:sz w:val="14"/>
                <w:szCs w:val="14"/>
                <w:color w:val="auto"/>
              </w:rPr>
            </w:pPr>
          </w:p>
        </w:tc>
        <w:tc>
          <w:tcPr>
            <w:tcW w:w="1040" w:type="dxa"/>
            <w:vAlign w:val="bottom"/>
          </w:tcPr>
          <w:p>
            <w:pPr>
              <w:jc w:val="right"/>
              <w:ind w:right="324"/>
              <w:spacing w:after="0" w:line="162" w:lineRule="exact"/>
              <w:rPr>
                <w:sz w:val="20"/>
                <w:szCs w:val="20"/>
                <w:color w:val="auto"/>
              </w:rPr>
            </w:pPr>
            <w:r>
              <w:rPr>
                <w:rFonts w:ascii="Arial" w:cs="Arial" w:eastAsia="Arial" w:hAnsi="Arial"/>
                <w:sz w:val="15"/>
                <w:szCs w:val="15"/>
                <w:b w:val="1"/>
                <w:bCs w:val="1"/>
                <w:color w:val="auto"/>
              </w:rPr>
              <w:t>Total</w:t>
            </w:r>
          </w:p>
        </w:tc>
      </w:tr>
      <w:tr>
        <w:trPr>
          <w:trHeight w:val="202"/>
        </w:trPr>
        <w:tc>
          <w:tcPr>
            <w:tcW w:w="1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property</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color w:val="auto"/>
                <w:w w:val="88"/>
              </w:rPr>
              <w:t>homes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color w:val="auto"/>
                <w:w w:val="82"/>
              </w:rPr>
              <w:t>assets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(liabilities), net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w w:val="88"/>
              </w:rPr>
              <w:t>liabilities assumed</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escrow</w:t>
            </w: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w w:val="93"/>
              </w:rPr>
              <w:t>permanent equity</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89"/>
              </w:rPr>
              <w:t>consideration</w:t>
            </w:r>
          </w:p>
        </w:tc>
      </w:tr>
      <w:tr>
        <w:trPr>
          <w:trHeight w:val="213"/>
        </w:trPr>
        <w:tc>
          <w:tcPr>
            <w:tcW w:w="1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Cape Cod</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13,350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13,205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13,205</w:t>
            </w:r>
          </w:p>
        </w:tc>
      </w:tr>
      <w:tr>
        <w:trPr>
          <w:trHeight w:val="176"/>
        </w:trPr>
        <w:tc>
          <w:tcPr>
            <w:tcW w:w="1140" w:type="dxa"/>
            <w:vAlign w:val="bottom"/>
          </w:tcPr>
          <w:p>
            <w:pPr>
              <w:ind w:left="20"/>
              <w:spacing w:after="0"/>
              <w:rPr>
                <w:sz w:val="20"/>
                <w:szCs w:val="20"/>
                <w:color w:val="auto"/>
              </w:rPr>
            </w:pPr>
            <w:r>
              <w:rPr>
                <w:rFonts w:ascii="Arial" w:cs="Arial" w:eastAsia="Arial" w:hAnsi="Arial"/>
                <w:sz w:val="15"/>
                <w:szCs w:val="15"/>
                <w:color w:val="auto"/>
              </w:rPr>
              <w:t>Jellystone</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8"/>
        </w:trPr>
        <w:tc>
          <w:tcPr>
            <w:tcW w:w="1140" w:type="dxa"/>
            <w:vAlign w:val="bottom"/>
          </w:tcPr>
          <w:p>
            <w:pPr>
              <w:ind w:left="20"/>
              <w:spacing w:after="0"/>
              <w:rPr>
                <w:sz w:val="20"/>
                <w:szCs w:val="20"/>
                <w:color w:val="auto"/>
              </w:rPr>
            </w:pPr>
            <w:r>
              <w:rPr>
                <w:rFonts w:ascii="Arial" w:cs="Arial" w:eastAsia="Arial" w:hAnsi="Arial"/>
                <w:sz w:val="15"/>
                <w:szCs w:val="15"/>
                <w:color w:val="auto"/>
              </w:rPr>
              <w:t>Natural Bridge</w:t>
            </w:r>
          </w:p>
        </w:tc>
        <w:tc>
          <w:tcPr>
            <w:tcW w:w="1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11,364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11,053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11,053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11,053</w:t>
            </w:r>
          </w:p>
        </w:tc>
      </w:tr>
      <w:tr>
        <w:trPr>
          <w:trHeight w:val="220"/>
        </w:trPr>
        <w:tc>
          <w:tcPr>
            <w:tcW w:w="1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Forest Springs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51,949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55,339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36,260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19,079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55,339</w:t>
            </w:r>
          </w:p>
        </w:tc>
      </w:tr>
      <w:tr>
        <w:trPr>
          <w:trHeight w:val="212"/>
        </w:trPr>
        <w:tc>
          <w:tcPr>
            <w:tcW w:w="1140" w:type="dxa"/>
            <w:vAlign w:val="bottom"/>
          </w:tcPr>
          <w:p>
            <w:pPr>
              <w:ind w:left="20"/>
              <w:spacing w:after="0"/>
              <w:rPr>
                <w:sz w:val="20"/>
                <w:szCs w:val="20"/>
                <w:color w:val="auto"/>
              </w:rPr>
            </w:pPr>
            <w:r>
              <w:rPr>
                <w:rFonts w:ascii="Arial" w:cs="Arial" w:eastAsia="Arial" w:hAnsi="Arial"/>
                <w:sz w:val="15"/>
                <w:szCs w:val="15"/>
                <w:color w:val="auto"/>
              </w:rPr>
              <w:t>Crown Villa</w:t>
            </w:r>
          </w:p>
        </w:tc>
        <w:tc>
          <w:tcPr>
            <w:tcW w:w="16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16,792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16,562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16,562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16,562</w:t>
            </w:r>
          </w:p>
        </w:tc>
      </w:tr>
      <w:tr>
        <w:trPr>
          <w:trHeight w:val="220"/>
        </w:trPr>
        <w:tc>
          <w:tcPr>
            <w:tcW w:w="1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Flamingo Lake</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33,845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33,845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33,845</w:t>
            </w:r>
          </w:p>
        </w:tc>
      </w:tr>
      <w:tr>
        <w:trPr>
          <w:trHeight w:val="212"/>
        </w:trPr>
        <w:tc>
          <w:tcPr>
            <w:tcW w:w="1140" w:type="dxa"/>
            <w:vAlign w:val="bottom"/>
          </w:tcPr>
          <w:p>
            <w:pPr>
              <w:ind w:left="20"/>
              <w:spacing w:after="0"/>
              <w:rPr>
                <w:sz w:val="20"/>
                <w:szCs w:val="20"/>
                <w:color w:val="auto"/>
              </w:rPr>
            </w:pPr>
            <w:r>
              <w:rPr>
                <w:rFonts w:ascii="Arial" w:cs="Arial" w:eastAsia="Arial" w:hAnsi="Arial"/>
                <w:sz w:val="15"/>
                <w:szCs w:val="15"/>
                <w:color w:val="auto"/>
              </w:rPr>
              <w:t>Woodsmoke</w:t>
            </w:r>
          </w:p>
        </w:tc>
        <w:tc>
          <w:tcPr>
            <w:tcW w:w="16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26,000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25,539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25,539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25,539</w:t>
            </w:r>
          </w:p>
        </w:tc>
      </w:tr>
      <w:tr>
        <w:trPr>
          <w:trHeight w:val="180"/>
        </w:trPr>
        <w:tc>
          <w:tcPr>
            <w:tcW w:w="1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Jellystone Lone</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2"/>
        </w:trPr>
        <w:tc>
          <w:tcPr>
            <w:tcW w:w="1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Star</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20,297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20,297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20,297</w:t>
            </w:r>
          </w:p>
        </w:tc>
      </w:tr>
      <w:tr>
        <w:trPr>
          <w:trHeight w:val="176"/>
        </w:trPr>
        <w:tc>
          <w:tcPr>
            <w:tcW w:w="1140" w:type="dxa"/>
            <w:vAlign w:val="bottom"/>
          </w:tcPr>
          <w:p>
            <w:pPr>
              <w:ind w:left="20"/>
              <w:spacing w:after="0"/>
              <w:rPr>
                <w:sz w:val="20"/>
                <w:szCs w:val="20"/>
                <w:color w:val="auto"/>
              </w:rPr>
            </w:pPr>
            <w:r>
              <w:rPr>
                <w:rFonts w:ascii="Arial" w:cs="Arial" w:eastAsia="Arial" w:hAnsi="Arial"/>
                <w:sz w:val="15"/>
                <w:szCs w:val="15"/>
                <w:color w:val="auto"/>
              </w:rPr>
              <w:t>El Capitan &amp;</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8"/>
        </w:trPr>
        <w:tc>
          <w:tcPr>
            <w:tcW w:w="1140" w:type="dxa"/>
            <w:vAlign w:val="bottom"/>
          </w:tcPr>
          <w:p>
            <w:pPr>
              <w:ind w:left="20"/>
              <w:spacing w:after="0"/>
              <w:rPr>
                <w:sz w:val="20"/>
                <w:szCs w:val="20"/>
                <w:color w:val="auto"/>
              </w:rPr>
            </w:pPr>
            <w:r>
              <w:rPr>
                <w:rFonts w:ascii="Arial" w:cs="Arial" w:eastAsia="Arial" w:hAnsi="Arial"/>
                <w:sz w:val="15"/>
                <w:szCs w:val="15"/>
                <w:color w:val="auto"/>
              </w:rPr>
              <w:t>Ocean Mesa</w:t>
            </w:r>
          </w:p>
        </w:tc>
        <w:tc>
          <w:tcPr>
            <w:tcW w:w="16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59,500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58,179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32,108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26,071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58,179</w:t>
            </w:r>
          </w:p>
        </w:tc>
      </w:tr>
      <w:tr>
        <w:trPr>
          <w:trHeight w:val="180"/>
        </w:trPr>
        <w:tc>
          <w:tcPr>
            <w:tcW w:w="1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Highland Green</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62"/>
        </w:trPr>
        <w:tc>
          <w:tcPr>
            <w:tcW w:w="11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Estates &amp; Troy</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98"/>
        </w:trPr>
        <w:tc>
          <w:tcPr>
            <w:tcW w:w="1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Villa</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63,134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64,682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64,682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64,682</w:t>
            </w:r>
          </w:p>
        </w:tc>
      </w:tr>
      <w:tr>
        <w:trPr>
          <w:trHeight w:val="214"/>
        </w:trPr>
        <w:tc>
          <w:tcPr>
            <w:tcW w:w="1140" w:type="dxa"/>
            <w:vAlign w:val="bottom"/>
          </w:tcPr>
          <w:p>
            <w:pPr>
              <w:ind w:left="20"/>
              <w:spacing w:after="0"/>
              <w:rPr>
                <w:sz w:val="20"/>
                <w:szCs w:val="20"/>
                <w:color w:val="auto"/>
              </w:rPr>
            </w:pPr>
            <w:r>
              <w:rPr>
                <w:rFonts w:ascii="Arial" w:cs="Arial" w:eastAsia="Arial" w:hAnsi="Arial"/>
                <w:sz w:val="15"/>
                <w:szCs w:val="15"/>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297,089</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2,838</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2,390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(3,616)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298,701</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244,551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54,150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298,701</w:t>
            </w:r>
          </w:p>
        </w:tc>
      </w:tr>
      <w:tr>
        <w:trPr>
          <w:trHeight w:val="20"/>
        </w:trPr>
        <w:tc>
          <w:tcPr>
            <w:tcW w:w="1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2020, we have incurred $4.5 million of additional capitalized transaction costs which have been allocated among the various categories above.</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amount of revenues and net income included in the Consolidated Statements of Operations for the three and nine months ended September 30, 2020 related to the acquisitions completed in 2020 are set forth in the following table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24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jc w:val="right"/>
              <w:ind w:right="464"/>
              <w:spacing w:after="0"/>
              <w:rPr>
                <w:sz w:val="20"/>
                <w:szCs w:val="20"/>
                <w:color w:val="auto"/>
              </w:rPr>
            </w:pPr>
            <w:r>
              <w:rPr>
                <w:rFonts w:ascii="Arial" w:cs="Arial" w:eastAsia="Arial" w:hAnsi="Arial"/>
                <w:sz w:val="15"/>
                <w:szCs w:val="15"/>
                <w:b w:val="1"/>
                <w:bCs w:val="1"/>
                <w:color w:val="auto"/>
              </w:rPr>
              <w:t>Nine Months Ended</w:t>
            </w:r>
          </w:p>
        </w:tc>
      </w:tr>
      <w:tr>
        <w:trPr>
          <w:trHeight w:val="220"/>
        </w:trPr>
        <w:tc>
          <w:tcPr>
            <w:tcW w:w="624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September 30, 2020</w:t>
            </w: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September 30, 2020</w:t>
            </w:r>
          </w:p>
        </w:tc>
      </w:tr>
      <w:tr>
        <w:trPr>
          <w:trHeight w:val="214"/>
        </w:trPr>
        <w:tc>
          <w:tcPr>
            <w:tcW w:w="6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1920" w:type="dxa"/>
            <w:vAlign w:val="bottom"/>
            <w:shd w:val="clear" w:color="auto" w:fill="CCEEFF"/>
          </w:tcPr>
          <w:p>
            <w:pPr>
              <w:jc w:val="right"/>
              <w:ind w:right="1764"/>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5,714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7,055</w:t>
            </w:r>
          </w:p>
        </w:tc>
      </w:tr>
      <w:tr>
        <w:trPr>
          <w:trHeight w:val="208"/>
        </w:trPr>
        <w:tc>
          <w:tcPr>
            <w:tcW w:w="62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920" w:type="dxa"/>
            <w:vAlign w:val="bottom"/>
          </w:tcPr>
          <w:p>
            <w:pPr>
              <w:jc w:val="right"/>
              <w:ind w:right="1764"/>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ind w:right="4"/>
              <w:spacing w:after="0"/>
              <w:rPr>
                <w:sz w:val="20"/>
                <w:szCs w:val="20"/>
                <w:color w:val="auto"/>
              </w:rPr>
            </w:pPr>
            <w:r>
              <w:rPr>
                <w:rFonts w:ascii="Arial" w:cs="Arial" w:eastAsia="Arial" w:hAnsi="Arial"/>
                <w:sz w:val="15"/>
                <w:szCs w:val="15"/>
                <w:color w:val="auto"/>
                <w:w w:val="95"/>
              </w:rPr>
              <w:t>2,186</w:t>
            </w:r>
          </w:p>
        </w:tc>
        <w:tc>
          <w:tcPr>
            <w:tcW w:w="24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2080" w:type="dxa"/>
            <w:vAlign w:val="bottom"/>
          </w:tcPr>
          <w:p>
            <w:pPr>
              <w:jc w:val="right"/>
              <w:ind w:right="4"/>
              <w:spacing w:after="0"/>
              <w:rPr>
                <w:sz w:val="20"/>
                <w:szCs w:val="20"/>
                <w:color w:val="auto"/>
              </w:rPr>
            </w:pPr>
            <w:r>
              <w:rPr>
                <w:rFonts w:ascii="Arial" w:cs="Arial" w:eastAsia="Arial" w:hAnsi="Arial"/>
                <w:sz w:val="15"/>
                <w:szCs w:val="15"/>
                <w:color w:val="auto"/>
              </w:rPr>
              <w:t>2,400</w:t>
            </w: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following unaudited pro forma financial information presents the results of our operations for the three and nine months ended September 30, 2020 and 2019, as if the properties acquired in 2020 had been acquired on January 1, 2019. The unaudited pro forma results reflect certain adjustments for items that are not expected to have a continuing impact, such as adjustments for transaction costs incurred, management fees and purchase accounting.</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presented below has been prepared for comparative purposes only and does not purport to be indicative of either future results of operations or the results of operations that would have actually occurred had the acquisition been consummated on January 1, 2019 (in thousands, except per-share data):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rPr>
              <w:t>Nine Months Ended</w:t>
            </w:r>
          </w:p>
        </w:tc>
        <w:tc>
          <w:tcPr>
            <w:tcW w:w="660" w:type="dxa"/>
            <w:vAlign w:val="bottom"/>
            <w:tcBorders>
              <w:bottom w:val="single" w:sz="8" w:color="auto"/>
            </w:tcBorders>
          </w:tcPr>
          <w:p>
            <w:pPr>
              <w:spacing w:after="0"/>
              <w:rPr>
                <w:sz w:val="17"/>
                <w:szCs w:val="17"/>
                <w:color w:val="auto"/>
              </w:rPr>
            </w:pPr>
          </w:p>
        </w:tc>
      </w:tr>
      <w:tr>
        <w:trPr>
          <w:trHeight w:val="209"/>
        </w:trPr>
        <w:tc>
          <w:tcPr>
            <w:tcW w:w="534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Arial" w:cs="Arial" w:eastAsia="Arial" w:hAnsi="Arial"/>
                <w:sz w:val="15"/>
                <w:szCs w:val="15"/>
                <w:b w:val="1"/>
                <w:bCs w:val="1"/>
                <w:color w:val="auto"/>
              </w:rPr>
              <w:t>September 30, 2020</w:t>
            </w:r>
          </w:p>
        </w:tc>
        <w:tc>
          <w:tcPr>
            <w:tcW w:w="1580" w:type="dxa"/>
            <w:vAlign w:val="bottom"/>
            <w:gridSpan w:val="3"/>
          </w:tcPr>
          <w:p>
            <w:pPr>
              <w:ind w:left="40"/>
              <w:spacing w:after="0"/>
              <w:rPr>
                <w:sz w:val="20"/>
                <w:szCs w:val="20"/>
                <w:color w:val="auto"/>
              </w:rPr>
            </w:pPr>
            <w:r>
              <w:rPr>
                <w:rFonts w:ascii="Arial" w:cs="Arial" w:eastAsia="Arial" w:hAnsi="Arial"/>
                <w:sz w:val="15"/>
                <w:szCs w:val="15"/>
                <w:b w:val="1"/>
                <w:bCs w:val="1"/>
                <w:color w:val="auto"/>
              </w:rPr>
              <w:t>September 30, 2019</w:t>
            </w:r>
          </w:p>
        </w:tc>
        <w:tc>
          <w:tcPr>
            <w:tcW w:w="1480" w:type="dxa"/>
            <w:vAlign w:val="bottom"/>
            <w:gridSpan w:val="3"/>
          </w:tcPr>
          <w:p>
            <w:pPr>
              <w:ind w:left="40"/>
              <w:spacing w:after="0"/>
              <w:rPr>
                <w:sz w:val="20"/>
                <w:szCs w:val="20"/>
                <w:color w:val="auto"/>
              </w:rPr>
            </w:pPr>
            <w:r>
              <w:rPr>
                <w:rFonts w:ascii="Arial" w:cs="Arial" w:eastAsia="Arial" w:hAnsi="Arial"/>
                <w:sz w:val="15"/>
                <w:szCs w:val="15"/>
                <w:b w:val="1"/>
                <w:bCs w:val="1"/>
                <w:color w:val="auto"/>
              </w:rPr>
              <w:t>September 30, 2020</w:t>
            </w:r>
          </w:p>
        </w:tc>
        <w:tc>
          <w:tcPr>
            <w:tcW w:w="1360" w:type="dxa"/>
            <w:vAlign w:val="bottom"/>
            <w:gridSpan w:val="2"/>
          </w:tcPr>
          <w:p>
            <w:pPr>
              <w:jc w:val="right"/>
              <w:spacing w:after="0"/>
              <w:rPr>
                <w:sz w:val="20"/>
                <w:szCs w:val="20"/>
                <w:color w:val="auto"/>
              </w:rPr>
            </w:pPr>
            <w:r>
              <w:rPr>
                <w:rFonts w:ascii="Arial" w:cs="Arial" w:eastAsia="Arial" w:hAnsi="Arial"/>
                <w:sz w:val="15"/>
                <w:szCs w:val="15"/>
                <w:b w:val="1"/>
                <w:bCs w:val="1"/>
                <w:color w:val="auto"/>
                <w:w w:val="92"/>
              </w:rPr>
              <w:t>September 30, 2019</w:t>
            </w:r>
          </w:p>
        </w:tc>
      </w:tr>
      <w:tr>
        <w:trPr>
          <w:trHeight w:val="214"/>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40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422,130</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393,218</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1,035,698</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992,993</w:t>
            </w:r>
          </w:p>
        </w:tc>
      </w:tr>
      <w:tr>
        <w:trPr>
          <w:trHeight w:val="212"/>
        </w:trPr>
        <w:tc>
          <w:tcPr>
            <w:tcW w:w="5340" w:type="dxa"/>
            <w:vAlign w:val="bottom"/>
          </w:tcPr>
          <w:p>
            <w:pPr>
              <w:ind w:left="20"/>
              <w:spacing w:after="0"/>
              <w:rPr>
                <w:sz w:val="20"/>
                <w:szCs w:val="20"/>
                <w:color w:val="auto"/>
              </w:rPr>
            </w:pPr>
            <w:r>
              <w:rPr>
                <w:rFonts w:ascii="Arial" w:cs="Arial" w:eastAsia="Arial" w:hAnsi="Arial"/>
                <w:sz w:val="15"/>
                <w:szCs w:val="15"/>
                <w:color w:val="auto"/>
              </w:rPr>
              <w:t>Net income attributable to Sun Communities, Inc. common stockholders</w:t>
            </w:r>
          </w:p>
        </w:tc>
        <w:tc>
          <w:tcPr>
            <w:tcW w:w="400" w:type="dxa"/>
            <w:vAlign w:val="bottom"/>
          </w:tcPr>
          <w:p>
            <w:pPr>
              <w:jc w:val="right"/>
              <w:ind w:right="22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85,822</w:t>
            </w:r>
          </w:p>
        </w:tc>
        <w:tc>
          <w:tcPr>
            <w:tcW w:w="120" w:type="dxa"/>
            <w:vAlign w:val="bottom"/>
          </w:tcPr>
          <w:p>
            <w:pPr>
              <w:spacing w:after="0"/>
              <w:rPr>
                <w:sz w:val="18"/>
                <w:szCs w:val="18"/>
                <w:color w:val="auto"/>
              </w:rPr>
            </w:pPr>
          </w:p>
        </w:tc>
        <w:tc>
          <w:tcPr>
            <w:tcW w:w="700" w:type="dxa"/>
            <w:vAlign w:val="bottom"/>
          </w:tcPr>
          <w:p>
            <w:pPr>
              <w:jc w:val="right"/>
              <w:ind w:right="54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65,087</w:t>
            </w:r>
          </w:p>
        </w:tc>
        <w:tc>
          <w:tcPr>
            <w:tcW w:w="220" w:type="dxa"/>
            <w:vAlign w:val="bottom"/>
          </w:tcPr>
          <w:p>
            <w:pPr>
              <w:spacing w:after="0"/>
              <w:rPr>
                <w:sz w:val="18"/>
                <w:szCs w:val="18"/>
                <w:color w:val="auto"/>
              </w:rPr>
            </w:pP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128,646</w:t>
            </w:r>
          </w:p>
        </w:tc>
        <w:tc>
          <w:tcPr>
            <w:tcW w:w="120" w:type="dxa"/>
            <w:vAlign w:val="bottom"/>
          </w:tcPr>
          <w:p>
            <w:pPr>
              <w:spacing w:after="0"/>
              <w:rPr>
                <w:sz w:val="18"/>
                <w:szCs w:val="18"/>
                <w:color w:val="auto"/>
              </w:rPr>
            </w:pPr>
          </w:p>
        </w:tc>
        <w:tc>
          <w:tcPr>
            <w:tcW w:w="700" w:type="dxa"/>
            <w:vAlign w:val="bottom"/>
          </w:tcPr>
          <w:p>
            <w:pPr>
              <w:jc w:val="right"/>
              <w:ind w:right="524"/>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139,803</w:t>
            </w:r>
          </w:p>
        </w:tc>
      </w:tr>
      <w:tr>
        <w:trPr>
          <w:trHeight w:val="180"/>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Net income per share attributable to Sun Communities, Inc. common stockholders -</w:t>
            </w: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02"/>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w:t>
            </w:r>
          </w:p>
        </w:tc>
        <w:tc>
          <w:tcPr>
            <w:tcW w:w="40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0.90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0.74</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1.35</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24"/>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1.60</w:t>
            </w:r>
          </w:p>
        </w:tc>
      </w:tr>
      <w:tr>
        <w:trPr>
          <w:trHeight w:val="176"/>
        </w:trPr>
        <w:tc>
          <w:tcPr>
            <w:tcW w:w="5340" w:type="dxa"/>
            <w:vAlign w:val="bottom"/>
          </w:tcPr>
          <w:p>
            <w:pPr>
              <w:ind w:left="20"/>
              <w:spacing w:after="0"/>
              <w:rPr>
                <w:sz w:val="20"/>
                <w:szCs w:val="20"/>
                <w:color w:val="auto"/>
              </w:rPr>
            </w:pPr>
            <w:r>
              <w:rPr>
                <w:rFonts w:ascii="Arial" w:cs="Arial" w:eastAsia="Arial" w:hAnsi="Arial"/>
                <w:sz w:val="15"/>
                <w:szCs w:val="15"/>
                <w:color w:val="auto"/>
                <w:w w:val="95"/>
              </w:rPr>
              <w:t>Net income per share attributable to Sun Communities, Inc. common stockholders -</w:t>
            </w: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4"/>
        </w:trPr>
        <w:tc>
          <w:tcPr>
            <w:tcW w:w="5340" w:type="dxa"/>
            <w:vAlign w:val="bottom"/>
          </w:tcPr>
          <w:p>
            <w:pPr>
              <w:ind w:left="20"/>
              <w:spacing w:after="0"/>
              <w:rPr>
                <w:sz w:val="20"/>
                <w:szCs w:val="20"/>
                <w:color w:val="auto"/>
              </w:rPr>
            </w:pPr>
            <w:r>
              <w:rPr>
                <w:rFonts w:ascii="Arial" w:cs="Arial" w:eastAsia="Arial" w:hAnsi="Arial"/>
                <w:sz w:val="15"/>
                <w:szCs w:val="15"/>
                <w:color w:val="auto"/>
              </w:rPr>
              <w:t>diluted</w:t>
            </w:r>
          </w:p>
        </w:tc>
        <w:tc>
          <w:tcPr>
            <w:tcW w:w="400" w:type="dxa"/>
            <w:vAlign w:val="bottom"/>
          </w:tcPr>
          <w:p>
            <w:pPr>
              <w:jc w:val="right"/>
              <w:ind w:right="22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0.89</w:t>
            </w:r>
          </w:p>
        </w:tc>
        <w:tc>
          <w:tcPr>
            <w:tcW w:w="120" w:type="dxa"/>
            <w:vAlign w:val="bottom"/>
          </w:tcPr>
          <w:p>
            <w:pPr>
              <w:spacing w:after="0"/>
              <w:rPr>
                <w:sz w:val="16"/>
                <w:szCs w:val="16"/>
                <w:color w:val="auto"/>
              </w:rPr>
            </w:pPr>
          </w:p>
        </w:tc>
        <w:tc>
          <w:tcPr>
            <w:tcW w:w="700" w:type="dxa"/>
            <w:vAlign w:val="bottom"/>
          </w:tcPr>
          <w:p>
            <w:pPr>
              <w:jc w:val="right"/>
              <w:ind w:right="54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0.74</w:t>
            </w:r>
          </w:p>
        </w:tc>
        <w:tc>
          <w:tcPr>
            <w:tcW w:w="220" w:type="dxa"/>
            <w:vAlign w:val="bottom"/>
          </w:tcPr>
          <w:p>
            <w:pPr>
              <w:spacing w:after="0"/>
              <w:rPr>
                <w:sz w:val="16"/>
                <w:szCs w:val="16"/>
                <w:color w:val="auto"/>
              </w:rPr>
            </w:pPr>
          </w:p>
        </w:tc>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1.34</w:t>
            </w:r>
          </w:p>
        </w:tc>
        <w:tc>
          <w:tcPr>
            <w:tcW w:w="120" w:type="dxa"/>
            <w:vAlign w:val="bottom"/>
          </w:tcPr>
          <w:p>
            <w:pPr>
              <w:spacing w:after="0"/>
              <w:rPr>
                <w:sz w:val="16"/>
                <w:szCs w:val="16"/>
                <w:color w:val="auto"/>
              </w:rPr>
            </w:pPr>
          </w:p>
        </w:tc>
        <w:tc>
          <w:tcPr>
            <w:tcW w:w="700" w:type="dxa"/>
            <w:vAlign w:val="bottom"/>
          </w:tcPr>
          <w:p>
            <w:pPr>
              <w:jc w:val="right"/>
              <w:ind w:right="524"/>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1.59</w:t>
            </w:r>
          </w:p>
        </w:tc>
      </w:tr>
    </w:tbl>
    <w:p>
      <w:pPr>
        <w:spacing w:after="0" w:line="3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29, 2020, we, along with our wholly-owned subsidiary, Sun SH LLC (“Merger Sub”), entered into a merger agreement (the “Merger Agreement”) with Safe Harbor Marinas, LLC (“Safe Harbor”) and certain other parties. The Merger Agreement contemplates that we will acquire Safe Harbor and its properties (the “Safe Harbor Properties”) through a merger of Merger Sub into Safe Harbor, with Safe Harbor being the surviving entity of the merger (the “Merger”). Subject to certain adjustments, including a net working capital adjustment, the aggregate consideration for the Merger is approximately $2.1 billion. The purchase price will be paid through a combination of the assumption of debt owed by Safe Harbor, the issuance of common and preferred OP units by the Operating Partnership, and cash.</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Third-party consents are required for us to acquire, through our indirect ownership of Safe Harbor, certain of the Safe Harbor Properties as a result of the Merger. With respect to four of these properties, which have an aggregate value of $112.6 million as mutually agreed by the parties in the Merger Agreement, if any of these consents are not received by the closing of the Merger, the affected properties (the “Delayed Consent Properties”) will be retained by an affiliate of the owners of Safe Harbor. The cash consideration we will pay at the closing of the Merger will be reduced by the agreed value of the Delayed Consent Properties. If and when a required third-party consent for a Delayed Consent Property is obtained in the two-year period following the closing of the Merger, we will acquire, through our indirect ownership of Safe Harbor, that Delayed Consent Property for cash consideration equal to its agreed value. If the required third-party consent for a Delayed Consent Property is not received by the end of such two-year period, we will not have the right to acquire the Delayed Consent Property.</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respect to 11 of these Safe Harbor Properties, which have an aggregate value of $260.2 million as mutually agreed by the parties in the Merger Agreement, if any of such third-party consents are not received by the closing of the Merger, the affected properties (the “Delayed Closing Properties”), at our election, may be retained by an affiliate of the owners of Safe Harbor until not later than November 30, 2020. The cash consideration we will pay at the closing of the Merger will be reduced by the agreed value of the Delayed Closing Properties. Even if required third-party consents for the Delayed Closing Properties are not obtained before November 30, 2020, we are obligated on that date to acquire, through our indirect ownership of Safe Harbor, all of the Delayed Closing Properties for cash consideration equal to their agreed values.</w:t>
      </w:r>
    </w:p>
    <w:p>
      <w:pPr>
        <w:spacing w:after="0" w:line="20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anticipate that the closing of the Merger will occur no later than October 30, 2020. The consummation of the Merger is subject to customary closing conditions. If these conditions are not satisfied or waived, or if the merger agreement is otherwise terminated in accordance with its terms, then the acquisition will not be consummated. As a result, there can be no assurances as to the actual closing, or the timing of the closing of the Merger.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1, 2020, we sold a manufactured home community located in Montana, containing 226 sites, for $12.6 million. The gain from the sale of the property was approximately $5.6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 we acquired the following communities:</w:t>
      </w: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3040" w:type="dxa"/>
            <w:vAlign w:val="bottom"/>
            <w:tcBorders>
              <w:bottom w:val="single" w:sz="8" w:color="auto"/>
            </w:tcBorders>
          </w:tcPr>
          <w:p>
            <w:pPr>
              <w:ind w:left="920"/>
              <w:spacing w:after="0"/>
              <w:rPr>
                <w:sz w:val="20"/>
                <w:szCs w:val="20"/>
                <w:color w:val="auto"/>
              </w:rPr>
            </w:pPr>
            <w:r>
              <w:rPr>
                <w:rFonts w:ascii="Arial" w:cs="Arial" w:eastAsia="Arial" w:hAnsi="Arial"/>
                <w:sz w:val="15"/>
                <w:szCs w:val="15"/>
                <w:b w:val="1"/>
                <w:bCs w:val="1"/>
                <w:color w:val="auto"/>
              </w:rPr>
              <w:t>Community Name</w:t>
            </w:r>
          </w:p>
        </w:tc>
        <w:tc>
          <w:tcPr>
            <w:tcW w:w="120" w:type="dxa"/>
            <w:vAlign w:val="bottom"/>
            <w:tcBorders>
              <w:bottom w:val="single" w:sz="8" w:color="CCEEFF"/>
            </w:tcBorders>
          </w:tcPr>
          <w:p>
            <w:pPr>
              <w:spacing w:after="0"/>
              <w:rPr>
                <w:sz w:val="17"/>
                <w:szCs w:val="17"/>
                <w:color w:val="auto"/>
              </w:rPr>
            </w:pPr>
          </w:p>
        </w:tc>
        <w:tc>
          <w:tcPr>
            <w:tcW w:w="2260" w:type="dxa"/>
            <w:vAlign w:val="bottom"/>
            <w:tcBorders>
              <w:bottom w:val="single" w:sz="8" w:color="auto"/>
            </w:tcBorders>
          </w:tcPr>
          <w:p>
            <w:pPr>
              <w:ind w:left="960"/>
              <w:spacing w:after="0"/>
              <w:rPr>
                <w:sz w:val="20"/>
                <w:szCs w:val="20"/>
                <w:color w:val="auto"/>
              </w:rPr>
            </w:pPr>
            <w:r>
              <w:rPr>
                <w:rFonts w:ascii="Arial" w:cs="Arial" w:eastAsia="Arial" w:hAnsi="Arial"/>
                <w:sz w:val="15"/>
                <w:szCs w:val="15"/>
                <w:b w:val="1"/>
                <w:bCs w:val="1"/>
                <w:color w:val="auto"/>
              </w:rPr>
              <w:t>Type</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Sites</w:t>
            </w:r>
          </w:p>
        </w:tc>
        <w:tc>
          <w:tcPr>
            <w:tcW w:w="1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Development Sites</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State</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Month Acquired</w:t>
            </w:r>
          </w:p>
        </w:tc>
      </w:tr>
      <w:tr>
        <w:trPr>
          <w:trHeight w:val="214"/>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Slickrock Campground</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193</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UT</w:t>
            </w:r>
          </w:p>
        </w:tc>
        <w:tc>
          <w:tcPr>
            <w:tcW w:w="1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r>
      <w:tr>
        <w:trPr>
          <w:trHeight w:val="212"/>
        </w:trPr>
        <w:tc>
          <w:tcPr>
            <w:tcW w:w="3160" w:type="dxa"/>
            <w:vAlign w:val="bottom"/>
            <w:gridSpan w:val="2"/>
          </w:tcPr>
          <w:p>
            <w:pPr>
              <w:ind w:left="20"/>
              <w:spacing w:after="0"/>
              <w:rPr>
                <w:sz w:val="20"/>
                <w:szCs w:val="20"/>
                <w:color w:val="auto"/>
              </w:rPr>
            </w:pPr>
            <w:r>
              <w:rPr>
                <w:rFonts w:ascii="Arial" w:cs="Arial" w:eastAsia="Arial" w:hAnsi="Arial"/>
                <w:sz w:val="15"/>
                <w:szCs w:val="15"/>
                <w:color w:val="auto"/>
              </w:rPr>
              <w:t>Pandion Ridge</w:t>
            </w:r>
          </w:p>
        </w:tc>
        <w:tc>
          <w:tcPr>
            <w:tcW w:w="236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142</w:t>
            </w:r>
          </w:p>
        </w:tc>
        <w:tc>
          <w:tcPr>
            <w:tcW w:w="120" w:type="dxa"/>
            <w:vAlign w:val="bottom"/>
          </w:tcPr>
          <w:p>
            <w:pPr>
              <w:spacing w:after="0"/>
              <w:rPr>
                <w:sz w:val="18"/>
                <w:szCs w:val="18"/>
                <w:color w:val="auto"/>
              </w:rPr>
            </w:pPr>
          </w:p>
        </w:tc>
        <w:tc>
          <w:tcPr>
            <w:tcW w:w="1580" w:type="dxa"/>
            <w:vAlign w:val="bottom"/>
          </w:tcPr>
          <w:p>
            <w:pPr>
              <w:jc w:val="right"/>
              <w:ind w:right="4"/>
              <w:spacing w:after="0"/>
              <w:rPr>
                <w:sz w:val="20"/>
                <w:szCs w:val="20"/>
                <w:color w:val="auto"/>
              </w:rPr>
            </w:pPr>
            <w:r>
              <w:rPr>
                <w:rFonts w:ascii="Arial" w:cs="Arial" w:eastAsia="Arial" w:hAnsi="Arial"/>
                <w:sz w:val="15"/>
                <w:szCs w:val="15"/>
                <w:color w:val="auto"/>
              </w:rPr>
              <w:t>351</w:t>
            </w: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color w:val="auto"/>
              </w:rPr>
              <w:t>AL</w:t>
            </w:r>
          </w:p>
        </w:tc>
        <w:tc>
          <w:tcPr>
            <w:tcW w:w="1580" w:type="dxa"/>
            <w:vAlign w:val="bottom"/>
          </w:tcPr>
          <w:p>
            <w:pPr>
              <w:ind w:left="20"/>
              <w:spacing w:after="0"/>
              <w:rPr>
                <w:sz w:val="20"/>
                <w:szCs w:val="20"/>
                <w:color w:val="auto"/>
              </w:rPr>
            </w:pPr>
            <w:r>
              <w:rPr>
                <w:rFonts w:ascii="Arial" w:cs="Arial" w:eastAsia="Arial" w:hAnsi="Arial"/>
                <w:sz w:val="15"/>
                <w:szCs w:val="15"/>
                <w:color w:val="auto"/>
              </w:rPr>
              <w:t>November</w:t>
            </w:r>
          </w:p>
        </w:tc>
      </w:tr>
      <w:tr>
        <w:trPr>
          <w:trHeight w:val="22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xml:space="preserve">Jensen Portfolio </w:t>
            </w:r>
            <w:r>
              <w:rPr>
                <w:rFonts w:ascii="Arial" w:cs="Arial" w:eastAsia="Arial" w:hAnsi="Arial"/>
                <w:sz w:val="9"/>
                <w:szCs w:val="9"/>
                <w:color w:val="auto"/>
              </w:rPr>
              <w:t>(1)</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5,230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466</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Various</w:t>
            </w:r>
          </w:p>
        </w:tc>
        <w:tc>
          <w:tcPr>
            <w:tcW w:w="1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October</w:t>
            </w:r>
          </w:p>
        </w:tc>
      </w:tr>
      <w:tr>
        <w:trPr>
          <w:trHeight w:val="212"/>
        </w:trPr>
        <w:tc>
          <w:tcPr>
            <w:tcW w:w="3160" w:type="dxa"/>
            <w:vAlign w:val="bottom"/>
            <w:gridSpan w:val="2"/>
          </w:tcPr>
          <w:p>
            <w:pPr>
              <w:ind w:left="20"/>
              <w:spacing w:after="0"/>
              <w:rPr>
                <w:sz w:val="20"/>
                <w:szCs w:val="20"/>
                <w:color w:val="auto"/>
              </w:rPr>
            </w:pPr>
            <w:r>
              <w:rPr>
                <w:rFonts w:ascii="Arial" w:cs="Arial" w:eastAsia="Arial" w:hAnsi="Arial"/>
                <w:sz w:val="15"/>
                <w:szCs w:val="15"/>
                <w:color w:val="auto"/>
              </w:rPr>
              <w:t>Glen Ellis</w:t>
            </w:r>
          </w:p>
        </w:tc>
        <w:tc>
          <w:tcPr>
            <w:tcW w:w="236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244</w:t>
            </w:r>
          </w:p>
        </w:tc>
        <w:tc>
          <w:tcPr>
            <w:tcW w:w="120" w:type="dxa"/>
            <w:vAlign w:val="bottom"/>
          </w:tcPr>
          <w:p>
            <w:pPr>
              <w:spacing w:after="0"/>
              <w:rPr>
                <w:sz w:val="18"/>
                <w:szCs w:val="18"/>
                <w:color w:val="auto"/>
              </w:rPr>
            </w:pPr>
          </w:p>
        </w:tc>
        <w:tc>
          <w:tcPr>
            <w:tcW w:w="1580" w:type="dxa"/>
            <w:vAlign w:val="bottom"/>
          </w:tcPr>
          <w:p>
            <w:pPr>
              <w:jc w:val="right"/>
              <w:ind w:right="4"/>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color w:val="auto"/>
              </w:rPr>
              <w:t>NH</w:t>
            </w:r>
          </w:p>
        </w:tc>
        <w:tc>
          <w:tcPr>
            <w:tcW w:w="1580" w:type="dxa"/>
            <w:vAlign w:val="bottom"/>
          </w:tcPr>
          <w:p>
            <w:pPr>
              <w:ind w:left="20"/>
              <w:spacing w:after="0"/>
              <w:rPr>
                <w:sz w:val="20"/>
                <w:szCs w:val="20"/>
                <w:color w:val="auto"/>
              </w:rPr>
            </w:pPr>
            <w:r>
              <w:rPr>
                <w:rFonts w:ascii="Arial" w:cs="Arial" w:eastAsia="Arial" w:hAnsi="Arial"/>
                <w:sz w:val="15"/>
                <w:szCs w:val="15"/>
                <w:color w:val="auto"/>
              </w:rPr>
              <w:t>September</w:t>
            </w:r>
          </w:p>
        </w:tc>
      </w:tr>
      <w:tr>
        <w:trPr>
          <w:trHeight w:val="22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xml:space="preserve">Leisure Point Resort </w:t>
            </w:r>
            <w:r>
              <w:rPr>
                <w:rFonts w:ascii="Arial" w:cs="Arial" w:eastAsia="Arial" w:hAnsi="Arial"/>
                <w:sz w:val="9"/>
                <w:szCs w:val="9"/>
                <w:color w:val="auto"/>
              </w:rPr>
              <w:t>(2)</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MH/RV</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w:t>
            </w:r>
          </w:p>
        </w:tc>
        <w:tc>
          <w:tcPr>
            <w:tcW w:w="1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w:t>
            </w:r>
          </w:p>
        </w:tc>
      </w:tr>
      <w:tr>
        <w:trPr>
          <w:trHeight w:val="212"/>
        </w:trPr>
        <w:tc>
          <w:tcPr>
            <w:tcW w:w="3160" w:type="dxa"/>
            <w:vAlign w:val="bottom"/>
            <w:gridSpan w:val="2"/>
          </w:tcPr>
          <w:p>
            <w:pPr>
              <w:ind w:left="20"/>
              <w:spacing w:after="0"/>
              <w:rPr>
                <w:sz w:val="20"/>
                <w:szCs w:val="20"/>
                <w:color w:val="auto"/>
              </w:rPr>
            </w:pPr>
            <w:r>
              <w:rPr>
                <w:rFonts w:ascii="Arial" w:cs="Arial" w:eastAsia="Arial" w:hAnsi="Arial"/>
                <w:sz w:val="15"/>
                <w:szCs w:val="15"/>
                <w:color w:val="auto"/>
              </w:rPr>
              <w:t>Reunion Lake</w:t>
            </w:r>
          </w:p>
        </w:tc>
        <w:tc>
          <w:tcPr>
            <w:tcW w:w="236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202</w:t>
            </w:r>
          </w:p>
        </w:tc>
        <w:tc>
          <w:tcPr>
            <w:tcW w:w="120" w:type="dxa"/>
            <w:vAlign w:val="bottom"/>
          </w:tcPr>
          <w:p>
            <w:pPr>
              <w:spacing w:after="0"/>
              <w:rPr>
                <w:sz w:val="18"/>
                <w:szCs w:val="18"/>
                <w:color w:val="auto"/>
              </w:rPr>
            </w:pPr>
          </w:p>
        </w:tc>
        <w:tc>
          <w:tcPr>
            <w:tcW w:w="1580" w:type="dxa"/>
            <w:vAlign w:val="bottom"/>
          </w:tcPr>
          <w:p>
            <w:pPr>
              <w:jc w:val="right"/>
              <w:ind w:right="4"/>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color w:val="auto"/>
              </w:rPr>
              <w:t>LA</w:t>
            </w:r>
          </w:p>
        </w:tc>
        <w:tc>
          <w:tcPr>
            <w:tcW w:w="1580" w:type="dxa"/>
            <w:vAlign w:val="bottom"/>
          </w:tcPr>
          <w:p>
            <w:pPr>
              <w:ind w:left="20"/>
              <w:spacing w:after="0"/>
              <w:rPr>
                <w:sz w:val="20"/>
                <w:szCs w:val="20"/>
                <w:color w:val="auto"/>
              </w:rPr>
            </w:pPr>
            <w:r>
              <w:rPr>
                <w:rFonts w:ascii="Arial" w:cs="Arial" w:eastAsia="Arial" w:hAnsi="Arial"/>
                <w:sz w:val="15"/>
                <w:szCs w:val="15"/>
                <w:color w:val="auto"/>
              </w:rPr>
              <w:t>July</w:t>
            </w:r>
          </w:p>
        </w:tc>
      </w:tr>
      <w:tr>
        <w:trPr>
          <w:trHeight w:val="22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River Plantation</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TN</w:t>
            </w:r>
          </w:p>
        </w:tc>
        <w:tc>
          <w:tcPr>
            <w:tcW w:w="1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May</w:t>
            </w:r>
          </w:p>
        </w:tc>
      </w:tr>
      <w:tr>
        <w:trPr>
          <w:trHeight w:val="212"/>
        </w:trPr>
        <w:tc>
          <w:tcPr>
            <w:tcW w:w="3160" w:type="dxa"/>
            <w:vAlign w:val="bottom"/>
            <w:gridSpan w:val="2"/>
          </w:tcPr>
          <w:p>
            <w:pPr>
              <w:ind w:left="20"/>
              <w:spacing w:after="0"/>
              <w:rPr>
                <w:sz w:val="20"/>
                <w:szCs w:val="20"/>
                <w:color w:val="auto"/>
              </w:rPr>
            </w:pPr>
            <w:r>
              <w:rPr>
                <w:rFonts w:ascii="Arial" w:cs="Arial" w:eastAsia="Arial" w:hAnsi="Arial"/>
                <w:sz w:val="15"/>
                <w:szCs w:val="15"/>
                <w:color w:val="auto"/>
              </w:rPr>
              <w:t>Massey’s Landing RV</w:t>
            </w:r>
          </w:p>
        </w:tc>
        <w:tc>
          <w:tcPr>
            <w:tcW w:w="236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291</w:t>
            </w:r>
          </w:p>
        </w:tc>
        <w:tc>
          <w:tcPr>
            <w:tcW w:w="120" w:type="dxa"/>
            <w:vAlign w:val="bottom"/>
          </w:tcPr>
          <w:p>
            <w:pPr>
              <w:spacing w:after="0"/>
              <w:rPr>
                <w:sz w:val="18"/>
                <w:szCs w:val="18"/>
                <w:color w:val="auto"/>
              </w:rPr>
            </w:pPr>
          </w:p>
        </w:tc>
        <w:tc>
          <w:tcPr>
            <w:tcW w:w="15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color w:val="auto"/>
              </w:rPr>
              <w:t>DE</w:t>
            </w:r>
          </w:p>
        </w:tc>
        <w:tc>
          <w:tcPr>
            <w:tcW w:w="1580" w:type="dxa"/>
            <w:vAlign w:val="bottom"/>
          </w:tcPr>
          <w:p>
            <w:pPr>
              <w:ind w:left="20"/>
              <w:spacing w:after="0"/>
              <w:rPr>
                <w:sz w:val="20"/>
                <w:szCs w:val="20"/>
                <w:color w:val="auto"/>
              </w:rPr>
            </w:pPr>
            <w:r>
              <w:rPr>
                <w:rFonts w:ascii="Arial" w:cs="Arial" w:eastAsia="Arial" w:hAnsi="Arial"/>
                <w:sz w:val="15"/>
                <w:szCs w:val="15"/>
                <w:color w:val="auto"/>
              </w:rPr>
              <w:t>February</w:t>
            </w:r>
          </w:p>
        </w:tc>
      </w:tr>
      <w:tr>
        <w:trPr>
          <w:trHeight w:val="22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xml:space="preserve">Shelby Properties </w:t>
            </w:r>
            <w:r>
              <w:rPr>
                <w:rFonts w:ascii="Arial" w:cs="Arial" w:eastAsia="Arial" w:hAnsi="Arial"/>
                <w:sz w:val="9"/>
                <w:szCs w:val="9"/>
                <w:color w:val="auto"/>
              </w:rPr>
              <w:t>(3)</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1,308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MI</w:t>
            </w:r>
          </w:p>
        </w:tc>
        <w:tc>
          <w:tcPr>
            <w:tcW w:w="1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February</w:t>
            </w:r>
          </w:p>
        </w:tc>
      </w:tr>
      <w:tr>
        <w:trPr>
          <w:trHeight w:val="212"/>
        </w:trPr>
        <w:tc>
          <w:tcPr>
            <w:tcW w:w="3160" w:type="dxa"/>
            <w:vAlign w:val="bottom"/>
            <w:gridSpan w:val="2"/>
          </w:tcPr>
          <w:p>
            <w:pPr>
              <w:ind w:left="20"/>
              <w:spacing w:after="0"/>
              <w:rPr>
                <w:sz w:val="20"/>
                <w:szCs w:val="20"/>
                <w:color w:val="auto"/>
              </w:rPr>
            </w:pPr>
            <w:r>
              <w:rPr>
                <w:rFonts w:ascii="Arial" w:cs="Arial" w:eastAsia="Arial" w:hAnsi="Arial"/>
                <w:sz w:val="15"/>
                <w:szCs w:val="15"/>
                <w:color w:val="auto"/>
              </w:rPr>
              <w:t>Buena Vista</w:t>
            </w:r>
          </w:p>
        </w:tc>
        <w:tc>
          <w:tcPr>
            <w:tcW w:w="2360" w:type="dxa"/>
            <w:vAlign w:val="bottom"/>
            <w:gridSpan w:val="2"/>
          </w:tcPr>
          <w:p>
            <w:pPr>
              <w:ind w:left="20"/>
              <w:spacing w:after="0"/>
              <w:rPr>
                <w:sz w:val="20"/>
                <w:szCs w:val="20"/>
                <w:color w:val="auto"/>
              </w:rPr>
            </w:pPr>
            <w:r>
              <w:rPr>
                <w:rFonts w:ascii="Arial" w:cs="Arial" w:eastAsia="Arial" w:hAnsi="Arial"/>
                <w:sz w:val="15"/>
                <w:szCs w:val="15"/>
                <w:color w:val="auto"/>
              </w:rPr>
              <w:t>MH</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400</w:t>
            </w:r>
          </w:p>
        </w:tc>
        <w:tc>
          <w:tcPr>
            <w:tcW w:w="120" w:type="dxa"/>
            <w:vAlign w:val="bottom"/>
          </w:tcPr>
          <w:p>
            <w:pPr>
              <w:spacing w:after="0"/>
              <w:rPr>
                <w:sz w:val="18"/>
                <w:szCs w:val="18"/>
                <w:color w:val="auto"/>
              </w:rPr>
            </w:pPr>
          </w:p>
        </w:tc>
        <w:tc>
          <w:tcPr>
            <w:tcW w:w="15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color w:val="auto"/>
              </w:rPr>
              <w:t>AZ</w:t>
            </w:r>
          </w:p>
        </w:tc>
        <w:tc>
          <w:tcPr>
            <w:tcW w:w="1580" w:type="dxa"/>
            <w:vAlign w:val="bottom"/>
          </w:tcPr>
          <w:p>
            <w:pPr>
              <w:ind w:left="20"/>
              <w:spacing w:after="0"/>
              <w:rPr>
                <w:sz w:val="20"/>
                <w:szCs w:val="20"/>
                <w:color w:val="auto"/>
              </w:rPr>
            </w:pPr>
            <w:r>
              <w:rPr>
                <w:rFonts w:ascii="Arial" w:cs="Arial" w:eastAsia="Arial" w:hAnsi="Arial"/>
                <w:sz w:val="15"/>
                <w:szCs w:val="15"/>
                <w:color w:val="auto"/>
              </w:rPr>
              <w:t>February</w:t>
            </w:r>
          </w:p>
        </w:tc>
      </w:tr>
      <w:tr>
        <w:trPr>
          <w:trHeight w:val="22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xml:space="preserve">Country Village Estates </w:t>
            </w:r>
            <w:r>
              <w:rPr>
                <w:rFonts w:ascii="Arial" w:cs="Arial" w:eastAsia="Arial" w:hAnsi="Arial"/>
                <w:sz w:val="9"/>
                <w:szCs w:val="9"/>
                <w:color w:val="auto"/>
              </w:rPr>
              <w:t>(4)</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OR</w:t>
            </w:r>
          </w:p>
        </w:tc>
        <w:tc>
          <w:tcPr>
            <w:tcW w:w="1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r>
      <w:tr>
        <w:trPr>
          <w:trHeight w:val="212"/>
        </w:trPr>
        <w:tc>
          <w:tcPr>
            <w:tcW w:w="3160" w:type="dxa"/>
            <w:vAlign w:val="bottom"/>
            <w:gridSpan w:val="2"/>
          </w:tcPr>
          <w:p>
            <w:pPr>
              <w:ind w:left="20"/>
              <w:spacing w:after="0"/>
              <w:rPr>
                <w:sz w:val="20"/>
                <w:szCs w:val="20"/>
                <w:color w:val="auto"/>
              </w:rPr>
            </w:pPr>
            <w:r>
              <w:rPr>
                <w:rFonts w:ascii="Arial" w:cs="Arial" w:eastAsia="Arial" w:hAnsi="Arial"/>
                <w:sz w:val="15"/>
                <w:szCs w:val="15"/>
                <w:color w:val="auto"/>
              </w:rPr>
              <w:t>Hid’n Pines RV</w:t>
            </w:r>
          </w:p>
        </w:tc>
        <w:tc>
          <w:tcPr>
            <w:tcW w:w="236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180" w:type="dxa"/>
            <w:vAlign w:val="bottom"/>
          </w:tcPr>
          <w:p>
            <w:pPr>
              <w:jc w:val="right"/>
              <w:ind w:right="4"/>
              <w:spacing w:after="0"/>
              <w:rPr>
                <w:sz w:val="20"/>
                <w:szCs w:val="20"/>
                <w:color w:val="auto"/>
              </w:rPr>
            </w:pPr>
            <w:r>
              <w:rPr>
                <w:rFonts w:ascii="Arial" w:cs="Arial" w:eastAsia="Arial" w:hAnsi="Arial"/>
                <w:sz w:val="15"/>
                <w:szCs w:val="15"/>
                <w:color w:val="auto"/>
              </w:rPr>
              <w:t>321</w:t>
            </w:r>
          </w:p>
        </w:tc>
        <w:tc>
          <w:tcPr>
            <w:tcW w:w="120" w:type="dxa"/>
            <w:vAlign w:val="bottom"/>
          </w:tcPr>
          <w:p>
            <w:pPr>
              <w:spacing w:after="0"/>
              <w:rPr>
                <w:sz w:val="18"/>
                <w:szCs w:val="18"/>
                <w:color w:val="auto"/>
              </w:rPr>
            </w:pPr>
          </w:p>
        </w:tc>
        <w:tc>
          <w:tcPr>
            <w:tcW w:w="15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color w:val="auto"/>
              </w:rPr>
              <w:t>ME</w:t>
            </w:r>
          </w:p>
        </w:tc>
        <w:tc>
          <w:tcPr>
            <w:tcW w:w="1580" w:type="dxa"/>
            <w:vAlign w:val="bottom"/>
          </w:tcPr>
          <w:p>
            <w:pPr>
              <w:ind w:left="20"/>
              <w:spacing w:after="0"/>
              <w:rPr>
                <w:sz w:val="20"/>
                <w:szCs w:val="20"/>
                <w:color w:val="auto"/>
              </w:rPr>
            </w:pPr>
            <w:r>
              <w:rPr>
                <w:rFonts w:ascii="Arial" w:cs="Arial" w:eastAsia="Arial" w:hAnsi="Arial"/>
                <w:sz w:val="15"/>
                <w:szCs w:val="15"/>
                <w:color w:val="auto"/>
              </w:rPr>
              <w:t>January</w:t>
            </w:r>
          </w:p>
        </w:tc>
      </w:tr>
      <w:tr>
        <w:trPr>
          <w:trHeight w:val="216"/>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Hacienda del Rio</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(Age-Restricted)</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730</w:t>
            </w:r>
          </w:p>
        </w:tc>
        <w:tc>
          <w:tcPr>
            <w:tcW w:w="12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r>
      <w:tr>
        <w:trPr>
          <w:trHeight w:val="213"/>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10,390</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926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line="250" w:lineRule="auto"/>
        <w:tabs>
          <w:tab w:leader="none" w:pos="150" w:val="left"/>
        </w:tabs>
        <w:numPr>
          <w:ilvl w:val="0"/>
          <w:numId w:val="7"/>
        </w:numPr>
        <w:rPr>
          <w:rFonts w:ascii="Arial" w:cs="Arial" w:eastAsia="Arial" w:hAnsi="Arial"/>
          <w:sz w:val="9"/>
          <w:szCs w:val="9"/>
          <w:color w:val="auto"/>
        </w:rPr>
      </w:pPr>
      <w:r>
        <w:rPr>
          <w:rFonts w:ascii="Arial" w:cs="Arial" w:eastAsia="Arial" w:hAnsi="Arial"/>
          <w:sz w:val="14"/>
          <w:szCs w:val="14"/>
          <w:color w:val="auto"/>
        </w:rPr>
        <w:t>Contains 31 communities located in CT, GA, MD, NH, NJ, NY, NC and SC. In conjunction with the acquisition, we issued 1,972,876 shares of common stock, net of fractional shares paid in cash.</w:t>
      </w:r>
    </w:p>
    <w:p>
      <w:pPr>
        <w:ind w:left="140" w:hanging="132"/>
        <w:spacing w:after="0"/>
        <w:tabs>
          <w:tab w:leader="none" w:pos="140" w:val="left"/>
        </w:tabs>
        <w:numPr>
          <w:ilvl w:val="0"/>
          <w:numId w:val="7"/>
        </w:numPr>
        <w:rPr>
          <w:rFonts w:ascii="Arial" w:cs="Arial" w:eastAsia="Arial" w:hAnsi="Arial"/>
          <w:sz w:val="9"/>
          <w:szCs w:val="9"/>
          <w:color w:val="auto"/>
        </w:rPr>
      </w:pPr>
      <w:r>
        <w:rPr>
          <w:rFonts w:ascii="Arial" w:cs="Arial" w:eastAsia="Arial" w:hAnsi="Arial"/>
          <w:sz w:val="14"/>
          <w:szCs w:val="14"/>
          <w:color w:val="auto"/>
        </w:rPr>
        <w:t>Contains 201 MH sites and 301 RV sites.</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7"/>
        </w:numPr>
        <w:rPr>
          <w:rFonts w:ascii="Arial" w:cs="Arial" w:eastAsia="Arial" w:hAnsi="Arial"/>
          <w:sz w:val="9"/>
          <w:szCs w:val="9"/>
          <w:color w:val="auto"/>
        </w:rPr>
      </w:pPr>
      <w:r>
        <w:rPr>
          <w:rFonts w:ascii="Arial" w:cs="Arial" w:eastAsia="Arial" w:hAnsi="Arial"/>
          <w:sz w:val="14"/>
          <w:szCs w:val="14"/>
          <w:color w:val="auto"/>
        </w:rPr>
        <w:t>Contains two MH communities.</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7"/>
        </w:numPr>
        <w:rPr>
          <w:rFonts w:ascii="Arial" w:cs="Arial" w:eastAsia="Arial" w:hAnsi="Arial"/>
          <w:sz w:val="9"/>
          <w:szCs w:val="9"/>
          <w:color w:val="auto"/>
        </w:rPr>
      </w:pPr>
      <w:r>
        <w:rPr>
          <w:rFonts w:ascii="Arial" w:cs="Arial" w:eastAsia="Arial" w:hAnsi="Arial"/>
          <w:sz w:val="14"/>
          <w:szCs w:val="14"/>
          <w:color w:val="auto"/>
        </w:rPr>
        <w:t>In conjunction with the acquisition, we issued Series D preferred OP units. As of December 31, 2019, 488,958 Series D preferred OP units were outstanding.</w:t>
      </w:r>
    </w:p>
    <w:p>
      <w:pPr>
        <w:spacing w:after="0" w:line="23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following table summarizes the amounts of assets acquired net of liabilities assumed at the acquisition date and the consideration paid for the acquisitions completed in 2019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5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8"/>
          </w:tcPr>
          <w:p>
            <w:pPr>
              <w:ind w:left="20"/>
              <w:spacing w:after="0"/>
              <w:rPr>
                <w:sz w:val="20"/>
                <w:szCs w:val="20"/>
                <w:color w:val="auto"/>
              </w:rPr>
            </w:pPr>
            <w:r>
              <w:rPr>
                <w:rFonts w:ascii="Arial" w:cs="Arial" w:eastAsia="Arial" w:hAnsi="Arial"/>
                <w:sz w:val="15"/>
                <w:szCs w:val="15"/>
                <w:b w:val="1"/>
                <w:bCs w:val="1"/>
                <w:color w:val="auto"/>
              </w:rPr>
              <w:t>At Acquisition Date</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ind w:left="520"/>
              <w:spacing w:after="0"/>
              <w:rPr>
                <w:sz w:val="20"/>
                <w:szCs w:val="20"/>
                <w:color w:val="auto"/>
              </w:rPr>
            </w:pPr>
            <w:r>
              <w:rPr>
                <w:rFonts w:ascii="Arial" w:cs="Arial" w:eastAsia="Arial" w:hAnsi="Arial"/>
                <w:sz w:val="15"/>
                <w:szCs w:val="15"/>
                <w:b w:val="1"/>
                <w:bCs w:val="1"/>
                <w:color w:val="auto"/>
              </w:rPr>
              <w:t>Consideration</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5"/>
                <w:szCs w:val="15"/>
                <w:color w:val="auto"/>
                <w:w w:val="97"/>
              </w:rPr>
              <w:t>In-place</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vMerge w:val="restart"/>
          </w:tcPr>
          <w:p>
            <w:pPr>
              <w:jc w:val="center"/>
              <w:ind w:right="140"/>
              <w:spacing w:after="0"/>
              <w:rPr>
                <w:sz w:val="20"/>
                <w:szCs w:val="20"/>
                <w:color w:val="auto"/>
              </w:rPr>
            </w:pPr>
            <w:r>
              <w:rPr>
                <w:rFonts w:ascii="Arial" w:cs="Arial" w:eastAsia="Arial" w:hAnsi="Arial"/>
                <w:sz w:val="15"/>
                <w:szCs w:val="15"/>
                <w:b w:val="1"/>
                <w:bCs w:val="1"/>
                <w:color w:val="auto"/>
                <w:w w:val="93"/>
              </w:rPr>
              <w:t>Total identifiable</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20"/>
              <w:spacing w:after="0" w:line="158" w:lineRule="exact"/>
              <w:rPr>
                <w:sz w:val="20"/>
                <w:szCs w:val="20"/>
                <w:color w:val="auto"/>
              </w:rPr>
            </w:pPr>
            <w:r>
              <w:rPr>
                <w:rFonts w:ascii="Arial" w:cs="Arial" w:eastAsia="Arial" w:hAnsi="Arial"/>
                <w:sz w:val="15"/>
                <w:szCs w:val="15"/>
                <w:color w:val="auto"/>
                <w:w w:val="88"/>
              </w:rPr>
              <w:t>leases and</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20"/>
              <w:spacing w:after="0" w:line="158" w:lineRule="exact"/>
              <w:rPr>
                <w:sz w:val="20"/>
                <w:szCs w:val="20"/>
                <w:color w:val="auto"/>
              </w:rPr>
            </w:pPr>
            <w:r>
              <w:rPr>
                <w:rFonts w:ascii="Arial" w:cs="Arial" w:eastAsia="Arial" w:hAnsi="Arial"/>
                <w:sz w:val="15"/>
                <w:szCs w:val="15"/>
                <w:color w:val="auto"/>
                <w:w w:val="90"/>
              </w:rPr>
              <w:t>Temporary</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line="162" w:lineRule="exact"/>
              <w:rPr>
                <w:sz w:val="20"/>
                <w:szCs w:val="20"/>
                <w:color w:val="auto"/>
              </w:rPr>
            </w:pPr>
            <w:r>
              <w:rPr>
                <w:rFonts w:ascii="Arial" w:cs="Arial" w:eastAsia="Arial" w:hAnsi="Arial"/>
                <w:sz w:val="15"/>
                <w:szCs w:val="15"/>
                <w:color w:val="auto"/>
                <w:w w:val="96"/>
              </w:rPr>
              <w:t>Inventory of</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3"/>
              </w:rPr>
              <w:t>other</w:t>
            </w:r>
          </w:p>
        </w:tc>
        <w:tc>
          <w:tcPr>
            <w:tcW w:w="1060" w:type="dxa"/>
            <w:vAlign w:val="bottom"/>
            <w:gridSpan w:val="3"/>
          </w:tcPr>
          <w:p>
            <w:pPr>
              <w:jc w:val="center"/>
              <w:ind w:right="100"/>
              <w:spacing w:after="0" w:line="162" w:lineRule="exact"/>
              <w:rPr>
                <w:sz w:val="20"/>
                <w:szCs w:val="20"/>
                <w:color w:val="auto"/>
              </w:rPr>
            </w:pPr>
            <w:r>
              <w:rPr>
                <w:rFonts w:ascii="Arial" w:cs="Arial" w:eastAsia="Arial" w:hAnsi="Arial"/>
                <w:sz w:val="15"/>
                <w:szCs w:val="15"/>
                <w:color w:val="auto"/>
                <w:w w:val="89"/>
              </w:rPr>
              <w:t>Other assets /</w:t>
            </w:r>
          </w:p>
        </w:tc>
        <w:tc>
          <w:tcPr>
            <w:tcW w:w="10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8"/>
              </w:rPr>
              <w:t>assets acquired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87"/>
              </w:rPr>
              <w:t>and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60" w:type="dxa"/>
            <w:vAlign w:val="bottom"/>
            <w:gridSpan w:val="3"/>
          </w:tcPr>
          <w:p>
            <w:pPr>
              <w:ind w:left="60"/>
              <w:spacing w:after="0" w:line="162" w:lineRule="exact"/>
              <w:rPr>
                <w:sz w:val="20"/>
                <w:szCs w:val="20"/>
                <w:color w:val="auto"/>
              </w:rPr>
            </w:pPr>
            <w:r>
              <w:rPr>
                <w:rFonts w:ascii="Arial" w:cs="Arial" w:eastAsia="Arial" w:hAnsi="Arial"/>
                <w:sz w:val="15"/>
                <w:szCs w:val="15"/>
                <w:color w:val="auto"/>
              </w:rPr>
              <w:t>Investment in</w:t>
            </w:r>
          </w:p>
        </w:tc>
        <w:tc>
          <w:tcPr>
            <w:tcW w:w="100" w:type="dxa"/>
            <w:vAlign w:val="bottom"/>
          </w:tcPr>
          <w:p>
            <w:pPr>
              <w:spacing w:after="0"/>
              <w:rPr>
                <w:sz w:val="14"/>
                <w:szCs w:val="14"/>
                <w:color w:val="auto"/>
              </w:rPr>
            </w:pPr>
          </w:p>
        </w:tc>
        <w:tc>
          <w:tcPr>
            <w:tcW w:w="940" w:type="dxa"/>
            <w:vAlign w:val="bottom"/>
          </w:tcPr>
          <w:p>
            <w:pPr>
              <w:jc w:val="center"/>
              <w:spacing w:after="0" w:line="162" w:lineRule="exact"/>
              <w:rPr>
                <w:sz w:val="20"/>
                <w:szCs w:val="20"/>
                <w:color w:val="auto"/>
              </w:rPr>
            </w:pPr>
            <w:r>
              <w:rPr>
                <w:rFonts w:ascii="Arial" w:cs="Arial" w:eastAsia="Arial" w:hAnsi="Arial"/>
                <w:sz w:val="15"/>
                <w:szCs w:val="15"/>
                <w:color w:val="auto"/>
                <w:w w:val="91"/>
              </w:rPr>
              <w:t>manufactured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3"/>
              </w:rPr>
              <w:t>intangible</w:t>
            </w:r>
          </w:p>
        </w:tc>
        <w:tc>
          <w:tcPr>
            <w:tcW w:w="12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rPr>
              <w:t>(liabilities),</w:t>
            </w:r>
          </w:p>
        </w:tc>
        <w:tc>
          <w:tcPr>
            <w:tcW w:w="10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net of liabilities</w:t>
            </w:r>
          </w:p>
        </w:tc>
        <w:tc>
          <w:tcPr>
            <w:tcW w:w="120" w:type="dxa"/>
            <w:vAlign w:val="bottom"/>
          </w:tcPr>
          <w:p>
            <w:pPr>
              <w:spacing w:after="0"/>
              <w:rPr>
                <w:sz w:val="14"/>
                <w:szCs w:val="14"/>
                <w:color w:val="auto"/>
              </w:rPr>
            </w:pPr>
          </w:p>
        </w:tc>
        <w:tc>
          <w:tcPr>
            <w:tcW w:w="8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Cash and</w:t>
            </w:r>
          </w:p>
        </w:tc>
        <w:tc>
          <w:tcPr>
            <w:tcW w:w="120" w:type="dxa"/>
            <w:vAlign w:val="bottom"/>
          </w:tcPr>
          <w:p>
            <w:pPr>
              <w:spacing w:after="0"/>
              <w:rPr>
                <w:sz w:val="14"/>
                <w:szCs w:val="14"/>
                <w:color w:val="auto"/>
              </w:rPr>
            </w:pPr>
          </w:p>
        </w:tc>
        <w:tc>
          <w:tcPr>
            <w:tcW w:w="8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Debt</w:t>
            </w:r>
          </w:p>
        </w:tc>
        <w:tc>
          <w:tcPr>
            <w:tcW w:w="10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1"/>
              </w:rPr>
              <w:t>permanent</w:t>
            </w:r>
          </w:p>
        </w:tc>
        <w:tc>
          <w:tcPr>
            <w:tcW w:w="120" w:type="dxa"/>
            <w:vAlign w:val="bottom"/>
          </w:tcPr>
          <w:p>
            <w:pPr>
              <w:spacing w:after="0"/>
              <w:rPr>
                <w:sz w:val="14"/>
                <w:szCs w:val="14"/>
                <w:color w:val="auto"/>
              </w:rPr>
            </w:pPr>
          </w:p>
        </w:tc>
        <w:tc>
          <w:tcPr>
            <w:tcW w:w="1040" w:type="dxa"/>
            <w:vAlign w:val="bottom"/>
          </w:tcPr>
          <w:p>
            <w:pPr>
              <w:jc w:val="right"/>
              <w:ind w:right="344"/>
              <w:spacing w:after="0" w:line="162"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2"/>
        </w:trPr>
        <w:tc>
          <w:tcPr>
            <w:tcW w:w="15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property</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8"/>
              </w:rPr>
              <w:t>homes</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color w:val="auto"/>
                <w:w w:val="82"/>
              </w:rPr>
              <w:t>assets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color w:val="auto"/>
                <w:w w:val="95"/>
              </w:rPr>
              <w:t>net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86"/>
              </w:rPr>
              <w:t>assumed</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escrow</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85"/>
              </w:rPr>
              <w:t>assumed</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color w:val="auto"/>
                <w:w w:val="94"/>
              </w:rPr>
              <w:t>equity</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89"/>
              </w:rPr>
              <w:t>consideration</w:t>
            </w:r>
          </w:p>
        </w:tc>
        <w:tc>
          <w:tcPr>
            <w:tcW w:w="0" w:type="dxa"/>
            <w:vAlign w:val="bottom"/>
          </w:tcPr>
          <w:p>
            <w:pPr>
              <w:spacing w:after="0"/>
              <w:rPr>
                <w:sz w:val="1"/>
                <w:szCs w:val="1"/>
                <w:color w:val="auto"/>
              </w:rPr>
            </w:pPr>
          </w:p>
        </w:tc>
      </w:tr>
      <w:tr>
        <w:trPr>
          <w:trHeight w:val="214"/>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99"/>
              </w:rPr>
              <w:t>Slickrock Campground $</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8,258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8,258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8,258</w:t>
            </w:r>
          </w:p>
        </w:tc>
        <w:tc>
          <w:tcPr>
            <w:tcW w:w="0" w:type="dxa"/>
            <w:vAlign w:val="bottom"/>
          </w:tcPr>
          <w:p>
            <w:pPr>
              <w:spacing w:after="0"/>
              <w:rPr>
                <w:sz w:val="1"/>
                <w:szCs w:val="1"/>
                <w:color w:val="auto"/>
              </w:rPr>
            </w:pPr>
          </w:p>
        </w:tc>
      </w:tr>
      <w:tr>
        <w:trPr>
          <w:trHeight w:val="212"/>
        </w:trPr>
        <w:tc>
          <w:tcPr>
            <w:tcW w:w="1500" w:type="dxa"/>
            <w:vAlign w:val="bottom"/>
          </w:tcPr>
          <w:p>
            <w:pPr>
              <w:ind w:left="20"/>
              <w:spacing w:after="0"/>
              <w:rPr>
                <w:sz w:val="20"/>
                <w:szCs w:val="20"/>
                <w:color w:val="auto"/>
              </w:rPr>
            </w:pPr>
            <w:r>
              <w:rPr>
                <w:rFonts w:ascii="Arial" w:cs="Arial" w:eastAsia="Arial" w:hAnsi="Arial"/>
                <w:sz w:val="15"/>
                <w:szCs w:val="15"/>
                <w:color w:val="auto"/>
              </w:rPr>
              <w:t>Pandion Ridge</w:t>
            </w:r>
          </w:p>
        </w:tc>
        <w:tc>
          <w:tcPr>
            <w:tcW w:w="16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19,070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18,978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18,978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18,978</w:t>
            </w:r>
          </w:p>
        </w:tc>
        <w:tc>
          <w:tcPr>
            <w:tcW w:w="0" w:type="dxa"/>
            <w:vAlign w:val="bottom"/>
          </w:tcPr>
          <w:p>
            <w:pPr>
              <w:spacing w:after="0"/>
              <w:rPr>
                <w:sz w:val="1"/>
                <w:szCs w:val="1"/>
                <w:color w:val="auto"/>
              </w:rPr>
            </w:pPr>
          </w:p>
        </w:tc>
      </w:tr>
      <w:tr>
        <w:trPr>
          <w:trHeight w:val="220"/>
        </w:trPr>
        <w:tc>
          <w:tcPr>
            <w:tcW w:w="1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Jensen Portfolio</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374,402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7,752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389,697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18,306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58,000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313,391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389,697</w:t>
            </w:r>
          </w:p>
        </w:tc>
        <w:tc>
          <w:tcPr>
            <w:tcW w:w="0" w:type="dxa"/>
            <w:vAlign w:val="bottom"/>
          </w:tcPr>
          <w:p>
            <w:pPr>
              <w:spacing w:after="0"/>
              <w:rPr>
                <w:sz w:val="1"/>
                <w:szCs w:val="1"/>
                <w:color w:val="auto"/>
              </w:rPr>
            </w:pPr>
          </w:p>
        </w:tc>
      </w:tr>
      <w:tr>
        <w:trPr>
          <w:trHeight w:val="212"/>
        </w:trPr>
        <w:tc>
          <w:tcPr>
            <w:tcW w:w="1500" w:type="dxa"/>
            <w:vAlign w:val="bottom"/>
          </w:tcPr>
          <w:p>
            <w:pPr>
              <w:ind w:left="20"/>
              <w:spacing w:after="0"/>
              <w:rPr>
                <w:sz w:val="20"/>
                <w:szCs w:val="20"/>
                <w:color w:val="auto"/>
              </w:rPr>
            </w:pPr>
            <w:r>
              <w:rPr>
                <w:rFonts w:ascii="Arial" w:cs="Arial" w:eastAsia="Arial" w:hAnsi="Arial"/>
                <w:sz w:val="15"/>
                <w:szCs w:val="15"/>
                <w:color w:val="auto"/>
              </w:rPr>
              <w:t>Glen Ellis</w:t>
            </w:r>
          </w:p>
        </w:tc>
        <w:tc>
          <w:tcPr>
            <w:tcW w:w="16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5,955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5,876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1,976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3,900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5,876</w:t>
            </w:r>
          </w:p>
        </w:tc>
        <w:tc>
          <w:tcPr>
            <w:tcW w:w="0" w:type="dxa"/>
            <w:vAlign w:val="bottom"/>
          </w:tcPr>
          <w:p>
            <w:pPr>
              <w:spacing w:after="0"/>
              <w:rPr>
                <w:sz w:val="1"/>
                <w:szCs w:val="1"/>
                <w:color w:val="auto"/>
              </w:rPr>
            </w:pPr>
          </w:p>
        </w:tc>
      </w:tr>
      <w:tr>
        <w:trPr>
          <w:trHeight w:val="220"/>
        </w:trPr>
        <w:tc>
          <w:tcPr>
            <w:tcW w:w="1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Leisure Point Resort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43,632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43,822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43,822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43,822</w:t>
            </w:r>
          </w:p>
        </w:tc>
        <w:tc>
          <w:tcPr>
            <w:tcW w:w="0" w:type="dxa"/>
            <w:vAlign w:val="bottom"/>
          </w:tcPr>
          <w:p>
            <w:pPr>
              <w:spacing w:after="0"/>
              <w:rPr>
                <w:sz w:val="1"/>
                <w:szCs w:val="1"/>
                <w:color w:val="auto"/>
              </w:rPr>
            </w:pPr>
          </w:p>
        </w:tc>
      </w:tr>
      <w:tr>
        <w:trPr>
          <w:trHeight w:val="212"/>
        </w:trPr>
        <w:tc>
          <w:tcPr>
            <w:tcW w:w="1500" w:type="dxa"/>
            <w:vAlign w:val="bottom"/>
          </w:tcPr>
          <w:p>
            <w:pPr>
              <w:ind w:left="20"/>
              <w:spacing w:after="0"/>
              <w:rPr>
                <w:sz w:val="20"/>
                <w:szCs w:val="20"/>
                <w:color w:val="auto"/>
              </w:rPr>
            </w:pPr>
            <w:r>
              <w:rPr>
                <w:rFonts w:ascii="Arial" w:cs="Arial" w:eastAsia="Arial" w:hAnsi="Arial"/>
                <w:sz w:val="15"/>
                <w:szCs w:val="15"/>
                <w:color w:val="auto"/>
              </w:rPr>
              <w:t>Reunion Lake</w:t>
            </w:r>
          </w:p>
        </w:tc>
        <w:tc>
          <w:tcPr>
            <w:tcW w:w="16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23,493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22,340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22,340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22,340</w:t>
            </w:r>
          </w:p>
        </w:tc>
        <w:tc>
          <w:tcPr>
            <w:tcW w:w="0" w:type="dxa"/>
            <w:vAlign w:val="bottom"/>
          </w:tcPr>
          <w:p>
            <w:pPr>
              <w:spacing w:after="0"/>
              <w:rPr>
                <w:sz w:val="1"/>
                <w:szCs w:val="1"/>
                <w:color w:val="auto"/>
              </w:rPr>
            </w:pPr>
          </w:p>
        </w:tc>
      </w:tr>
      <w:tr>
        <w:trPr>
          <w:trHeight w:val="220"/>
        </w:trPr>
        <w:tc>
          <w:tcPr>
            <w:tcW w:w="1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River Plantation</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22,589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22,664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22,664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22,664</w:t>
            </w:r>
          </w:p>
        </w:tc>
        <w:tc>
          <w:tcPr>
            <w:tcW w:w="0" w:type="dxa"/>
            <w:vAlign w:val="bottom"/>
          </w:tcPr>
          <w:p>
            <w:pPr>
              <w:spacing w:after="0"/>
              <w:rPr>
                <w:sz w:val="1"/>
                <w:szCs w:val="1"/>
                <w:color w:val="auto"/>
              </w:rPr>
            </w:pPr>
          </w:p>
        </w:tc>
      </w:tr>
      <w:tr>
        <w:trPr>
          <w:trHeight w:val="212"/>
        </w:trPr>
        <w:tc>
          <w:tcPr>
            <w:tcW w:w="1500" w:type="dxa"/>
            <w:vAlign w:val="bottom"/>
          </w:tcPr>
          <w:p>
            <w:pPr>
              <w:ind w:left="20"/>
              <w:spacing w:after="0"/>
              <w:rPr>
                <w:sz w:val="20"/>
                <w:szCs w:val="20"/>
                <w:color w:val="auto"/>
              </w:rPr>
            </w:pPr>
            <w:r>
              <w:rPr>
                <w:rFonts w:ascii="Arial" w:cs="Arial" w:eastAsia="Arial" w:hAnsi="Arial"/>
                <w:sz w:val="15"/>
                <w:szCs w:val="15"/>
                <w:color w:val="auto"/>
              </w:rPr>
              <w:t>Massey's Landing</w:t>
            </w:r>
          </w:p>
        </w:tc>
        <w:tc>
          <w:tcPr>
            <w:tcW w:w="16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36,250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36,024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36,024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36,024</w:t>
            </w:r>
          </w:p>
        </w:tc>
        <w:tc>
          <w:tcPr>
            <w:tcW w:w="0" w:type="dxa"/>
            <w:vAlign w:val="bottom"/>
          </w:tcPr>
          <w:p>
            <w:pPr>
              <w:spacing w:after="0"/>
              <w:rPr>
                <w:sz w:val="1"/>
                <w:szCs w:val="1"/>
                <w:color w:val="auto"/>
              </w:rPr>
            </w:pPr>
          </w:p>
        </w:tc>
      </w:tr>
      <w:tr>
        <w:trPr>
          <w:trHeight w:val="220"/>
        </w:trPr>
        <w:tc>
          <w:tcPr>
            <w:tcW w:w="1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Shelby Properties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85,969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6,520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93,485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93,485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93,485</w:t>
            </w:r>
          </w:p>
        </w:tc>
        <w:tc>
          <w:tcPr>
            <w:tcW w:w="0" w:type="dxa"/>
            <w:vAlign w:val="bottom"/>
          </w:tcPr>
          <w:p>
            <w:pPr>
              <w:spacing w:after="0"/>
              <w:rPr>
                <w:sz w:val="1"/>
                <w:szCs w:val="1"/>
                <w:color w:val="auto"/>
              </w:rPr>
            </w:pPr>
          </w:p>
        </w:tc>
      </w:tr>
      <w:tr>
        <w:trPr>
          <w:trHeight w:val="212"/>
        </w:trPr>
        <w:tc>
          <w:tcPr>
            <w:tcW w:w="1500" w:type="dxa"/>
            <w:vAlign w:val="bottom"/>
          </w:tcPr>
          <w:p>
            <w:pPr>
              <w:ind w:left="20"/>
              <w:spacing w:after="0"/>
              <w:rPr>
                <w:sz w:val="20"/>
                <w:szCs w:val="20"/>
                <w:color w:val="auto"/>
              </w:rPr>
            </w:pPr>
            <w:r>
              <w:rPr>
                <w:rFonts w:ascii="Arial" w:cs="Arial" w:eastAsia="Arial" w:hAnsi="Arial"/>
                <w:sz w:val="15"/>
                <w:szCs w:val="15"/>
                <w:color w:val="auto"/>
              </w:rPr>
              <w:t>Buena Vista</w:t>
            </w:r>
          </w:p>
        </w:tc>
        <w:tc>
          <w:tcPr>
            <w:tcW w:w="16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20,221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1,590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22,157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22,157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22,157</w:t>
            </w:r>
          </w:p>
        </w:tc>
        <w:tc>
          <w:tcPr>
            <w:tcW w:w="0" w:type="dxa"/>
            <w:vAlign w:val="bottom"/>
          </w:tcPr>
          <w:p>
            <w:pPr>
              <w:spacing w:after="0"/>
              <w:rPr>
                <w:sz w:val="1"/>
                <w:szCs w:val="1"/>
                <w:color w:val="auto"/>
              </w:rPr>
            </w:pPr>
          </w:p>
        </w:tc>
      </w:tr>
      <w:tr>
        <w:trPr>
          <w:trHeight w:val="220"/>
        </w:trPr>
        <w:tc>
          <w:tcPr>
            <w:tcW w:w="1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Country Village</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62,784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64,835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12,905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51,930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64,835</w:t>
            </w:r>
          </w:p>
        </w:tc>
        <w:tc>
          <w:tcPr>
            <w:tcW w:w="0" w:type="dxa"/>
            <w:vAlign w:val="bottom"/>
          </w:tcPr>
          <w:p>
            <w:pPr>
              <w:spacing w:after="0"/>
              <w:rPr>
                <w:sz w:val="1"/>
                <w:szCs w:val="1"/>
                <w:color w:val="auto"/>
              </w:rPr>
            </w:pPr>
          </w:p>
        </w:tc>
      </w:tr>
      <w:tr>
        <w:trPr>
          <w:trHeight w:val="212"/>
        </w:trPr>
        <w:tc>
          <w:tcPr>
            <w:tcW w:w="1500" w:type="dxa"/>
            <w:vAlign w:val="bottom"/>
          </w:tcPr>
          <w:p>
            <w:pPr>
              <w:ind w:left="20"/>
              <w:spacing w:after="0"/>
              <w:rPr>
                <w:sz w:val="20"/>
                <w:szCs w:val="20"/>
                <w:color w:val="auto"/>
              </w:rPr>
            </w:pPr>
            <w:r>
              <w:rPr>
                <w:rFonts w:ascii="Arial" w:cs="Arial" w:eastAsia="Arial" w:hAnsi="Arial"/>
                <w:sz w:val="15"/>
                <w:szCs w:val="15"/>
                <w:color w:val="auto"/>
              </w:rPr>
              <w:t>Hid'n Pines</w:t>
            </w:r>
          </w:p>
        </w:tc>
        <w:tc>
          <w:tcPr>
            <w:tcW w:w="16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10,680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10,517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10,517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10,517</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Hacienda del Rio</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111,971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3,280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115,029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115,029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115,029</w:t>
            </w:r>
          </w:p>
        </w:tc>
        <w:tc>
          <w:tcPr>
            <w:tcW w:w="0" w:type="dxa"/>
            <w:vAlign w:val="bottom"/>
          </w:tcPr>
          <w:p>
            <w:pPr>
              <w:spacing w:after="0"/>
              <w:rPr>
                <w:sz w:val="1"/>
                <w:szCs w:val="1"/>
                <w:color w:val="auto"/>
              </w:rPr>
            </w:pPr>
          </w:p>
        </w:tc>
      </w:tr>
      <w:tr>
        <w:trPr>
          <w:trHeight w:val="214"/>
        </w:trPr>
        <w:tc>
          <w:tcPr>
            <w:tcW w:w="1500" w:type="dxa"/>
            <w:vAlign w:val="bottom"/>
          </w:tcPr>
          <w:p>
            <w:pPr>
              <w:ind w:left="20"/>
              <w:spacing w:after="0"/>
              <w:rPr>
                <w:sz w:val="20"/>
                <w:szCs w:val="20"/>
                <w:color w:val="auto"/>
              </w:rPr>
            </w:pPr>
            <w:r>
              <w:rPr>
                <w:rFonts w:ascii="Arial" w:cs="Arial" w:eastAsia="Arial" w:hAnsi="Arial"/>
                <w:sz w:val="15"/>
                <w:szCs w:val="15"/>
                <w:color w:val="auto"/>
              </w:rPr>
              <w:t>Total</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825,266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6,163</w:t>
            </w:r>
          </w:p>
        </w:tc>
        <w:tc>
          <w:tcPr>
            <w:tcW w:w="2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22,302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853,682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426,461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61,900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365,321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853,682</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for Expansion / Development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2019, we acquired four land parcels which are located in New Braunfels, Texas; Petoskey, Michigan; Uhland, Texas and Hudson, Florida for total consideration of $7.7 million. Two of the land parcels are adjacent to existing communities.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Ground Leases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August 2019, we acquired Chincoteague Island KOA RV Resort (“Chincoteague”), in Chincoteague Island, Virginia for total consideration of $19.5 million. The sellers of Chincoteague continue to operate the property. Refer to Note 16, “Leases,” for disclosures on accounting treatment.</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April 2019, we acquired Strafford / Lake Winnipesaukee South KOA RV Resort ("Strafford") in Strafford, New Hampshire for total consideration of $2.7 million. The sellers of Strafford continue to operate the property. Refer to Note 16, “Leases,” for disclosures on accounting treatment.</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2019, we entered into a four-year Temporary Occupancy and Use Permit with the Port of San Diego to operate a RV resort located in Chula Vista, CA until such time as we construct a new RV resort in the area. Concurrent with the transaction, we purchased tangible personal property from the prior owner of the RV resort for $0.3 million. Subsequently, in September 2019, we entered into a 66-year Temporary Occupancy and Use Permit, to construct and operate a new RV resort in Chula Vista. Refer to Note 16, “Leases,” for disclosures on accounting treatment.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7"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Notes and Other Receivables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notes and other receivables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2020</w:t>
            </w:r>
          </w:p>
        </w:tc>
        <w:tc>
          <w:tcPr>
            <w:tcW w:w="22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Arial" w:cs="Arial" w:eastAsia="Arial" w:hAnsi="Arial"/>
                <w:sz w:val="15"/>
                <w:szCs w:val="15"/>
                <w:b w:val="1"/>
                <w:bCs w:val="1"/>
                <w:color w:val="auto"/>
                <w:w w:val="97"/>
              </w:rPr>
              <w:t>December 31, 2019</w:t>
            </w:r>
          </w:p>
        </w:tc>
      </w:tr>
      <w:tr>
        <w:trPr>
          <w:trHeight w:val="214"/>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Installment notes receivable on manufactured homes, net</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88,327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95,580</w:t>
            </w:r>
          </w:p>
        </w:tc>
      </w:tr>
      <w:tr>
        <w:trPr>
          <w:trHeight w:val="212"/>
        </w:trPr>
        <w:tc>
          <w:tcPr>
            <w:tcW w:w="7380" w:type="dxa"/>
            <w:vAlign w:val="bottom"/>
          </w:tcPr>
          <w:p>
            <w:pPr>
              <w:ind w:left="20"/>
              <w:spacing w:after="0"/>
              <w:rPr>
                <w:sz w:val="20"/>
                <w:szCs w:val="20"/>
                <w:color w:val="auto"/>
              </w:rPr>
            </w:pPr>
            <w:r>
              <w:rPr>
                <w:rFonts w:ascii="Arial" w:cs="Arial" w:eastAsia="Arial" w:hAnsi="Arial"/>
                <w:sz w:val="15"/>
                <w:szCs w:val="15"/>
                <w:color w:val="auto"/>
              </w:rPr>
              <w:t>Notes receivable from real estate developers</w:t>
            </w:r>
          </w:p>
        </w:tc>
        <w:tc>
          <w:tcPr>
            <w:tcW w:w="200" w:type="dxa"/>
            <w:vAlign w:val="bottom"/>
          </w:tcPr>
          <w:p>
            <w:pPr>
              <w:spacing w:after="0"/>
              <w:rPr>
                <w:sz w:val="18"/>
                <w:szCs w:val="18"/>
                <w:color w:val="auto"/>
              </w:rPr>
            </w:pPr>
          </w:p>
        </w:tc>
        <w:tc>
          <w:tcPr>
            <w:tcW w:w="1680" w:type="dxa"/>
            <w:vAlign w:val="bottom"/>
          </w:tcPr>
          <w:p>
            <w:pPr>
              <w:jc w:val="right"/>
              <w:ind w:right="4"/>
              <w:spacing w:after="0"/>
              <w:rPr>
                <w:sz w:val="20"/>
                <w:szCs w:val="20"/>
                <w:color w:val="auto"/>
              </w:rPr>
            </w:pPr>
            <w:r>
              <w:rPr>
                <w:rFonts w:ascii="Arial" w:cs="Arial" w:eastAsia="Arial" w:hAnsi="Arial"/>
                <w:sz w:val="15"/>
                <w:szCs w:val="15"/>
                <w:color w:val="auto"/>
              </w:rPr>
              <w:t>51,487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18,960</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receivables, net</w:t>
            </w: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51,694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43,386</w:t>
            </w:r>
          </w:p>
        </w:tc>
      </w:tr>
      <w:tr>
        <w:trPr>
          <w:trHeight w:val="213"/>
        </w:trPr>
        <w:tc>
          <w:tcPr>
            <w:tcW w:w="7380" w:type="dxa"/>
            <w:vAlign w:val="bottom"/>
          </w:tcPr>
          <w:p>
            <w:pPr>
              <w:ind w:left="340"/>
              <w:spacing w:after="0"/>
              <w:rPr>
                <w:sz w:val="20"/>
                <w:szCs w:val="20"/>
                <w:color w:val="auto"/>
              </w:rPr>
            </w:pPr>
            <w:r>
              <w:rPr>
                <w:rFonts w:ascii="Arial" w:cs="Arial" w:eastAsia="Arial" w:hAnsi="Arial"/>
                <w:sz w:val="15"/>
                <w:szCs w:val="15"/>
                <w:b w:val="1"/>
                <w:bCs w:val="1"/>
                <w:color w:val="auto"/>
              </w:rPr>
              <w:t>Total Notes and Other Receivables, net</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191,508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157,926</w:t>
            </w:r>
          </w:p>
        </w:tc>
      </w:tr>
      <w:tr>
        <w:trPr>
          <w:trHeight w:val="21"/>
        </w:trPr>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Due to the adoption of ASU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(Topic 326) Measurement of Credit Losses on Financial Instruments, effective January 1, 2020, installment notes receivable are measured at fair value pursuant to us electing the fair value option. The balances of installment notes receivable of $88.3 million (net of fair value adjustment of $1.3 million) and $95.6 million (net of allowance of $0.6 million) as of September 30, 2020 and December 31, 2019, respectively, are collateralized by manufactured homes. The notes represent financing to purchasers of manufactured homes primarily located in our communities and require monthly principal and interest payments. The notes had a net weighted average interest rate (net of servicing costs) and maturity of 7.9 percent and 15.3 years as of September 30, 2020, and 8.0 percent and 15.8 years as of December 31, 2019, respectively. Refer to Note 14, “Fair Value of Financial Instruments,” and Note 17, “Recent Accounting Pronouncements,” for additional detail.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aggregate balance of the installment notes receivable is as follows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2"/>
          </w:tcPr>
          <w:p>
            <w:pPr>
              <w:ind w:left="100"/>
              <w:spacing w:after="0"/>
              <w:rPr>
                <w:sz w:val="20"/>
                <w:szCs w:val="20"/>
                <w:color w:val="auto"/>
              </w:rPr>
            </w:pPr>
            <w:r>
              <w:rPr>
                <w:rFonts w:ascii="Arial" w:cs="Arial" w:eastAsia="Arial" w:hAnsi="Arial"/>
                <w:sz w:val="15"/>
                <w:szCs w:val="15"/>
                <w:b w:val="1"/>
                <w:bCs w:val="1"/>
                <w:color w:val="auto"/>
              </w:rPr>
              <w:t>Nine Months Ended</w:t>
            </w:r>
          </w:p>
        </w:tc>
        <w:tc>
          <w:tcPr>
            <w:tcW w:w="220" w:type="dxa"/>
            <w:vAlign w:val="bottom"/>
          </w:tcPr>
          <w:p>
            <w:pPr>
              <w:spacing w:after="0"/>
              <w:rPr>
                <w:sz w:val="17"/>
                <w:szCs w:val="17"/>
                <w:color w:val="auto"/>
              </w:rPr>
            </w:pPr>
          </w:p>
        </w:tc>
        <w:tc>
          <w:tcPr>
            <w:tcW w:w="1660" w:type="dxa"/>
            <w:vAlign w:val="bottom"/>
          </w:tcPr>
          <w:p>
            <w:pPr>
              <w:jc w:val="right"/>
              <w:ind w:right="484"/>
              <w:spacing w:after="0"/>
              <w:rPr>
                <w:sz w:val="20"/>
                <w:szCs w:val="20"/>
                <w:color w:val="auto"/>
              </w:rPr>
            </w:pPr>
            <w:r>
              <w:rPr>
                <w:rFonts w:ascii="Arial" w:cs="Arial" w:eastAsia="Arial" w:hAnsi="Arial"/>
                <w:sz w:val="15"/>
                <w:szCs w:val="15"/>
                <w:b w:val="1"/>
                <w:bCs w:val="1"/>
                <w:color w:val="auto"/>
              </w:rPr>
              <w:t>Year Ended</w:t>
            </w:r>
          </w:p>
        </w:tc>
      </w:tr>
      <w:tr>
        <w:trPr>
          <w:trHeight w:val="220"/>
        </w:trPr>
        <w:tc>
          <w:tcPr>
            <w:tcW w:w="7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 2020</w:t>
            </w:r>
          </w:p>
        </w:tc>
        <w:tc>
          <w:tcPr>
            <w:tcW w:w="220" w:type="dxa"/>
            <w:vAlign w:val="bottom"/>
          </w:tcPr>
          <w:p>
            <w:pPr>
              <w:spacing w:after="0"/>
              <w:rPr>
                <w:sz w:val="19"/>
                <w:szCs w:val="19"/>
                <w:color w:val="auto"/>
              </w:rPr>
            </w:pPr>
          </w:p>
        </w:tc>
        <w:tc>
          <w:tcPr>
            <w:tcW w:w="1660" w:type="dxa"/>
            <w:vAlign w:val="bottom"/>
          </w:tcPr>
          <w:p>
            <w:pPr>
              <w:jc w:val="right"/>
              <w:ind w:right="244"/>
              <w:spacing w:after="0"/>
              <w:rPr>
                <w:sz w:val="20"/>
                <w:szCs w:val="20"/>
                <w:color w:val="auto"/>
              </w:rPr>
            </w:pPr>
            <w:r>
              <w:rPr>
                <w:rFonts w:ascii="Arial" w:cs="Arial" w:eastAsia="Arial" w:hAnsi="Arial"/>
                <w:sz w:val="15"/>
                <w:szCs w:val="15"/>
                <w:b w:val="1"/>
                <w:bCs w:val="1"/>
                <w:color w:val="auto"/>
                <w:w w:val="97"/>
              </w:rPr>
              <w:t>December 31, 2019</w:t>
            </w:r>
          </w:p>
        </w:tc>
      </w:tr>
      <w:tr>
        <w:trPr>
          <w:trHeight w:val="214"/>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Beginning balance of gross installment notes receivable</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96,225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113,495</w:t>
            </w:r>
          </w:p>
        </w:tc>
      </w:tr>
      <w:tr>
        <w:trPr>
          <w:trHeight w:val="212"/>
        </w:trPr>
        <w:tc>
          <w:tcPr>
            <w:tcW w:w="7260" w:type="dxa"/>
            <w:vAlign w:val="bottom"/>
          </w:tcPr>
          <w:p>
            <w:pPr>
              <w:ind w:left="20"/>
              <w:spacing w:after="0"/>
              <w:rPr>
                <w:sz w:val="20"/>
                <w:szCs w:val="20"/>
                <w:color w:val="auto"/>
              </w:rPr>
            </w:pPr>
            <w:r>
              <w:rPr>
                <w:rFonts w:ascii="Arial" w:cs="Arial" w:eastAsia="Arial" w:hAnsi="Arial"/>
                <w:sz w:val="15"/>
                <w:szCs w:val="15"/>
                <w:color w:val="auto"/>
              </w:rPr>
              <w:t>Financed sale of manufactured homes</w:t>
            </w:r>
          </w:p>
        </w:tc>
        <w:tc>
          <w:tcPr>
            <w:tcW w:w="180" w:type="dxa"/>
            <w:vAlign w:val="bottom"/>
          </w:tcPr>
          <w:p>
            <w:pPr>
              <w:spacing w:after="0"/>
              <w:rPr>
                <w:sz w:val="18"/>
                <w:szCs w:val="18"/>
                <w:color w:val="auto"/>
              </w:rPr>
            </w:pPr>
          </w:p>
        </w:tc>
        <w:tc>
          <w:tcPr>
            <w:tcW w:w="1700" w:type="dxa"/>
            <w:vAlign w:val="bottom"/>
          </w:tcPr>
          <w:p>
            <w:pPr>
              <w:jc w:val="right"/>
              <w:ind w:right="4"/>
              <w:spacing w:after="0"/>
              <w:rPr>
                <w:sz w:val="20"/>
                <w:szCs w:val="20"/>
                <w:color w:val="auto"/>
              </w:rPr>
            </w:pPr>
            <w:r>
              <w:rPr>
                <w:rFonts w:ascii="Arial" w:cs="Arial" w:eastAsia="Arial" w:hAnsi="Arial"/>
                <w:sz w:val="15"/>
                <w:szCs w:val="15"/>
                <w:color w:val="auto"/>
              </w:rPr>
              <w:t>3,226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341</w:t>
            </w:r>
          </w:p>
        </w:tc>
      </w:tr>
      <w:tr>
        <w:trPr>
          <w:trHeight w:val="220"/>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Principal payments and payoffs from our customers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(8,710)</w:t>
            </w:r>
          </w:p>
        </w:tc>
      </w:tr>
      <w:tr>
        <w:trPr>
          <w:trHeight w:val="212"/>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Principal reduction from repossessed homes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(3,352)</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(8,901)</w:t>
            </w:r>
          </w:p>
        </w:tc>
      </w:tr>
      <w:tr>
        <w:trPr>
          <w:trHeight w:val="214"/>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Ending balance of gross installment notes receivable</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89,647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96,225</w:t>
            </w:r>
          </w:p>
        </w:tc>
      </w:tr>
      <w:tr>
        <w:trPr>
          <w:trHeight w:val="256"/>
        </w:trPr>
        <w:tc>
          <w:tcPr>
            <w:tcW w:w="7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16"/>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balance of allowance for losses on installment notes receivables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w:t>
            </w:r>
          </w:p>
        </w:tc>
      </w:tr>
      <w:tr>
        <w:trPr>
          <w:trHeight w:val="212"/>
        </w:trPr>
        <w:tc>
          <w:tcPr>
            <w:tcW w:w="7260" w:type="dxa"/>
            <w:vAlign w:val="bottom"/>
          </w:tcPr>
          <w:p>
            <w:pPr>
              <w:ind w:left="20"/>
              <w:spacing w:after="0"/>
              <w:rPr>
                <w:sz w:val="20"/>
                <w:szCs w:val="20"/>
                <w:color w:val="auto"/>
              </w:rPr>
            </w:pPr>
            <w:r>
              <w:rPr>
                <w:rFonts w:ascii="Arial" w:cs="Arial" w:eastAsia="Arial" w:hAnsi="Arial"/>
                <w:sz w:val="15"/>
                <w:szCs w:val="15"/>
                <w:color w:val="auto"/>
              </w:rPr>
              <w:t>Adjustment to allowance for losses</w:t>
            </w:r>
          </w:p>
        </w:tc>
        <w:tc>
          <w:tcPr>
            <w:tcW w:w="180" w:type="dxa"/>
            <w:vAlign w:val="bottom"/>
          </w:tcPr>
          <w:p>
            <w:pPr>
              <w:spacing w:after="0"/>
              <w:rPr>
                <w:sz w:val="18"/>
                <w:szCs w:val="18"/>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52</w:t>
            </w:r>
          </w:p>
        </w:tc>
      </w:tr>
      <w:tr>
        <w:trPr>
          <w:trHeight w:val="216"/>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Initial fair value option adjustment (see Note 17)</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645</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10"/>
        </w:trPr>
        <w:tc>
          <w:tcPr>
            <w:tcW w:w="7260" w:type="dxa"/>
            <w:vAlign w:val="bottom"/>
          </w:tcPr>
          <w:p>
            <w:pPr>
              <w:ind w:left="20"/>
              <w:spacing w:after="0"/>
              <w:rPr>
                <w:sz w:val="20"/>
                <w:szCs w:val="20"/>
                <w:color w:val="auto"/>
              </w:rPr>
            </w:pPr>
            <w:r>
              <w:rPr>
                <w:rFonts w:ascii="Arial" w:cs="Arial" w:eastAsia="Arial" w:hAnsi="Arial"/>
                <w:sz w:val="15"/>
                <w:szCs w:val="15"/>
                <w:color w:val="auto"/>
              </w:rPr>
              <w:t>Ending balance of allowance for losses on installment notes receivables</w:t>
            </w:r>
          </w:p>
        </w:tc>
        <w:tc>
          <w:tcPr>
            <w:tcW w:w="180" w:type="dxa"/>
            <w:vAlign w:val="bottom"/>
          </w:tcPr>
          <w:p>
            <w:pPr>
              <w:spacing w:after="0"/>
              <w:rPr>
                <w:sz w:val="18"/>
                <w:szCs w:val="18"/>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(645)</w:t>
            </w:r>
          </w:p>
        </w:tc>
      </w:tr>
      <w:tr>
        <w:trPr>
          <w:trHeight w:val="261"/>
        </w:trPr>
        <w:tc>
          <w:tcPr>
            <w:tcW w:w="7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12"/>
        </w:trPr>
        <w:tc>
          <w:tcPr>
            <w:tcW w:w="7260" w:type="dxa"/>
            <w:vAlign w:val="bottom"/>
          </w:tcPr>
          <w:p>
            <w:pPr>
              <w:ind w:left="20"/>
              <w:spacing w:after="0"/>
              <w:rPr>
                <w:sz w:val="20"/>
                <w:szCs w:val="20"/>
                <w:color w:val="auto"/>
              </w:rPr>
            </w:pPr>
            <w:r>
              <w:rPr>
                <w:rFonts w:ascii="Arial" w:cs="Arial" w:eastAsia="Arial" w:hAnsi="Arial"/>
                <w:sz w:val="15"/>
                <w:szCs w:val="15"/>
                <w:color w:val="auto"/>
              </w:rPr>
              <w:t>Initial fair value option adjustment (see Note 17)</w:t>
            </w:r>
          </w:p>
        </w:tc>
        <w:tc>
          <w:tcPr>
            <w:tcW w:w="180" w:type="dxa"/>
            <w:vAlign w:val="bottom"/>
          </w:tcPr>
          <w:p>
            <w:pPr>
              <w:spacing w:after="0"/>
              <w:rPr>
                <w:sz w:val="18"/>
                <w:szCs w:val="18"/>
                <w:color w:val="auto"/>
              </w:rPr>
            </w:pPr>
          </w:p>
        </w:tc>
        <w:tc>
          <w:tcPr>
            <w:tcW w:w="1700" w:type="dxa"/>
            <w:vAlign w:val="bottom"/>
          </w:tcPr>
          <w:p>
            <w:pPr>
              <w:jc w:val="right"/>
              <w:ind w:right="4"/>
              <w:spacing w:after="0"/>
              <w:rPr>
                <w:sz w:val="20"/>
                <w:szCs w:val="20"/>
                <w:color w:val="auto"/>
              </w:rPr>
            </w:pPr>
            <w:r>
              <w:rPr>
                <w:rFonts w:ascii="Arial" w:cs="Arial" w:eastAsia="Arial" w:hAnsi="Arial"/>
                <w:sz w:val="15"/>
                <w:szCs w:val="15"/>
                <w:color w:val="auto"/>
              </w:rPr>
              <w:t>991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16"/>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adjustment</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(2,311)</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09"/>
        </w:trPr>
        <w:tc>
          <w:tcPr>
            <w:tcW w:w="7260" w:type="dxa"/>
            <w:vAlign w:val="bottom"/>
          </w:tcPr>
          <w:p>
            <w:pPr>
              <w:ind w:left="20"/>
              <w:spacing w:after="0"/>
              <w:rPr>
                <w:sz w:val="20"/>
                <w:szCs w:val="20"/>
                <w:color w:val="auto"/>
              </w:rPr>
            </w:pPr>
            <w:r>
              <w:rPr>
                <w:rFonts w:ascii="Arial" w:cs="Arial" w:eastAsia="Arial" w:hAnsi="Arial"/>
                <w:sz w:val="15"/>
                <w:szCs w:val="15"/>
                <w:color w:val="auto"/>
              </w:rPr>
              <w:t>Fair value adjustments on gross installment notes receivable</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(1,320)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61"/>
        </w:trPr>
        <w:tc>
          <w:tcPr>
            <w:tcW w:w="72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spacing w:after="0"/>
              <w:rPr>
                <w:sz w:val="22"/>
                <w:szCs w:val="22"/>
                <w:color w:val="auto"/>
              </w:rPr>
            </w:pPr>
          </w:p>
        </w:tc>
      </w:tr>
      <w:tr>
        <w:trPr>
          <w:trHeight w:val="209"/>
        </w:trPr>
        <w:tc>
          <w:tcPr>
            <w:tcW w:w="7260" w:type="dxa"/>
            <w:vAlign w:val="bottom"/>
          </w:tcPr>
          <w:p>
            <w:pPr>
              <w:ind w:left="20"/>
              <w:spacing w:after="0"/>
              <w:rPr>
                <w:sz w:val="20"/>
                <w:szCs w:val="20"/>
                <w:color w:val="auto"/>
              </w:rPr>
            </w:pPr>
            <w:r>
              <w:rPr>
                <w:rFonts w:ascii="Arial" w:cs="Arial" w:eastAsia="Arial" w:hAnsi="Arial"/>
                <w:sz w:val="15"/>
                <w:szCs w:val="15"/>
                <w:color w:val="auto"/>
              </w:rPr>
              <w:t>Ending balance of installment notes receivable, net</w:t>
            </w: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88,327</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95,580</w:t>
            </w:r>
          </w:p>
        </w:tc>
      </w:tr>
      <w:tr>
        <w:trPr>
          <w:trHeight w:val="21"/>
        </w:trPr>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 from Real Estate Developers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September 30, 2020 and December 31, 2019, the notes receivable balances of $51.5 million and $19.0 million, respectively are primarily comprised of construction loans provided to real estate developers. The carrying values of the notes generally approximate their fair market values either due to the nature of the loan and / or the note being secured by underlying collateral and / or personal guarantees. The notes receivable from real estate developers have a net weighted average interest rate and maturity of 5.8 percent and 1.4 years as of September 30, 2020, and 7.0 percent and 1.3 years as of December 31, 2019, respectively. As of September 30, 2020, real estate developers collectively have $10.5 million of undrawn funds on their loans. Refer to Note 14, “Fair Value of Financial Instruments,” and Note 17, “Recent Accounting Pronouncements,” for additional detail.</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Receivables, net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2020, other receivables were comprised of amounts due from: residents for rent, utility charges, fees and other pass through charges of $10.0 million (net of allowance of $6.3 million), home sale proceeds of $20.8 million, insurance receivables of $8.3 million, and other receivables of $12.6 million. As of December 31, 2019, other receivables were comprised of amounts due from: residents for rent, utility charges, fees and other pass through charges of $7.8 million (net of allowance of $2.2 million), home sale proceeds of $20.9 million, insurance and other receivables of $9.9 million and other receivables of $4.8 million.</w:t>
      </w:r>
    </w:p>
    <w:p>
      <w:pPr>
        <w:spacing w:after="0" w:line="21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During June 2020, we executed a convertible secured promissory note with Rezplot, a nonconsolidated affiliate in which we have a 50 percent ownership interest. The note allows for a principal amount of up to $10.0 million to be drawn down over a period of three years, bears an interest rate of 3.0 percent and is secured by all the assets of Rezplot. The outstanding balance was $0.5 million as of September 30, 2020 and is recorded within the Notes and other receivables, net line item on the Consolidated Balance Sheets. Refer to Note 6, "Investment in Nonconsolidated Affiliates," for additional information on our nonconsolidated affiliates.</w:t>
      </w:r>
    </w:p>
    <w:p>
      <w:pPr>
        <w:spacing w:after="0" w:line="2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Intangible Assets</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intangible assets include in-place leases, franchise agreements and other intangible assets. These intangible assets are recorded in Other assets, net on the Consolidated Balance Sheets. In accordance with FASB ASC Topic 842, below market leases are now classified as a right of use asset.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amounts and accumulated amortization are as follows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784"/>
              <w:spacing w:after="0"/>
              <w:rPr>
                <w:sz w:val="20"/>
                <w:szCs w:val="20"/>
                <w:color w:val="auto"/>
              </w:rPr>
            </w:pPr>
            <w:r>
              <w:rPr>
                <w:rFonts w:ascii="Arial" w:cs="Arial" w:eastAsia="Arial" w:hAnsi="Arial"/>
                <w:sz w:val="15"/>
                <w:szCs w:val="15"/>
                <w:b w:val="1"/>
                <w:bCs w:val="1"/>
                <w:color w:val="auto"/>
              </w:rPr>
              <w:t>September 30, 2020</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804"/>
              <w:spacing w:after="0"/>
              <w:rPr>
                <w:sz w:val="20"/>
                <w:szCs w:val="20"/>
                <w:color w:val="auto"/>
              </w:rPr>
            </w:pPr>
            <w:r>
              <w:rPr>
                <w:rFonts w:ascii="Arial" w:cs="Arial" w:eastAsia="Arial" w:hAnsi="Arial"/>
                <w:sz w:val="15"/>
                <w:szCs w:val="15"/>
                <w:b w:val="1"/>
                <w:bCs w:val="1"/>
                <w:color w:val="auto"/>
              </w:rPr>
              <w:t>December 31, 2019</w:t>
            </w:r>
          </w:p>
        </w:tc>
      </w:tr>
      <w:tr>
        <w:trPr>
          <w:trHeight w:val="169"/>
        </w:trPr>
        <w:tc>
          <w:tcPr>
            <w:tcW w:w="3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ind w:left="60"/>
              <w:spacing w:after="0" w:line="169" w:lineRule="exact"/>
              <w:rPr>
                <w:sz w:val="20"/>
                <w:szCs w:val="20"/>
                <w:color w:val="auto"/>
              </w:rPr>
            </w:pPr>
            <w:r>
              <w:rPr>
                <w:rFonts w:ascii="Arial" w:cs="Arial" w:eastAsia="Arial" w:hAnsi="Arial"/>
                <w:sz w:val="15"/>
                <w:szCs w:val="15"/>
                <w:b w:val="1"/>
                <w:bCs w:val="1"/>
                <w:color w:val="auto"/>
              </w:rPr>
              <w:t>Gross Carrying</w:t>
            </w:r>
          </w:p>
        </w:tc>
        <w:tc>
          <w:tcPr>
            <w:tcW w:w="200" w:type="dxa"/>
            <w:vAlign w:val="bottom"/>
          </w:tcPr>
          <w:p>
            <w:pPr>
              <w:spacing w:after="0"/>
              <w:rPr>
                <w:sz w:val="14"/>
                <w:szCs w:val="14"/>
                <w:color w:val="auto"/>
              </w:rPr>
            </w:pPr>
          </w:p>
        </w:tc>
        <w:tc>
          <w:tcPr>
            <w:tcW w:w="1480" w:type="dxa"/>
            <w:vAlign w:val="bottom"/>
            <w:gridSpan w:val="2"/>
          </w:tcPr>
          <w:p>
            <w:pPr>
              <w:ind w:left="100"/>
              <w:spacing w:after="0" w:line="169" w:lineRule="exact"/>
              <w:rPr>
                <w:sz w:val="20"/>
                <w:szCs w:val="20"/>
                <w:color w:val="auto"/>
              </w:rPr>
            </w:pPr>
            <w:r>
              <w:rPr>
                <w:rFonts w:ascii="Arial" w:cs="Arial" w:eastAsia="Arial" w:hAnsi="Arial"/>
                <w:sz w:val="15"/>
                <w:szCs w:val="15"/>
                <w:b w:val="1"/>
                <w:bCs w:val="1"/>
                <w:color w:val="auto"/>
              </w:rPr>
              <w:t>Accumulated</w:t>
            </w:r>
          </w:p>
        </w:tc>
        <w:tc>
          <w:tcPr>
            <w:tcW w:w="160" w:type="dxa"/>
            <w:vAlign w:val="bottom"/>
          </w:tcPr>
          <w:p>
            <w:pPr>
              <w:spacing w:after="0"/>
              <w:rPr>
                <w:sz w:val="14"/>
                <w:szCs w:val="14"/>
                <w:color w:val="auto"/>
              </w:rPr>
            </w:pPr>
          </w:p>
        </w:tc>
        <w:tc>
          <w:tcPr>
            <w:tcW w:w="1400" w:type="dxa"/>
            <w:vAlign w:val="bottom"/>
            <w:gridSpan w:val="2"/>
          </w:tcPr>
          <w:p>
            <w:pPr>
              <w:ind w:left="60"/>
              <w:spacing w:after="0" w:line="169" w:lineRule="exact"/>
              <w:rPr>
                <w:sz w:val="20"/>
                <w:szCs w:val="20"/>
                <w:color w:val="auto"/>
              </w:rPr>
            </w:pPr>
            <w:r>
              <w:rPr>
                <w:rFonts w:ascii="Arial" w:cs="Arial" w:eastAsia="Arial" w:hAnsi="Arial"/>
                <w:sz w:val="15"/>
                <w:szCs w:val="15"/>
                <w:b w:val="1"/>
                <w:bCs w:val="1"/>
                <w:color w:val="auto"/>
              </w:rPr>
              <w:t>Gross Carrying</w:t>
            </w:r>
          </w:p>
        </w:tc>
        <w:tc>
          <w:tcPr>
            <w:tcW w:w="200" w:type="dxa"/>
            <w:vAlign w:val="bottom"/>
          </w:tcPr>
          <w:p>
            <w:pPr>
              <w:spacing w:after="0"/>
              <w:rPr>
                <w:sz w:val="14"/>
                <w:szCs w:val="14"/>
                <w:color w:val="auto"/>
              </w:rPr>
            </w:pPr>
          </w:p>
        </w:tc>
        <w:tc>
          <w:tcPr>
            <w:tcW w:w="1260" w:type="dxa"/>
            <w:vAlign w:val="bottom"/>
          </w:tcPr>
          <w:p>
            <w:pPr>
              <w:jc w:val="right"/>
              <w:ind w:right="224"/>
              <w:spacing w:after="0" w:line="169" w:lineRule="exact"/>
              <w:rPr>
                <w:sz w:val="20"/>
                <w:szCs w:val="20"/>
                <w:color w:val="auto"/>
              </w:rPr>
            </w:pPr>
            <w:r>
              <w:rPr>
                <w:rFonts w:ascii="Arial" w:cs="Arial" w:eastAsia="Arial" w:hAnsi="Arial"/>
                <w:sz w:val="15"/>
                <w:szCs w:val="15"/>
                <w:b w:val="1"/>
                <w:bCs w:val="1"/>
                <w:color w:val="auto"/>
                <w:w w:val="99"/>
              </w:rPr>
              <w:t>Accumulated</w:t>
            </w:r>
          </w:p>
        </w:tc>
      </w:tr>
      <w:tr>
        <w:trPr>
          <w:trHeight w:val="202"/>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Intangible Asset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Useful Life</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Amortization</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Amortization</w:t>
            </w:r>
          </w:p>
        </w:tc>
      </w:tr>
      <w:tr>
        <w:trPr>
          <w:trHeight w:val="213"/>
        </w:trPr>
        <w:tc>
          <w:tcPr>
            <w:tcW w:w="3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In-place leases</w:t>
            </w:r>
          </w:p>
        </w:tc>
        <w:tc>
          <w:tcPr>
            <w:tcW w:w="116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color w:val="auto"/>
                <w:w w:val="89"/>
              </w:rPr>
              <w:t>7 years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129,380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(85,307)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127,313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(74,548)</w:t>
            </w:r>
          </w:p>
        </w:tc>
      </w:tr>
      <w:tr>
        <w:trPr>
          <w:trHeight w:val="212"/>
        </w:trPr>
        <w:tc>
          <w:tcPr>
            <w:tcW w:w="38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Franchise agreements and other intangible assets</w:t>
            </w:r>
          </w:p>
        </w:tc>
        <w:tc>
          <w:tcPr>
            <w:tcW w:w="1160" w:type="dxa"/>
            <w:vAlign w:val="bottom"/>
            <w:tcBorders>
              <w:bottom w:val="single" w:sz="8" w:color="CCEEFF"/>
            </w:tcBorders>
            <w:gridSpan w:val="2"/>
          </w:tcPr>
          <w:p>
            <w:pPr>
              <w:jc w:val="center"/>
              <w:ind w:right="240"/>
              <w:spacing w:after="0"/>
              <w:rPr>
                <w:sz w:val="20"/>
                <w:szCs w:val="20"/>
                <w:color w:val="auto"/>
              </w:rPr>
            </w:pPr>
            <w:r>
              <w:rPr>
                <w:rFonts w:ascii="Arial" w:cs="Arial" w:eastAsia="Arial" w:hAnsi="Arial"/>
                <w:sz w:val="15"/>
                <w:szCs w:val="15"/>
                <w:color w:val="auto"/>
                <w:w w:val="90"/>
              </w:rPr>
              <w:t>7 - 20 years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16,944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(3,374)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16,943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(2,760)</w:t>
            </w:r>
          </w:p>
        </w:tc>
      </w:tr>
      <w:tr>
        <w:trPr>
          <w:trHeight w:val="238"/>
        </w:trPr>
        <w:tc>
          <w:tcPr>
            <w:tcW w:w="3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Total</w:t>
            </w:r>
          </w:p>
        </w:tc>
        <w:tc>
          <w:tcPr>
            <w:tcW w:w="9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146,324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(88,681)</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144,256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(77,308)</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related to the intangible assets are as follows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884"/>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924"/>
              <w:spacing w:after="0"/>
              <w:rPr>
                <w:sz w:val="20"/>
                <w:szCs w:val="20"/>
                <w:color w:val="auto"/>
              </w:rPr>
            </w:pPr>
            <w:r>
              <w:rPr>
                <w:rFonts w:ascii="Arial" w:cs="Arial" w:eastAsia="Arial" w:hAnsi="Arial"/>
                <w:sz w:val="15"/>
                <w:szCs w:val="15"/>
                <w:b w:val="1"/>
                <w:bCs w:val="1"/>
                <w:color w:val="auto"/>
              </w:rPr>
              <w:t>Nine Months Ended</w:t>
            </w:r>
          </w:p>
        </w:tc>
      </w:tr>
      <w:tr>
        <w:trPr>
          <w:trHeight w:val="210"/>
        </w:trPr>
        <w:tc>
          <w:tcPr>
            <w:tcW w:w="4360" w:type="dxa"/>
            <w:vAlign w:val="bottom"/>
          </w:tcPr>
          <w:p>
            <w:pPr>
              <w:ind w:left="20"/>
              <w:spacing w:after="0"/>
              <w:rPr>
                <w:sz w:val="20"/>
                <w:szCs w:val="20"/>
                <w:color w:val="auto"/>
              </w:rPr>
            </w:pPr>
            <w:r>
              <w:rPr>
                <w:rFonts w:ascii="Arial" w:cs="Arial" w:eastAsia="Arial" w:hAnsi="Arial"/>
                <w:sz w:val="15"/>
                <w:szCs w:val="15"/>
                <w:b w:val="1"/>
                <w:bCs w:val="1"/>
                <w:color w:val="auto"/>
              </w:rPr>
              <w:t>Intangible Asset Amortization Expense</w:t>
            </w:r>
          </w:p>
        </w:tc>
        <w:tc>
          <w:tcPr>
            <w:tcW w:w="14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2020</w:t>
            </w:r>
          </w:p>
        </w:tc>
        <w:tc>
          <w:tcPr>
            <w:tcW w:w="140" w:type="dxa"/>
            <w:vAlign w:val="bottom"/>
          </w:tcPr>
          <w:p>
            <w:pPr>
              <w:spacing w:after="0"/>
              <w:rPr>
                <w:sz w:val="18"/>
                <w:szCs w:val="18"/>
                <w:color w:val="auto"/>
              </w:rPr>
            </w:pPr>
          </w:p>
        </w:tc>
        <w:tc>
          <w:tcPr>
            <w:tcW w:w="1700" w:type="dxa"/>
            <w:vAlign w:val="bottom"/>
            <w:gridSpan w:val="2"/>
          </w:tcPr>
          <w:p>
            <w:pPr>
              <w:ind w:left="20"/>
              <w:spacing w:after="0"/>
              <w:rPr>
                <w:sz w:val="20"/>
                <w:szCs w:val="20"/>
                <w:color w:val="auto"/>
              </w:rPr>
            </w:pPr>
            <w:r>
              <w:rPr>
                <w:rFonts w:ascii="Arial" w:cs="Arial" w:eastAsia="Arial" w:hAnsi="Arial"/>
                <w:sz w:val="15"/>
                <w:szCs w:val="15"/>
                <w:b w:val="1"/>
                <w:bCs w:val="1"/>
                <w:color w:val="auto"/>
              </w:rPr>
              <w:t>September 30, 2019</w:t>
            </w:r>
          </w:p>
        </w:tc>
        <w:tc>
          <w:tcPr>
            <w:tcW w:w="12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2020</w:t>
            </w:r>
          </w:p>
        </w:tc>
        <w:tc>
          <w:tcPr>
            <w:tcW w:w="120" w:type="dxa"/>
            <w:vAlign w:val="bottom"/>
          </w:tcPr>
          <w:p>
            <w:pPr>
              <w:spacing w:after="0"/>
              <w:rPr>
                <w:sz w:val="18"/>
                <w:szCs w:val="18"/>
                <w:color w:val="auto"/>
              </w:rPr>
            </w:pPr>
          </w:p>
        </w:tc>
        <w:tc>
          <w:tcPr>
            <w:tcW w:w="1480" w:type="dxa"/>
            <w:vAlign w:val="bottom"/>
          </w:tcPr>
          <w:p>
            <w:pPr>
              <w:jc w:val="right"/>
              <w:ind w:right="84"/>
              <w:spacing w:after="0"/>
              <w:rPr>
                <w:sz w:val="20"/>
                <w:szCs w:val="20"/>
                <w:color w:val="auto"/>
              </w:rPr>
            </w:pPr>
            <w:r>
              <w:rPr>
                <w:rFonts w:ascii="Arial" w:cs="Arial" w:eastAsia="Arial" w:hAnsi="Arial"/>
                <w:sz w:val="15"/>
                <w:szCs w:val="15"/>
                <w:b w:val="1"/>
                <w:bCs w:val="1"/>
                <w:color w:val="auto"/>
                <w:w w:val="92"/>
              </w:rPr>
              <w:t>September 30, 2019</w:t>
            </w:r>
          </w:p>
        </w:tc>
      </w:tr>
      <w:tr>
        <w:trPr>
          <w:trHeight w:val="214"/>
        </w:trPr>
        <w:tc>
          <w:tcPr>
            <w:tcW w:w="43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In-place leases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3,727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3,781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10,758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11,253</w:t>
            </w:r>
          </w:p>
        </w:tc>
      </w:tr>
      <w:tr>
        <w:trPr>
          <w:trHeight w:val="212"/>
        </w:trPr>
        <w:tc>
          <w:tcPr>
            <w:tcW w:w="43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Franchise fees and other intangible assets</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614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614</w:t>
            </w:r>
          </w:p>
        </w:tc>
      </w:tr>
      <w:tr>
        <w:trPr>
          <w:trHeight w:val="239"/>
        </w:trPr>
        <w:tc>
          <w:tcPr>
            <w:tcW w:w="4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3,932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3,986</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11,372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11,867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We anticipate amortization expense for our intangible assets to be as follows for the next five years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Year</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10"/>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Remainder 2020</w:t>
            </w:r>
          </w:p>
        </w:tc>
        <w:tc>
          <w:tcPr>
            <w:tcW w:w="380" w:type="dxa"/>
            <w:vAlign w:val="bottom"/>
          </w:tcPr>
          <w:p>
            <w:pPr>
              <w:spacing w:after="0"/>
              <w:rPr>
                <w:sz w:val="18"/>
                <w:szCs w:val="18"/>
                <w:color w:val="auto"/>
              </w:rPr>
            </w:pPr>
          </w:p>
        </w:tc>
        <w:tc>
          <w:tcPr>
            <w:tcW w:w="1280" w:type="dxa"/>
            <w:vAlign w:val="bottom"/>
          </w:tcPr>
          <w:p>
            <w:pPr>
              <w:jc w:val="right"/>
              <w:ind w:right="60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ind w:left="300"/>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604"/>
              <w:spacing w:after="0"/>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604"/>
              <w:spacing w:after="0"/>
              <w:rPr>
                <w:sz w:val="20"/>
                <w:szCs w:val="20"/>
                <w:color w:val="auto"/>
              </w:rPr>
            </w:pPr>
            <w:r>
              <w:rPr>
                <w:rFonts w:ascii="Arial" w:cs="Arial" w:eastAsia="Arial" w:hAnsi="Arial"/>
                <w:sz w:val="15"/>
                <w:szCs w:val="15"/>
                <w:b w:val="1"/>
                <w:bCs w:val="1"/>
                <w:color w:val="auto"/>
              </w:rPr>
              <w:t>2024</w:t>
            </w:r>
          </w:p>
        </w:tc>
      </w:tr>
      <w:tr>
        <w:trPr>
          <w:trHeight w:val="213"/>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Estimated expense</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3,927</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15,446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10,871</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7,496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5,133</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Nonconsolidated Affiliates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Investments in joint ventures that are not consolidated, nor recorded at cost, are accounted for using the equity method of accounting as prescribed in FASB ASC Topic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xml:space="preserve"> Investments in nonconsolidated affiliates are recorded within Other assets, net on the Consolidated Balance Sheets. Equity income and loss are recorded in the Income from nonconsolidated affiliates line item on the Consolidated Statements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RezPlot Systems LLC (“Rezplot”)</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At September 30, 2020 and December 31, 2019, we had a 50 percent ownership interest in RezPlot, a RV reservation software technology company, acquired in January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Sungenia joint venture (“Sungenia JV”)</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At September 30, 2020 and December 31, 2019, we had a 50 percent ownership interest in Sungenia JV, a joint venture formed between us and Ingenia Communities Group in November 2018, to establish and grow a manufactured housing community development program in Australia.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GTSC LLC </w:t>
      </w:r>
      <w:r>
        <w:rPr>
          <w:rFonts w:ascii="Arial" w:cs="Arial" w:eastAsia="Arial" w:hAnsi="Arial"/>
          <w:sz w:val="18"/>
          <w:szCs w:val="18"/>
          <w:color w:val="auto"/>
        </w:rPr>
        <w:t>(</w:t>
      </w:r>
      <w:r>
        <w:rPr>
          <w:rFonts w:ascii="Arial" w:cs="Arial" w:eastAsia="Arial" w:hAnsi="Arial"/>
          <w:sz w:val="18"/>
          <w:szCs w:val="18"/>
          <w:i w:val="1"/>
          <w:iCs w:val="1"/>
          <w:color w:val="auto"/>
        </w:rPr>
        <w:t>“GTSC”</w:t>
      </w:r>
      <w:r>
        <w:rPr>
          <w:rFonts w:ascii="Arial" w:cs="Arial" w:eastAsia="Arial" w:hAnsi="Arial"/>
          <w:sz w:val="18"/>
          <w:szCs w:val="18"/>
          <w:color w:val="auto"/>
        </w:rPr>
        <w:t>)</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At September 30, 2020 and December 31, 2019, we had a 40 percent ownership interest in GTSC, which engages in acquiring, holding and selling loans secured, directly or indirectly, by manufactured homes located in our communities.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Origen Financial Services, LLC (“OFS”)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At September 30, 2020 and December 31, 2019, we had a 22.9 percent ownership interest in OFS, an end-to-end online resident screening and document management suite.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SV Lift, LLC (“SV Lift”)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At September 30, 2020 and December 31, 2019, we had a 50 percent ownership interest in SV Lift, which owns, operates and leases an aircraft.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balance in each nonconsolidated affiliate is as follows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Investment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September 30, 2020</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December 31, 2019</w:t>
            </w:r>
          </w:p>
        </w:tc>
      </w:tr>
      <w:tr>
        <w:trPr>
          <w:trHeight w:val="214"/>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 in RezPlot</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3,784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4,184</w:t>
            </w:r>
          </w:p>
        </w:tc>
      </w:tr>
      <w:tr>
        <w:trPr>
          <w:trHeight w:val="212"/>
        </w:trPr>
        <w:tc>
          <w:tcPr>
            <w:tcW w:w="6400" w:type="dxa"/>
            <w:vAlign w:val="bottom"/>
            <w:gridSpan w:val="2"/>
          </w:tcPr>
          <w:p>
            <w:pPr>
              <w:ind w:left="20"/>
              <w:spacing w:after="0"/>
              <w:rPr>
                <w:sz w:val="20"/>
                <w:szCs w:val="20"/>
                <w:color w:val="auto"/>
              </w:rPr>
            </w:pPr>
            <w:r>
              <w:rPr>
                <w:rFonts w:ascii="Arial" w:cs="Arial" w:eastAsia="Arial" w:hAnsi="Arial"/>
                <w:sz w:val="15"/>
                <w:szCs w:val="15"/>
                <w:color w:val="auto"/>
              </w:rPr>
              <w:t>Investment in Sungenia JV</w:t>
            </w:r>
          </w:p>
        </w:tc>
        <w:tc>
          <w:tcPr>
            <w:tcW w:w="300" w:type="dxa"/>
            <w:vAlign w:val="bottom"/>
          </w:tcPr>
          <w:p>
            <w:pPr>
              <w:spacing w:after="0"/>
              <w:rPr>
                <w:sz w:val="18"/>
                <w:szCs w:val="18"/>
                <w:color w:val="auto"/>
              </w:rPr>
            </w:pPr>
          </w:p>
        </w:tc>
        <w:tc>
          <w:tcPr>
            <w:tcW w:w="2000" w:type="dxa"/>
            <w:vAlign w:val="bottom"/>
          </w:tcPr>
          <w:p>
            <w:pPr>
              <w:jc w:val="right"/>
              <w:ind w:right="4"/>
              <w:spacing w:after="0"/>
              <w:rPr>
                <w:sz w:val="20"/>
                <w:szCs w:val="20"/>
                <w:color w:val="auto"/>
              </w:rPr>
            </w:pPr>
            <w:r>
              <w:rPr>
                <w:rFonts w:ascii="Arial" w:cs="Arial" w:eastAsia="Arial" w:hAnsi="Arial"/>
                <w:sz w:val="15"/>
                <w:szCs w:val="15"/>
                <w:color w:val="auto"/>
              </w:rPr>
              <w:t>15,688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Pr>
          <w:p>
            <w:pPr>
              <w:jc w:val="right"/>
              <w:ind w:right="4"/>
              <w:spacing w:after="0"/>
              <w:rPr>
                <w:sz w:val="20"/>
                <w:szCs w:val="20"/>
                <w:color w:val="auto"/>
              </w:rPr>
            </w:pPr>
            <w:r>
              <w:rPr>
                <w:rFonts w:ascii="Arial" w:cs="Arial" w:eastAsia="Arial" w:hAnsi="Arial"/>
                <w:sz w:val="15"/>
                <w:szCs w:val="15"/>
                <w:color w:val="auto"/>
              </w:rPr>
              <w:t>11,995</w:t>
            </w:r>
          </w:p>
        </w:tc>
      </w:tr>
      <w:tr>
        <w:trPr>
          <w:trHeight w:val="22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 in GTSC</w:t>
            </w: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23,364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18,488</w:t>
            </w:r>
          </w:p>
        </w:tc>
      </w:tr>
      <w:tr>
        <w:trPr>
          <w:trHeight w:val="212"/>
        </w:trPr>
        <w:tc>
          <w:tcPr>
            <w:tcW w:w="6400" w:type="dxa"/>
            <w:vAlign w:val="bottom"/>
            <w:gridSpan w:val="2"/>
          </w:tcPr>
          <w:p>
            <w:pPr>
              <w:ind w:left="20"/>
              <w:spacing w:after="0"/>
              <w:rPr>
                <w:sz w:val="20"/>
                <w:szCs w:val="20"/>
                <w:color w:val="auto"/>
              </w:rPr>
            </w:pPr>
            <w:r>
              <w:rPr>
                <w:rFonts w:ascii="Arial" w:cs="Arial" w:eastAsia="Arial" w:hAnsi="Arial"/>
                <w:sz w:val="15"/>
                <w:szCs w:val="15"/>
                <w:color w:val="auto"/>
              </w:rPr>
              <w:t>Investment in OFS</w:t>
            </w:r>
          </w:p>
        </w:tc>
        <w:tc>
          <w:tcPr>
            <w:tcW w:w="300" w:type="dxa"/>
            <w:vAlign w:val="bottom"/>
          </w:tcPr>
          <w:p>
            <w:pPr>
              <w:spacing w:after="0"/>
              <w:rPr>
                <w:sz w:val="18"/>
                <w:szCs w:val="18"/>
                <w:color w:val="auto"/>
              </w:rPr>
            </w:pPr>
          </w:p>
        </w:tc>
        <w:tc>
          <w:tcPr>
            <w:tcW w:w="2000" w:type="dxa"/>
            <w:vAlign w:val="bottom"/>
          </w:tcPr>
          <w:p>
            <w:pPr>
              <w:jc w:val="right"/>
              <w:ind w:right="4"/>
              <w:spacing w:after="0"/>
              <w:rPr>
                <w:sz w:val="20"/>
                <w:szCs w:val="20"/>
                <w:color w:val="auto"/>
              </w:rPr>
            </w:pPr>
            <w:r>
              <w:rPr>
                <w:rFonts w:ascii="Arial" w:cs="Arial" w:eastAsia="Arial" w:hAnsi="Arial"/>
                <w:sz w:val="15"/>
                <w:szCs w:val="15"/>
                <w:color w:val="auto"/>
              </w:rPr>
              <w:t>282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Pr>
          <w:p>
            <w:pPr>
              <w:jc w:val="right"/>
              <w:ind w:right="4"/>
              <w:spacing w:after="0"/>
              <w:rPr>
                <w:sz w:val="20"/>
                <w:szCs w:val="20"/>
                <w:color w:val="auto"/>
              </w:rPr>
            </w:pPr>
            <w:r>
              <w:rPr>
                <w:rFonts w:ascii="Arial" w:cs="Arial" w:eastAsia="Arial" w:hAnsi="Arial"/>
                <w:sz w:val="15"/>
                <w:szCs w:val="15"/>
                <w:color w:val="auto"/>
              </w:rPr>
              <w:t>148</w:t>
            </w:r>
          </w:p>
        </w:tc>
      </w:tr>
      <w:tr>
        <w:trPr>
          <w:trHeight w:val="216"/>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 in SV Lift</w:t>
            </w:r>
          </w:p>
        </w:tc>
        <w:tc>
          <w:tcPr>
            <w:tcW w:w="30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3,663</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2,961</w:t>
            </w:r>
          </w:p>
        </w:tc>
      </w:tr>
      <w:tr>
        <w:trPr>
          <w:trHeight w:val="213"/>
        </w:trPr>
        <w:tc>
          <w:tcPr>
            <w:tcW w:w="6400" w:type="dxa"/>
            <w:vAlign w:val="bottom"/>
            <w:gridSpan w:val="2"/>
          </w:tcPr>
          <w:p>
            <w:pPr>
              <w:ind w:left="220"/>
              <w:spacing w:after="0"/>
              <w:rPr>
                <w:sz w:val="20"/>
                <w:szCs w:val="20"/>
                <w:color w:val="auto"/>
              </w:rPr>
            </w:pPr>
            <w:r>
              <w:rPr>
                <w:rFonts w:ascii="Arial" w:cs="Arial" w:eastAsia="Arial" w:hAnsi="Arial"/>
                <w:sz w:val="15"/>
                <w:szCs w:val="15"/>
                <w:b w:val="1"/>
                <w:bCs w:val="1"/>
                <w:color w:val="auto"/>
              </w:rPr>
              <w:t>Total</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46,781</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37,776</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income / (loss) from each nonconsolidated affiliate is as follows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864"/>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924"/>
              <w:spacing w:after="0"/>
              <w:rPr>
                <w:sz w:val="20"/>
                <w:szCs w:val="20"/>
                <w:color w:val="auto"/>
              </w:rPr>
            </w:pPr>
            <w:r>
              <w:rPr>
                <w:rFonts w:ascii="Arial" w:cs="Arial" w:eastAsia="Arial" w:hAnsi="Arial"/>
                <w:sz w:val="15"/>
                <w:szCs w:val="15"/>
                <w:b w:val="1"/>
                <w:bCs w:val="1"/>
                <w:color w:val="auto"/>
              </w:rPr>
              <w:t>Nine Months Ended</w:t>
            </w:r>
          </w:p>
        </w:tc>
      </w:tr>
      <w:tr>
        <w:trPr>
          <w:trHeight w:val="210"/>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Income / (Loss) from Nonconsolidated Affiliates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2"/>
              </w:rPr>
              <w:t>September 30, 2020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1"/>
              </w:rPr>
              <w:t>September 30, 2019</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2"/>
              </w:rPr>
              <w:t>September 30, 2020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2"/>
              </w:rPr>
              <w:t>September 30, 2019</w:t>
            </w:r>
          </w:p>
        </w:tc>
      </w:tr>
      <w:tr>
        <w:trPr>
          <w:trHeight w:val="213"/>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RezPlot equity income /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(804)</w:t>
            </w:r>
          </w:p>
        </w:tc>
      </w:tr>
      <w:tr>
        <w:trPr>
          <w:trHeight w:val="212"/>
        </w:trPr>
        <w:tc>
          <w:tcPr>
            <w:tcW w:w="4380" w:type="dxa"/>
            <w:vAlign w:val="bottom"/>
            <w:gridSpan w:val="2"/>
          </w:tcPr>
          <w:p>
            <w:pPr>
              <w:ind w:left="20"/>
              <w:spacing w:after="0"/>
              <w:rPr>
                <w:sz w:val="20"/>
                <w:szCs w:val="20"/>
                <w:color w:val="auto"/>
              </w:rPr>
            </w:pPr>
            <w:r>
              <w:rPr>
                <w:rFonts w:ascii="Arial" w:cs="Arial" w:eastAsia="Arial" w:hAnsi="Arial"/>
                <w:sz w:val="15"/>
                <w:szCs w:val="15"/>
                <w:color w:val="auto"/>
              </w:rPr>
              <w:t>Sungenia JV equity income / (loss)</w:t>
            </w:r>
          </w:p>
        </w:tc>
        <w:tc>
          <w:tcPr>
            <w:tcW w:w="120" w:type="dxa"/>
            <w:vAlign w:val="bottom"/>
          </w:tcPr>
          <w:p>
            <w:pPr>
              <w:spacing w:after="0"/>
              <w:rPr>
                <w:sz w:val="18"/>
                <w:szCs w:val="18"/>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(127)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198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(185)</w:t>
            </w:r>
          </w:p>
        </w:tc>
      </w:tr>
      <w:tr>
        <w:trPr>
          <w:trHeight w:val="22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GTSC equity income</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2,177</w:t>
            </w:r>
          </w:p>
        </w:tc>
      </w:tr>
      <w:tr>
        <w:trPr>
          <w:trHeight w:val="212"/>
        </w:trPr>
        <w:tc>
          <w:tcPr>
            <w:tcW w:w="4380" w:type="dxa"/>
            <w:vAlign w:val="bottom"/>
            <w:gridSpan w:val="2"/>
          </w:tcPr>
          <w:p>
            <w:pPr>
              <w:ind w:left="20"/>
              <w:spacing w:after="0"/>
              <w:rPr>
                <w:sz w:val="20"/>
                <w:szCs w:val="20"/>
                <w:color w:val="auto"/>
              </w:rPr>
            </w:pPr>
            <w:r>
              <w:rPr>
                <w:rFonts w:ascii="Arial" w:cs="Arial" w:eastAsia="Arial" w:hAnsi="Arial"/>
                <w:sz w:val="15"/>
                <w:szCs w:val="15"/>
                <w:color w:val="auto"/>
              </w:rPr>
              <w:t>OFS equity income</w:t>
            </w:r>
          </w:p>
        </w:tc>
        <w:tc>
          <w:tcPr>
            <w:tcW w:w="120" w:type="dxa"/>
            <w:vAlign w:val="bottom"/>
          </w:tcPr>
          <w:p>
            <w:pPr>
              <w:spacing w:after="0"/>
              <w:rPr>
                <w:sz w:val="18"/>
                <w:szCs w:val="18"/>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82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134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192</w:t>
            </w:r>
          </w:p>
        </w:tc>
      </w:tr>
      <w:tr>
        <w:trPr>
          <w:trHeight w:val="21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SV Lift equity loss, net</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13"/>
        </w:trPr>
        <w:tc>
          <w:tcPr>
            <w:tcW w:w="4380" w:type="dxa"/>
            <w:vAlign w:val="bottom"/>
            <w:gridSpan w:val="2"/>
          </w:tcPr>
          <w:p>
            <w:pPr>
              <w:ind w:left="220"/>
              <w:spacing w:after="0"/>
              <w:rPr>
                <w:sz w:val="20"/>
                <w:szCs w:val="20"/>
                <w:color w:val="auto"/>
              </w:rPr>
            </w:pPr>
            <w:r>
              <w:rPr>
                <w:rFonts w:ascii="Arial" w:cs="Arial" w:eastAsia="Arial" w:hAnsi="Arial"/>
                <w:sz w:val="15"/>
                <w:szCs w:val="15"/>
                <w:b w:val="1"/>
                <w:bCs w:val="1"/>
                <w:color w:val="auto"/>
              </w:rPr>
              <w:t>Total Income from Nonconsolidated Affiliates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1,204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513</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1,348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1,380</w:t>
            </w:r>
          </w:p>
        </w:tc>
      </w:tr>
      <w:tr>
        <w:trPr>
          <w:trHeight w:val="21"/>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GTSC investment balance is as follows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40" w:type="dxa"/>
            <w:vAlign w:val="bottom"/>
            <w:gridSpan w:val="2"/>
          </w:tcPr>
          <w:p>
            <w:pPr>
              <w:ind w:left="160"/>
              <w:spacing w:after="0"/>
              <w:rPr>
                <w:sz w:val="20"/>
                <w:szCs w:val="20"/>
                <w:color w:val="auto"/>
              </w:rPr>
            </w:pPr>
            <w:r>
              <w:rPr>
                <w:rFonts w:ascii="Arial" w:cs="Arial" w:eastAsia="Arial" w:hAnsi="Arial"/>
                <w:sz w:val="15"/>
                <w:szCs w:val="15"/>
                <w:b w:val="1"/>
                <w:bCs w:val="1"/>
                <w:color w:val="auto"/>
              </w:rPr>
              <w:t>Nine Months Ended</w:t>
            </w:r>
          </w:p>
        </w:tc>
        <w:tc>
          <w:tcPr>
            <w:tcW w:w="300" w:type="dxa"/>
            <w:vAlign w:val="bottom"/>
          </w:tcPr>
          <w:p>
            <w:pPr>
              <w:spacing w:after="0"/>
              <w:rPr>
                <w:sz w:val="17"/>
                <w:szCs w:val="17"/>
                <w:color w:val="auto"/>
              </w:rPr>
            </w:pPr>
          </w:p>
        </w:tc>
        <w:tc>
          <w:tcPr>
            <w:tcW w:w="1900" w:type="dxa"/>
            <w:vAlign w:val="bottom"/>
          </w:tcPr>
          <w:p>
            <w:pPr>
              <w:jc w:val="right"/>
              <w:ind w:right="644"/>
              <w:spacing w:after="0"/>
              <w:rPr>
                <w:sz w:val="20"/>
                <w:szCs w:val="20"/>
                <w:color w:val="auto"/>
              </w:rPr>
            </w:pPr>
            <w:r>
              <w:rPr>
                <w:rFonts w:ascii="Arial" w:cs="Arial" w:eastAsia="Arial" w:hAnsi="Arial"/>
                <w:sz w:val="15"/>
                <w:szCs w:val="15"/>
                <w:b w:val="1"/>
                <w:bCs w:val="1"/>
                <w:color w:val="auto"/>
              </w:rPr>
              <w:t>Year Ended</w:t>
            </w:r>
          </w:p>
        </w:tc>
      </w:tr>
      <w:tr>
        <w:trPr>
          <w:trHeight w:val="220"/>
        </w:trPr>
        <w:tc>
          <w:tcPr>
            <w:tcW w:w="6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gridSpan w:val="2"/>
          </w:tcPr>
          <w:p>
            <w:pPr>
              <w:ind w:left="180"/>
              <w:spacing w:after="0"/>
              <w:rPr>
                <w:sz w:val="20"/>
                <w:szCs w:val="20"/>
                <w:color w:val="auto"/>
              </w:rPr>
            </w:pPr>
            <w:r>
              <w:rPr>
                <w:rFonts w:ascii="Arial" w:cs="Arial" w:eastAsia="Arial" w:hAnsi="Arial"/>
                <w:sz w:val="15"/>
                <w:szCs w:val="15"/>
                <w:b w:val="1"/>
                <w:bCs w:val="1"/>
                <w:color w:val="auto"/>
              </w:rPr>
              <w:t>September 30, 2020</w:t>
            </w:r>
          </w:p>
        </w:tc>
        <w:tc>
          <w:tcPr>
            <w:tcW w:w="300" w:type="dxa"/>
            <w:vAlign w:val="bottom"/>
          </w:tcPr>
          <w:p>
            <w:pPr>
              <w:spacing w:after="0"/>
              <w:rPr>
                <w:sz w:val="19"/>
                <w:szCs w:val="19"/>
                <w:color w:val="auto"/>
              </w:rPr>
            </w:pPr>
          </w:p>
        </w:tc>
        <w:tc>
          <w:tcPr>
            <w:tcW w:w="1900" w:type="dxa"/>
            <w:vAlign w:val="bottom"/>
          </w:tcPr>
          <w:p>
            <w:pPr>
              <w:jc w:val="right"/>
              <w:ind w:right="404"/>
              <w:spacing w:after="0"/>
              <w:rPr>
                <w:sz w:val="20"/>
                <w:szCs w:val="20"/>
                <w:color w:val="auto"/>
              </w:rPr>
            </w:pPr>
            <w:r>
              <w:rPr>
                <w:rFonts w:ascii="Arial" w:cs="Arial" w:eastAsia="Arial" w:hAnsi="Arial"/>
                <w:sz w:val="15"/>
                <w:szCs w:val="15"/>
                <w:b w:val="1"/>
                <w:bCs w:val="1"/>
                <w:color w:val="auto"/>
              </w:rPr>
              <w:t>December 31, 2019</w:t>
            </w:r>
          </w:p>
        </w:tc>
      </w:tr>
      <w:tr>
        <w:trPr>
          <w:trHeight w:val="213"/>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9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18,488</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9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29,780</w:t>
            </w:r>
          </w:p>
        </w:tc>
      </w:tr>
      <w:tr>
        <w:trPr>
          <w:trHeight w:val="212"/>
        </w:trPr>
        <w:tc>
          <w:tcPr>
            <w:tcW w:w="6600" w:type="dxa"/>
            <w:vAlign w:val="bottom"/>
          </w:tcPr>
          <w:p>
            <w:pPr>
              <w:ind w:left="20"/>
              <w:spacing w:after="0"/>
              <w:rPr>
                <w:sz w:val="20"/>
                <w:szCs w:val="20"/>
                <w:color w:val="auto"/>
              </w:rPr>
            </w:pPr>
            <w:r>
              <w:rPr>
                <w:rFonts w:ascii="Arial" w:cs="Arial" w:eastAsia="Arial" w:hAnsi="Arial"/>
                <w:sz w:val="15"/>
                <w:szCs w:val="15"/>
                <w:color w:val="auto"/>
              </w:rPr>
              <w:t>Adjustment of allowance for losses</w:t>
            </w:r>
          </w:p>
        </w:tc>
        <w:tc>
          <w:tcPr>
            <w:tcW w:w="280" w:type="dxa"/>
            <w:vAlign w:val="bottom"/>
          </w:tcPr>
          <w:p>
            <w:pPr>
              <w:spacing w:after="0"/>
              <w:rPr>
                <w:sz w:val="18"/>
                <w:szCs w:val="18"/>
                <w:color w:val="auto"/>
              </w:rPr>
            </w:pPr>
          </w:p>
        </w:tc>
        <w:tc>
          <w:tcPr>
            <w:tcW w:w="21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900" w:type="dxa"/>
            <w:vAlign w:val="bottom"/>
          </w:tcPr>
          <w:p>
            <w:pPr>
              <w:jc w:val="right"/>
              <w:ind w:right="4"/>
              <w:spacing w:after="0"/>
              <w:rPr>
                <w:sz w:val="20"/>
                <w:szCs w:val="20"/>
                <w:color w:val="auto"/>
              </w:rPr>
            </w:pPr>
            <w:r>
              <w:rPr>
                <w:rFonts w:ascii="Arial" w:cs="Arial" w:eastAsia="Arial" w:hAnsi="Arial"/>
                <w:sz w:val="15"/>
                <w:szCs w:val="15"/>
                <w:color w:val="auto"/>
              </w:rPr>
              <w:t>144</w:t>
            </w:r>
          </w:p>
        </w:tc>
      </w:tr>
      <w:tr>
        <w:trPr>
          <w:trHeight w:val="220"/>
        </w:trPr>
        <w:tc>
          <w:tcPr>
            <w:tcW w:w="6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Initial fair value option adjustment (see Note 17)</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317</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12"/>
        </w:trPr>
        <w:tc>
          <w:tcPr>
            <w:tcW w:w="6600" w:type="dxa"/>
            <w:vAlign w:val="bottom"/>
          </w:tcPr>
          <w:p>
            <w:pPr>
              <w:ind w:left="20"/>
              <w:spacing w:after="0"/>
              <w:rPr>
                <w:sz w:val="20"/>
                <w:szCs w:val="20"/>
                <w:color w:val="auto"/>
              </w:rPr>
            </w:pPr>
            <w:r>
              <w:rPr>
                <w:rFonts w:ascii="Arial" w:cs="Arial" w:eastAsia="Arial" w:hAnsi="Arial"/>
                <w:sz w:val="15"/>
                <w:szCs w:val="15"/>
                <w:color w:val="auto"/>
              </w:rPr>
              <w:t>Cash contributions</w:t>
            </w:r>
          </w:p>
        </w:tc>
        <w:tc>
          <w:tcPr>
            <w:tcW w:w="280" w:type="dxa"/>
            <w:vAlign w:val="bottom"/>
          </w:tcPr>
          <w:p>
            <w:pPr>
              <w:spacing w:after="0"/>
              <w:rPr>
                <w:sz w:val="18"/>
                <w:szCs w:val="18"/>
                <w:color w:val="auto"/>
              </w:rPr>
            </w:pPr>
          </w:p>
        </w:tc>
        <w:tc>
          <w:tcPr>
            <w:tcW w:w="1920" w:type="dxa"/>
            <w:vAlign w:val="bottom"/>
          </w:tcPr>
          <w:p>
            <w:pPr>
              <w:jc w:val="right"/>
              <w:ind w:right="4"/>
              <w:spacing w:after="0"/>
              <w:rPr>
                <w:sz w:val="20"/>
                <w:szCs w:val="20"/>
                <w:color w:val="auto"/>
              </w:rPr>
            </w:pPr>
            <w:r>
              <w:rPr>
                <w:rFonts w:ascii="Arial" w:cs="Arial" w:eastAsia="Arial" w:hAnsi="Arial"/>
                <w:sz w:val="15"/>
                <w:szCs w:val="15"/>
                <w:color w:val="auto"/>
              </w:rPr>
              <w:t>14,555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4"/>
              <w:spacing w:after="0"/>
              <w:rPr>
                <w:sz w:val="20"/>
                <w:szCs w:val="20"/>
                <w:color w:val="auto"/>
              </w:rPr>
            </w:pPr>
            <w:r>
              <w:rPr>
                <w:rFonts w:ascii="Arial" w:cs="Arial" w:eastAsia="Arial" w:hAnsi="Arial"/>
                <w:sz w:val="15"/>
                <w:szCs w:val="15"/>
                <w:color w:val="auto"/>
              </w:rPr>
              <w:t>33,143</w:t>
            </w:r>
          </w:p>
        </w:tc>
      </w:tr>
      <w:tr>
        <w:trPr>
          <w:trHeight w:val="220"/>
        </w:trPr>
        <w:tc>
          <w:tcPr>
            <w:tcW w:w="6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Distributions</w:t>
            </w: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(11,214)</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(47,382)</w:t>
            </w:r>
          </w:p>
        </w:tc>
      </w:tr>
      <w:tr>
        <w:trPr>
          <w:trHeight w:val="212"/>
        </w:trPr>
        <w:tc>
          <w:tcPr>
            <w:tcW w:w="6600" w:type="dxa"/>
            <w:vAlign w:val="bottom"/>
          </w:tcPr>
          <w:p>
            <w:pPr>
              <w:ind w:left="20"/>
              <w:spacing w:after="0"/>
              <w:rPr>
                <w:sz w:val="20"/>
                <w:szCs w:val="20"/>
                <w:color w:val="auto"/>
              </w:rPr>
            </w:pPr>
            <w:r>
              <w:rPr>
                <w:rFonts w:ascii="Arial" w:cs="Arial" w:eastAsia="Arial" w:hAnsi="Arial"/>
                <w:sz w:val="15"/>
                <w:szCs w:val="15"/>
                <w:color w:val="auto"/>
              </w:rPr>
              <w:t>Equity earnings</w:t>
            </w:r>
          </w:p>
        </w:tc>
        <w:tc>
          <w:tcPr>
            <w:tcW w:w="280" w:type="dxa"/>
            <w:vAlign w:val="bottom"/>
          </w:tcPr>
          <w:p>
            <w:pPr>
              <w:spacing w:after="0"/>
              <w:rPr>
                <w:sz w:val="18"/>
                <w:szCs w:val="18"/>
                <w:color w:val="auto"/>
              </w:rPr>
            </w:pPr>
          </w:p>
        </w:tc>
        <w:tc>
          <w:tcPr>
            <w:tcW w:w="1920" w:type="dxa"/>
            <w:vAlign w:val="bottom"/>
          </w:tcPr>
          <w:p>
            <w:pPr>
              <w:jc w:val="right"/>
              <w:ind w:right="4"/>
              <w:spacing w:after="0"/>
              <w:rPr>
                <w:sz w:val="20"/>
                <w:szCs w:val="20"/>
                <w:color w:val="auto"/>
              </w:rPr>
            </w:pPr>
            <w:r>
              <w:rPr>
                <w:rFonts w:ascii="Arial" w:cs="Arial" w:eastAsia="Arial" w:hAnsi="Arial"/>
                <w:sz w:val="15"/>
                <w:szCs w:val="15"/>
                <w:color w:val="auto"/>
              </w:rPr>
              <w:t>2,723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ind w:right="4"/>
              <w:spacing w:after="0"/>
              <w:rPr>
                <w:sz w:val="20"/>
                <w:szCs w:val="20"/>
                <w:color w:val="auto"/>
              </w:rPr>
            </w:pPr>
            <w:r>
              <w:rPr>
                <w:rFonts w:ascii="Arial" w:cs="Arial" w:eastAsia="Arial" w:hAnsi="Arial"/>
                <w:sz w:val="15"/>
                <w:szCs w:val="15"/>
                <w:color w:val="auto"/>
              </w:rPr>
              <w:t>2,803</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adjustment</w:t>
            </w:r>
          </w:p>
        </w:tc>
        <w:tc>
          <w:tcPr>
            <w:tcW w:w="28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(1,505)</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13"/>
        </w:trPr>
        <w:tc>
          <w:tcPr>
            <w:tcW w:w="6600" w:type="dxa"/>
            <w:vAlign w:val="bottom"/>
          </w:tcPr>
          <w:p>
            <w:pPr>
              <w:ind w:left="220"/>
              <w:spacing w:after="0"/>
              <w:rPr>
                <w:sz w:val="20"/>
                <w:szCs w:val="20"/>
                <w:color w:val="auto"/>
              </w:rPr>
            </w:pPr>
            <w:r>
              <w:rPr>
                <w:rFonts w:ascii="Arial" w:cs="Arial" w:eastAsia="Arial" w:hAnsi="Arial"/>
                <w:sz w:val="15"/>
                <w:szCs w:val="15"/>
                <w:b w:val="1"/>
                <w:bCs w:val="1"/>
                <w:color w:val="auto"/>
              </w:rPr>
              <w:t>Ending Balance</w:t>
            </w: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23,364</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18,488</w:t>
            </w:r>
          </w:p>
        </w:tc>
      </w:tr>
      <w:tr>
        <w:trPr>
          <w:trHeight w:val="21"/>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Variable Interest Entities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Operating Partnership</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consolidate the Operating Partnership under the guidance set forth in FASB 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ASU 2015-02 modified the evaluation of whether limited partnerships and similar legal entities are variable interest entities (“VIEs”) or, alternatively, voting interest entities. We evaluated the application of ASU 2015-02 and concluded that the Operating Partnership met the criteria of a VIE. Our significant asset is our investment in the Operating Partnership, and consequently, substantially all of our assets and liabilities represent those assets and liabilities of the Operating Partnership. We are the sole general partner and generally have the power to manage and have complete control over the Operating Partnership and the obligation to absorb its losses or the right to receive its benefits.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Sun NG RV Resorts LLC (“Sun NG Resorts”); Rudgate Village SPE, LLC, Rudgate Clinton SPE, LLC, and Rudgate Clinton Estates SPE, LLC (collectively, “Rudgate”); Sun NG Whitewater RV Resorts LLC</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consolidate Sun NG Resorts, Rudgate, and Sun NG Whitewater RV Resorts LLC, under the guidance set forth in FASB ASC Topic 810 </w:t>
      </w: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We concluded that each of them is a VIE where we are the primary beneficiary, as we have the power to direct the significant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of, and absorb the significant losses and receive the significant benefits from each entity. Refer to Note 8, “Debt and Lines of Credit,” for additional information on Sun NG Resorts and Note 9, “Equity and Temporary Equity,” for additional information on Sun NG Resorts and Sun NG Whitewater RV Resorts LLC.</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assets and liabilities of Sun NG Resorts, Rudgate, and Sun NG Whitewater RV Resorts LLC included in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after eliminations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2020</w:t>
            </w:r>
          </w:p>
        </w:tc>
        <w:tc>
          <w:tcPr>
            <w:tcW w:w="22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Arial" w:cs="Arial" w:eastAsia="Arial" w:hAnsi="Arial"/>
                <w:sz w:val="15"/>
                <w:szCs w:val="15"/>
                <w:b w:val="1"/>
                <w:bCs w:val="1"/>
                <w:color w:val="auto"/>
                <w:w w:val="97"/>
              </w:rPr>
              <w:t>December 31, 2019</w:t>
            </w:r>
          </w:p>
        </w:tc>
      </w:tr>
      <w:tr>
        <w:trPr>
          <w:trHeight w:val="198"/>
        </w:trPr>
        <w:tc>
          <w:tcPr>
            <w:tcW w:w="724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2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r>
      <w:tr>
        <w:trPr>
          <w:trHeight w:val="220"/>
        </w:trPr>
        <w:tc>
          <w:tcPr>
            <w:tcW w:w="7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 property, net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385,296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344,300</w:t>
            </w:r>
          </w:p>
        </w:tc>
      </w:tr>
      <w:tr>
        <w:trPr>
          <w:trHeight w:val="212"/>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assets, net</w:t>
            </w: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24,651</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23,894</w:t>
            </w:r>
          </w:p>
        </w:tc>
      </w:tr>
      <w:tr>
        <w:trPr>
          <w:trHeight w:val="238"/>
        </w:trPr>
        <w:tc>
          <w:tcPr>
            <w:tcW w:w="7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409,947</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368,194</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Other Equity</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2"/>
        </w:trPr>
        <w:tc>
          <w:tcPr>
            <w:tcW w:w="7240" w:type="dxa"/>
            <w:vAlign w:val="bottom"/>
          </w:tcPr>
          <w:p>
            <w:pPr>
              <w:ind w:left="20"/>
              <w:spacing w:after="0"/>
              <w:rPr>
                <w:sz w:val="20"/>
                <w:szCs w:val="20"/>
                <w:color w:val="auto"/>
              </w:rPr>
            </w:pPr>
            <w:r>
              <w:rPr>
                <w:rFonts w:ascii="Arial" w:cs="Arial" w:eastAsia="Arial" w:hAnsi="Arial"/>
                <w:sz w:val="15"/>
                <w:szCs w:val="15"/>
                <w:color w:val="auto"/>
              </w:rPr>
              <w:t>Debt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ind w:right="4"/>
              <w:spacing w:after="0"/>
              <w:rPr>
                <w:sz w:val="20"/>
                <w:szCs w:val="20"/>
                <w:color w:val="auto"/>
              </w:rPr>
            </w:pPr>
            <w:r>
              <w:rPr>
                <w:rFonts w:ascii="Arial" w:cs="Arial" w:eastAsia="Arial" w:hAnsi="Arial"/>
                <w:sz w:val="15"/>
                <w:szCs w:val="15"/>
                <w:color w:val="auto"/>
              </w:rPr>
              <w:t>46,197</w:t>
            </w:r>
          </w:p>
        </w:tc>
        <w:tc>
          <w:tcPr>
            <w:tcW w:w="22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46,993</w:t>
            </w:r>
          </w:p>
        </w:tc>
      </w:tr>
      <w:tr>
        <w:trPr>
          <w:trHeight w:val="220"/>
        </w:trPr>
        <w:tc>
          <w:tcPr>
            <w:tcW w:w="7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Preferred Equity - Sun NG Resorts - mandatorily redeemable</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35,249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35,249</w:t>
            </w:r>
          </w:p>
        </w:tc>
      </w:tr>
      <w:tr>
        <w:trPr>
          <w:trHeight w:val="212"/>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liabilities</w:t>
            </w: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21,380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13,631</w:t>
            </w:r>
          </w:p>
        </w:tc>
      </w:tr>
      <w:tr>
        <w:trPr>
          <w:trHeight w:val="214"/>
        </w:trPr>
        <w:tc>
          <w:tcPr>
            <w:tcW w:w="72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Liabilities</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102,826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95,873</w:t>
            </w:r>
          </w:p>
        </w:tc>
      </w:tr>
      <w:tr>
        <w:trPr>
          <w:trHeight w:val="212"/>
        </w:trPr>
        <w:tc>
          <w:tcPr>
            <w:tcW w:w="7240" w:type="dxa"/>
            <w:vAlign w:val="bottom"/>
          </w:tcPr>
          <w:p>
            <w:pPr>
              <w:ind w:left="20"/>
              <w:spacing w:after="0"/>
              <w:rPr>
                <w:sz w:val="20"/>
                <w:szCs w:val="20"/>
                <w:color w:val="auto"/>
              </w:rPr>
            </w:pPr>
            <w:r>
              <w:rPr>
                <w:rFonts w:ascii="Arial" w:cs="Arial" w:eastAsia="Arial" w:hAnsi="Arial"/>
                <w:sz w:val="15"/>
                <w:szCs w:val="15"/>
                <w:color w:val="auto"/>
              </w:rPr>
              <w:t>Equity interest - NG Sun LLC &amp; NG Sun Whitewater LLC</w:t>
            </w:r>
          </w:p>
        </w:tc>
        <w:tc>
          <w:tcPr>
            <w:tcW w:w="200" w:type="dxa"/>
            <w:vAlign w:val="bottom"/>
          </w:tcPr>
          <w:p>
            <w:pPr>
              <w:spacing w:after="0"/>
              <w:rPr>
                <w:sz w:val="18"/>
                <w:szCs w:val="18"/>
                <w:color w:val="auto"/>
              </w:rPr>
            </w:pPr>
          </w:p>
        </w:tc>
        <w:tc>
          <w:tcPr>
            <w:tcW w:w="1700" w:type="dxa"/>
            <w:vAlign w:val="bottom"/>
          </w:tcPr>
          <w:p>
            <w:pPr>
              <w:jc w:val="right"/>
              <w:ind w:right="4"/>
              <w:spacing w:after="0"/>
              <w:rPr>
                <w:sz w:val="20"/>
                <w:szCs w:val="20"/>
                <w:color w:val="auto"/>
              </w:rPr>
            </w:pPr>
            <w:r>
              <w:rPr>
                <w:rFonts w:ascii="Arial" w:cs="Arial" w:eastAsia="Arial" w:hAnsi="Arial"/>
                <w:sz w:val="15"/>
                <w:szCs w:val="15"/>
                <w:color w:val="auto"/>
              </w:rPr>
              <w:t>27,513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27,091</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11,097</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8,542</w:t>
            </w:r>
          </w:p>
        </w:tc>
      </w:tr>
      <w:tr>
        <w:trPr>
          <w:trHeight w:val="214"/>
        </w:trPr>
        <w:tc>
          <w:tcPr>
            <w:tcW w:w="7240" w:type="dxa"/>
            <w:vAlign w:val="bottom"/>
          </w:tcPr>
          <w:p>
            <w:pPr>
              <w:ind w:left="20"/>
              <w:spacing w:after="0"/>
              <w:rPr>
                <w:sz w:val="20"/>
                <w:szCs w:val="20"/>
                <w:color w:val="auto"/>
              </w:rPr>
            </w:pPr>
            <w:r>
              <w:rPr>
                <w:rFonts w:ascii="Arial" w:cs="Arial" w:eastAsia="Arial" w:hAnsi="Arial"/>
                <w:sz w:val="15"/>
                <w:szCs w:val="15"/>
                <w:b w:val="1"/>
                <w:bCs w:val="1"/>
                <w:color w:val="auto"/>
              </w:rPr>
              <w:t>Total Liabilities and Other Equity</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141,436</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131,506</w:t>
            </w:r>
          </w:p>
        </w:tc>
      </w:tr>
      <w:tr>
        <w:trPr>
          <w:trHeight w:val="20"/>
        </w:trPr>
        <w:tc>
          <w:tcPr>
            <w:tcW w:w="7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Investment property, net and Other assets, net related to the consolidated VIEs, with the exception of the Operating Partnership, comprised approximately 4.9 percent and 4.7 percent of our consolidated total assets at September 30, 2020 and December 31, 2019, respectively. Debt, Preferred Equity and Other liabilities comprised approximately 2.7 percent and 2.5 percent of our consolidated total liabilities at September 30, 2020 and December 31, 2019, respectively. Equity Interests and Noncontrolling interests related to the consolidated VIEs, on an absolute basis, comprised less than 1.0 percent of our consolidated total equity at September 30, 2020 and at December 31, 2019, respectively.</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 and Lines of Credit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certain information regarding debt including premiums, discounts and deferred financing costs (in thousands except statistical information):</w:t>
      </w:r>
    </w:p>
    <w:tbl>
      <w:tblPr>
        <w:tblLayout w:type="fixed"/>
        <w:tblInd w:w="0" w:type="dxa"/>
        <w:tblCellMar>
          <w:top w:w="0" w:type="dxa"/>
          <w:left w:w="0" w:type="dxa"/>
          <w:bottom w:w="0" w:type="dxa"/>
          <w:right w:w="0" w:type="dxa"/>
        </w:tblCellMar>
      </w:tblPr>
      <w:tr>
        <w:trPr>
          <w:trHeight w:val="167"/>
        </w:trPr>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4"/>
          </w:tcPr>
          <w:p>
            <w:pPr>
              <w:ind w:left="600"/>
              <w:spacing w:after="0" w:line="167" w:lineRule="exact"/>
              <w:rPr>
                <w:sz w:val="20"/>
                <w:szCs w:val="20"/>
                <w:color w:val="auto"/>
              </w:rPr>
            </w:pPr>
            <w:r>
              <w:rPr>
                <w:rFonts w:ascii="Arial" w:cs="Arial" w:eastAsia="Arial" w:hAnsi="Arial"/>
                <w:sz w:val="15"/>
                <w:szCs w:val="15"/>
                <w:b w:val="1"/>
                <w:bCs w:val="1"/>
                <w:color w:val="auto"/>
              </w:rPr>
              <w:t>Weighted Average</w:t>
            </w:r>
          </w:p>
        </w:tc>
        <w:tc>
          <w:tcPr>
            <w:tcW w:w="2520" w:type="dxa"/>
            <w:vAlign w:val="bottom"/>
            <w:gridSpan w:val="4"/>
          </w:tcPr>
          <w:p>
            <w:pPr>
              <w:ind w:left="740"/>
              <w:spacing w:after="0" w:line="167" w:lineRule="exact"/>
              <w:rPr>
                <w:sz w:val="20"/>
                <w:szCs w:val="20"/>
                <w:color w:val="auto"/>
              </w:rPr>
            </w:pPr>
            <w:r>
              <w:rPr>
                <w:rFonts w:ascii="Arial" w:cs="Arial" w:eastAsia="Arial" w:hAnsi="Arial"/>
                <w:sz w:val="15"/>
                <w:szCs w:val="15"/>
                <w:b w:val="1"/>
                <w:bCs w:val="1"/>
                <w:color w:val="auto"/>
              </w:rPr>
              <w:t>Weighted Average</w:t>
            </w:r>
          </w:p>
        </w:tc>
        <w:tc>
          <w:tcPr>
            <w:tcW w:w="180" w:type="dxa"/>
            <w:vAlign w:val="bottom"/>
          </w:tcPr>
          <w:p>
            <w:pPr>
              <w:spacing w:after="0"/>
              <w:rPr>
                <w:sz w:val="14"/>
                <w:szCs w:val="14"/>
                <w:color w:val="auto"/>
              </w:rPr>
            </w:pPr>
          </w:p>
        </w:tc>
      </w:tr>
      <w:tr>
        <w:trPr>
          <w:trHeight w:val="202"/>
        </w:trPr>
        <w:tc>
          <w:tcPr>
            <w:tcW w:w="3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564"/>
              <w:spacing w:after="0"/>
              <w:rPr>
                <w:sz w:val="20"/>
                <w:szCs w:val="20"/>
                <w:color w:val="auto"/>
              </w:rPr>
            </w:pPr>
            <w:r>
              <w:rPr>
                <w:rFonts w:ascii="Arial" w:cs="Arial" w:eastAsia="Arial" w:hAnsi="Arial"/>
                <w:sz w:val="15"/>
                <w:szCs w:val="15"/>
                <w:b w:val="1"/>
                <w:bCs w:val="1"/>
                <w:color w:val="auto"/>
              </w:rPr>
              <w:t>Carrying Amount</w:t>
            </w:r>
          </w:p>
        </w:tc>
        <w:tc>
          <w:tcPr>
            <w:tcW w:w="140" w:type="dxa"/>
            <w:vAlign w:val="bottom"/>
          </w:tcPr>
          <w:p>
            <w:pPr>
              <w:spacing w:after="0"/>
              <w:rPr>
                <w:sz w:val="17"/>
                <w:szCs w:val="17"/>
                <w:color w:val="auto"/>
              </w:rPr>
            </w:pPr>
          </w:p>
        </w:tc>
        <w:tc>
          <w:tcPr>
            <w:tcW w:w="2400" w:type="dxa"/>
            <w:vAlign w:val="bottom"/>
            <w:tcBorders>
              <w:bottom w:val="single" w:sz="8" w:color="auto"/>
            </w:tcBorders>
            <w:gridSpan w:val="3"/>
          </w:tcPr>
          <w:p>
            <w:pPr>
              <w:jc w:val="right"/>
              <w:ind w:right="544"/>
              <w:spacing w:after="0"/>
              <w:rPr>
                <w:sz w:val="20"/>
                <w:szCs w:val="20"/>
                <w:color w:val="auto"/>
              </w:rPr>
            </w:pPr>
            <w:r>
              <w:rPr>
                <w:rFonts w:ascii="Arial" w:cs="Arial" w:eastAsia="Arial" w:hAnsi="Arial"/>
                <w:sz w:val="15"/>
                <w:szCs w:val="15"/>
                <w:b w:val="1"/>
                <w:bCs w:val="1"/>
                <w:color w:val="auto"/>
              </w:rPr>
              <w:t>Years to Maturity</w:t>
            </w:r>
          </w:p>
        </w:tc>
        <w:tc>
          <w:tcPr>
            <w:tcW w:w="140" w:type="dxa"/>
            <w:vAlign w:val="bottom"/>
          </w:tcPr>
          <w:p>
            <w:pPr>
              <w:spacing w:after="0"/>
              <w:rPr>
                <w:sz w:val="17"/>
                <w:szCs w:val="17"/>
                <w:color w:val="auto"/>
              </w:rPr>
            </w:pPr>
          </w:p>
        </w:tc>
        <w:tc>
          <w:tcPr>
            <w:tcW w:w="2520" w:type="dxa"/>
            <w:vAlign w:val="bottom"/>
            <w:tcBorders>
              <w:bottom w:val="single" w:sz="8" w:color="auto"/>
            </w:tcBorders>
            <w:gridSpan w:val="4"/>
          </w:tcPr>
          <w:p>
            <w:pPr>
              <w:ind w:left="880"/>
              <w:spacing w:after="0"/>
              <w:rPr>
                <w:sz w:val="20"/>
                <w:szCs w:val="20"/>
                <w:color w:val="auto"/>
              </w:rPr>
            </w:pPr>
            <w:r>
              <w:rPr>
                <w:rFonts w:ascii="Arial" w:cs="Arial" w:eastAsia="Arial" w:hAnsi="Arial"/>
                <w:sz w:val="15"/>
                <w:szCs w:val="15"/>
                <w:b w:val="1"/>
                <w:bCs w:val="1"/>
                <w:color w:val="auto"/>
              </w:rPr>
              <w:t>Interest Rates</w:t>
            </w:r>
          </w:p>
        </w:tc>
        <w:tc>
          <w:tcPr>
            <w:tcW w:w="180" w:type="dxa"/>
            <w:vAlign w:val="bottom"/>
            <w:tcBorders>
              <w:bottom w:val="single" w:sz="8" w:color="auto"/>
            </w:tcBorders>
          </w:tcPr>
          <w:p>
            <w:pPr>
              <w:spacing w:after="0"/>
              <w:rPr>
                <w:sz w:val="17"/>
                <w:szCs w:val="17"/>
                <w:color w:val="auto"/>
              </w:rPr>
            </w:pPr>
          </w:p>
        </w:tc>
      </w:tr>
      <w:tr>
        <w:trPr>
          <w:trHeight w:val="169"/>
        </w:trPr>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1060" w:type="dxa"/>
            <w:vAlign w:val="bottom"/>
          </w:tcPr>
          <w:p>
            <w:pPr>
              <w:jc w:val="right"/>
              <w:ind w:right="64"/>
              <w:spacing w:after="0" w:line="169" w:lineRule="exact"/>
              <w:rPr>
                <w:sz w:val="20"/>
                <w:szCs w:val="20"/>
                <w:color w:val="auto"/>
              </w:rPr>
            </w:pPr>
            <w:r>
              <w:rPr>
                <w:rFonts w:ascii="Arial" w:cs="Arial" w:eastAsia="Arial" w:hAnsi="Arial"/>
                <w:sz w:val="15"/>
                <w:szCs w:val="15"/>
                <w:b w:val="1"/>
                <w:bCs w:val="1"/>
                <w:color w:val="auto"/>
                <w:w w:val="92"/>
              </w:rPr>
              <w:t>December 31,</w:t>
            </w:r>
          </w:p>
        </w:tc>
        <w:tc>
          <w:tcPr>
            <w:tcW w:w="140" w:type="dxa"/>
            <w:vAlign w:val="bottom"/>
          </w:tcPr>
          <w:p>
            <w:pPr>
              <w:spacing w:after="0"/>
              <w:rPr>
                <w:sz w:val="14"/>
                <w:szCs w:val="14"/>
                <w:color w:val="auto"/>
              </w:rPr>
            </w:pPr>
          </w:p>
        </w:tc>
        <w:tc>
          <w:tcPr>
            <w:tcW w:w="1260" w:type="dxa"/>
            <w:vAlign w:val="bottom"/>
            <w:gridSpan w:val="2"/>
          </w:tcPr>
          <w:p>
            <w:pPr>
              <w:ind w:left="120"/>
              <w:spacing w:after="0" w:line="169" w:lineRule="exact"/>
              <w:rPr>
                <w:sz w:val="20"/>
                <w:szCs w:val="20"/>
                <w:color w:val="auto"/>
              </w:rPr>
            </w:pPr>
            <w:r>
              <w:rPr>
                <w:rFonts w:ascii="Arial" w:cs="Arial" w:eastAsia="Arial" w:hAnsi="Arial"/>
                <w:sz w:val="15"/>
                <w:szCs w:val="15"/>
                <w:b w:val="1"/>
                <w:bCs w:val="1"/>
                <w:color w:val="auto"/>
              </w:rPr>
              <w:t>September 30,</w:t>
            </w:r>
          </w:p>
        </w:tc>
        <w:tc>
          <w:tcPr>
            <w:tcW w:w="1280" w:type="dxa"/>
            <w:vAlign w:val="bottom"/>
            <w:gridSpan w:val="2"/>
          </w:tcPr>
          <w:p>
            <w:pPr>
              <w:ind w:left="120"/>
              <w:spacing w:after="0" w:line="169" w:lineRule="exact"/>
              <w:rPr>
                <w:sz w:val="20"/>
                <w:szCs w:val="20"/>
                <w:color w:val="auto"/>
              </w:rPr>
            </w:pPr>
            <w:r>
              <w:rPr>
                <w:rFonts w:ascii="Arial" w:cs="Arial" w:eastAsia="Arial" w:hAnsi="Arial"/>
                <w:sz w:val="15"/>
                <w:szCs w:val="15"/>
                <w:b w:val="1"/>
                <w:bCs w:val="1"/>
                <w:color w:val="auto"/>
              </w:rPr>
              <w:t>December 31,</w:t>
            </w:r>
          </w:p>
        </w:tc>
        <w:tc>
          <w:tcPr>
            <w:tcW w:w="1140" w:type="dxa"/>
            <w:vAlign w:val="bottom"/>
          </w:tcPr>
          <w:p>
            <w:pPr>
              <w:ind w:left="180"/>
              <w:spacing w:after="0" w:line="169" w:lineRule="exact"/>
              <w:rPr>
                <w:sz w:val="20"/>
                <w:szCs w:val="20"/>
                <w:color w:val="auto"/>
              </w:rPr>
            </w:pPr>
            <w:r>
              <w:rPr>
                <w:rFonts w:ascii="Arial" w:cs="Arial" w:eastAsia="Arial" w:hAnsi="Arial"/>
                <w:sz w:val="15"/>
                <w:szCs w:val="15"/>
                <w:b w:val="1"/>
                <w:bCs w:val="1"/>
                <w:color w:val="auto"/>
                <w:w w:val="91"/>
              </w:rPr>
              <w:t>September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2"/>
        </w:trPr>
        <w:tc>
          <w:tcPr>
            <w:tcW w:w="33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2019</w:t>
            </w:r>
          </w:p>
        </w:tc>
        <w:tc>
          <w:tcPr>
            <w:tcW w:w="1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2019</w:t>
            </w:r>
          </w:p>
        </w:tc>
        <w:tc>
          <w:tcPr>
            <w:tcW w:w="1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ind w:left="500"/>
              <w:spacing w:after="0"/>
              <w:rPr>
                <w:sz w:val="20"/>
                <w:szCs w:val="20"/>
                <w:color w:val="auto"/>
              </w:rPr>
            </w:pPr>
            <w:r>
              <w:rPr>
                <w:rFonts w:ascii="Arial" w:cs="Arial" w:eastAsia="Arial" w:hAnsi="Arial"/>
                <w:sz w:val="15"/>
                <w:szCs w:val="15"/>
                <w:b w:val="1"/>
                <w:bCs w:val="1"/>
                <w:color w:val="auto"/>
              </w:rPr>
              <w:t>2020</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0"/>
              </w:rPr>
              <w:t>December 31, 2019</w:t>
            </w:r>
          </w:p>
        </w:tc>
      </w:tr>
      <w:tr>
        <w:trPr>
          <w:trHeight w:val="213"/>
        </w:trPr>
        <w:tc>
          <w:tcPr>
            <w:tcW w:w="3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Collateralized term loans - Life Companies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1,665,445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1,710,408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ind w:left="760"/>
              <w:spacing w:after="0"/>
              <w:rPr>
                <w:sz w:val="20"/>
                <w:szCs w:val="20"/>
                <w:color w:val="auto"/>
              </w:rPr>
            </w:pPr>
            <w:r>
              <w:rPr>
                <w:rFonts w:ascii="Arial" w:cs="Arial" w:eastAsia="Arial" w:hAnsi="Arial"/>
                <w:sz w:val="15"/>
                <w:szCs w:val="15"/>
                <w:color w:val="auto"/>
                <w:w w:val="95"/>
              </w:rPr>
              <w:t>3.989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3360" w:type="dxa"/>
            <w:vAlign w:val="bottom"/>
          </w:tcPr>
          <w:p>
            <w:pPr>
              <w:ind w:left="20"/>
              <w:spacing w:after="0"/>
              <w:rPr>
                <w:sz w:val="20"/>
                <w:szCs w:val="20"/>
                <w:color w:val="auto"/>
              </w:rPr>
            </w:pPr>
            <w:r>
              <w:rPr>
                <w:rFonts w:ascii="Arial" w:cs="Arial" w:eastAsia="Arial" w:hAnsi="Arial"/>
                <w:sz w:val="15"/>
                <w:szCs w:val="15"/>
                <w:color w:val="auto"/>
              </w:rPr>
              <w:t>Collateralized term loans - FNMA</w:t>
            </w:r>
          </w:p>
        </w:tc>
        <w:tc>
          <w:tcPr>
            <w:tcW w:w="12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887,161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697,589</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7.0</w:t>
            </w:r>
          </w:p>
        </w:tc>
        <w:tc>
          <w:tcPr>
            <w:tcW w:w="140" w:type="dxa"/>
            <w:vAlign w:val="bottom"/>
          </w:tcPr>
          <w:p>
            <w:pPr>
              <w:spacing w:after="0"/>
              <w:rPr>
                <w:sz w:val="18"/>
                <w:szCs w:val="18"/>
                <w:color w:val="auto"/>
              </w:rPr>
            </w:pPr>
          </w:p>
        </w:tc>
        <w:tc>
          <w:tcPr>
            <w:tcW w:w="1140" w:type="dxa"/>
            <w:vAlign w:val="bottom"/>
          </w:tcPr>
          <w:p>
            <w:pPr>
              <w:ind w:left="760"/>
              <w:spacing w:after="0"/>
              <w:rPr>
                <w:sz w:val="20"/>
                <w:szCs w:val="20"/>
                <w:color w:val="auto"/>
              </w:rPr>
            </w:pPr>
            <w:r>
              <w:rPr>
                <w:rFonts w:ascii="Arial" w:cs="Arial" w:eastAsia="Arial" w:hAnsi="Arial"/>
                <w:sz w:val="15"/>
                <w:szCs w:val="15"/>
                <w:color w:val="auto"/>
                <w:w w:val="95"/>
              </w:rPr>
              <w:t>3.402</w:t>
            </w:r>
          </w:p>
        </w:tc>
        <w:tc>
          <w:tcPr>
            <w:tcW w:w="160" w:type="dxa"/>
            <w:vAlign w:val="bottom"/>
          </w:tcPr>
          <w:p>
            <w:pPr>
              <w:jc w:val="right"/>
              <w:spacing w:after="0"/>
              <w:rPr>
                <w:sz w:val="20"/>
                <w:szCs w:val="20"/>
                <w:color w:val="auto"/>
              </w:rPr>
            </w:pPr>
            <w:r>
              <w:rPr>
                <w:rFonts w:ascii="Arial" w:cs="Arial" w:eastAsia="Arial" w:hAnsi="Arial"/>
                <w:sz w:val="15"/>
                <w:szCs w:val="15"/>
                <w:color w:val="auto"/>
                <w:w w:val="89"/>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3.659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Collateralized term loans - CMBS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268,601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397,868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ind w:left="760"/>
              <w:spacing w:after="0"/>
              <w:rPr>
                <w:sz w:val="20"/>
                <w:szCs w:val="20"/>
                <w:color w:val="auto"/>
              </w:rPr>
            </w:pPr>
            <w:r>
              <w:rPr>
                <w:rFonts w:ascii="Arial" w:cs="Arial" w:eastAsia="Arial" w:hAnsi="Arial"/>
                <w:sz w:val="15"/>
                <w:szCs w:val="15"/>
                <w:color w:val="auto"/>
                <w:w w:val="95"/>
              </w:rPr>
              <w:t>4.789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5.103</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Collateralized term loans - FMCC</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370,173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374,727</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4.1</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4.9</w:t>
            </w: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ind w:left="760"/>
              <w:spacing w:after="0"/>
              <w:rPr>
                <w:sz w:val="20"/>
                <w:szCs w:val="20"/>
                <w:color w:val="auto"/>
              </w:rPr>
            </w:pPr>
            <w:r>
              <w:rPr>
                <w:rFonts w:ascii="Arial" w:cs="Arial" w:eastAsia="Arial" w:hAnsi="Arial"/>
                <w:sz w:val="15"/>
                <w:szCs w:val="15"/>
                <w:color w:val="auto"/>
                <w:w w:val="95"/>
              </w:rPr>
              <w:t>3.854</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89"/>
              </w:rPr>
              <w:t>%</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3.856</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r>
      <w:tr>
        <w:trPr>
          <w:trHeight w:val="213"/>
        </w:trPr>
        <w:tc>
          <w:tcPr>
            <w:tcW w:w="33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collateralized term loans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3,191,380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3,180,592</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76"/>
        </w:trPr>
        <w:tc>
          <w:tcPr>
            <w:tcW w:w="3360" w:type="dxa"/>
            <w:vAlign w:val="bottom"/>
          </w:tcPr>
          <w:p>
            <w:pPr>
              <w:ind w:left="20"/>
              <w:spacing w:after="0"/>
              <w:rPr>
                <w:sz w:val="20"/>
                <w:szCs w:val="20"/>
                <w:color w:val="auto"/>
              </w:rPr>
            </w:pPr>
            <w:r>
              <w:rPr>
                <w:rFonts w:ascii="Arial" w:cs="Arial" w:eastAsia="Arial" w:hAnsi="Arial"/>
                <w:sz w:val="15"/>
                <w:szCs w:val="15"/>
                <w:color w:val="auto"/>
              </w:rPr>
              <w:t>Preferred equity - Sun NG Resorts - mandatorily</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8"/>
        </w:trPr>
        <w:tc>
          <w:tcPr>
            <w:tcW w:w="3360" w:type="dxa"/>
            <w:vAlign w:val="bottom"/>
          </w:tcPr>
          <w:p>
            <w:pPr>
              <w:ind w:left="20"/>
              <w:spacing w:after="0"/>
              <w:rPr>
                <w:sz w:val="20"/>
                <w:szCs w:val="20"/>
                <w:color w:val="auto"/>
              </w:rPr>
            </w:pPr>
            <w:r>
              <w:rPr>
                <w:rFonts w:ascii="Arial" w:cs="Arial" w:eastAsia="Arial" w:hAnsi="Arial"/>
                <w:sz w:val="15"/>
                <w:szCs w:val="15"/>
                <w:color w:val="auto"/>
              </w:rPr>
              <w:t>redeemable</w:t>
            </w:r>
          </w:p>
        </w:tc>
        <w:tc>
          <w:tcPr>
            <w:tcW w:w="1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35,249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35,249</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2.8</w:t>
            </w:r>
          </w:p>
        </w:tc>
        <w:tc>
          <w:tcPr>
            <w:tcW w:w="140" w:type="dxa"/>
            <w:vAlign w:val="bottom"/>
          </w:tcPr>
          <w:p>
            <w:pPr>
              <w:spacing w:after="0"/>
              <w:rPr>
                <w:sz w:val="17"/>
                <w:szCs w:val="17"/>
                <w:color w:val="auto"/>
              </w:rPr>
            </w:pPr>
          </w:p>
        </w:tc>
        <w:tc>
          <w:tcPr>
            <w:tcW w:w="1140" w:type="dxa"/>
            <w:vAlign w:val="bottom"/>
          </w:tcPr>
          <w:p>
            <w:pPr>
              <w:ind w:left="760"/>
              <w:spacing w:after="0"/>
              <w:rPr>
                <w:sz w:val="20"/>
                <w:szCs w:val="20"/>
                <w:color w:val="auto"/>
              </w:rPr>
            </w:pPr>
            <w:r>
              <w:rPr>
                <w:rFonts w:ascii="Arial" w:cs="Arial" w:eastAsia="Arial" w:hAnsi="Arial"/>
                <w:sz w:val="15"/>
                <w:szCs w:val="15"/>
                <w:color w:val="auto"/>
                <w:w w:val="95"/>
              </w:rPr>
              <w:t>6.000</w:t>
            </w:r>
          </w:p>
        </w:tc>
        <w:tc>
          <w:tcPr>
            <w:tcW w:w="160" w:type="dxa"/>
            <w:vAlign w:val="bottom"/>
          </w:tcPr>
          <w:p>
            <w:pPr>
              <w:jc w:val="right"/>
              <w:spacing w:after="0"/>
              <w:rPr>
                <w:sz w:val="20"/>
                <w:szCs w:val="20"/>
                <w:color w:val="auto"/>
              </w:rPr>
            </w:pPr>
            <w:r>
              <w:rPr>
                <w:rFonts w:ascii="Arial" w:cs="Arial" w:eastAsia="Arial" w:hAnsi="Arial"/>
                <w:sz w:val="15"/>
                <w:szCs w:val="15"/>
                <w:color w:val="auto"/>
                <w:w w:val="89"/>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6.000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Preferred OP units - mandatorily redeemable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34,663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34,663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ind w:left="760"/>
              <w:spacing w:after="0"/>
              <w:rPr>
                <w:sz w:val="20"/>
                <w:szCs w:val="20"/>
                <w:color w:val="auto"/>
              </w:rPr>
            </w:pPr>
            <w:r>
              <w:rPr>
                <w:rFonts w:ascii="Arial" w:cs="Arial" w:eastAsia="Arial" w:hAnsi="Arial"/>
                <w:sz w:val="15"/>
                <w:szCs w:val="15"/>
                <w:color w:val="auto"/>
                <w:w w:val="95"/>
              </w:rPr>
              <w:t>5.932</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Lines of credit and other debt</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79,321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183,898</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2.8</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3.5</w:t>
            </w: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ind w:left="760"/>
              <w:spacing w:after="0"/>
              <w:rPr>
                <w:sz w:val="20"/>
                <w:szCs w:val="20"/>
                <w:color w:val="auto"/>
              </w:rPr>
            </w:pPr>
            <w:r>
              <w:rPr>
                <w:rFonts w:ascii="Arial" w:cs="Arial" w:eastAsia="Arial" w:hAnsi="Arial"/>
                <w:sz w:val="15"/>
                <w:szCs w:val="15"/>
                <w:color w:val="auto"/>
                <w:w w:val="95"/>
              </w:rPr>
              <w:t>1.321</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89"/>
              </w:rPr>
              <w:t>%</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2.710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r>
      <w:tr>
        <w:trPr>
          <w:trHeight w:val="238"/>
        </w:trPr>
        <w:tc>
          <w:tcPr>
            <w:tcW w:w="3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3,340,613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3,434,402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5"/>
                <w:szCs w:val="15"/>
                <w:color w:val="auto"/>
                <w:w w:val="95"/>
              </w:rPr>
              <w:t>3.863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9"/>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Term Loans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2020 and year ended December 31, 2019, we repaid the following collateralized term loans (in thousands except statistical information):</w:t>
      </w:r>
    </w:p>
    <w:tbl>
      <w:tblPr>
        <w:tblLayout w:type="fixed"/>
        <w:tblInd w:w="0" w:type="dxa"/>
        <w:tblCellMar>
          <w:top w:w="0" w:type="dxa"/>
          <w:left w:w="0" w:type="dxa"/>
          <w:bottom w:w="0" w:type="dxa"/>
          <w:right w:w="0" w:type="dxa"/>
        </w:tblCellMar>
      </w:tblPr>
      <w:tr>
        <w:trPr>
          <w:trHeight w:val="167"/>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ind w:left="104"/>
              <w:spacing w:after="0" w:line="167" w:lineRule="exact"/>
              <w:rPr>
                <w:sz w:val="20"/>
                <w:szCs w:val="20"/>
                <w:color w:val="auto"/>
              </w:rPr>
            </w:pPr>
            <w:r>
              <w:rPr>
                <w:rFonts w:ascii="Arial" w:cs="Arial" w:eastAsia="Arial" w:hAnsi="Arial"/>
                <w:sz w:val="15"/>
                <w:szCs w:val="15"/>
                <w:b w:val="1"/>
                <w:bCs w:val="1"/>
                <w:color w:val="auto"/>
                <w:w w:val="91"/>
              </w:rPr>
              <w:t>Fixed</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44"/>
              <w:spacing w:after="0" w:line="167" w:lineRule="exact"/>
              <w:rPr>
                <w:sz w:val="20"/>
                <w:szCs w:val="20"/>
                <w:color w:val="auto"/>
              </w:rPr>
            </w:pPr>
            <w:r>
              <w:rPr>
                <w:rFonts w:ascii="Arial" w:cs="Arial" w:eastAsia="Arial" w:hAnsi="Arial"/>
                <w:sz w:val="15"/>
                <w:szCs w:val="15"/>
                <w:b w:val="1"/>
                <w:bCs w:val="1"/>
                <w:color w:val="auto"/>
                <w:w w:val="91"/>
              </w:rPr>
              <w:t>(Gain) / Loss on</w:t>
            </w:r>
          </w:p>
        </w:tc>
      </w:tr>
      <w:tr>
        <w:trPr>
          <w:trHeight w:val="162"/>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center"/>
              <w:ind w:left="64"/>
              <w:spacing w:after="0" w:line="162" w:lineRule="exact"/>
              <w:rPr>
                <w:sz w:val="20"/>
                <w:szCs w:val="20"/>
                <w:color w:val="auto"/>
              </w:rPr>
            </w:pPr>
            <w:r>
              <w:rPr>
                <w:rFonts w:ascii="Arial" w:cs="Arial" w:eastAsia="Arial" w:hAnsi="Arial"/>
                <w:sz w:val="15"/>
                <w:szCs w:val="15"/>
                <w:b w:val="1"/>
                <w:bCs w:val="1"/>
                <w:color w:val="auto"/>
                <w:w w:val="95"/>
              </w:rPr>
              <w:t>Interest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2"/>
          </w:tcPr>
          <w:p>
            <w:pPr>
              <w:ind w:left="620"/>
              <w:spacing w:after="0" w:line="162" w:lineRule="exact"/>
              <w:rPr>
                <w:sz w:val="20"/>
                <w:szCs w:val="20"/>
                <w:color w:val="auto"/>
              </w:rPr>
            </w:pPr>
            <w:r>
              <w:rPr>
                <w:rFonts w:ascii="Arial" w:cs="Arial" w:eastAsia="Arial" w:hAnsi="Arial"/>
                <w:sz w:val="15"/>
                <w:szCs w:val="15"/>
                <w:b w:val="1"/>
                <w:bCs w:val="1"/>
                <w:color w:val="auto"/>
              </w:rPr>
              <w:t>Maturity</w:t>
            </w:r>
          </w:p>
        </w:tc>
        <w:tc>
          <w:tcPr>
            <w:tcW w:w="120" w:type="dxa"/>
            <w:vAlign w:val="bottom"/>
          </w:tcPr>
          <w:p>
            <w:pPr>
              <w:spacing w:after="0"/>
              <w:rPr>
                <w:sz w:val="14"/>
                <w:szCs w:val="14"/>
                <w:color w:val="auto"/>
              </w:rPr>
            </w:pPr>
          </w:p>
        </w:tc>
        <w:tc>
          <w:tcPr>
            <w:tcW w:w="1360" w:type="dxa"/>
            <w:vAlign w:val="bottom"/>
          </w:tcPr>
          <w:p>
            <w:pPr>
              <w:jc w:val="center"/>
              <w:ind w:right="44"/>
              <w:spacing w:after="0" w:line="162" w:lineRule="exact"/>
              <w:rPr>
                <w:sz w:val="20"/>
                <w:szCs w:val="20"/>
                <w:color w:val="auto"/>
              </w:rPr>
            </w:pPr>
            <w:r>
              <w:rPr>
                <w:rFonts w:ascii="Arial" w:cs="Arial" w:eastAsia="Arial" w:hAnsi="Arial"/>
                <w:sz w:val="15"/>
                <w:szCs w:val="15"/>
                <w:b w:val="1"/>
                <w:bCs w:val="1"/>
                <w:color w:val="auto"/>
                <w:w w:val="91"/>
              </w:rPr>
              <w:t>Extinguishment of</w:t>
            </w:r>
          </w:p>
        </w:tc>
      </w:tr>
      <w:tr>
        <w:trPr>
          <w:trHeight w:val="202"/>
        </w:trPr>
        <w:tc>
          <w:tcPr>
            <w:tcW w:w="3940" w:type="dxa"/>
            <w:vAlign w:val="bottom"/>
            <w:tcBorders>
              <w:bottom w:val="single" w:sz="8" w:color="auto"/>
            </w:tcBorders>
          </w:tcPr>
          <w:p>
            <w:pPr>
              <w:ind w:left="128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Repayment Amount</w:t>
            </w:r>
          </w:p>
        </w:tc>
        <w:tc>
          <w:tcPr>
            <w:tcW w:w="28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ind w:left="104"/>
              <w:spacing w:after="0"/>
              <w:rPr>
                <w:sz w:val="20"/>
                <w:szCs w:val="20"/>
                <w:color w:val="auto"/>
              </w:rPr>
            </w:pPr>
            <w:r>
              <w:rPr>
                <w:rFonts w:ascii="Arial" w:cs="Arial" w:eastAsia="Arial" w:hAnsi="Arial"/>
                <w:sz w:val="15"/>
                <w:szCs w:val="15"/>
                <w:b w:val="1"/>
                <w:bCs w:val="1"/>
                <w:color w:val="auto"/>
                <w:w w:val="98"/>
              </w:rPr>
              <w:t>Rate</w:t>
            </w: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right"/>
              <w:ind w:right="704"/>
              <w:spacing w:after="0"/>
              <w:rPr>
                <w:sz w:val="20"/>
                <w:szCs w:val="20"/>
                <w:color w:val="auto"/>
              </w:rPr>
            </w:pPr>
            <w:r>
              <w:rPr>
                <w:rFonts w:ascii="Arial" w:cs="Arial" w:eastAsia="Arial" w:hAnsi="Arial"/>
                <w:sz w:val="15"/>
                <w:szCs w:val="15"/>
                <w:b w:val="1"/>
                <w:bCs w:val="1"/>
                <w:color w:val="auto"/>
              </w:rPr>
              <w:t>Date</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5"/>
              </w:rPr>
              <w:t>Debt</w:t>
            </w:r>
          </w:p>
        </w:tc>
      </w:tr>
      <w:tr>
        <w:trPr>
          <w:trHeight w:val="173"/>
        </w:trPr>
        <w:tc>
          <w:tcPr>
            <w:tcW w:w="3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March 1, 2021</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62"/>
        </w:trPr>
        <w:tc>
          <w:tcPr>
            <w:tcW w:w="3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July 11, 2021</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02"/>
        </w:trPr>
        <w:tc>
          <w:tcPr>
            <w:tcW w:w="3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June 30, 2020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52,710</w:t>
            </w: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90"/>
              </w:rPr>
              <w:t>(1)</w:t>
            </w:r>
          </w:p>
        </w:tc>
        <w:tc>
          <w:tcPr>
            <w:tcW w:w="1380" w:type="dxa"/>
            <w:vAlign w:val="bottom"/>
            <w:shd w:val="clear" w:color="auto" w:fill="CCEEFF"/>
          </w:tcPr>
          <w:p>
            <w:pPr>
              <w:ind w:left="1020"/>
              <w:spacing w:after="0"/>
              <w:rPr>
                <w:sz w:val="20"/>
                <w:szCs w:val="20"/>
                <w:color w:val="auto"/>
              </w:rPr>
            </w:pPr>
            <w:r>
              <w:rPr>
                <w:rFonts w:ascii="Arial" w:cs="Arial" w:eastAsia="Arial" w:hAnsi="Arial"/>
                <w:sz w:val="15"/>
                <w:szCs w:val="15"/>
                <w:color w:val="auto"/>
                <w:w w:val="90"/>
              </w:rPr>
              <w:t>5.980</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9"/>
                <w:szCs w:val="9"/>
                <w:color w:val="auto"/>
              </w:rPr>
              <w:t>(4)</w:t>
            </w:r>
          </w:p>
        </w:tc>
        <w:tc>
          <w:tcPr>
            <w:tcW w:w="21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December 1, 2021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1,930</w:t>
            </w:r>
          </w:p>
        </w:tc>
      </w:tr>
      <w:tr>
        <w:trPr>
          <w:trHeight w:val="208"/>
        </w:trPr>
        <w:tc>
          <w:tcPr>
            <w:tcW w:w="39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99,607</w:t>
            </w:r>
          </w:p>
        </w:tc>
        <w:tc>
          <w:tcPr>
            <w:tcW w:w="280" w:type="dxa"/>
            <w:vAlign w:val="bottom"/>
          </w:tcPr>
          <w:p>
            <w:pPr>
              <w:spacing w:after="0"/>
              <w:rPr>
                <w:sz w:val="18"/>
                <w:szCs w:val="18"/>
                <w:color w:val="auto"/>
              </w:rPr>
            </w:pPr>
          </w:p>
        </w:tc>
        <w:tc>
          <w:tcPr>
            <w:tcW w:w="1560" w:type="dxa"/>
            <w:vAlign w:val="bottom"/>
            <w:gridSpan w:val="2"/>
          </w:tcPr>
          <w:p>
            <w:pPr>
              <w:ind w:left="1020"/>
              <w:spacing w:after="0"/>
              <w:rPr>
                <w:sz w:val="20"/>
                <w:szCs w:val="20"/>
                <w:color w:val="auto"/>
              </w:rPr>
            </w:pPr>
            <w:r>
              <w:rPr>
                <w:rFonts w:ascii="Arial" w:cs="Arial" w:eastAsia="Arial" w:hAnsi="Arial"/>
                <w:sz w:val="15"/>
                <w:szCs w:val="15"/>
                <w:color w:val="auto"/>
                <w:w w:val="94"/>
              </w:rPr>
              <w:t>5.837 %</w:t>
            </w:r>
          </w:p>
        </w:tc>
        <w:tc>
          <w:tcPr>
            <w:tcW w:w="280" w:type="dxa"/>
            <w:vAlign w:val="bottom"/>
          </w:tcPr>
          <w:p>
            <w:pPr>
              <w:spacing w:after="0"/>
              <w:rPr>
                <w:sz w:val="18"/>
                <w:szCs w:val="18"/>
                <w:color w:val="auto"/>
              </w:rPr>
            </w:pPr>
          </w:p>
        </w:tc>
        <w:tc>
          <w:tcPr>
            <w:tcW w:w="2140" w:type="dxa"/>
            <w:vAlign w:val="bottom"/>
            <w:gridSpan w:val="2"/>
          </w:tcPr>
          <w:p>
            <w:pPr>
              <w:jc w:val="right"/>
              <w:ind w:right="280"/>
              <w:spacing w:after="0"/>
              <w:rPr>
                <w:sz w:val="20"/>
                <w:szCs w:val="20"/>
                <w:color w:val="auto"/>
              </w:rPr>
            </w:pPr>
            <w:r>
              <w:rPr>
                <w:rFonts w:ascii="Arial" w:cs="Arial" w:eastAsia="Arial" w:hAnsi="Arial"/>
                <w:sz w:val="15"/>
                <w:szCs w:val="15"/>
                <w:color w:val="auto"/>
              </w:rPr>
              <w:t>March 1, 2021</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3,403</w:t>
            </w:r>
          </w:p>
        </w:tc>
      </w:tr>
      <w:tr>
        <w:trPr>
          <w:trHeight w:val="220"/>
        </w:trPr>
        <w:tc>
          <w:tcPr>
            <w:tcW w:w="3940" w:type="dxa"/>
            <w:vAlign w:val="bottom"/>
          </w:tcPr>
          <w:p>
            <w:pPr>
              <w:ind w:left="20"/>
              <w:spacing w:after="0"/>
              <w:rPr>
                <w:sz w:val="20"/>
                <w:szCs w:val="20"/>
                <w:color w:val="auto"/>
              </w:rPr>
            </w:pPr>
            <w:r>
              <w:rPr>
                <w:rFonts w:ascii="Arial" w:cs="Arial" w:eastAsia="Arial" w:hAnsi="Arial"/>
                <w:sz w:val="15"/>
                <w:szCs w:val="15"/>
                <w:color w:val="auto"/>
              </w:rPr>
              <w:t>March 31, 2020</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19,922</w:t>
            </w:r>
          </w:p>
        </w:tc>
        <w:tc>
          <w:tcPr>
            <w:tcW w:w="280" w:type="dxa"/>
            <w:vAlign w:val="bottom"/>
          </w:tcPr>
          <w:p>
            <w:pPr>
              <w:jc w:val="right"/>
              <w:ind w:right="113"/>
              <w:spacing w:after="0"/>
              <w:rPr>
                <w:sz w:val="20"/>
                <w:szCs w:val="20"/>
                <w:color w:val="auto"/>
              </w:rPr>
            </w:pPr>
            <w:r>
              <w:rPr>
                <w:rFonts w:ascii="Arial" w:cs="Arial" w:eastAsia="Arial" w:hAnsi="Arial"/>
                <w:sz w:val="9"/>
                <w:szCs w:val="9"/>
                <w:color w:val="auto"/>
                <w:w w:val="90"/>
              </w:rPr>
              <w:t>(2)</w:t>
            </w:r>
          </w:p>
        </w:tc>
        <w:tc>
          <w:tcPr>
            <w:tcW w:w="1380" w:type="dxa"/>
            <w:vAlign w:val="bottom"/>
          </w:tcPr>
          <w:p>
            <w:pPr>
              <w:ind w:left="1020"/>
              <w:spacing w:after="0"/>
              <w:rPr>
                <w:sz w:val="20"/>
                <w:szCs w:val="20"/>
                <w:color w:val="auto"/>
              </w:rPr>
            </w:pPr>
            <w:r>
              <w:rPr>
                <w:rFonts w:ascii="Arial" w:cs="Arial" w:eastAsia="Arial" w:hAnsi="Arial"/>
                <w:sz w:val="15"/>
                <w:szCs w:val="15"/>
                <w:color w:val="auto"/>
                <w:w w:val="90"/>
              </w:rPr>
              <w:t>5.830</w:t>
            </w:r>
          </w:p>
        </w:tc>
        <w:tc>
          <w:tcPr>
            <w:tcW w:w="460" w:type="dxa"/>
            <w:vAlign w:val="bottom"/>
            <w:gridSpan w:val="2"/>
          </w:tcPr>
          <w:p>
            <w:pPr>
              <w:ind w:left="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9"/>
                <w:szCs w:val="9"/>
                <w:color w:val="auto"/>
              </w:rPr>
              <w:t>(4)</w:t>
            </w:r>
          </w:p>
        </w:tc>
        <w:tc>
          <w:tcPr>
            <w:tcW w:w="2140" w:type="dxa"/>
            <w:vAlign w:val="bottom"/>
            <w:gridSpan w:val="2"/>
          </w:tcPr>
          <w:p>
            <w:pPr>
              <w:jc w:val="right"/>
              <w:ind w:right="280"/>
              <w:spacing w:after="0"/>
              <w:rPr>
                <w:sz w:val="20"/>
                <w:szCs w:val="20"/>
                <w:color w:val="auto"/>
              </w:rPr>
            </w:pPr>
            <w:r>
              <w:rPr>
                <w:rFonts w:ascii="Arial" w:cs="Arial" w:eastAsia="Arial" w:hAnsi="Arial"/>
                <w:sz w:val="15"/>
                <w:szCs w:val="15"/>
                <w:color w:val="auto"/>
              </w:rPr>
              <w:t>July 1, 2020</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(124)</w:t>
            </w:r>
          </w:p>
        </w:tc>
      </w:tr>
      <w:tr>
        <w:trPr>
          <w:trHeight w:val="212"/>
        </w:trPr>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17,048</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ind w:left="1020"/>
              <w:spacing w:after="0"/>
              <w:rPr>
                <w:sz w:val="20"/>
                <w:szCs w:val="20"/>
                <w:color w:val="auto"/>
              </w:rPr>
            </w:pPr>
            <w:r>
              <w:rPr>
                <w:rFonts w:ascii="Arial" w:cs="Arial" w:eastAsia="Arial" w:hAnsi="Arial"/>
                <w:sz w:val="15"/>
                <w:szCs w:val="15"/>
                <w:color w:val="auto"/>
                <w:w w:val="90"/>
              </w:rPr>
              <w:t>5.620</w:t>
            </w:r>
          </w:p>
        </w:tc>
        <w:tc>
          <w:tcPr>
            <w:tcW w:w="180" w:type="dxa"/>
            <w:vAlign w:val="bottom"/>
            <w:shd w:val="clear" w:color="auto" w:fill="CCEEFF"/>
          </w:tcPr>
          <w:p>
            <w:pPr>
              <w:ind w:left="40"/>
              <w:spacing w:after="0"/>
              <w:rPr>
                <w:sz w:val="20"/>
                <w:szCs w:val="20"/>
                <w:color w:val="auto"/>
              </w:rPr>
            </w:pPr>
            <w:r>
              <w:rPr>
                <w:rFonts w:ascii="Arial" w:cs="Arial" w:eastAsia="Arial" w:hAnsi="Arial"/>
                <w:sz w:val="15"/>
                <w:szCs w:val="15"/>
                <w:color w:val="auto"/>
                <w:w w:val="89"/>
              </w:rPr>
              <w:t>%</w:t>
            </w:r>
          </w:p>
        </w:tc>
        <w:tc>
          <w:tcPr>
            <w:tcW w:w="2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March 1, 2020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w:t>
            </w:r>
          </w:p>
        </w:tc>
      </w:tr>
      <w:tr>
        <w:trPr>
          <w:trHeight w:val="216"/>
        </w:trPr>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127,282</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w w:val="94"/>
              </w:rPr>
              <w:t>5.100 %</w:t>
            </w:r>
          </w:p>
        </w:tc>
        <w:tc>
          <w:tcPr>
            <w:tcW w:w="2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November 1, 2021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3,274</w:t>
            </w:r>
          </w:p>
        </w:tc>
      </w:tr>
      <w:tr>
        <w:trPr>
          <w:trHeight w:val="184"/>
        </w:trPr>
        <w:tc>
          <w:tcPr>
            <w:tcW w:w="3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March 1, 2020</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02"/>
        </w:trPr>
        <w:tc>
          <w:tcPr>
            <w:tcW w:w="3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 31, 2019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21,527</w:t>
            </w: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90"/>
              </w:rPr>
              <w:t>(3)</w:t>
            </w:r>
          </w:p>
        </w:tc>
        <w:tc>
          <w:tcPr>
            <w:tcW w:w="1380" w:type="dxa"/>
            <w:vAlign w:val="bottom"/>
            <w:shd w:val="clear" w:color="auto" w:fill="CCEEFF"/>
          </w:tcPr>
          <w:p>
            <w:pPr>
              <w:ind w:left="1020"/>
              <w:spacing w:after="0"/>
              <w:rPr>
                <w:sz w:val="20"/>
                <w:szCs w:val="20"/>
                <w:color w:val="auto"/>
              </w:rPr>
            </w:pPr>
            <w:r>
              <w:rPr>
                <w:rFonts w:ascii="Arial" w:cs="Arial" w:eastAsia="Arial" w:hAnsi="Arial"/>
                <w:sz w:val="15"/>
                <w:szCs w:val="15"/>
                <w:color w:val="auto"/>
                <w:w w:val="90"/>
              </w:rPr>
              <w:t>6.240</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9"/>
                <w:szCs w:val="9"/>
                <w:color w:val="auto"/>
              </w:rPr>
              <w:t>(4)</w:t>
            </w:r>
          </w:p>
        </w:tc>
        <w:tc>
          <w:tcPr>
            <w:tcW w:w="21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April 1, 2020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w:t>
            </w:r>
          </w:p>
        </w:tc>
      </w:tr>
      <w:tr>
        <w:trPr>
          <w:trHeight w:val="212"/>
        </w:trPr>
        <w:tc>
          <w:tcPr>
            <w:tcW w:w="3940" w:type="dxa"/>
            <w:vAlign w:val="bottom"/>
          </w:tcPr>
          <w:p>
            <w:pPr>
              <w:ind w:left="20"/>
              <w:spacing w:after="0"/>
              <w:rPr>
                <w:sz w:val="20"/>
                <w:szCs w:val="20"/>
                <w:color w:val="auto"/>
              </w:rPr>
            </w:pPr>
            <w:r>
              <w:rPr>
                <w:rFonts w:ascii="Arial" w:cs="Arial" w:eastAsia="Arial" w:hAnsi="Arial"/>
                <w:sz w:val="15"/>
                <w:szCs w:val="15"/>
                <w:color w:val="auto"/>
              </w:rPr>
              <w:t>September 30, 2019</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134,021</w:t>
            </w:r>
          </w:p>
        </w:tc>
        <w:tc>
          <w:tcPr>
            <w:tcW w:w="280" w:type="dxa"/>
            <w:vAlign w:val="bottom"/>
          </w:tcPr>
          <w:p>
            <w:pPr>
              <w:spacing w:after="0"/>
              <w:rPr>
                <w:sz w:val="18"/>
                <w:szCs w:val="18"/>
                <w:color w:val="auto"/>
              </w:rPr>
            </w:pPr>
          </w:p>
        </w:tc>
        <w:tc>
          <w:tcPr>
            <w:tcW w:w="1560" w:type="dxa"/>
            <w:vAlign w:val="bottom"/>
            <w:gridSpan w:val="2"/>
          </w:tcPr>
          <w:p>
            <w:pPr>
              <w:ind w:left="1020"/>
              <w:spacing w:after="0"/>
              <w:rPr>
                <w:sz w:val="20"/>
                <w:szCs w:val="20"/>
                <w:color w:val="auto"/>
              </w:rPr>
            </w:pPr>
            <w:r>
              <w:rPr>
                <w:rFonts w:ascii="Arial" w:cs="Arial" w:eastAsia="Arial" w:hAnsi="Arial"/>
                <w:sz w:val="15"/>
                <w:szCs w:val="15"/>
                <w:color w:val="auto"/>
                <w:w w:val="94"/>
              </w:rPr>
              <w:t>4.300 %</w:t>
            </w:r>
          </w:p>
        </w:tc>
        <w:tc>
          <w:tcPr>
            <w:tcW w:w="280" w:type="dxa"/>
            <w:vAlign w:val="bottom"/>
          </w:tcPr>
          <w:p>
            <w:pPr>
              <w:spacing w:after="0"/>
              <w:rPr>
                <w:sz w:val="18"/>
                <w:szCs w:val="18"/>
                <w:color w:val="auto"/>
              </w:rPr>
            </w:pPr>
          </w:p>
        </w:tc>
        <w:tc>
          <w:tcPr>
            <w:tcW w:w="2140" w:type="dxa"/>
            <w:vAlign w:val="bottom"/>
            <w:gridSpan w:val="2"/>
          </w:tcPr>
          <w:p>
            <w:pPr>
              <w:jc w:val="right"/>
              <w:ind w:right="280"/>
              <w:spacing w:after="0"/>
              <w:rPr>
                <w:sz w:val="20"/>
                <w:szCs w:val="20"/>
                <w:color w:val="auto"/>
              </w:rPr>
            </w:pPr>
            <w:r>
              <w:rPr>
                <w:rFonts w:ascii="Arial" w:cs="Arial" w:eastAsia="Arial" w:hAnsi="Arial"/>
                <w:sz w:val="15"/>
                <w:szCs w:val="15"/>
                <w:color w:val="auto"/>
              </w:rPr>
              <w:t>May 1, 2023</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4"/>
              <w:spacing w:after="0"/>
              <w:rPr>
                <w:sz w:val="20"/>
                <w:szCs w:val="20"/>
                <w:color w:val="auto"/>
              </w:rPr>
            </w:pPr>
            <w:r>
              <w:rPr>
                <w:rFonts w:ascii="Arial" w:cs="Arial" w:eastAsia="Arial" w:hAnsi="Arial"/>
                <w:sz w:val="15"/>
                <w:szCs w:val="15"/>
                <w:color w:val="auto"/>
              </w:rPr>
              <w:t>12,755</w:t>
            </w: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 31, 2019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186,815</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ind w:left="1020"/>
              <w:spacing w:after="0"/>
              <w:rPr>
                <w:sz w:val="20"/>
                <w:szCs w:val="20"/>
                <w:color w:val="auto"/>
              </w:rPr>
            </w:pPr>
            <w:r>
              <w:rPr>
                <w:rFonts w:ascii="Arial" w:cs="Arial" w:eastAsia="Arial" w:hAnsi="Arial"/>
                <w:sz w:val="15"/>
                <w:szCs w:val="15"/>
                <w:color w:val="auto"/>
                <w:w w:val="90"/>
              </w:rPr>
              <w:t>3.830</w:t>
            </w:r>
          </w:p>
        </w:tc>
        <w:tc>
          <w:tcPr>
            <w:tcW w:w="180" w:type="dxa"/>
            <w:vAlign w:val="bottom"/>
            <w:shd w:val="clear" w:color="auto" w:fill="CCEEFF"/>
          </w:tcPr>
          <w:p>
            <w:pPr>
              <w:ind w:left="40"/>
              <w:spacing w:after="0"/>
              <w:rPr>
                <w:sz w:val="20"/>
                <w:szCs w:val="20"/>
                <w:color w:val="auto"/>
              </w:rPr>
            </w:pPr>
            <w:r>
              <w:rPr>
                <w:rFonts w:ascii="Arial" w:cs="Arial" w:eastAsia="Arial" w:hAnsi="Arial"/>
                <w:sz w:val="15"/>
                <w:szCs w:val="15"/>
                <w:color w:val="auto"/>
                <w:w w:val="89"/>
              </w:rPr>
              <w:t>%</w:t>
            </w:r>
          </w:p>
        </w:tc>
        <w:tc>
          <w:tcPr>
            <w:tcW w:w="28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January 1, 2030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653</w:t>
            </w:r>
          </w:p>
        </w:tc>
      </w:tr>
    </w:tbl>
    <w:p>
      <w:pPr>
        <w:spacing w:after="0" w:line="89"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Includes four collateralized term loans, two due to mature on March 1, 2021, one due to mature on July 11, 2021, and the other due to mature on December 1, 2021.</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Includes four collateralized term loans due to mature on July 1, 2020.</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Includes four collateralized term loans, three due to mature on March 1, 2020 and one due to mature on April 1, 2020.</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The interest rate represents the weighted average interest rate on collateralized term loans.</w:t>
      </w:r>
    </w:p>
    <w:p>
      <w:pPr>
        <w:spacing w:after="0" w:line="2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nine months ended September 30, 2020 and year ended December 31, 2019, we entered into the following collateralized term loans (in thousands except statistical information):</w:t>
      </w:r>
    </w:p>
    <w:tbl>
      <w:tblPr>
        <w:tblLayout w:type="fixed"/>
        <w:tblInd w:w="20" w:type="dxa"/>
        <w:tblCellMar>
          <w:top w:w="0" w:type="dxa"/>
          <w:left w:w="0" w:type="dxa"/>
          <w:bottom w:w="0" w:type="dxa"/>
          <w:right w:w="0" w:type="dxa"/>
        </w:tblCellMar>
      </w:tblPr>
      <w:tr>
        <w:trPr>
          <w:trHeight w:val="167"/>
        </w:trPr>
        <w:tc>
          <w:tcPr>
            <w:tcW w:w="4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360"/>
              <w:spacing w:after="0" w:line="167" w:lineRule="exact"/>
              <w:rPr>
                <w:sz w:val="20"/>
                <w:szCs w:val="20"/>
                <w:color w:val="auto"/>
              </w:rPr>
            </w:pPr>
            <w:r>
              <w:rPr>
                <w:rFonts w:ascii="Arial" w:cs="Arial" w:eastAsia="Arial" w:hAnsi="Arial"/>
                <w:sz w:val="15"/>
                <w:szCs w:val="15"/>
                <w:b w:val="1"/>
                <w:bCs w:val="1"/>
                <w:color w:val="auto"/>
              </w:rPr>
              <w:t>Term</w:t>
            </w:r>
          </w:p>
        </w:tc>
        <w:tc>
          <w:tcPr>
            <w:tcW w:w="1200" w:type="dxa"/>
            <w:vAlign w:val="bottom"/>
          </w:tcPr>
          <w:p>
            <w:pPr>
              <w:jc w:val="right"/>
              <w:ind w:right="204"/>
              <w:spacing w:after="0" w:line="167" w:lineRule="exact"/>
              <w:rPr>
                <w:sz w:val="20"/>
                <w:szCs w:val="20"/>
                <w:color w:val="auto"/>
              </w:rPr>
            </w:pPr>
            <w:r>
              <w:rPr>
                <w:rFonts w:ascii="Arial" w:cs="Arial" w:eastAsia="Arial" w:hAnsi="Arial"/>
                <w:sz w:val="15"/>
                <w:szCs w:val="15"/>
                <w:b w:val="1"/>
                <w:bCs w:val="1"/>
                <w:color w:val="auto"/>
              </w:rPr>
              <w:t>Interest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ind w:right="404"/>
              <w:spacing w:after="0" w:line="167" w:lineRule="exact"/>
              <w:rPr>
                <w:sz w:val="20"/>
                <w:szCs w:val="20"/>
                <w:color w:val="auto"/>
              </w:rPr>
            </w:pPr>
            <w:r>
              <w:rPr>
                <w:rFonts w:ascii="Arial" w:cs="Arial" w:eastAsia="Arial" w:hAnsi="Arial"/>
                <w:sz w:val="15"/>
                <w:szCs w:val="15"/>
                <w:b w:val="1"/>
                <w:bCs w:val="1"/>
                <w:color w:val="auto"/>
              </w:rPr>
              <w:t>Maturity</w:t>
            </w:r>
          </w:p>
        </w:tc>
      </w:tr>
      <w:tr>
        <w:trPr>
          <w:trHeight w:val="202"/>
        </w:trPr>
        <w:tc>
          <w:tcPr>
            <w:tcW w:w="4860" w:type="dxa"/>
            <w:vAlign w:val="bottom"/>
            <w:tcBorders>
              <w:bottom w:val="single" w:sz="8" w:color="auto"/>
            </w:tcBorders>
          </w:tcPr>
          <w:p>
            <w:pPr>
              <w:ind w:left="1740"/>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95"/>
              </w:rPr>
              <w:t>Loan Amount</w:t>
            </w:r>
          </w:p>
        </w:tc>
        <w:tc>
          <w:tcPr>
            <w:tcW w:w="2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(in years)</w:t>
            </w:r>
          </w:p>
        </w:tc>
        <w:tc>
          <w:tcPr>
            <w:tcW w:w="2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Rate</w:t>
            </w: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Date</w:t>
            </w:r>
          </w:p>
        </w:tc>
      </w:tr>
      <w:tr>
        <w:trPr>
          <w:trHeight w:val="214"/>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March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230,000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5"/>
                <w:szCs w:val="15"/>
                <w:color w:val="auto"/>
                <w:w w:val="95"/>
              </w:rPr>
              <w:t>15</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April 1, 2035</w:t>
            </w:r>
          </w:p>
        </w:tc>
      </w:tr>
      <w:tr>
        <w:trPr>
          <w:trHeight w:val="176"/>
        </w:trPr>
        <w:tc>
          <w:tcPr>
            <w:tcW w:w="4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December 15, 2039</w:t>
            </w:r>
          </w:p>
        </w:tc>
      </w:tr>
      <w:tr>
        <w:trPr>
          <w:trHeight w:val="198"/>
        </w:trPr>
        <w:tc>
          <w:tcPr>
            <w:tcW w:w="5140" w:type="dxa"/>
            <w:vAlign w:val="bottom"/>
            <w:gridSpan w:val="2"/>
          </w:tcPr>
          <w:p>
            <w:pPr>
              <w:ind w:left="20"/>
              <w:spacing w:after="0"/>
              <w:rPr>
                <w:sz w:val="20"/>
                <w:szCs w:val="20"/>
                <w:color w:val="auto"/>
              </w:rPr>
            </w:pPr>
            <w:r>
              <w:rPr>
                <w:rFonts w:ascii="Arial" w:cs="Arial" w:eastAsia="Arial" w:hAnsi="Arial"/>
                <w:sz w:val="15"/>
                <w:szCs w:val="15"/>
                <w:color w:val="auto"/>
              </w:rPr>
              <w:t>December 31, 2019</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400,000</w:t>
            </w:r>
          </w:p>
        </w:tc>
        <w:tc>
          <w:tcPr>
            <w:tcW w:w="280" w:type="dxa"/>
            <w:vAlign w:val="bottom"/>
          </w:tcPr>
          <w:p>
            <w:pPr>
              <w:jc w:val="right"/>
              <w:ind w:right="113"/>
              <w:spacing w:after="0"/>
              <w:rPr>
                <w:sz w:val="20"/>
                <w:szCs w:val="20"/>
                <w:color w:val="auto"/>
              </w:rPr>
            </w:pPr>
            <w:r>
              <w:rPr>
                <w:rFonts w:ascii="Arial" w:cs="Arial" w:eastAsia="Arial" w:hAnsi="Arial"/>
                <w:sz w:val="9"/>
                <w:szCs w:val="9"/>
                <w:color w:val="auto"/>
                <w:w w:val="90"/>
              </w:rPr>
              <w:t>(1)</w:t>
            </w:r>
          </w:p>
        </w:tc>
        <w:tc>
          <w:tcPr>
            <w:tcW w:w="1340" w:type="dxa"/>
            <w:vAlign w:val="bottom"/>
            <w:gridSpan w:val="2"/>
          </w:tcPr>
          <w:p>
            <w:pPr>
              <w:ind w:left="880"/>
              <w:spacing w:after="0"/>
              <w:rPr>
                <w:sz w:val="20"/>
                <w:szCs w:val="20"/>
                <w:color w:val="auto"/>
              </w:rPr>
            </w:pPr>
            <w:r>
              <w:rPr>
                <w:rFonts w:ascii="Arial" w:cs="Arial" w:eastAsia="Arial" w:hAnsi="Arial"/>
                <w:sz w:val="15"/>
                <w:szCs w:val="15"/>
                <w:color w:val="auto"/>
              </w:rPr>
              <w:t xml:space="preserve">21 </w:t>
            </w:r>
            <w:r>
              <w:rPr>
                <w:rFonts w:ascii="Arial" w:cs="Arial" w:eastAsia="Arial" w:hAnsi="Arial"/>
                <w:sz w:val="9"/>
                <w:szCs w:val="9"/>
                <w:color w:val="auto"/>
              </w:rPr>
              <w:t>(1)</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4.026 %</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December 15, 2041</w:t>
            </w:r>
          </w:p>
        </w:tc>
      </w:tr>
      <w:tr>
        <w:trPr>
          <w:trHeight w:val="220"/>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September 30, 2019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250,000</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ind w:left="880"/>
              <w:spacing w:after="0"/>
              <w:rPr>
                <w:sz w:val="20"/>
                <w:szCs w:val="20"/>
                <w:color w:val="auto"/>
              </w:rPr>
            </w:pPr>
            <w:r>
              <w:rPr>
                <w:rFonts w:ascii="Arial" w:cs="Arial" w:eastAsia="Arial" w:hAnsi="Arial"/>
                <w:sz w:val="15"/>
                <w:szCs w:val="15"/>
                <w:color w:val="auto"/>
                <w:w w:val="95"/>
              </w:rPr>
              <w:t>10</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October 1, 2029</w:t>
            </w:r>
          </w:p>
        </w:tc>
      </w:tr>
      <w:tr>
        <w:trPr>
          <w:trHeight w:val="208"/>
        </w:trPr>
        <w:tc>
          <w:tcPr>
            <w:tcW w:w="5140" w:type="dxa"/>
            <w:vAlign w:val="bottom"/>
            <w:gridSpan w:val="2"/>
          </w:tcPr>
          <w:p>
            <w:pPr>
              <w:ind w:left="20"/>
              <w:spacing w:after="0"/>
              <w:rPr>
                <w:sz w:val="20"/>
                <w:szCs w:val="20"/>
                <w:color w:val="auto"/>
              </w:rPr>
            </w:pPr>
            <w:r>
              <w:rPr>
                <w:rFonts w:ascii="Arial" w:cs="Arial" w:eastAsia="Arial" w:hAnsi="Arial"/>
                <w:sz w:val="15"/>
                <w:szCs w:val="15"/>
                <w:color w:val="auto"/>
              </w:rPr>
              <w:t>March 31, 2019</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265,000</w:t>
            </w:r>
          </w:p>
        </w:tc>
        <w:tc>
          <w:tcPr>
            <w:tcW w:w="280" w:type="dxa"/>
            <w:vAlign w:val="bottom"/>
          </w:tcPr>
          <w:p>
            <w:pPr>
              <w:spacing w:after="0"/>
              <w:rPr>
                <w:sz w:val="18"/>
                <w:szCs w:val="18"/>
                <w:color w:val="auto"/>
              </w:rPr>
            </w:pPr>
          </w:p>
        </w:tc>
        <w:tc>
          <w:tcPr>
            <w:tcW w:w="1060" w:type="dxa"/>
            <w:vAlign w:val="bottom"/>
          </w:tcPr>
          <w:p>
            <w:pPr>
              <w:ind w:left="880"/>
              <w:spacing w:after="0"/>
              <w:rPr>
                <w:sz w:val="20"/>
                <w:szCs w:val="20"/>
                <w:color w:val="auto"/>
              </w:rPr>
            </w:pPr>
            <w:r>
              <w:rPr>
                <w:rFonts w:ascii="Arial" w:cs="Arial" w:eastAsia="Arial" w:hAnsi="Arial"/>
                <w:sz w:val="15"/>
                <w:szCs w:val="15"/>
                <w:color w:val="auto"/>
                <w:w w:val="95"/>
              </w:rPr>
              <w:t>25</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4.170</w:t>
            </w:r>
          </w:p>
        </w:tc>
        <w:tc>
          <w:tcPr>
            <w:tcW w:w="160" w:type="dxa"/>
            <w:vAlign w:val="bottom"/>
          </w:tcPr>
          <w:p>
            <w:pPr>
              <w:jc w:val="right"/>
              <w:spacing w:after="0"/>
              <w:rPr>
                <w:sz w:val="20"/>
                <w:szCs w:val="20"/>
                <w:color w:val="auto"/>
              </w:rPr>
            </w:pPr>
            <w:r>
              <w:rPr>
                <w:rFonts w:ascii="Arial" w:cs="Arial" w:eastAsia="Arial" w:hAnsi="Arial"/>
                <w:sz w:val="15"/>
                <w:szCs w:val="15"/>
                <w:color w:val="auto"/>
                <w:w w:val="89"/>
              </w:rPr>
              <w:t>%</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January 15, 2044</w:t>
            </w:r>
          </w:p>
        </w:tc>
      </w:tr>
    </w:tbl>
    <w:p>
      <w:pPr>
        <w:spacing w:after="0" w:line="97"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9"/>
          <w:szCs w:val="9"/>
          <w:color w:val="auto"/>
        </w:rPr>
      </w:pPr>
      <w:r>
        <w:rPr>
          <w:rFonts w:ascii="Arial" w:cs="Arial" w:eastAsia="Arial" w:hAnsi="Arial"/>
          <w:sz w:val="14"/>
          <w:szCs w:val="14"/>
          <w:color w:val="auto"/>
        </w:rPr>
        <w:t>Includes two collateralized term loans one due to mature on December 15, 2039 and the other on December 1, 2041.</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collateralized term loans totaling $3.2 billion as of September 30, 2020, are secured by 179 properties comprised of 71,644 sites representing approximately $3.1 billion of net book value.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Equity - Sun NG Resorts - mandatorily redeemable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investment in Sun NG Resorts, $35.3 million of mandatorily redeemable Preferred Equity (“Preferred Equity - Sun NG Resorts”) was purchased by unrelated third parties. The Preferred Equity - Sun NG Resorts carries a preferred rate of return of 6.0 percent per annum. The Preferred Equity - Sun NG Resorts has a seven-year term and can be redeemed in the fourth quarter of 2022 at the holders’ option. The Preferred Equity - Sun NG Resorts as of September 30, 2020 was $35.2 million. Refer to Note 7, “Consolidated Variable Interest Entities,” and Note 9, “Equity and Temporary Equity,”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OP Units - mandatorily redeemable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Preferred OP units at September 30, 2020 and December 31, 2019 include $34.7 million of Aspen preferred OP units issued by the Operating Partnership.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these units are convertible indirectly into 408,152 shares of our common stock.</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2020, we amended the Operating Partnership’s partnership agreement at the election of certain Aspen preferred OP unit holders. The amendment extended the automatic redemption date and reduced the annual distribution rate for 270,000 of the Aspen preferred OP units (the “Extended Units”). Subject to certain limitations, at any time prior to January 1, 2024 (or prior to January 1, 2034 with respect to the Extended Units), the holder of each Aspen preferred OP unit at its option may convert such Aspen preferred OP unit into: (a) if the average closing price of our common stock for the preceding ten trading days is $68.00 per share or less, 0.397 common OP units; or (b) if the ten-day average closing price is greater than $68.00 per share, the number of common OP units is determined by dividing (i) the sum of (A) $27.00 plus (B) 25 percent of the amount by which the ten-day average closing price exceeds $68.00 per share, by (ii) the ten-day average closing price. The current preferred distribution rate is 3.8 percent on the Extended Units and 6.5 percent on all other Aspen preferred OP units. On January 2, 2024 (or January 2, 2034 with respect to the Extended Units), we are required to redeem for cash all Aspen preferred OP units that have not been converted to common OP units. As of September 30, 2020, 270,000 of the Extended Units and 1,013,819 other Aspen preferred units were outstanding.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 and Other Debt</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Credit Agreement - </w:t>
      </w:r>
      <w:r>
        <w:rPr>
          <w:rFonts w:ascii="Arial" w:cs="Arial" w:eastAsia="Arial" w:hAnsi="Arial"/>
          <w:sz w:val="18"/>
          <w:szCs w:val="18"/>
          <w:color w:val="auto"/>
        </w:rPr>
        <w:t>In May 2019, we amended and restated our credit agreement with Citibank, N.A. (“Citibank”) and certain other lenders.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agreement, we entered into a senior credit facility with Citibank and certain lenders in the amount of $750.0 million, comprised of a $650.0 million revolving loan, with the ability to use up to $100.0 million for advances in Australian dollars, and a $100.0 million term loan (the “A&amp;R Facility”). The A&amp;R Credit Agreement has a four-year term ending May 21, 2023, which can be extended for two additional six-month periods, subject to the satisfaction of certain conditions as defined in the credit agreement. The credit agreement also provides for additional commitments in an amount not to exceed $350.0 million. The funding of these additional commitments is subject to certain conditions, including obtaining the consent of the lenders, some of which are outside of our control. If additional borrowings are made pursuant to any such additional commitments, the aggregate borrowing limit under the A&amp;R Facility may be increased up to $1.1 billion.</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A&amp;R Facility bears interest at a floating rate based on the Eurodollar rate or Bank Bill Swap Bid Rate plus a margin that is determined based on our leverage ratio calculated in accordance with the credit agreement, which margin can range from 1.20 percent to 2.10 percent for the revolving loan and 1.20 percent to 2.05 percent for the term loan. As of September 30, 2020, the margin based on our leverage ratio was 1.2 percent on the revolving loan and 1.2 percent on the term loan. We had $28.1 million and no borrowings on the revolving loan and the term loan, respectively, as of September 30, 2020. We had $123.6 million of borrowings on the revolving loan and no borrowings on the term loan, as of December 31, 2019.</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A&amp;R Facility provides us with the ability to issue letters of credit. Our issuance of letters of credit does not increase our borrowings outstanding under our line of credit but does reduce the borrowing amount available. At September 30, 2020 and December 31, 2019, we had approximately $2.9 million and $2.8 million of outstanding letters of credit, respectively.</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Floor Plan - </w:t>
      </w:r>
      <w:r>
        <w:rPr>
          <w:rFonts w:ascii="Arial" w:cs="Arial" w:eastAsia="Arial" w:hAnsi="Arial"/>
          <w:sz w:val="18"/>
          <w:szCs w:val="18"/>
          <w:color w:val="auto"/>
        </w:rPr>
        <w:t>We have a $12.0 million manufactured home floor plan facility renewable indefinitely until our lender provides us at least a 12-month notice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their intent to terminate the agreement. The interest rate is 100 basis points over the greater of the prime rate as quoted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on the first business day of each month or 5.0 percent. At September 30, 2020, the effective interest rate was 6.0 percent. The outstanding balance was $3.6 million as of September 30, 2020 and $3.3 million as of December 31, 2019. These balances are recorded within the Lines of credit and other debt line item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In October 2019, we assumed a term loan facility with Citibank, in the amount of $58.0 million in relation to an acquisition. The term loan has a</w:t>
      </w:r>
      <w:r>
        <w:rPr>
          <w:rFonts w:ascii="Arial" w:cs="Arial" w:eastAsia="Arial" w:hAnsi="Arial"/>
          <w:sz w:val="18"/>
          <w:szCs w:val="18"/>
          <w:i w:val="1"/>
          <w:iCs w:val="1"/>
          <w:color w:val="auto"/>
        </w:rPr>
        <w:t xml:space="preserve"> </w:t>
      </w:r>
      <w:r>
        <w:rPr>
          <w:rFonts w:ascii="Arial" w:cs="Arial" w:eastAsia="Arial" w:hAnsi="Arial"/>
          <w:sz w:val="18"/>
          <w:szCs w:val="18"/>
          <w:color w:val="auto"/>
        </w:rPr>
        <w:t>four-year term ending October 29, 2023, and bears interest at a floating rate based on the Eurodollar rate or Prime rate. The outstanding balance was $47.5 million at September 30, 2020 and $57.0 million at December 31, 2019, respectively. These balances are recorded within the Lines of credit and other debt line item on the Consolidated Balance Sheets.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Collateralized term loans and Lines of credit are subject to various financial and other covenants. The most restrictive is pursuant to the terms of the A&amp;R Facility, and contains minimum fixed charge coverage ratio and net worth requirements, and maximum leverage, distribution ratios and variable rate indebtedness. At September 30, 2020, we were in compliance with all covenants.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certain of our subsidiary borrowers own properties that secure loans. These subsidiaries are consolidated within our accompanying Consolidated Financial Statements, however, each of these subsidiaries’ assets and credit are not available to satisfy our debts and other obligations, any of our other subsidiaries or any other person or entity.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 - Nonconsolidated Affiliate Indebtedness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GTSC </w:t>
      </w:r>
      <w:r>
        <w:rPr>
          <w:rFonts w:ascii="Arial" w:cs="Arial" w:eastAsia="Arial" w:hAnsi="Arial"/>
          <w:sz w:val="17"/>
          <w:szCs w:val="17"/>
          <w:color w:val="auto"/>
        </w:rPr>
        <w:t>- During September 2019, GTSC, a nonconsolidated affiliate in which we have a 40 percent ownership interest, entered into a warehouse line of</w:t>
      </w:r>
      <w:r>
        <w:rPr>
          <w:rFonts w:ascii="Arial" w:cs="Arial" w:eastAsia="Arial" w:hAnsi="Arial"/>
          <w:sz w:val="17"/>
          <w:szCs w:val="17"/>
          <w:i w:val="1"/>
          <w:iCs w:val="1"/>
          <w:color w:val="auto"/>
        </w:rPr>
        <w:t xml:space="preserve"> </w:t>
      </w:r>
      <w:r>
        <w:rPr>
          <w:rFonts w:ascii="Arial" w:cs="Arial" w:eastAsia="Arial" w:hAnsi="Arial"/>
          <w:sz w:val="17"/>
          <w:szCs w:val="17"/>
          <w:color w:val="auto"/>
        </w:rPr>
        <w:t>credit with a maximum loan amount of $125.0 million. During September 2020, the maximum amount was increased to $180.0 million. As of September 30, 2020, the aggregate carrying amount of debt, including both our and our partners’ share, incurred by GTSC was approximately $154.7 million (of which our proportionate share is approximately $61.9 million). The debt bears interest at a variable rate based on LIBOR plus 1.65 percent per annum and matures on September 15, 2023. As of December 31, 2019, the aggregate carrying amount of debt, including both our and our partner’s share, incurred by GTSC was approximately $123.4 million (of which our proportionate share is approximately $49.4 million).</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Sungenia JV </w:t>
      </w:r>
      <w:r>
        <w:rPr>
          <w:rFonts w:ascii="Arial" w:cs="Arial" w:eastAsia="Arial" w:hAnsi="Arial"/>
          <w:sz w:val="17"/>
          <w:szCs w:val="17"/>
          <w:color w:val="auto"/>
        </w:rPr>
        <w:t>- During May 2020, Sungenia JV, a nonconsolidated affiliate in which we have a 50 percent ownership interest, entered into a debt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a maximum loan amount of 27.0 million Australian dollars, or $19.3 million converted at the September 30, 2020 exchange rate. As of September 30, 2020, the aggregate carrying amount of debt, including both our and our partners’ share, incurred by Sungenia JV was approximately $1.4 million (of which our proportionate share is approximately $0.7 million). The debt bears interest at a variable rate based on Australian Bank Bill Swap Bid Rate (BBSY) plus 2.05 percent per annum and is available for a minimum of three years.</w:t>
      </w:r>
    </w:p>
    <w:p>
      <w:pPr>
        <w:spacing w:after="0" w:line="197"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Equity and Temporary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Equity Offerings</w:t>
      </w:r>
    </w:p>
    <w:p>
      <w:pPr>
        <w:spacing w:after="0" w:line="25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On September 30, 2020, we entered into two forward sale agreements (the “Forward Sale Agreements”) relating to an underwritten registered public offering of 9,200,000 shares of our common stock at a public offering price of $139.50 per share. The offering closed on October 5, 2020. We did not initially receive any proceeds from the sale of shares of our common stock in the offering. We expect to physically settle the Forward Sale Agreements (by the delivery of shares of our common stock) and receive proceeds from the sale of those shares of our common stock upon one or more forward settlement dates no later than October 5, 2021. We may also elect to cash settle or net share settle all or a portion of our obligations under the Forward Sale Agreements if we conclude it is in our best interest to do so. If we elect to cash settle or net settle the Forward Sale Agreements we may not receive any proceeds. If we fully physically settle the Forward Sale Agreements, we expect to receive net proceeds of approximately $1.23 billion.</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evaluated the accounting of the Forward Sale Agreements under FASB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and FASB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and determined that the Forward Sale Agreements are indexed to our own equity and meet the requirements for equity classification under ASC 815-40-25. As result, the Forward Sale Agreements have been classified as equity and are therefore exempt from derivative accounting. We recorded the Forward Sale Agreements at fair value at inception, which we determined to be zero. Subsequent changes to fair value are not required under equity classification.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dilution effect of the shares of common stock issuable upon the physical settlement of the Forward Sale Agreements is reflected in our calculation of the diluted earnings per share under the treasury stock method. Under this method, the number of shares of common stock used in calculating diluted earnings per share is deemed to be increased by the excess, if any, of the number of shares of common stock that would be issued upon full physical settlement of the Forward Sale Agreements over the number of shares of common stock that could be purchased on the market (based on the average market price during the period) using the proceeds receivable upon full physical settlement (based on the adjusted forward sales price at the end of the reporting period). If and when we physically or net share settle the Forward Sale Agreements, the delivery of our shares of common stock will result in an increase in the number of shares of common stock outstanding and a dilution to our earnings per share.</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2020, we closed an underwritten registered public offering of 4,968,000 shares of common stock. Proceeds from the offering were $633.1 million after deducting expenses related to the offering. We used the net proceeds of this offering to repay borrowings outstanding under the revolving loan under our senior credit facility. We intend to use the remaining net proceeds of this offering to fund possible future acquisitions, for working capital and general corporate purposes.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2019, we closed an underwritten registered public offering of 3,737,500 shares of common stock. Proceeds from the offering were $452.1 million after deducting expenses related to the offering. We used the net proceeds of this offering to repay borrowings outstanding under the revolving loan under our senior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Sales Agreement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2017, we entered into an at the market offering sales agreement (the “Sales Agreement”) with certain sales agents (collectively, the “Sales Agents”), whereby we may offer and sell shares of our common stock, having an aggregate offering price of up to $450.0 million, from time to time through the Sales Agents. The Sales Agents are entitled to compensation in an agreed amount not to exceed 2.0 percent of the gross price per share for any shares sold under the Sales Agreement. Through September 30, 2020, we have sold shares of our common stock for gross proceeds of $163.8 million under the Sales Agreement. There were no issuances of common stock under the Sales Agreement during the nine months ended September 30, 2020 or the year ended December 31,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of Common Stock and Common OP Units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May 2020, in connection with the acquisition of the Forest Springs community, we issued 82,420 Common OP units.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2019, in connection with the acquisition of the Jensen Portfolio, we issued 1,972,876 shares of common stock, net of fractional shares paid in cash.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Series E Preferred OP Units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January 2020, we issued 90,000 Series E preferred OP units in connection with the acquisition of Cape Cod RV Resort. The Series E preferred OP units have a stated issuance price of $100.00 per OP Unit and carry a preferred return of 5.25 percent until the second anniversary of the issuance date. Commencing with the second anniversary of the issuance date, the Series E Preferred OP Units carry a preferred return of 5.50 percent. Commencing the first anniversary of the issuance date, subject to certain limitations, each Series E Preferred OP Unit can be exchanged for our common stock equal to the quotient obtained by dividing 100.00 by $145.00 (as such ratio is subject to adjustments for certain capital events). As of September 30, 2020, 90,000 Series E preferred OP Units were outstanding. Refer to Note 3, “Real Estate Acquisitions and Dispositions,”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Equity:</w:t>
      </w:r>
    </w:p>
    <w:p>
      <w:pPr>
        <w:spacing w:after="0" w:line="25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Issuance of Series G Preferred OP Units - </w:t>
      </w:r>
      <w:r>
        <w:rPr>
          <w:rFonts w:ascii="Arial" w:cs="Arial" w:eastAsia="Arial" w:hAnsi="Arial"/>
          <w:sz w:val="18"/>
          <w:szCs w:val="18"/>
          <w:color w:val="auto"/>
        </w:rPr>
        <w:t>In September 2020, we issued 260,710 Series G preferred OP units in connection with the acquisition of El</w:t>
      </w:r>
      <w:r>
        <w:rPr>
          <w:rFonts w:ascii="Arial" w:cs="Arial" w:eastAsia="Arial" w:hAnsi="Arial"/>
          <w:sz w:val="18"/>
          <w:szCs w:val="18"/>
          <w:i w:val="1"/>
          <w:iCs w:val="1"/>
          <w:color w:val="auto"/>
        </w:rPr>
        <w:t xml:space="preserve"> </w:t>
      </w:r>
      <w:r>
        <w:rPr>
          <w:rFonts w:ascii="Arial" w:cs="Arial" w:eastAsia="Arial" w:hAnsi="Arial"/>
          <w:sz w:val="18"/>
          <w:szCs w:val="18"/>
          <w:color w:val="auto"/>
        </w:rPr>
        <w:t>Capitan &amp; Ocean Mesa Resorts. The Series G preferred OP units have a stated issuance price of $100.00 per OP unit and carry a preferred return of 3.2 percent. Subject to certain limitations, at any time after the Series G issuance date, each Series G preferred OP unit can be exchanged for a number of shares of our common stock equal to the quotient obtained by dividing $100.00 by $155.00 (as such ratio is subject to adjustments for certain capital events) at the holder’s option. The holders may require redemption in cash after the fifth anniversary of the Series G issuance date or upon the holder’s death. As of September 30, 2020, 260,710 Series G preferred OP units were outstanding. Refer to Note 3, “Real Estate Acquisitions and Dispositions,” for additional information.</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 xml:space="preserve">Issuance of Series F Preferred OP Units - </w:t>
      </w:r>
      <w:r>
        <w:rPr>
          <w:rFonts w:ascii="Arial" w:cs="Arial" w:eastAsia="Arial" w:hAnsi="Arial"/>
          <w:sz w:val="16"/>
          <w:szCs w:val="16"/>
          <w:color w:val="auto"/>
        </w:rPr>
        <w:t>In May 2020, we issued 90,000 Series F preferred OP units in connection with the acquisition of Forest Springs.</w:t>
      </w:r>
      <w:r>
        <w:rPr>
          <w:rFonts w:ascii="Arial" w:cs="Arial" w:eastAsia="Arial" w:hAnsi="Arial"/>
          <w:sz w:val="16"/>
          <w:szCs w:val="16"/>
          <w:i w:val="1"/>
          <w:iCs w:val="1"/>
          <w:color w:val="auto"/>
        </w:rPr>
        <w:t xml:space="preserve"> </w:t>
      </w:r>
      <w:r>
        <w:rPr>
          <w:rFonts w:ascii="Arial" w:cs="Arial" w:eastAsia="Arial" w:hAnsi="Arial"/>
          <w:sz w:val="16"/>
          <w:szCs w:val="16"/>
          <w:color w:val="auto"/>
        </w:rPr>
        <w:t>The Series F preferred OP units have a stated issuance price of $100.00 per OP unit and carry a preferred return of 3.0 percent. Subject to certain limitations, at any time after the Series F issuance date, each Series F preferred OP Unit can be exchanged for a number of shares of our common stock equal to the quotient obtained by dividing $100.00 by $160.00 (as such ratio is subject to adjustments for certain capital events) at the holder’s option. The holders may require redemption in cash after the fifth anniversary of the Series F issuance date or upon the holder’s death. As of September 30, 2020, 90,000 Series F preferred OP units were outstanding. Refer to Note 3, “Real Estate Acquisitions and Dispositions,” for additional information.</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Equity Interests - NG Sun Whitewater LLC - </w:t>
      </w:r>
      <w:r>
        <w:rPr>
          <w:rFonts w:ascii="Arial" w:cs="Arial" w:eastAsia="Arial" w:hAnsi="Arial"/>
          <w:sz w:val="17"/>
          <w:szCs w:val="17"/>
          <w:color w:val="auto"/>
        </w:rPr>
        <w:t>In August 2019, in connection with the investment in land at the property known as Whitewater, NG Sun</w:t>
      </w:r>
      <w:r>
        <w:rPr>
          <w:rFonts w:ascii="Arial" w:cs="Arial" w:eastAsia="Arial" w:hAnsi="Arial"/>
          <w:sz w:val="17"/>
          <w:szCs w:val="17"/>
          <w:i w:val="1"/>
          <w:iCs w:val="1"/>
          <w:color w:val="auto"/>
        </w:rPr>
        <w:t xml:space="preserve"> </w:t>
      </w:r>
      <w:r>
        <w:rPr>
          <w:rFonts w:ascii="Arial" w:cs="Arial" w:eastAsia="Arial" w:hAnsi="Arial"/>
          <w:sz w:val="17"/>
          <w:szCs w:val="17"/>
          <w:color w:val="auto"/>
        </w:rPr>
        <w:t>Whitewater LLC purchased $2.4 million of common equity interest in Sun NG Whitewater RV Resorts LLC (referred to as “Equity Interests - NG Sun Whitewater LLC”). The Equity Interests - NG Sun Whitewater LLC do not have a fixed maturity date. Upon the occurrence of certain events, either NG Sun Whitewater LLC or Sun NG LLC, our subsidiary, can trigger a process under which we may be required to purchase the Equity Interests - NG Sun Whitewater LLC from NG Sun Whitewater LLC. Refer to Note 7, “Consolidated Variable Interest Entities,” for additional information.</w:t>
      </w:r>
    </w:p>
    <w:p>
      <w:pPr>
        <w:spacing w:after="0" w:line="2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Issuance of Series D Preferred OP Units - </w:t>
      </w:r>
      <w:r>
        <w:rPr>
          <w:rFonts w:ascii="Arial" w:cs="Arial" w:eastAsia="Arial" w:hAnsi="Arial"/>
          <w:sz w:val="16"/>
          <w:szCs w:val="16"/>
          <w:color w:val="auto"/>
        </w:rPr>
        <w:t>In February 2019, we issued 488,958 Series D preferred OP units in connection with the acquisition of Country</w:t>
      </w:r>
      <w:r>
        <w:rPr>
          <w:rFonts w:ascii="Arial" w:cs="Arial" w:eastAsia="Arial" w:hAnsi="Arial"/>
          <w:sz w:val="16"/>
          <w:szCs w:val="16"/>
          <w:i w:val="1"/>
          <w:iCs w:val="1"/>
          <w:color w:val="auto"/>
        </w:rPr>
        <w:t xml:space="preserve"> </w:t>
      </w:r>
      <w:r>
        <w:rPr>
          <w:rFonts w:ascii="Arial" w:cs="Arial" w:eastAsia="Arial" w:hAnsi="Arial"/>
          <w:sz w:val="16"/>
          <w:szCs w:val="16"/>
          <w:color w:val="auto"/>
        </w:rPr>
        <w:t>Village Estates. The Series D preferred OP units have a stated issuance price of $100.00 per OP Unit and carry a preferred return of 3.75 percent until the second anniversary of the issuance date. Commencing with the second anniversary of the issuance date, the Series D Preferred OP Units carry a preferred return of 4.0 percent. Commencing with the first anniversary of the issuance date, each Series D Preferred OP Unit can be exchanged for our common stock equal to the quotient obtained by dividing $100.00 by $125.00 (as such ratio is subject to adjustments for certain capital events) at the holder’s option. The holders may require redemption in cash after the fifth anniversary of the Series D issuance date or upon the holder’s death. As of September 30, 2020, 488,958 Series D preferred OP units were outstanding. Refer to Note 3, “Real Estate Acquisitions and Dispositions,” for additional information.</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Equity Interests - NG Sun LLC - </w:t>
      </w:r>
      <w:r>
        <w:rPr>
          <w:rFonts w:ascii="Arial" w:cs="Arial" w:eastAsia="Arial" w:hAnsi="Arial"/>
          <w:sz w:val="17"/>
          <w:szCs w:val="17"/>
          <w:color w:val="auto"/>
        </w:rPr>
        <w:t>In June 2018, in connection with the investment in Sun NG Resorts, unrelated third parties purchased $6.5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Series B preferred equity interests and $15.4 million of common equity interest in Sun NG Resorts (herein jointly referred to as “Equity Interest - NG Sun LLC”). In April and September 2020, in connection with the acquisitions of Glen Ellis RV Park and Lone Star RV Park, $3.0 million of Series B preferred equity interests were converted to common equity interests. The Series B preferred equity interests carry a preferred return at a rate that, at any time, is equal to the interest rate on Sun NG Resorts’ indebtedness at such time. The current rate of return is 5.0 percent. The Equity Interests - NG Sun LLC do not have a fixed maturity date and can be redeemed in the fourth quarters of 2024, 2025 and 2026 at the holders’ option. Sun NG LLC, our subsidiary, has the right during certain periods each year, with or without cause, or for cause at any time, to elect to buy NG Sun LLC’s interest. During a limited period in 2022, NG Sun LLC has the right to put its interest to Sun NG LLC. If either party exercises their option, the property management agreement will be terminated, and we are required to purchase the remaining interests of NG Sun LLC and the property management agreement at fair value. Refer to Note 7, “Consolidated Variable Interest Entities,” and Note 8, “Debt and Lines of Credit,” for additional information.</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Series A-4 Preferred OP Units - </w:t>
      </w:r>
      <w:r>
        <w:rPr>
          <w:rFonts w:ascii="Arial" w:cs="Arial" w:eastAsia="Arial" w:hAnsi="Arial"/>
          <w:sz w:val="17"/>
          <w:szCs w:val="17"/>
          <w:color w:val="auto"/>
        </w:rPr>
        <w:t>On December 13, 2019, all outstanding shares of our 6.50 percent Series A-4 Cumulative Convertible Preferred Stock, and</w:t>
      </w:r>
      <w:r>
        <w:rPr>
          <w:rFonts w:ascii="Arial" w:cs="Arial" w:eastAsia="Arial" w:hAnsi="Arial"/>
          <w:sz w:val="17"/>
          <w:szCs w:val="17"/>
          <w:i w:val="1"/>
          <w:iCs w:val="1"/>
          <w:color w:val="auto"/>
        </w:rPr>
        <w:t xml:space="preserve"> </w:t>
      </w:r>
      <w:r>
        <w:rPr>
          <w:rFonts w:ascii="Arial" w:cs="Arial" w:eastAsia="Arial" w:hAnsi="Arial"/>
          <w:sz w:val="17"/>
          <w:szCs w:val="17"/>
          <w:color w:val="auto"/>
        </w:rPr>
        <w:t>all of the Operating Partnership’s Series A-4 Preferred OP Units were converted into common stock and common OP units, respectively. All 1,031,747 shares of Series A-4 preferred stock were converted into 458,541 shares of common stock (net of fractional shares paid in cash). All 405,656 Series A-4 preferred OP units were converted into 180,277 common OP units (net of fractional units paid in cash). The Series A-4 preferred shares and units were issued to the sellers of the American Land Lease portfolio which we acquired in 2014 and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Conversions to Common Stock - </w:t>
      </w:r>
      <w:r>
        <w:rPr>
          <w:rFonts w:ascii="Arial" w:cs="Arial" w:eastAsia="Arial" w:hAnsi="Arial"/>
          <w:sz w:val="18"/>
          <w:szCs w:val="18"/>
          <w:color w:val="auto"/>
        </w:rPr>
        <w:t>Subject to certain limitations, holders can convert certain series of stock and OP units to shares of our common stock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Below is the activity of conversions during the nine months ended September 30, 2020 and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gridSpan w:val="3"/>
          </w:tcPr>
          <w:p>
            <w:pPr>
              <w:ind w:left="640"/>
              <w:spacing w:after="0"/>
              <w:rPr>
                <w:sz w:val="20"/>
                <w:szCs w:val="20"/>
                <w:color w:val="auto"/>
              </w:rPr>
            </w:pPr>
            <w:r>
              <w:rPr>
                <w:rFonts w:ascii="Arial" w:cs="Arial" w:eastAsia="Arial" w:hAnsi="Arial"/>
                <w:sz w:val="15"/>
                <w:szCs w:val="15"/>
                <w:b w:val="1"/>
                <w:bCs w:val="1"/>
                <w:color w:val="auto"/>
              </w:rPr>
              <w:t>Nine Months Ended</w:t>
            </w:r>
          </w:p>
        </w:tc>
        <w:tc>
          <w:tcPr>
            <w:tcW w:w="2600" w:type="dxa"/>
            <w:vAlign w:val="bottom"/>
            <w:gridSpan w:val="2"/>
          </w:tcPr>
          <w:p>
            <w:pPr>
              <w:jc w:val="right"/>
              <w:ind w:right="564"/>
              <w:spacing w:after="0"/>
              <w:rPr>
                <w:sz w:val="20"/>
                <w:szCs w:val="20"/>
                <w:color w:val="auto"/>
              </w:rPr>
            </w:pPr>
            <w:r>
              <w:rPr>
                <w:rFonts w:ascii="Arial" w:cs="Arial" w:eastAsia="Arial" w:hAnsi="Arial"/>
                <w:sz w:val="15"/>
                <w:szCs w:val="15"/>
                <w:b w:val="1"/>
                <w:bCs w:val="1"/>
                <w:color w:val="auto"/>
              </w:rPr>
              <w:t>Nine Months Ended</w:t>
            </w:r>
          </w:p>
        </w:tc>
      </w:tr>
      <w:tr>
        <w:trPr>
          <w:trHeight w:val="220"/>
        </w:trPr>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40" w:type="dxa"/>
            <w:vAlign w:val="bottom"/>
            <w:gridSpan w:val="3"/>
          </w:tcPr>
          <w:p>
            <w:pPr>
              <w:ind w:left="660"/>
              <w:spacing w:after="0"/>
              <w:rPr>
                <w:sz w:val="20"/>
                <w:szCs w:val="20"/>
                <w:color w:val="auto"/>
              </w:rPr>
            </w:pPr>
            <w:r>
              <w:rPr>
                <w:rFonts w:ascii="Arial" w:cs="Arial" w:eastAsia="Arial" w:hAnsi="Arial"/>
                <w:sz w:val="15"/>
                <w:szCs w:val="15"/>
                <w:b w:val="1"/>
                <w:bCs w:val="1"/>
                <w:color w:val="auto"/>
              </w:rPr>
              <w:t>September 30, 2020</w:t>
            </w:r>
          </w:p>
        </w:tc>
        <w:tc>
          <w:tcPr>
            <w:tcW w:w="2600" w:type="dxa"/>
            <w:vAlign w:val="bottom"/>
            <w:gridSpan w:val="2"/>
          </w:tcPr>
          <w:p>
            <w:pPr>
              <w:jc w:val="right"/>
              <w:ind w:right="584"/>
              <w:spacing w:after="0"/>
              <w:rPr>
                <w:sz w:val="20"/>
                <w:szCs w:val="20"/>
                <w:color w:val="auto"/>
              </w:rPr>
            </w:pPr>
            <w:r>
              <w:rPr>
                <w:rFonts w:ascii="Arial" w:cs="Arial" w:eastAsia="Arial" w:hAnsi="Arial"/>
                <w:sz w:val="15"/>
                <w:szCs w:val="15"/>
                <w:b w:val="1"/>
                <w:bCs w:val="1"/>
                <w:color w:val="auto"/>
              </w:rPr>
              <w:t>September 30, 2019</w:t>
            </w:r>
          </w:p>
        </w:tc>
      </w:tr>
      <w:tr>
        <w:trPr>
          <w:trHeight w:val="169"/>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Borders>
              <w:top w:val="single" w:sz="8" w:color="auto"/>
            </w:tcBorders>
          </w:tcPr>
          <w:p>
            <w:pPr>
              <w:jc w:val="right"/>
              <w:ind w:right="124"/>
              <w:spacing w:after="0" w:line="169" w:lineRule="exact"/>
              <w:rPr>
                <w:sz w:val="20"/>
                <w:szCs w:val="20"/>
                <w:color w:val="auto"/>
              </w:rPr>
            </w:pPr>
            <w:r>
              <w:rPr>
                <w:rFonts w:ascii="Arial" w:cs="Arial" w:eastAsia="Arial" w:hAnsi="Arial"/>
                <w:sz w:val="15"/>
                <w:szCs w:val="15"/>
                <w:b w:val="1"/>
                <w:bCs w:val="1"/>
                <w:color w:val="auto"/>
              </w:rPr>
              <w:t>Units / Shares</w:t>
            </w:r>
          </w:p>
        </w:tc>
        <w:tc>
          <w:tcPr>
            <w:tcW w:w="12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Borders>
              <w:top w:val="single" w:sz="8" w:color="auto"/>
            </w:tcBorders>
          </w:tcPr>
          <w:p>
            <w:pPr>
              <w:jc w:val="right"/>
              <w:ind w:right="124"/>
              <w:spacing w:after="0" w:line="169" w:lineRule="exact"/>
              <w:rPr>
                <w:sz w:val="20"/>
                <w:szCs w:val="20"/>
                <w:color w:val="auto"/>
              </w:rPr>
            </w:pPr>
            <w:r>
              <w:rPr>
                <w:rFonts w:ascii="Arial" w:cs="Arial" w:eastAsia="Arial" w:hAnsi="Arial"/>
                <w:sz w:val="15"/>
                <w:szCs w:val="15"/>
                <w:b w:val="1"/>
                <w:bCs w:val="1"/>
                <w:color w:val="auto"/>
              </w:rPr>
              <w:t>Units / Shares</w:t>
            </w:r>
          </w:p>
        </w:tc>
        <w:tc>
          <w:tcPr>
            <w:tcW w:w="1280" w:type="dxa"/>
            <w:vAlign w:val="bottom"/>
            <w:tcBorders>
              <w:top w:val="single" w:sz="8" w:color="auto"/>
            </w:tcBorders>
          </w:tcPr>
          <w:p>
            <w:pPr>
              <w:spacing w:after="0"/>
              <w:rPr>
                <w:sz w:val="14"/>
                <w:szCs w:val="14"/>
                <w:color w:val="auto"/>
              </w:rPr>
            </w:pPr>
          </w:p>
        </w:tc>
      </w:tr>
      <w:tr>
        <w:trPr>
          <w:trHeight w:val="202"/>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Series</w:t>
            </w:r>
          </w:p>
        </w:tc>
        <w:tc>
          <w:tcPr>
            <w:tcW w:w="2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8"/>
              </w:rPr>
              <w:t>Conversion Rate</w:t>
            </w:r>
          </w:p>
        </w:tc>
        <w:tc>
          <w:tcPr>
            <w:tcW w:w="2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Converted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7"/>
              </w:rPr>
              <w:t xml:space="preserve">Common Stock </w:t>
            </w:r>
            <w:r>
              <w:rPr>
                <w:rFonts w:ascii="Arial" w:cs="Arial" w:eastAsia="Arial" w:hAnsi="Arial"/>
                <w:sz w:val="9"/>
                <w:szCs w:val="9"/>
                <w:b w:val="1"/>
                <w:bCs w:val="1"/>
                <w:color w:val="auto"/>
                <w:w w:val="97"/>
              </w:rPr>
              <w:t>(1)</w:t>
            </w:r>
          </w:p>
        </w:tc>
        <w:tc>
          <w:tcPr>
            <w:tcW w:w="2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Converted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 xml:space="preserve">Common Stock </w:t>
            </w:r>
            <w:r>
              <w:rPr>
                <w:rFonts w:ascii="Arial" w:cs="Arial" w:eastAsia="Arial" w:hAnsi="Arial"/>
                <w:sz w:val="9"/>
                <w:szCs w:val="9"/>
                <w:b w:val="1"/>
                <w:bCs w:val="1"/>
                <w:color w:val="auto"/>
                <w:w w:val="95"/>
              </w:rPr>
              <w:t>(1)</w:t>
            </w:r>
          </w:p>
        </w:tc>
      </w:tr>
      <w:tr>
        <w:trPr>
          <w:trHeight w:val="214"/>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Common OP unit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29,886</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29,886</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443,158</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443,158</w:t>
            </w:r>
          </w:p>
        </w:tc>
      </w:tr>
      <w:tr>
        <w:trPr>
          <w:trHeight w:val="212"/>
        </w:trPr>
        <w:tc>
          <w:tcPr>
            <w:tcW w:w="4240" w:type="dxa"/>
            <w:vAlign w:val="bottom"/>
            <w:gridSpan w:val="2"/>
          </w:tcPr>
          <w:p>
            <w:pPr>
              <w:ind w:left="20"/>
              <w:spacing w:after="0"/>
              <w:rPr>
                <w:sz w:val="20"/>
                <w:szCs w:val="20"/>
                <w:color w:val="auto"/>
              </w:rPr>
            </w:pPr>
            <w:r>
              <w:rPr>
                <w:rFonts w:ascii="Arial" w:cs="Arial" w:eastAsia="Arial" w:hAnsi="Arial"/>
                <w:sz w:val="15"/>
                <w:szCs w:val="15"/>
                <w:color w:val="auto"/>
              </w:rPr>
              <w:t>Series A-1 preferred OP unit</w:t>
            </w:r>
          </w:p>
        </w:tc>
        <w:tc>
          <w:tcPr>
            <w:tcW w:w="1320" w:type="dxa"/>
            <w:vAlign w:val="bottom"/>
          </w:tcPr>
          <w:p>
            <w:pPr>
              <w:jc w:val="right"/>
              <w:spacing w:after="0"/>
              <w:rPr>
                <w:sz w:val="20"/>
                <w:szCs w:val="20"/>
                <w:color w:val="auto"/>
              </w:rPr>
            </w:pPr>
            <w:r>
              <w:rPr>
                <w:rFonts w:ascii="Arial" w:cs="Arial" w:eastAsia="Arial" w:hAnsi="Arial"/>
                <w:sz w:val="15"/>
                <w:szCs w:val="15"/>
                <w:color w:val="auto"/>
              </w:rPr>
              <w:t>2.4390</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10,614</w:t>
            </w: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25,884</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15,732</w:t>
            </w: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38,363</w:t>
            </w:r>
          </w:p>
        </w:tc>
      </w:tr>
      <w:tr>
        <w:trPr>
          <w:trHeight w:val="220"/>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Series A-4 preferred OP unit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0.4444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4,708</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2,092</w:t>
            </w:r>
          </w:p>
        </w:tc>
      </w:tr>
      <w:tr>
        <w:trPr>
          <w:trHeight w:val="212"/>
        </w:trPr>
        <w:tc>
          <w:tcPr>
            <w:tcW w:w="4240" w:type="dxa"/>
            <w:vAlign w:val="bottom"/>
            <w:gridSpan w:val="2"/>
          </w:tcPr>
          <w:p>
            <w:pPr>
              <w:ind w:left="20"/>
              <w:spacing w:after="0"/>
              <w:rPr>
                <w:sz w:val="20"/>
                <w:szCs w:val="20"/>
                <w:color w:val="auto"/>
              </w:rPr>
            </w:pPr>
            <w:r>
              <w:rPr>
                <w:rFonts w:ascii="Arial" w:cs="Arial" w:eastAsia="Arial" w:hAnsi="Arial"/>
                <w:sz w:val="15"/>
                <w:szCs w:val="15"/>
                <w:color w:val="auto"/>
              </w:rPr>
              <w:t>Series A-4 preferred stock</w:t>
            </w:r>
          </w:p>
        </w:tc>
        <w:tc>
          <w:tcPr>
            <w:tcW w:w="1320" w:type="dxa"/>
            <w:vAlign w:val="bottom"/>
          </w:tcPr>
          <w:p>
            <w:pPr>
              <w:jc w:val="right"/>
              <w:spacing w:after="0"/>
              <w:rPr>
                <w:sz w:val="20"/>
                <w:szCs w:val="20"/>
                <w:color w:val="auto"/>
              </w:rPr>
            </w:pPr>
            <w:r>
              <w:rPr>
                <w:rFonts w:ascii="Arial" w:cs="Arial" w:eastAsia="Arial" w:hAnsi="Arial"/>
                <w:sz w:val="15"/>
                <w:szCs w:val="15"/>
                <w:color w:val="auto"/>
              </w:rPr>
              <w:t>0.4444</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15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11,288</w:t>
            </w: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5,016</w:t>
            </w:r>
          </w:p>
        </w:tc>
      </w:tr>
      <w:tr>
        <w:trPr>
          <w:trHeight w:val="220"/>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Series C preferred OP unit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1.1100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1,485</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1,648</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4,014</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4,455</w:t>
            </w:r>
          </w:p>
        </w:tc>
      </w:tr>
    </w:tbl>
    <w:p>
      <w:pPr>
        <w:spacing w:after="0" w:line="105"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Calculation may yield minor differences due to rounding incorporated in the above numbers.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Distributions declared for the three months ended September 30, 2020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94"/>
              </w:rPr>
              <w:t>Distribution Per</w:t>
            </w:r>
          </w:p>
        </w:tc>
        <w:tc>
          <w:tcPr>
            <w:tcW w:w="1220" w:type="dxa"/>
            <w:vAlign w:val="bottom"/>
            <w:gridSpan w:val="2"/>
          </w:tcPr>
          <w:p>
            <w:pPr>
              <w:ind w:left="20"/>
              <w:spacing w:after="0"/>
              <w:rPr>
                <w:sz w:val="20"/>
                <w:szCs w:val="20"/>
                <w:color w:val="auto"/>
              </w:rPr>
            </w:pPr>
            <w:r>
              <w:rPr>
                <w:rFonts w:ascii="Arial" w:cs="Arial" w:eastAsia="Arial" w:hAnsi="Arial"/>
                <w:sz w:val="15"/>
                <w:szCs w:val="15"/>
                <w:b w:val="1"/>
                <w:bCs w:val="1"/>
                <w:color w:val="auto"/>
                <w:w w:val="94"/>
              </w:rPr>
              <w:t>Total Distribution</w:t>
            </w:r>
          </w:p>
        </w:tc>
      </w:tr>
      <w:tr>
        <w:trPr>
          <w:trHeight w:val="202"/>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Cash Distributions</w:t>
            </w:r>
          </w:p>
        </w:tc>
        <w:tc>
          <w:tcPr>
            <w:tcW w:w="2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Record Date</w:t>
            </w:r>
          </w:p>
        </w:tc>
        <w:tc>
          <w:tcPr>
            <w:tcW w:w="2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Payment Date</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64"/>
              <w:spacing w:after="0"/>
              <w:rPr>
                <w:sz w:val="20"/>
                <w:szCs w:val="20"/>
                <w:color w:val="auto"/>
              </w:rPr>
            </w:pPr>
            <w:r>
              <w:rPr>
                <w:rFonts w:ascii="Arial" w:cs="Arial" w:eastAsia="Arial" w:hAnsi="Arial"/>
                <w:sz w:val="15"/>
                <w:szCs w:val="15"/>
                <w:b w:val="1"/>
                <w:bCs w:val="1"/>
                <w:color w:val="auto"/>
                <w:w w:val="91"/>
              </w:rPr>
              <w:t>Share</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93"/>
              </w:rPr>
              <w:t>(thousands)</w:t>
            </w:r>
          </w:p>
        </w:tc>
      </w:tr>
      <w:tr>
        <w:trPr>
          <w:trHeight w:val="214"/>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Common Stock, Common OP units and Restricted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9/30/2020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10/15/2020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79,594</w:t>
            </w:r>
          </w:p>
        </w:tc>
      </w:tr>
    </w:tbl>
    <w:p>
      <w:pPr>
        <w:spacing w:after="0" w:line="333"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September 30, 2020, we had two share-based compensation plans: the Sun Communities, Inc. 2015 Equity Incentive Plan (“2015 Equity Incentive Plan”) and the First Amended and Restated 2004 Non-Employee Director Option Plan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2020 and 2019, shares were granted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64"/>
              <w:spacing w:after="0"/>
              <w:rPr>
                <w:sz w:val="20"/>
                <w:szCs w:val="20"/>
                <w:color w:val="auto"/>
              </w:rPr>
            </w:pPr>
            <w:r>
              <w:rPr>
                <w:rFonts w:ascii="Arial" w:cs="Arial" w:eastAsia="Arial" w:hAnsi="Arial"/>
                <w:sz w:val="15"/>
                <w:szCs w:val="15"/>
                <w:b w:val="1"/>
                <w:bCs w:val="1"/>
                <w:color w:val="auto"/>
                <w:w w:val="96"/>
              </w:rPr>
              <w:t>Grant Date</w:t>
            </w: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2"/>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64"/>
              <w:spacing w:after="0" w:line="162" w:lineRule="exact"/>
              <w:rPr>
                <w:sz w:val="20"/>
                <w:szCs w:val="20"/>
                <w:color w:val="auto"/>
              </w:rPr>
            </w:pPr>
            <w:r>
              <w:rPr>
                <w:rFonts w:ascii="Arial" w:cs="Arial" w:eastAsia="Arial" w:hAnsi="Arial"/>
                <w:sz w:val="15"/>
                <w:szCs w:val="15"/>
                <w:b w:val="1"/>
                <w:bCs w:val="1"/>
                <w:color w:val="auto"/>
              </w:rPr>
              <w:t>Shares</w:t>
            </w:r>
          </w:p>
        </w:tc>
        <w:tc>
          <w:tcPr>
            <w:tcW w:w="280" w:type="dxa"/>
            <w:vAlign w:val="bottom"/>
          </w:tcPr>
          <w:p>
            <w:pPr>
              <w:spacing w:after="0"/>
              <w:rPr>
                <w:sz w:val="14"/>
                <w:szCs w:val="14"/>
                <w:color w:val="auto"/>
              </w:rPr>
            </w:pPr>
          </w:p>
        </w:tc>
        <w:tc>
          <w:tcPr>
            <w:tcW w:w="1100" w:type="dxa"/>
            <w:vAlign w:val="bottom"/>
            <w:gridSpan w:val="2"/>
          </w:tcPr>
          <w:p>
            <w:pPr>
              <w:jc w:val="center"/>
              <w:spacing w:after="0" w:line="162" w:lineRule="exact"/>
              <w:rPr>
                <w:sz w:val="20"/>
                <w:szCs w:val="20"/>
                <w:color w:val="auto"/>
              </w:rPr>
            </w:pPr>
            <w:r>
              <w:rPr>
                <w:rFonts w:ascii="Arial" w:cs="Arial" w:eastAsia="Arial" w:hAnsi="Arial"/>
                <w:sz w:val="15"/>
                <w:szCs w:val="15"/>
                <w:b w:val="1"/>
                <w:bCs w:val="1"/>
                <w:color w:val="auto"/>
                <w:w w:val="93"/>
              </w:rPr>
              <w:t>Fair Value Per</w:t>
            </w: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ind w:left="300"/>
              <w:spacing w:after="0" w:line="162" w:lineRule="exact"/>
              <w:rPr>
                <w:sz w:val="20"/>
                <w:szCs w:val="20"/>
                <w:color w:val="auto"/>
              </w:rPr>
            </w:pPr>
            <w:r>
              <w:rPr>
                <w:rFonts w:ascii="Arial" w:cs="Arial" w:eastAsia="Arial" w:hAnsi="Arial"/>
                <w:sz w:val="15"/>
                <w:szCs w:val="15"/>
                <w:b w:val="1"/>
                <w:bCs w:val="1"/>
                <w:color w:val="auto"/>
              </w:rPr>
              <w:t>Vesting</w:t>
            </w:r>
          </w:p>
        </w:tc>
        <w:tc>
          <w:tcPr>
            <w:tcW w:w="1160" w:type="dxa"/>
            <w:vAlign w:val="bottom"/>
          </w:tcPr>
          <w:p>
            <w:pPr>
              <w:spacing w:after="0"/>
              <w:rPr>
                <w:sz w:val="14"/>
                <w:szCs w:val="14"/>
                <w:color w:val="auto"/>
              </w:rPr>
            </w:pPr>
          </w:p>
        </w:tc>
      </w:tr>
      <w:tr>
        <w:trPr>
          <w:trHeight w:val="202"/>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Grant Period</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5"/>
                <w:szCs w:val="15"/>
                <w:b w:val="1"/>
                <w:bCs w:val="1"/>
                <w:color w:val="auto"/>
              </w:rPr>
              <w:t>Type</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ind w:left="560"/>
              <w:spacing w:after="0"/>
              <w:rPr>
                <w:sz w:val="20"/>
                <w:szCs w:val="20"/>
                <w:color w:val="auto"/>
              </w:rPr>
            </w:pPr>
            <w:r>
              <w:rPr>
                <w:rFonts w:ascii="Arial" w:cs="Arial" w:eastAsia="Arial" w:hAnsi="Arial"/>
                <w:sz w:val="15"/>
                <w:szCs w:val="15"/>
                <w:b w:val="1"/>
                <w:bCs w:val="1"/>
                <w:color w:val="auto"/>
              </w:rPr>
              <w:t>Plan</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Granted</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1"/>
              </w:rPr>
              <w:t>Share</w:t>
            </w:r>
          </w:p>
        </w:tc>
        <w:tc>
          <w:tcPr>
            <w:tcW w:w="2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Vesting Type</w:t>
            </w:r>
          </w:p>
        </w:tc>
        <w:tc>
          <w:tcPr>
            <w:tcW w:w="16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Anniversary</w:t>
            </w:r>
          </w:p>
        </w:tc>
        <w:tc>
          <w:tcPr>
            <w:tcW w:w="11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Percentage</w:t>
            </w:r>
          </w:p>
        </w:tc>
      </w:tr>
      <w:tr>
        <w:trPr>
          <w:trHeight w:val="214"/>
        </w:trPr>
        <w:tc>
          <w:tcPr>
            <w:tcW w:w="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2020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Key Employees</w:t>
            </w:r>
          </w:p>
        </w:tc>
        <w:tc>
          <w:tcPr>
            <w:tcW w:w="340" w:type="dxa"/>
            <w:vAlign w:val="bottom"/>
            <w:shd w:val="clear" w:color="auto" w:fill="CCEEFF"/>
          </w:tcPr>
          <w:p>
            <w:pPr>
              <w:ind w:left="20"/>
              <w:spacing w:after="0"/>
              <w:rPr>
                <w:sz w:val="20"/>
                <w:szCs w:val="20"/>
                <w:color w:val="auto"/>
              </w:rPr>
            </w:pPr>
            <w:r>
              <w:rPr>
                <w:rFonts w:ascii="Arial" w:cs="Arial" w:eastAsia="Arial" w:hAnsi="Arial"/>
                <w:sz w:val="15"/>
                <w:szCs w:val="15"/>
                <w:color w:val="auto"/>
                <w:w w:val="89"/>
              </w:rPr>
              <w:t>2015</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Equity Incentive Plan</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143.20</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20.0% annually over 5 years</w:t>
            </w:r>
          </w:p>
        </w:tc>
      </w:tr>
      <w:tr>
        <w:trPr>
          <w:trHeight w:val="212"/>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2020</w:t>
            </w:r>
          </w:p>
        </w:tc>
        <w:tc>
          <w:tcPr>
            <w:tcW w:w="10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5"/>
                <w:szCs w:val="15"/>
                <w:color w:val="auto"/>
              </w:rPr>
              <w:t>Key Employees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6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51,790</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162.42</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20.0% annually over 5 years</w:t>
            </w:r>
          </w:p>
        </w:tc>
      </w:tr>
      <w:tr>
        <w:trPr>
          <w:trHeight w:val="220"/>
        </w:trPr>
        <w:tc>
          <w:tcPr>
            <w:tcW w:w="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2020</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shd w:val="clear" w:color="auto" w:fill="CCEEFF"/>
          </w:tcPr>
          <w:p>
            <w:pPr>
              <w:ind w:left="20"/>
              <w:spacing w:after="0"/>
              <w:rPr>
                <w:sz w:val="20"/>
                <w:szCs w:val="20"/>
                <w:color w:val="auto"/>
              </w:rPr>
            </w:pPr>
            <w:r>
              <w:rPr>
                <w:rFonts w:ascii="Arial" w:cs="Arial" w:eastAsia="Arial" w:hAnsi="Arial"/>
                <w:sz w:val="15"/>
                <w:szCs w:val="15"/>
                <w:color w:val="auto"/>
                <w:w w:val="89"/>
              </w:rPr>
              <w:t>2015</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Equity Incentive Plan</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46,000</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165.97</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20.0% annually over 5 years</w:t>
            </w:r>
          </w:p>
        </w:tc>
      </w:tr>
      <w:tr>
        <w:trPr>
          <w:trHeight w:val="212"/>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2020</w:t>
            </w:r>
          </w:p>
        </w:tc>
        <w:tc>
          <w:tcPr>
            <w:tcW w:w="10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6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69,000</w:t>
            </w:r>
          </w:p>
        </w:tc>
        <w:tc>
          <w:tcPr>
            <w:tcW w:w="280" w:type="dxa"/>
            <w:vAlign w:val="bottom"/>
          </w:tcPr>
          <w:p>
            <w:pPr>
              <w:jc w:val="right"/>
              <w:ind w:right="90"/>
              <w:spacing w:after="0"/>
              <w:rPr>
                <w:sz w:val="20"/>
                <w:szCs w:val="20"/>
                <w:color w:val="auto"/>
              </w:rPr>
            </w:pPr>
            <w:r>
              <w:rPr>
                <w:rFonts w:ascii="Arial" w:cs="Arial" w:eastAsia="Arial" w:hAnsi="Arial"/>
                <w:sz w:val="10"/>
                <w:szCs w:val="10"/>
                <w:color w:val="auto"/>
                <w:w w:val="97"/>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125.47</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(2)</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Market Condition</w:t>
            </w:r>
          </w:p>
        </w:tc>
        <w:tc>
          <w:tcPr>
            <w:tcW w:w="1180" w:type="dxa"/>
            <w:vAlign w:val="bottom"/>
          </w:tcPr>
          <w:p>
            <w:pPr>
              <w:ind w:left="440"/>
              <w:spacing w:after="0"/>
              <w:rPr>
                <w:sz w:val="20"/>
                <w:szCs w:val="20"/>
                <w:color w:val="auto"/>
              </w:rPr>
            </w:pPr>
            <w:r>
              <w:rPr>
                <w:rFonts w:ascii="Arial" w:cs="Arial" w:eastAsia="Arial" w:hAnsi="Arial"/>
                <w:sz w:val="15"/>
                <w:szCs w:val="15"/>
                <w:color w:val="auto"/>
              </w:rPr>
              <w:t>3rd</w:t>
            </w:r>
          </w:p>
        </w:tc>
        <w:tc>
          <w:tcPr>
            <w:tcW w:w="1160" w:type="dxa"/>
            <w:vAlign w:val="bottom"/>
          </w:tcPr>
          <w:p>
            <w:pPr>
              <w:jc w:val="right"/>
              <w:spacing w:after="0"/>
              <w:rPr>
                <w:sz w:val="20"/>
                <w:szCs w:val="20"/>
                <w:color w:val="auto"/>
              </w:rPr>
            </w:pPr>
            <w:r>
              <w:rPr>
                <w:rFonts w:ascii="Arial" w:cs="Arial" w:eastAsia="Arial" w:hAnsi="Arial"/>
                <w:sz w:val="15"/>
                <w:szCs w:val="15"/>
                <w:color w:val="auto"/>
              </w:rPr>
              <w:t>100.0 %</w:t>
            </w:r>
          </w:p>
        </w:tc>
      </w:tr>
      <w:tr>
        <w:trPr>
          <w:trHeight w:val="180"/>
        </w:trPr>
        <w:tc>
          <w:tcPr>
            <w:tcW w:w="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2020</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Directors</w:t>
            </w:r>
          </w:p>
        </w:tc>
        <w:tc>
          <w:tcPr>
            <w:tcW w:w="340" w:type="dxa"/>
            <w:vAlign w:val="bottom"/>
            <w:shd w:val="clear" w:color="auto" w:fill="CCEEFF"/>
          </w:tcPr>
          <w:p>
            <w:pPr>
              <w:ind w:left="20"/>
              <w:spacing w:after="0"/>
              <w:rPr>
                <w:sz w:val="20"/>
                <w:szCs w:val="20"/>
                <w:color w:val="auto"/>
              </w:rPr>
            </w:pPr>
            <w:r>
              <w:rPr>
                <w:rFonts w:ascii="Arial" w:cs="Arial" w:eastAsia="Arial" w:hAnsi="Arial"/>
                <w:sz w:val="15"/>
                <w:szCs w:val="15"/>
                <w:color w:val="auto"/>
                <w:w w:val="89"/>
              </w:rPr>
              <w:t>2004</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Non-Employee Director</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10,200</w:t>
            </w: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147.97</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Time Based</w:t>
            </w:r>
          </w:p>
        </w:tc>
        <w:tc>
          <w:tcPr>
            <w:tcW w:w="11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3rd</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202"/>
        </w:trPr>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Option Plan</w:t>
            </w: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2"/>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2019</w:t>
            </w:r>
          </w:p>
        </w:tc>
        <w:tc>
          <w:tcPr>
            <w:tcW w:w="10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6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44,000</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115.39</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20.0% annually over 5 years</w:t>
            </w:r>
          </w:p>
        </w:tc>
      </w:tr>
      <w:tr>
        <w:trPr>
          <w:trHeight w:val="220"/>
        </w:trPr>
        <w:tc>
          <w:tcPr>
            <w:tcW w:w="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2019</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shd w:val="clear" w:color="auto" w:fill="CCEEFF"/>
          </w:tcPr>
          <w:p>
            <w:pPr>
              <w:ind w:left="20"/>
              <w:spacing w:after="0"/>
              <w:rPr>
                <w:sz w:val="20"/>
                <w:szCs w:val="20"/>
                <w:color w:val="auto"/>
              </w:rPr>
            </w:pPr>
            <w:r>
              <w:rPr>
                <w:rFonts w:ascii="Arial" w:cs="Arial" w:eastAsia="Arial" w:hAnsi="Arial"/>
                <w:sz w:val="15"/>
                <w:szCs w:val="15"/>
                <w:color w:val="auto"/>
                <w:w w:val="89"/>
              </w:rPr>
              <w:t>2015</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Equity Incentive Plan</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66,000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97"/>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115.39</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81"/>
              </w:rPr>
              <w:t>(3)</w:t>
            </w: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Market Condition</w:t>
            </w:r>
          </w:p>
        </w:tc>
        <w:tc>
          <w:tcPr>
            <w:tcW w:w="11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3rd</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100.0 %</w:t>
            </w:r>
          </w:p>
        </w:tc>
      </w:tr>
      <w:tr>
        <w:trPr>
          <w:trHeight w:val="176"/>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2019</w:t>
            </w:r>
          </w:p>
        </w:tc>
        <w:tc>
          <w:tcPr>
            <w:tcW w:w="100" w:type="dxa"/>
            <w:vAlign w:val="bottom"/>
          </w:tcPr>
          <w:p>
            <w:pPr>
              <w:spacing w:after="0"/>
              <w:rPr>
                <w:sz w:val="15"/>
                <w:szCs w:val="15"/>
                <w:color w:val="auto"/>
              </w:rPr>
            </w:pPr>
          </w:p>
        </w:tc>
        <w:tc>
          <w:tcPr>
            <w:tcW w:w="1500" w:type="dxa"/>
            <w:vAlign w:val="bottom"/>
            <w:gridSpan w:val="2"/>
          </w:tcPr>
          <w:p>
            <w:pPr>
              <w:ind w:left="20"/>
              <w:spacing w:after="0"/>
              <w:rPr>
                <w:sz w:val="20"/>
                <w:szCs w:val="20"/>
                <w:color w:val="auto"/>
              </w:rPr>
            </w:pPr>
            <w:r>
              <w:rPr>
                <w:rFonts w:ascii="Arial" w:cs="Arial" w:eastAsia="Arial" w:hAnsi="Arial"/>
                <w:sz w:val="15"/>
                <w:szCs w:val="15"/>
                <w:color w:val="auto"/>
              </w:rPr>
              <w:t>Directors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2004</w:t>
            </w:r>
          </w:p>
        </w:tc>
        <w:tc>
          <w:tcPr>
            <w:tcW w:w="1860" w:type="dxa"/>
            <w:vAlign w:val="bottom"/>
            <w:gridSpan w:val="2"/>
          </w:tcPr>
          <w:p>
            <w:pPr>
              <w:ind w:left="20"/>
              <w:spacing w:after="0"/>
              <w:rPr>
                <w:sz w:val="20"/>
                <w:szCs w:val="20"/>
                <w:color w:val="auto"/>
              </w:rPr>
            </w:pPr>
            <w:r>
              <w:rPr>
                <w:rFonts w:ascii="Arial" w:cs="Arial" w:eastAsia="Arial" w:hAnsi="Arial"/>
                <w:sz w:val="15"/>
                <w:szCs w:val="15"/>
                <w:color w:val="auto"/>
              </w:rPr>
              <w:t>Non-Employee Director</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18,000</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113.68</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1180" w:type="dxa"/>
            <w:vAlign w:val="bottom"/>
          </w:tcPr>
          <w:p>
            <w:pPr>
              <w:ind w:left="440"/>
              <w:spacing w:after="0"/>
              <w:rPr>
                <w:sz w:val="20"/>
                <w:szCs w:val="20"/>
                <w:color w:val="auto"/>
              </w:rPr>
            </w:pPr>
            <w:r>
              <w:rPr>
                <w:rFonts w:ascii="Arial" w:cs="Arial" w:eastAsia="Arial" w:hAnsi="Arial"/>
                <w:sz w:val="15"/>
                <w:szCs w:val="15"/>
                <w:color w:val="auto"/>
              </w:rPr>
              <w:t>3rd</w:t>
            </w:r>
          </w:p>
        </w:tc>
        <w:tc>
          <w:tcPr>
            <w:tcW w:w="1160" w:type="dxa"/>
            <w:vAlign w:val="bottom"/>
          </w:tcPr>
          <w:p>
            <w:pPr>
              <w:jc w:val="right"/>
              <w:spacing w:after="0"/>
              <w:rPr>
                <w:sz w:val="20"/>
                <w:szCs w:val="20"/>
                <w:color w:val="auto"/>
              </w:rPr>
            </w:pPr>
            <w:r>
              <w:rPr>
                <w:rFonts w:ascii="Arial" w:cs="Arial" w:eastAsia="Arial" w:hAnsi="Arial"/>
                <w:sz w:val="15"/>
                <w:szCs w:val="15"/>
                <w:color w:val="auto"/>
              </w:rPr>
              <w:t>100.0 %</w:t>
            </w:r>
          </w:p>
        </w:tc>
      </w:tr>
      <w:tr>
        <w:trPr>
          <w:trHeight w:val="198"/>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3"/>
          </w:tcPr>
          <w:p>
            <w:pPr>
              <w:ind w:left="20"/>
              <w:spacing w:after="0"/>
              <w:rPr>
                <w:sz w:val="20"/>
                <w:szCs w:val="20"/>
                <w:color w:val="auto"/>
              </w:rPr>
            </w:pPr>
            <w:r>
              <w:rPr>
                <w:rFonts w:ascii="Arial" w:cs="Arial" w:eastAsia="Arial" w:hAnsi="Arial"/>
                <w:sz w:val="15"/>
                <w:szCs w:val="15"/>
                <w:color w:val="auto"/>
              </w:rPr>
              <w:t>Option Plan</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0"/>
        </w:trPr>
        <w:tc>
          <w:tcPr>
            <w:tcW w:w="9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2019</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Key Employees</w:t>
            </w:r>
          </w:p>
        </w:tc>
        <w:tc>
          <w:tcPr>
            <w:tcW w:w="340" w:type="dxa"/>
            <w:vAlign w:val="bottom"/>
            <w:shd w:val="clear" w:color="auto" w:fill="CCEEFF"/>
          </w:tcPr>
          <w:p>
            <w:pPr>
              <w:ind w:left="20"/>
              <w:spacing w:after="0"/>
              <w:rPr>
                <w:sz w:val="20"/>
                <w:szCs w:val="20"/>
                <w:color w:val="auto"/>
              </w:rPr>
            </w:pPr>
            <w:r>
              <w:rPr>
                <w:rFonts w:ascii="Arial" w:cs="Arial" w:eastAsia="Arial" w:hAnsi="Arial"/>
                <w:sz w:val="15"/>
                <w:szCs w:val="15"/>
                <w:color w:val="auto"/>
                <w:w w:val="89"/>
              </w:rPr>
              <w:t>2015</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Equity Incentive Plan</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55,770</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120.01</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20.0% annually over 5 years</w:t>
            </w:r>
          </w:p>
        </w:tc>
      </w:tr>
      <w:tr>
        <w:trPr>
          <w:trHeight w:val="208"/>
        </w:trPr>
        <w:tc>
          <w:tcPr>
            <w:tcW w:w="940" w:type="dxa"/>
            <w:vAlign w:val="bottom"/>
          </w:tcPr>
          <w:p>
            <w:pPr>
              <w:jc w:val="center"/>
              <w:spacing w:after="0"/>
              <w:rPr>
                <w:sz w:val="20"/>
                <w:szCs w:val="20"/>
                <w:color w:val="auto"/>
              </w:rPr>
            </w:pPr>
            <w:r>
              <w:rPr>
                <w:rFonts w:ascii="Arial" w:cs="Arial" w:eastAsia="Arial" w:hAnsi="Arial"/>
                <w:sz w:val="15"/>
                <w:szCs w:val="15"/>
                <w:color w:val="auto"/>
                <w:w w:val="89"/>
              </w:rPr>
              <w:t>2019</w:t>
            </w:r>
          </w:p>
        </w:tc>
        <w:tc>
          <w:tcPr>
            <w:tcW w:w="10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5"/>
                <w:szCs w:val="15"/>
                <w:color w:val="auto"/>
              </w:rPr>
              <w:t>Key Employees</w:t>
            </w:r>
          </w:p>
        </w:tc>
        <w:tc>
          <w:tcPr>
            <w:tcW w:w="340" w:type="dxa"/>
            <w:vAlign w:val="bottom"/>
          </w:tcPr>
          <w:p>
            <w:pPr>
              <w:ind w:left="20"/>
              <w:spacing w:after="0"/>
              <w:rPr>
                <w:sz w:val="20"/>
                <w:szCs w:val="20"/>
                <w:color w:val="auto"/>
              </w:rPr>
            </w:pPr>
            <w:r>
              <w:rPr>
                <w:rFonts w:ascii="Arial" w:cs="Arial" w:eastAsia="Arial" w:hAnsi="Arial"/>
                <w:sz w:val="15"/>
                <w:szCs w:val="15"/>
                <w:color w:val="auto"/>
                <w:w w:val="89"/>
              </w:rPr>
              <w:t>2015</w:t>
            </w:r>
          </w:p>
        </w:tc>
        <w:tc>
          <w:tcPr>
            <w:tcW w:w="186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6,000</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142.03</w:t>
            </w:r>
          </w:p>
        </w:tc>
        <w:tc>
          <w:tcPr>
            <w:tcW w:w="280" w:type="dxa"/>
            <w:vAlign w:val="bottom"/>
          </w:tcPr>
          <w:p>
            <w:pPr>
              <w:jc w:val="right"/>
              <w:ind w:right="110"/>
              <w:spacing w:after="0"/>
              <w:rPr>
                <w:sz w:val="20"/>
                <w:szCs w:val="20"/>
                <w:color w:val="auto"/>
              </w:rPr>
            </w:pPr>
            <w:r>
              <w:rPr>
                <w:rFonts w:ascii="Arial" w:cs="Arial" w:eastAsia="Arial" w:hAnsi="Arial"/>
                <w:sz w:val="10"/>
                <w:szCs w:val="10"/>
                <w:color w:val="auto"/>
                <w:w w:val="81"/>
              </w:rPr>
              <w:t>(1)</w:t>
            </w:r>
          </w:p>
        </w:tc>
        <w:tc>
          <w:tcPr>
            <w:tcW w:w="1560" w:type="dxa"/>
            <w:vAlign w:val="bottom"/>
            <w:gridSpan w:val="2"/>
          </w:tcPr>
          <w:p>
            <w:pPr>
              <w:ind w:left="20"/>
              <w:spacing w:after="0"/>
              <w:rPr>
                <w:sz w:val="20"/>
                <w:szCs w:val="20"/>
                <w:color w:val="auto"/>
              </w:rPr>
            </w:pPr>
            <w:r>
              <w:rPr>
                <w:rFonts w:ascii="Arial" w:cs="Arial" w:eastAsia="Arial" w:hAnsi="Arial"/>
                <w:sz w:val="15"/>
                <w:szCs w:val="15"/>
                <w:color w:val="auto"/>
              </w:rPr>
              <w:t>Time Based</w:t>
            </w:r>
          </w:p>
        </w:tc>
        <w:tc>
          <w:tcPr>
            <w:tcW w:w="2340" w:type="dxa"/>
            <w:vAlign w:val="bottom"/>
            <w:gridSpan w:val="2"/>
          </w:tcPr>
          <w:p>
            <w:pPr>
              <w:ind w:left="300"/>
              <w:spacing w:after="0"/>
              <w:rPr>
                <w:sz w:val="20"/>
                <w:szCs w:val="20"/>
                <w:color w:val="auto"/>
              </w:rPr>
            </w:pPr>
            <w:r>
              <w:rPr>
                <w:rFonts w:ascii="Arial" w:cs="Arial" w:eastAsia="Arial" w:hAnsi="Arial"/>
                <w:sz w:val="15"/>
                <w:szCs w:val="15"/>
                <w:color w:val="auto"/>
              </w:rPr>
              <w:t>20.0% annually over 5 years</w:t>
            </w:r>
          </w:p>
        </w:tc>
      </w:tr>
    </w:tbl>
    <w:p>
      <w:pPr>
        <w:spacing w:after="0" w:line="97"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9"/>
          <w:szCs w:val="9"/>
          <w:color w:val="auto"/>
        </w:rPr>
      </w:pPr>
      <w:r>
        <w:rPr>
          <w:rFonts w:ascii="Arial" w:cs="Arial" w:eastAsia="Arial" w:hAnsi="Arial"/>
          <w:sz w:val="14"/>
          <w:szCs w:val="14"/>
          <w:color w:val="auto"/>
        </w:rPr>
        <w:t>The fair values of the grants were determined by using the average closing price of our common stock on the dates the shares were issued.</w:t>
      </w:r>
    </w:p>
    <w:p>
      <w:pPr>
        <w:spacing w:after="0" w:line="13" w:lineRule="exact"/>
        <w:rPr>
          <w:rFonts w:ascii="Arial" w:cs="Arial" w:eastAsia="Arial" w:hAnsi="Arial"/>
          <w:sz w:val="9"/>
          <w:szCs w:val="9"/>
          <w:color w:val="auto"/>
        </w:rPr>
      </w:pPr>
    </w:p>
    <w:p>
      <w:pPr>
        <w:ind w:left="260" w:hanging="252"/>
        <w:spacing w:after="0" w:line="241" w:lineRule="auto"/>
        <w:tabs>
          <w:tab w:leader="none" w:pos="176" w:val="left"/>
        </w:tabs>
        <w:numPr>
          <w:ilvl w:val="0"/>
          <w:numId w:val="17"/>
        </w:numPr>
        <w:rPr>
          <w:rFonts w:ascii="Arial" w:cs="Arial" w:eastAsia="Arial" w:hAnsi="Arial"/>
          <w:sz w:val="9"/>
          <w:szCs w:val="9"/>
          <w:color w:val="auto"/>
        </w:rPr>
      </w:pPr>
      <w:r>
        <w:rPr>
          <w:rFonts w:ascii="Arial" w:cs="Arial" w:eastAsia="Arial" w:hAnsi="Arial"/>
          <w:sz w:val="14"/>
          <w:szCs w:val="14"/>
          <w:color w:val="auto"/>
        </w:rPr>
        <w:t>Share-based compensation for restricted stock awards with market conditions is measured based on an estimate of shares expected to vest. We estimate the fair value of share-based compensation for restricted stock with market conditions using a Monte Carlo simulation. At the grant date our common stock price was $165.97. Based on the Monte Carlo simulation we expect 75.6 percent of the 69,000 shares to vest.</w:t>
      </w:r>
    </w:p>
    <w:p>
      <w:pPr>
        <w:spacing w:after="0" w:line="1" w:lineRule="exact"/>
        <w:rPr>
          <w:rFonts w:ascii="Arial" w:cs="Arial" w:eastAsia="Arial" w:hAnsi="Arial"/>
          <w:sz w:val="9"/>
          <w:szCs w:val="9"/>
          <w:color w:val="auto"/>
        </w:rPr>
      </w:pPr>
    </w:p>
    <w:p>
      <w:pPr>
        <w:ind w:left="260" w:hanging="252"/>
        <w:spacing w:after="0" w:line="248" w:lineRule="auto"/>
        <w:tabs>
          <w:tab w:leader="none" w:pos="176" w:val="left"/>
        </w:tabs>
        <w:numPr>
          <w:ilvl w:val="0"/>
          <w:numId w:val="17"/>
        </w:numPr>
        <w:rPr>
          <w:rFonts w:ascii="Arial" w:cs="Arial" w:eastAsia="Arial" w:hAnsi="Arial"/>
          <w:sz w:val="9"/>
          <w:szCs w:val="9"/>
          <w:color w:val="auto"/>
        </w:rPr>
      </w:pPr>
      <w:r>
        <w:rPr>
          <w:rFonts w:ascii="Arial" w:cs="Arial" w:eastAsia="Arial" w:hAnsi="Arial"/>
          <w:sz w:val="14"/>
          <w:szCs w:val="14"/>
          <w:color w:val="auto"/>
        </w:rPr>
        <w:t>Share-based compensation for restricted stock awards with market conditions is measured based on an estimate of shares expected to vest. We estimate the fair value of share-based compensation for restricted stock with market conditions using a Monte Carlo simulation. At the grant date our common stock price was $115.39. Based on the Monte Carlo simulation we expect 75.1 percent of the 66,000 shares to vest.</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vesting requirements for 256,380 and 223,781 restricted shares granted to our executives, directors and employees were satisfied during the nine months ended September 30, 2020 and 2019, respectively.</w:t>
      </w:r>
    </w:p>
    <w:p>
      <w:pPr>
        <w:spacing w:after="0" w:line="193" w:lineRule="exact"/>
        <w:rPr>
          <w:sz w:val="20"/>
          <w:szCs w:val="20"/>
          <w:color w:val="auto"/>
        </w:rPr>
      </w:pPr>
    </w:p>
    <w:p>
      <w:pPr>
        <w:ind w:left="440" w:hanging="432"/>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group our operating segments into reportable segments that provide similar products and services. Each operating segment has discrete financial information evaluated regularly by our chief operating decision maker in evaluating and assessing performance. We have two reportable segments: (i) Real Property Operations and (ii) Home Sales and Rentals. The Real Property Operations segment owns, operates, has an interest in a portfolio, and develops MH communities and RV communities, and is in the business of acquiring, operating, and expanding MH and RV communities. The Home Sales and Rentals segment offers manufactured home sales and leasing services to tenants and prospective tenants of our communities.</w:t>
      </w: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Transactions between our segments are eliminated in consolidation. Transient RV revenue is included in the Real Property Operations segment revenues. Transient revenue was $25.3 million in the first quarter ended March 31, 2020, $21.0 million in the second quarter ended June 30, 2020, and $60.5 million for the third quarter September 30, 2020. Transient revenue was $121.5 million for the year ended December 31, 2019. We recognized 20.1 percent in the first quarter, 23.2 percent in the second quarter, 40.3 percent in the third quarter, and 16.4 percent in the fourth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presentation of segment financial information is summarized as follows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404"/>
              <w:spacing w:after="0"/>
              <w:rPr>
                <w:sz w:val="20"/>
                <w:szCs w:val="20"/>
                <w:color w:val="auto"/>
              </w:rPr>
            </w:pPr>
            <w:r>
              <w:rPr>
                <w:rFonts w:ascii="Arial" w:cs="Arial" w:eastAsia="Arial" w:hAnsi="Arial"/>
                <w:sz w:val="15"/>
                <w:szCs w:val="15"/>
                <w:b w:val="1"/>
                <w:bCs w:val="1"/>
                <w:color w:val="auto"/>
              </w:rPr>
              <w:t>Three Months Ended</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89"/>
              </w:rPr>
              <w:t>September 30, 2020</w:t>
            </w:r>
          </w:p>
        </w:tc>
        <w:tc>
          <w:tcPr>
            <w:tcW w:w="10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89"/>
              </w:rPr>
              <w:t>September 30, 2019</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5"/>
                <w:szCs w:val="15"/>
                <w:b w:val="1"/>
                <w:bCs w:val="1"/>
                <w:color w:val="auto"/>
                <w:w w:val="92"/>
              </w:rPr>
              <w:t>Real Property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Home Sales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spacing w:after="0" w:line="169" w:lineRule="exact"/>
              <w:rPr>
                <w:sz w:val="20"/>
                <w:szCs w:val="20"/>
                <w:color w:val="auto"/>
              </w:rPr>
            </w:pPr>
            <w:r>
              <w:rPr>
                <w:rFonts w:ascii="Arial" w:cs="Arial" w:eastAsia="Arial" w:hAnsi="Arial"/>
                <w:sz w:val="15"/>
                <w:szCs w:val="15"/>
                <w:b w:val="1"/>
                <w:bCs w:val="1"/>
                <w:color w:val="auto"/>
                <w:w w:val="98"/>
              </w:rPr>
              <w:t>Real Property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Home Sales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Operations</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w w:val="98"/>
              </w:rPr>
              <w:t>and Rentals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2"/>
              </w:rPr>
              <w:t>Consolidated</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Operations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and Rentals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213"/>
        </w:trPr>
        <w:tc>
          <w:tcPr>
            <w:tcW w:w="4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328,176</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63,833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392,009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288,422</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64,249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352,671</w:t>
            </w:r>
          </w:p>
        </w:tc>
        <w:tc>
          <w:tcPr>
            <w:tcW w:w="0" w:type="dxa"/>
            <w:vAlign w:val="bottom"/>
          </w:tcPr>
          <w:p>
            <w:pPr>
              <w:spacing w:after="0"/>
              <w:rPr>
                <w:sz w:val="1"/>
                <w:szCs w:val="1"/>
                <w:color w:val="auto"/>
              </w:rPr>
            </w:pPr>
          </w:p>
        </w:tc>
      </w:tr>
      <w:tr>
        <w:trPr>
          <w:trHeight w:val="212"/>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Operating expenses / Cost of sales</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128,112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42,186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170,298</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113,246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42,762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156,008</w:t>
            </w:r>
          </w:p>
        </w:tc>
        <w:tc>
          <w:tcPr>
            <w:tcW w:w="0" w:type="dxa"/>
            <w:vAlign w:val="bottom"/>
          </w:tcPr>
          <w:p>
            <w:pPr>
              <w:spacing w:after="0"/>
              <w:rPr>
                <w:sz w:val="1"/>
                <w:szCs w:val="1"/>
                <w:color w:val="auto"/>
              </w:rPr>
            </w:pPr>
          </w:p>
        </w:tc>
      </w:tr>
      <w:tr>
        <w:trPr>
          <w:trHeight w:val="214"/>
        </w:trPr>
        <w:tc>
          <w:tcPr>
            <w:tcW w:w="420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Net Operating Income / Gross Profit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200,064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21,647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221,711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175,176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21,487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196,663</w:t>
            </w:r>
          </w:p>
        </w:tc>
        <w:tc>
          <w:tcPr>
            <w:tcW w:w="0" w:type="dxa"/>
            <w:vAlign w:val="bottom"/>
          </w:tcPr>
          <w:p>
            <w:pPr>
              <w:spacing w:after="0"/>
              <w:rPr>
                <w:sz w:val="1"/>
                <w:szCs w:val="1"/>
                <w:color w:val="auto"/>
              </w:rPr>
            </w:pPr>
          </w:p>
        </w:tc>
      </w:tr>
      <w:tr>
        <w:trPr>
          <w:trHeight w:val="212"/>
        </w:trPr>
        <w:tc>
          <w:tcPr>
            <w:tcW w:w="4200" w:type="dxa"/>
            <w:vAlign w:val="bottom"/>
          </w:tcPr>
          <w:p>
            <w:pPr>
              <w:ind w:left="20"/>
              <w:spacing w:after="0"/>
              <w:rPr>
                <w:sz w:val="20"/>
                <w:szCs w:val="20"/>
                <w:color w:val="auto"/>
              </w:rPr>
            </w:pPr>
            <w:r>
              <w:rPr>
                <w:rFonts w:ascii="Arial" w:cs="Arial" w:eastAsia="Arial" w:hAnsi="Arial"/>
                <w:sz w:val="15"/>
                <w:szCs w:val="15"/>
                <w:color w:val="auto"/>
              </w:rPr>
              <w:t>Adjustments to arrive at net income / (loss)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Interest income</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2,624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4,770</w:t>
            </w:r>
          </w:p>
        </w:tc>
        <w:tc>
          <w:tcPr>
            <w:tcW w:w="0" w:type="dxa"/>
            <w:vAlign w:val="bottom"/>
          </w:tcPr>
          <w:p>
            <w:pPr>
              <w:spacing w:after="0"/>
              <w:rPr>
                <w:sz w:val="1"/>
                <w:szCs w:val="1"/>
                <w:color w:val="auto"/>
              </w:rPr>
            </w:pPr>
          </w:p>
        </w:tc>
      </w:tr>
      <w:tr>
        <w:trPr>
          <w:trHeight w:val="212"/>
        </w:trPr>
        <w:tc>
          <w:tcPr>
            <w:tcW w:w="4200" w:type="dxa"/>
            <w:vAlign w:val="bottom"/>
          </w:tcPr>
          <w:p>
            <w:pPr>
              <w:ind w:left="120"/>
              <w:spacing w:after="0"/>
              <w:rPr>
                <w:sz w:val="20"/>
                <w:szCs w:val="20"/>
                <w:color w:val="auto"/>
              </w:rPr>
            </w:pPr>
            <w:r>
              <w:rPr>
                <w:rFonts w:ascii="Arial" w:cs="Arial" w:eastAsia="Arial" w:hAnsi="Arial"/>
                <w:sz w:val="15"/>
                <w:szCs w:val="15"/>
                <w:color w:val="auto"/>
              </w:rPr>
              <w:t>Brokerage commissions and other revenues, net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5,881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5,881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5,002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5,002</w:t>
            </w: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Home selling expenses</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(3,972)</w:t>
            </w:r>
          </w:p>
        </w:tc>
        <w:tc>
          <w:tcPr>
            <w:tcW w:w="0" w:type="dxa"/>
            <w:vAlign w:val="bottom"/>
          </w:tcPr>
          <w:p>
            <w:pPr>
              <w:spacing w:after="0"/>
              <w:rPr>
                <w:sz w:val="1"/>
                <w:szCs w:val="1"/>
                <w:color w:val="auto"/>
              </w:rPr>
            </w:pPr>
          </w:p>
        </w:tc>
      </w:tr>
      <w:tr>
        <w:trPr>
          <w:trHeight w:val="212"/>
        </w:trPr>
        <w:tc>
          <w:tcPr>
            <w:tcW w:w="4200" w:type="dxa"/>
            <w:vAlign w:val="bottom"/>
          </w:tcPr>
          <w:p>
            <w:pPr>
              <w:ind w:left="120"/>
              <w:spacing w:after="0"/>
              <w:rPr>
                <w:sz w:val="20"/>
                <w:szCs w:val="20"/>
                <w:color w:val="auto"/>
              </w:rPr>
            </w:pPr>
            <w:r>
              <w:rPr>
                <w:rFonts w:ascii="Arial" w:cs="Arial" w:eastAsia="Arial" w:hAnsi="Arial"/>
                <w:sz w:val="15"/>
                <w:szCs w:val="15"/>
                <w:color w:val="auto"/>
              </w:rPr>
              <w:t>General and administrative expenses</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(23,589)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(3,654)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(27,243)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(19,966)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(2,980)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(22,946)</w:t>
            </w: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Catastrophic weather-related charges, net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w:t>
            </w:r>
          </w:p>
        </w:tc>
        <w:tc>
          <w:tcPr>
            <w:tcW w:w="0" w:type="dxa"/>
            <w:vAlign w:val="bottom"/>
          </w:tcPr>
          <w:p>
            <w:pPr>
              <w:spacing w:after="0"/>
              <w:rPr>
                <w:sz w:val="1"/>
                <w:szCs w:val="1"/>
                <w:color w:val="auto"/>
              </w:rPr>
            </w:pPr>
          </w:p>
        </w:tc>
      </w:tr>
      <w:tr>
        <w:trPr>
          <w:trHeight w:val="212"/>
        </w:trPr>
        <w:tc>
          <w:tcPr>
            <w:tcW w:w="4200" w:type="dxa"/>
            <w:vAlign w:val="bottom"/>
          </w:tcPr>
          <w:p>
            <w:pPr>
              <w:ind w:left="120"/>
              <w:spacing w:after="0"/>
              <w:rPr>
                <w:sz w:val="20"/>
                <w:szCs w:val="20"/>
                <w:color w:val="auto"/>
              </w:rPr>
            </w:pPr>
            <w:r>
              <w:rPr>
                <w:rFonts w:ascii="Arial" w:cs="Arial" w:eastAsia="Arial" w:hAnsi="Arial"/>
                <w:sz w:val="15"/>
                <w:szCs w:val="15"/>
                <w:color w:val="auto"/>
              </w:rPr>
              <w:t>Depreciation and amortization</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(66,497)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(22,002)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(88,499)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(56,568)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(19,964)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(76,532)</w:t>
            </w: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Loss on extinguishment of debt (see Note 8)</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(12,755)</w:t>
            </w:r>
          </w:p>
        </w:tc>
        <w:tc>
          <w:tcPr>
            <w:tcW w:w="0" w:type="dxa"/>
            <w:vAlign w:val="bottom"/>
          </w:tcPr>
          <w:p>
            <w:pPr>
              <w:spacing w:after="0"/>
              <w:rPr>
                <w:sz w:val="1"/>
                <w:szCs w:val="1"/>
                <w:color w:val="auto"/>
              </w:rPr>
            </w:pPr>
          </w:p>
        </w:tc>
      </w:tr>
      <w:tr>
        <w:trPr>
          <w:trHeight w:val="212"/>
        </w:trPr>
        <w:tc>
          <w:tcPr>
            <w:tcW w:w="4200" w:type="dxa"/>
            <w:vAlign w:val="bottom"/>
          </w:tcPr>
          <w:p>
            <w:pPr>
              <w:ind w:left="120"/>
              <w:spacing w:after="0"/>
              <w:rPr>
                <w:sz w:val="20"/>
                <w:szCs w:val="20"/>
                <w:color w:val="auto"/>
              </w:rPr>
            </w:pPr>
            <w:r>
              <w:rPr>
                <w:rFonts w:ascii="Arial" w:cs="Arial" w:eastAsia="Arial" w:hAnsi="Arial"/>
                <w:sz w:val="15"/>
                <w:szCs w:val="15"/>
                <w:color w:val="auto"/>
              </w:rPr>
              <w:t>Interest expense</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(30,209)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(30,214)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(32,214)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(32,219)</w:t>
            </w: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7"/>
              </w:rPr>
              <w:t>Interest on mandatorily redeemable preferred OP units / equity</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(1,216)</w:t>
            </w:r>
          </w:p>
        </w:tc>
        <w:tc>
          <w:tcPr>
            <w:tcW w:w="0" w:type="dxa"/>
            <w:vAlign w:val="bottom"/>
          </w:tcPr>
          <w:p>
            <w:pPr>
              <w:spacing w:after="0"/>
              <w:rPr>
                <w:sz w:val="1"/>
                <w:szCs w:val="1"/>
                <w:color w:val="auto"/>
              </w:rPr>
            </w:pPr>
          </w:p>
        </w:tc>
      </w:tr>
      <w:tr>
        <w:trPr>
          <w:trHeight w:val="212"/>
        </w:trPr>
        <w:tc>
          <w:tcPr>
            <w:tcW w:w="4200" w:type="dxa"/>
            <w:vAlign w:val="bottom"/>
          </w:tcPr>
          <w:p>
            <w:pPr>
              <w:ind w:left="120"/>
              <w:spacing w:after="0"/>
              <w:rPr>
                <w:sz w:val="20"/>
                <w:szCs w:val="20"/>
                <w:color w:val="auto"/>
              </w:rPr>
            </w:pPr>
            <w:r>
              <w:rPr>
                <w:rFonts w:ascii="Arial" w:cs="Arial" w:eastAsia="Arial" w:hAnsi="Arial"/>
                <w:sz w:val="15"/>
                <w:szCs w:val="15"/>
                <w:color w:val="auto"/>
              </w:rPr>
              <w:t>Gain on remeasurement of marketable securities</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1,492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1,492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12,661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12,661</w:t>
            </w: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Gain / (loss) on foreign currency translation</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4,664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(3,046)</w:t>
            </w:r>
          </w:p>
        </w:tc>
        <w:tc>
          <w:tcPr>
            <w:tcW w:w="0" w:type="dxa"/>
            <w:vAlign w:val="bottom"/>
          </w:tcPr>
          <w:p>
            <w:pPr>
              <w:spacing w:after="0"/>
              <w:rPr>
                <w:sz w:val="1"/>
                <w:szCs w:val="1"/>
                <w:color w:val="auto"/>
              </w:rPr>
            </w:pPr>
          </w:p>
        </w:tc>
      </w:tr>
      <w:tr>
        <w:trPr>
          <w:trHeight w:val="212"/>
        </w:trPr>
        <w:tc>
          <w:tcPr>
            <w:tcW w:w="4200" w:type="dxa"/>
            <w:vAlign w:val="bottom"/>
          </w:tcPr>
          <w:p>
            <w:pPr>
              <w:ind w:left="120"/>
              <w:spacing w:after="0"/>
              <w:rPr>
                <w:sz w:val="20"/>
                <w:szCs w:val="20"/>
                <w:color w:val="auto"/>
              </w:rPr>
            </w:pPr>
            <w:r>
              <w:rPr>
                <w:rFonts w:ascii="Arial" w:cs="Arial" w:eastAsia="Arial" w:hAnsi="Arial"/>
                <w:sz w:val="15"/>
                <w:szCs w:val="15"/>
                <w:color w:val="auto"/>
              </w:rPr>
              <w:t>Gain on disposition of property</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5,595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5,595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expense, net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(1,362)</w:t>
            </w:r>
          </w:p>
        </w:tc>
        <w:tc>
          <w:tcPr>
            <w:tcW w:w="0" w:type="dxa"/>
            <w:vAlign w:val="bottom"/>
          </w:tcPr>
          <w:p>
            <w:pPr>
              <w:spacing w:after="0"/>
              <w:rPr>
                <w:sz w:val="1"/>
                <w:szCs w:val="1"/>
                <w:color w:val="auto"/>
              </w:rPr>
            </w:pPr>
          </w:p>
        </w:tc>
      </w:tr>
      <w:tr>
        <w:trPr>
          <w:trHeight w:val="212"/>
        </w:trPr>
        <w:tc>
          <w:tcPr>
            <w:tcW w:w="4200" w:type="dxa"/>
            <w:vAlign w:val="bottom"/>
          </w:tcPr>
          <w:p>
            <w:pPr>
              <w:ind w:left="120"/>
              <w:spacing w:after="0"/>
              <w:rPr>
                <w:sz w:val="20"/>
                <w:szCs w:val="20"/>
                <w:color w:val="auto"/>
              </w:rPr>
            </w:pPr>
            <w:r>
              <w:rPr>
                <w:rFonts w:ascii="Arial" w:cs="Arial" w:eastAsia="Arial" w:hAnsi="Arial"/>
                <w:sz w:val="15"/>
                <w:szCs w:val="15"/>
                <w:color w:val="auto"/>
              </w:rPr>
              <w:t>Loss on remeasurement of notes receivable</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(445)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Income from nonconsolidated affiliates (see Note 6)</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1,204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513</w:t>
            </w:r>
          </w:p>
        </w:tc>
        <w:tc>
          <w:tcPr>
            <w:tcW w:w="0" w:type="dxa"/>
            <w:vAlign w:val="bottom"/>
          </w:tcPr>
          <w:p>
            <w:pPr>
              <w:spacing w:after="0"/>
              <w:rPr>
                <w:sz w:val="1"/>
                <w:szCs w:val="1"/>
                <w:color w:val="auto"/>
              </w:rPr>
            </w:pPr>
          </w:p>
        </w:tc>
      </w:tr>
      <w:tr>
        <w:trPr>
          <w:trHeight w:val="176"/>
        </w:trPr>
        <w:tc>
          <w:tcPr>
            <w:tcW w:w="4200" w:type="dxa"/>
            <w:vAlign w:val="bottom"/>
          </w:tcPr>
          <w:p>
            <w:pPr>
              <w:ind w:left="120"/>
              <w:spacing w:after="0"/>
              <w:rPr>
                <w:sz w:val="20"/>
                <w:szCs w:val="20"/>
                <w:color w:val="auto"/>
              </w:rPr>
            </w:pPr>
            <w:r>
              <w:rPr>
                <w:rFonts w:ascii="Arial" w:cs="Arial" w:eastAsia="Arial" w:hAnsi="Arial"/>
                <w:sz w:val="15"/>
                <w:szCs w:val="15"/>
                <w:color w:val="auto"/>
              </w:rPr>
              <w:t>Loss on remeasurement of investment in nonconsolidated</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00" w:type="dxa"/>
            <w:vAlign w:val="bottom"/>
          </w:tcPr>
          <w:p>
            <w:pPr>
              <w:ind w:left="120"/>
              <w:spacing w:after="0"/>
              <w:rPr>
                <w:sz w:val="20"/>
                <w:szCs w:val="20"/>
                <w:color w:val="auto"/>
              </w:rPr>
            </w:pPr>
            <w:r>
              <w:rPr>
                <w:rFonts w:ascii="Arial" w:cs="Arial" w:eastAsia="Arial" w:hAnsi="Arial"/>
                <w:sz w:val="15"/>
                <w:szCs w:val="15"/>
                <w:color w:val="auto"/>
              </w:rPr>
              <w:t>affiliates</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(446)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Current tax benefit / (expense)</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w:t>
            </w:r>
          </w:p>
        </w:tc>
        <w:tc>
          <w:tcPr>
            <w:tcW w:w="0" w:type="dxa"/>
            <w:vAlign w:val="bottom"/>
          </w:tcPr>
          <w:p>
            <w:pPr>
              <w:spacing w:after="0"/>
              <w:rPr>
                <w:sz w:val="1"/>
                <w:szCs w:val="1"/>
                <w:color w:val="auto"/>
              </w:rPr>
            </w:pPr>
          </w:p>
        </w:tc>
      </w:tr>
      <w:tr>
        <w:trPr>
          <w:trHeight w:val="212"/>
        </w:trPr>
        <w:tc>
          <w:tcPr>
            <w:tcW w:w="4200" w:type="dxa"/>
            <w:vAlign w:val="bottom"/>
          </w:tcPr>
          <w:p>
            <w:pPr>
              <w:ind w:left="120"/>
              <w:spacing w:after="0"/>
              <w:rPr>
                <w:sz w:val="20"/>
                <w:szCs w:val="20"/>
                <w:color w:val="auto"/>
              </w:rPr>
            </w:pPr>
            <w:r>
              <w:rPr>
                <w:rFonts w:ascii="Arial" w:cs="Arial" w:eastAsia="Arial" w:hAnsi="Arial"/>
                <w:sz w:val="15"/>
                <w:szCs w:val="15"/>
                <w:color w:val="auto"/>
              </w:rPr>
              <w:t>Deferred tax benefit / (expense) (see Note 12)</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562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562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(349)</w:t>
            </w:r>
          </w:p>
        </w:tc>
        <w:tc>
          <w:tcPr>
            <w:tcW w:w="0" w:type="dxa"/>
            <w:vAlign w:val="bottom"/>
          </w:tcPr>
          <w:p>
            <w:pPr>
              <w:spacing w:after="0"/>
              <w:rPr>
                <w:sz w:val="1"/>
                <w:szCs w:val="1"/>
                <w:color w:val="auto"/>
              </w:rPr>
            </w:pPr>
          </w:p>
        </w:tc>
      </w:tr>
      <w:tr>
        <w:trPr>
          <w:trHeight w:val="214"/>
        </w:trPr>
        <w:tc>
          <w:tcPr>
            <w:tcW w:w="42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Net Income / (Loss)</w:t>
            </w: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96,812</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89,756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69,471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(5,020)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64,451</w:t>
            </w:r>
          </w:p>
        </w:tc>
        <w:tc>
          <w:tcPr>
            <w:tcW w:w="0" w:type="dxa"/>
            <w:vAlign w:val="bottom"/>
          </w:tcPr>
          <w:p>
            <w:pPr>
              <w:spacing w:after="0"/>
              <w:rPr>
                <w:sz w:val="1"/>
                <w:szCs w:val="1"/>
                <w:color w:val="auto"/>
              </w:rPr>
            </w:pPr>
          </w:p>
        </w:tc>
      </w:tr>
      <w:tr>
        <w:trPr>
          <w:trHeight w:val="212"/>
        </w:trPr>
        <w:tc>
          <w:tcPr>
            <w:tcW w:w="4200" w:type="dxa"/>
            <w:vAlign w:val="bottom"/>
          </w:tcPr>
          <w:p>
            <w:pPr>
              <w:ind w:left="340"/>
              <w:spacing w:after="0"/>
              <w:rPr>
                <w:sz w:val="20"/>
                <w:szCs w:val="20"/>
                <w:color w:val="auto"/>
              </w:rPr>
            </w:pPr>
            <w:r>
              <w:rPr>
                <w:rFonts w:ascii="Arial" w:cs="Arial" w:eastAsia="Arial" w:hAnsi="Arial"/>
                <w:sz w:val="15"/>
                <w:szCs w:val="15"/>
                <w:color w:val="auto"/>
              </w:rPr>
              <w:t>Less: Preferred return to preferred OP units / equity</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1,645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1,599</w:t>
            </w: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340"/>
              <w:spacing w:after="0"/>
              <w:rPr>
                <w:sz w:val="20"/>
                <w:szCs w:val="20"/>
                <w:color w:val="auto"/>
              </w:rPr>
            </w:pPr>
            <w:r>
              <w:rPr>
                <w:rFonts w:ascii="Arial" w:cs="Arial" w:eastAsia="Arial" w:hAnsi="Arial"/>
                <w:sz w:val="15"/>
                <w:szCs w:val="15"/>
                <w:color w:val="auto"/>
                <w:w w:val="96"/>
              </w:rPr>
              <w:t>Less: Income / (Loss) attributable to noncontrolling interests</w:t>
            </w: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7,194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6,907</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5,642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5,422</w:t>
            </w:r>
          </w:p>
        </w:tc>
        <w:tc>
          <w:tcPr>
            <w:tcW w:w="0" w:type="dxa"/>
            <w:vAlign w:val="bottom"/>
          </w:tcPr>
          <w:p>
            <w:pPr>
              <w:spacing w:after="0"/>
              <w:rPr>
                <w:sz w:val="1"/>
                <w:szCs w:val="1"/>
                <w:color w:val="auto"/>
              </w:rPr>
            </w:pPr>
          </w:p>
        </w:tc>
      </w:tr>
      <w:tr>
        <w:trPr>
          <w:trHeight w:val="205"/>
        </w:trPr>
        <w:tc>
          <w:tcPr>
            <w:tcW w:w="4200" w:type="dxa"/>
            <w:vAlign w:val="bottom"/>
          </w:tcPr>
          <w:p>
            <w:pPr>
              <w:ind w:left="120"/>
              <w:spacing w:after="0"/>
              <w:rPr>
                <w:sz w:val="20"/>
                <w:szCs w:val="20"/>
                <w:color w:val="auto"/>
              </w:rPr>
            </w:pPr>
            <w:r>
              <w:rPr>
                <w:rFonts w:ascii="Arial" w:cs="Arial" w:eastAsia="Arial" w:hAnsi="Arial"/>
                <w:sz w:val="15"/>
                <w:szCs w:val="15"/>
                <w:b w:val="1"/>
                <w:bCs w:val="1"/>
                <w:color w:val="auto"/>
                <w:w w:val="98"/>
              </w:rPr>
              <w:t>Net Income / (Loss) Attributable to Sun Communities, Inc.</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87,973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(6,769)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81,204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62,230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(4,800)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57,430</w:t>
            </w:r>
          </w:p>
        </w:tc>
        <w:tc>
          <w:tcPr>
            <w:tcW w:w="0" w:type="dxa"/>
            <w:vAlign w:val="bottom"/>
          </w:tcPr>
          <w:p>
            <w:pPr>
              <w:spacing w:after="0"/>
              <w:rPr>
                <w:sz w:val="1"/>
                <w:szCs w:val="1"/>
                <w:color w:val="auto"/>
              </w:rPr>
            </w:pPr>
          </w:p>
        </w:tc>
      </w:tr>
      <w:tr>
        <w:trPr>
          <w:trHeight w:val="220"/>
        </w:trPr>
        <w:tc>
          <w:tcPr>
            <w:tcW w:w="42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Less: Preferred stock distribution</w:t>
            </w: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428</w:t>
            </w:r>
          </w:p>
        </w:tc>
        <w:tc>
          <w:tcPr>
            <w:tcW w:w="0" w:type="dxa"/>
            <w:vAlign w:val="bottom"/>
          </w:tcPr>
          <w:p>
            <w:pPr>
              <w:spacing w:after="0"/>
              <w:rPr>
                <w:sz w:val="1"/>
                <w:szCs w:val="1"/>
                <w:color w:val="auto"/>
              </w:rPr>
            </w:pPr>
          </w:p>
        </w:tc>
      </w:tr>
      <w:tr>
        <w:trPr>
          <w:trHeight w:val="152"/>
        </w:trPr>
        <w:tc>
          <w:tcPr>
            <w:tcW w:w="4200" w:type="dxa"/>
            <w:vAlign w:val="bottom"/>
          </w:tcPr>
          <w:p>
            <w:pPr>
              <w:ind w:left="120"/>
              <w:spacing w:after="0" w:line="152" w:lineRule="exact"/>
              <w:rPr>
                <w:sz w:val="20"/>
                <w:szCs w:val="20"/>
                <w:color w:val="auto"/>
              </w:rPr>
            </w:pPr>
            <w:r>
              <w:rPr>
                <w:rFonts w:ascii="Arial" w:cs="Arial" w:eastAsia="Arial" w:hAnsi="Arial"/>
                <w:sz w:val="15"/>
                <w:szCs w:val="15"/>
                <w:b w:val="1"/>
                <w:bCs w:val="1"/>
                <w:color w:val="auto"/>
                <w:w w:val="98"/>
              </w:rPr>
              <w:t>Net Income / (Loss) Attributable to Sun Communities, Inc.</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87,973</w:t>
            </w:r>
          </w:p>
        </w:tc>
        <w:tc>
          <w:tcPr>
            <w:tcW w:w="240" w:type="dxa"/>
            <w:vAlign w:val="bottom"/>
            <w:gridSpan w:val="3"/>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(6,769)</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ind w:right="4"/>
              <w:spacing w:after="0"/>
              <w:rPr>
                <w:sz w:val="20"/>
                <w:szCs w:val="20"/>
                <w:color w:val="auto"/>
              </w:rPr>
            </w:pPr>
            <w:r>
              <w:rPr>
                <w:rFonts w:ascii="Arial" w:cs="Arial" w:eastAsia="Arial" w:hAnsi="Arial"/>
                <w:sz w:val="15"/>
                <w:szCs w:val="15"/>
                <w:color w:val="auto"/>
              </w:rPr>
              <w:t>81,204</w:t>
            </w:r>
          </w:p>
        </w:tc>
        <w:tc>
          <w:tcPr>
            <w:tcW w:w="2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61,802</w:t>
            </w:r>
          </w:p>
        </w:tc>
        <w:tc>
          <w:tcPr>
            <w:tcW w:w="220" w:type="dxa"/>
            <w:vAlign w:val="bottom"/>
            <w:gridSpan w:val="3"/>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(4,800)</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ind w:right="4"/>
              <w:spacing w:after="0"/>
              <w:rPr>
                <w:sz w:val="20"/>
                <w:szCs w:val="20"/>
                <w:color w:val="auto"/>
              </w:rPr>
            </w:pPr>
            <w:r>
              <w:rPr>
                <w:rFonts w:ascii="Arial" w:cs="Arial" w:eastAsia="Arial" w:hAnsi="Arial"/>
                <w:sz w:val="15"/>
                <w:szCs w:val="15"/>
                <w:color w:val="auto"/>
              </w:rPr>
              <w:t>57,002</w:t>
            </w:r>
          </w:p>
        </w:tc>
        <w:tc>
          <w:tcPr>
            <w:tcW w:w="0" w:type="dxa"/>
            <w:vAlign w:val="bottom"/>
          </w:tcPr>
          <w:p>
            <w:pPr>
              <w:spacing w:after="0"/>
              <w:rPr>
                <w:sz w:val="1"/>
                <w:szCs w:val="1"/>
                <w:color w:val="auto"/>
              </w:rPr>
            </w:pPr>
          </w:p>
        </w:tc>
      </w:tr>
      <w:tr>
        <w:trPr>
          <w:trHeight w:val="179"/>
        </w:trPr>
        <w:tc>
          <w:tcPr>
            <w:tcW w:w="4200" w:type="dxa"/>
            <w:vAlign w:val="bottom"/>
          </w:tcPr>
          <w:p>
            <w:pPr>
              <w:ind w:left="120"/>
              <w:spacing w:after="0"/>
              <w:rPr>
                <w:sz w:val="20"/>
                <w:szCs w:val="20"/>
                <w:color w:val="auto"/>
              </w:rPr>
            </w:pPr>
            <w:r>
              <w:rPr>
                <w:rFonts w:ascii="Arial" w:cs="Arial" w:eastAsia="Arial" w:hAnsi="Arial"/>
                <w:sz w:val="15"/>
                <w:szCs w:val="15"/>
                <w:b w:val="1"/>
                <w:bCs w:val="1"/>
                <w:color w:val="auto"/>
              </w:rPr>
              <w:t>Common Stockholders</w:t>
            </w:r>
          </w:p>
        </w:tc>
        <w:tc>
          <w:tcPr>
            <w:tcW w:w="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5"/>
                <w:szCs w:val="15"/>
                <w:b w:val="1"/>
                <w:bCs w:val="1"/>
                <w:color w:val="auto"/>
              </w:rPr>
              <w:t>Nine Months Ended</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9"/>
          </w:tcPr>
          <w:p>
            <w:pPr>
              <w:jc w:val="right"/>
              <w:spacing w:after="0"/>
              <w:rPr>
                <w:sz w:val="20"/>
                <w:szCs w:val="20"/>
                <w:color w:val="auto"/>
              </w:rPr>
            </w:pPr>
            <w:r>
              <w:rPr>
                <w:rFonts w:ascii="Arial" w:cs="Arial" w:eastAsia="Arial" w:hAnsi="Arial"/>
                <w:sz w:val="15"/>
                <w:szCs w:val="15"/>
                <w:b w:val="1"/>
                <w:bCs w:val="1"/>
                <w:color w:val="auto"/>
              </w:rPr>
              <w:t>September 30, 2020</w:t>
            </w:r>
          </w:p>
        </w:tc>
        <w:tc>
          <w:tcPr>
            <w:tcW w:w="10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89"/>
              </w:rPr>
              <w:t>September 30, 2019</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center"/>
              <w:ind w:right="220"/>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060" w:type="dxa"/>
            <w:vAlign w:val="bottom"/>
            <w:gridSpan w:val="4"/>
          </w:tcPr>
          <w:p>
            <w:pPr>
              <w:jc w:val="center"/>
              <w:ind w:right="100"/>
              <w:spacing w:after="0" w:line="169" w:lineRule="exact"/>
              <w:rPr>
                <w:sz w:val="20"/>
                <w:szCs w:val="20"/>
                <w:color w:val="auto"/>
              </w:rPr>
            </w:pPr>
            <w:r>
              <w:rPr>
                <w:rFonts w:ascii="Arial" w:cs="Arial" w:eastAsia="Arial" w:hAnsi="Arial"/>
                <w:sz w:val="15"/>
                <w:szCs w:val="15"/>
                <w:b w:val="1"/>
                <w:bCs w:val="1"/>
                <w:color w:val="auto"/>
                <w:w w:val="89"/>
              </w:rPr>
              <w:t>Home Sales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Home Sales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5"/>
                <w:szCs w:val="15"/>
                <w:b w:val="1"/>
                <w:bCs w:val="1"/>
                <w:color w:val="auto"/>
                <w:w w:val="93"/>
              </w:rPr>
              <w:t>Operations</w:t>
            </w:r>
          </w:p>
        </w:tc>
        <w:tc>
          <w:tcPr>
            <w:tcW w:w="100" w:type="dxa"/>
            <w:vAlign w:val="bottom"/>
            <w:tcBorders>
              <w:bottom w:val="single" w:sz="8" w:color="CCEEFF"/>
            </w:tcBorders>
            <w:gridSpan w:val="2"/>
          </w:tcPr>
          <w:p>
            <w:pPr>
              <w:spacing w:after="0"/>
              <w:rPr>
                <w:sz w:val="17"/>
                <w:szCs w:val="17"/>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1"/>
              </w:rPr>
              <w:t>and Rentals</w:t>
            </w:r>
          </w:p>
        </w:tc>
        <w:tc>
          <w:tcPr>
            <w:tcW w:w="12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0"/>
              </w:rPr>
              <w:t>Consolidated</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93"/>
              </w:rPr>
              <w:t>Operations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and Rentals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213"/>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820,015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173,390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993,405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757,047</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179,492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936,539</w:t>
            </w:r>
          </w:p>
        </w:tc>
        <w:tc>
          <w:tcPr>
            <w:tcW w:w="0" w:type="dxa"/>
            <w:vAlign w:val="bottom"/>
          </w:tcPr>
          <w:p>
            <w:pPr>
              <w:spacing w:after="0"/>
              <w:rPr>
                <w:sz w:val="1"/>
                <w:szCs w:val="1"/>
                <w:color w:val="auto"/>
              </w:rPr>
            </w:pPr>
          </w:p>
        </w:tc>
      </w:tr>
      <w:tr>
        <w:trPr>
          <w:trHeight w:val="212"/>
        </w:trPr>
        <w:tc>
          <w:tcPr>
            <w:tcW w:w="41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Operating expenses / Cost of sales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307,980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111,578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419,558</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287,680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116,483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404,163</w:t>
            </w:r>
          </w:p>
        </w:tc>
        <w:tc>
          <w:tcPr>
            <w:tcW w:w="0" w:type="dxa"/>
            <w:vAlign w:val="bottom"/>
          </w:tcPr>
          <w:p>
            <w:pPr>
              <w:spacing w:after="0"/>
              <w:rPr>
                <w:sz w:val="1"/>
                <w:szCs w:val="1"/>
                <w:color w:val="auto"/>
              </w:rPr>
            </w:pPr>
          </w:p>
        </w:tc>
      </w:tr>
      <w:tr>
        <w:trPr>
          <w:trHeight w:val="214"/>
        </w:trPr>
        <w:tc>
          <w:tcPr>
            <w:tcW w:w="4180" w:type="dxa"/>
            <w:vAlign w:val="bottom"/>
            <w:gridSpan w:val="2"/>
            <w:shd w:val="clear" w:color="auto" w:fill="CCEEFF"/>
          </w:tcPr>
          <w:p>
            <w:pPr>
              <w:ind w:left="120"/>
              <w:spacing w:after="0"/>
              <w:rPr>
                <w:sz w:val="20"/>
                <w:szCs w:val="20"/>
                <w:color w:val="auto"/>
              </w:rPr>
            </w:pPr>
            <w:r>
              <w:rPr>
                <w:rFonts w:ascii="Arial" w:cs="Arial" w:eastAsia="Arial" w:hAnsi="Arial"/>
                <w:sz w:val="15"/>
                <w:szCs w:val="15"/>
                <w:b w:val="1"/>
                <w:bCs w:val="1"/>
                <w:color w:val="auto"/>
              </w:rPr>
              <w:t>Net Operating Income / Gross Profit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512,035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61,812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573,847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469,367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63,009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532,376</w:t>
            </w:r>
          </w:p>
        </w:tc>
        <w:tc>
          <w:tcPr>
            <w:tcW w:w="0" w:type="dxa"/>
            <w:vAlign w:val="bottom"/>
          </w:tcPr>
          <w:p>
            <w:pPr>
              <w:spacing w:after="0"/>
              <w:rPr>
                <w:sz w:val="1"/>
                <w:szCs w:val="1"/>
                <w:color w:val="auto"/>
              </w:rPr>
            </w:pPr>
          </w:p>
        </w:tc>
      </w:tr>
      <w:tr>
        <w:trPr>
          <w:trHeight w:val="212"/>
        </w:trPr>
        <w:tc>
          <w:tcPr>
            <w:tcW w:w="4180" w:type="dxa"/>
            <w:vAlign w:val="bottom"/>
            <w:gridSpan w:val="2"/>
          </w:tcPr>
          <w:p>
            <w:pPr>
              <w:ind w:left="20"/>
              <w:spacing w:after="0"/>
              <w:rPr>
                <w:sz w:val="20"/>
                <w:szCs w:val="20"/>
                <w:color w:val="auto"/>
              </w:rPr>
            </w:pPr>
            <w:r>
              <w:rPr>
                <w:rFonts w:ascii="Arial" w:cs="Arial" w:eastAsia="Arial" w:hAnsi="Arial"/>
                <w:sz w:val="15"/>
                <w:szCs w:val="15"/>
                <w:color w:val="auto"/>
              </w:rPr>
              <w:t>Adjustments to arrive at net income / (loss)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Interest income</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7,609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14,489</w:t>
            </w:r>
          </w:p>
        </w:tc>
        <w:tc>
          <w:tcPr>
            <w:tcW w:w="0" w:type="dxa"/>
            <w:vAlign w:val="bottom"/>
          </w:tcPr>
          <w:p>
            <w:pPr>
              <w:spacing w:after="0"/>
              <w:rPr>
                <w:sz w:val="1"/>
                <w:szCs w:val="1"/>
                <w:color w:val="auto"/>
              </w:rPr>
            </w:pPr>
          </w:p>
        </w:tc>
      </w:tr>
      <w:tr>
        <w:trPr>
          <w:trHeight w:val="212"/>
        </w:trPr>
        <w:tc>
          <w:tcPr>
            <w:tcW w:w="4180" w:type="dxa"/>
            <w:vAlign w:val="bottom"/>
            <w:gridSpan w:val="2"/>
          </w:tcPr>
          <w:p>
            <w:pPr>
              <w:ind w:left="120"/>
              <w:spacing w:after="0"/>
              <w:rPr>
                <w:sz w:val="20"/>
                <w:szCs w:val="20"/>
                <w:color w:val="auto"/>
              </w:rPr>
            </w:pPr>
            <w:r>
              <w:rPr>
                <w:rFonts w:ascii="Arial" w:cs="Arial" w:eastAsia="Arial" w:hAnsi="Arial"/>
                <w:sz w:val="15"/>
                <w:szCs w:val="15"/>
                <w:color w:val="auto"/>
              </w:rPr>
              <w:t>Brokerage commissions and other revenues,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13,068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13,068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11,190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11,190</w:t>
            </w:r>
          </w:p>
        </w:tc>
        <w:tc>
          <w:tcPr>
            <w:tcW w:w="0" w:type="dxa"/>
            <w:vAlign w:val="bottom"/>
          </w:tcPr>
          <w:p>
            <w:pPr>
              <w:spacing w:after="0"/>
              <w:rPr>
                <w:sz w:val="1"/>
                <w:szCs w:val="1"/>
                <w:color w:val="auto"/>
              </w:rPr>
            </w:pPr>
          </w:p>
        </w:tc>
      </w:tr>
      <w:tr>
        <w:trPr>
          <w:trHeight w:val="220"/>
        </w:trPr>
        <w:tc>
          <w:tcPr>
            <w:tcW w:w="41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Home selling expenses</w:t>
            </w:r>
          </w:p>
        </w:tc>
        <w:tc>
          <w:tcPr>
            <w:tcW w:w="10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(10,508)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(10,922)</w:t>
            </w:r>
          </w:p>
        </w:tc>
        <w:tc>
          <w:tcPr>
            <w:tcW w:w="0" w:type="dxa"/>
            <w:vAlign w:val="bottom"/>
          </w:tcPr>
          <w:p>
            <w:pPr>
              <w:spacing w:after="0"/>
              <w:rPr>
                <w:sz w:val="1"/>
                <w:szCs w:val="1"/>
                <w:color w:val="auto"/>
              </w:rPr>
            </w:pPr>
          </w:p>
        </w:tc>
      </w:tr>
      <w:tr>
        <w:trPr>
          <w:trHeight w:val="212"/>
        </w:trPr>
        <w:tc>
          <w:tcPr>
            <w:tcW w:w="4180" w:type="dxa"/>
            <w:vAlign w:val="bottom"/>
            <w:gridSpan w:val="2"/>
          </w:tcPr>
          <w:p>
            <w:pPr>
              <w:ind w:left="120"/>
              <w:spacing w:after="0"/>
              <w:rPr>
                <w:sz w:val="20"/>
                <w:szCs w:val="20"/>
                <w:color w:val="auto"/>
              </w:rPr>
            </w:pPr>
            <w:r>
              <w:rPr>
                <w:rFonts w:ascii="Arial" w:cs="Arial" w:eastAsia="Arial" w:hAnsi="Arial"/>
                <w:sz w:val="15"/>
                <w:szCs w:val="15"/>
                <w:color w:val="auto"/>
              </w:rPr>
              <w:t>General and administrative expenses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(70,600)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(8,893)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(79,493)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(59,922)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(8,608)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(68,530)</w:t>
            </w:r>
          </w:p>
        </w:tc>
        <w:tc>
          <w:tcPr>
            <w:tcW w:w="0" w:type="dxa"/>
            <w:vAlign w:val="bottom"/>
          </w:tcPr>
          <w:p>
            <w:pPr>
              <w:spacing w:after="0"/>
              <w:rPr>
                <w:sz w:val="1"/>
                <w:szCs w:val="1"/>
                <w:color w:val="auto"/>
              </w:rPr>
            </w:pPr>
          </w:p>
        </w:tc>
      </w:tr>
      <w:tr>
        <w:trPr>
          <w:trHeight w:val="220"/>
        </w:trPr>
        <w:tc>
          <w:tcPr>
            <w:tcW w:w="41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Catastrophic weather-related charges, net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(1,302)</w:t>
            </w:r>
          </w:p>
        </w:tc>
        <w:tc>
          <w:tcPr>
            <w:tcW w:w="0" w:type="dxa"/>
            <w:vAlign w:val="bottom"/>
          </w:tcPr>
          <w:p>
            <w:pPr>
              <w:spacing w:after="0"/>
              <w:rPr>
                <w:sz w:val="1"/>
                <w:szCs w:val="1"/>
                <w:color w:val="auto"/>
              </w:rPr>
            </w:pPr>
          </w:p>
        </w:tc>
      </w:tr>
      <w:tr>
        <w:trPr>
          <w:trHeight w:val="212"/>
        </w:trPr>
        <w:tc>
          <w:tcPr>
            <w:tcW w:w="4180" w:type="dxa"/>
            <w:vAlign w:val="bottom"/>
            <w:gridSpan w:val="2"/>
          </w:tcPr>
          <w:p>
            <w:pPr>
              <w:ind w:left="120"/>
              <w:spacing w:after="0"/>
              <w:rPr>
                <w:sz w:val="20"/>
                <w:szCs w:val="20"/>
                <w:color w:val="auto"/>
              </w:rPr>
            </w:pPr>
            <w:r>
              <w:rPr>
                <w:rFonts w:ascii="Arial" w:cs="Arial" w:eastAsia="Arial" w:hAnsi="Arial"/>
                <w:sz w:val="15"/>
                <w:szCs w:val="15"/>
                <w:color w:val="auto"/>
              </w:rPr>
              <w:t>Depreciation and amortization</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(195,392)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(64,061)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(259,453)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(171,867)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(57,374)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(229,241)</w:t>
            </w:r>
          </w:p>
        </w:tc>
        <w:tc>
          <w:tcPr>
            <w:tcW w:w="0" w:type="dxa"/>
            <w:vAlign w:val="bottom"/>
          </w:tcPr>
          <w:p>
            <w:pPr>
              <w:spacing w:after="0"/>
              <w:rPr>
                <w:sz w:val="1"/>
                <w:szCs w:val="1"/>
                <w:color w:val="auto"/>
              </w:rPr>
            </w:pPr>
          </w:p>
        </w:tc>
      </w:tr>
      <w:tr>
        <w:trPr>
          <w:trHeight w:val="220"/>
        </w:trPr>
        <w:tc>
          <w:tcPr>
            <w:tcW w:w="41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Loss on extinguishment of debt (see Note 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(13,478)</w:t>
            </w:r>
          </w:p>
        </w:tc>
        <w:tc>
          <w:tcPr>
            <w:tcW w:w="0" w:type="dxa"/>
            <w:vAlign w:val="bottom"/>
          </w:tcPr>
          <w:p>
            <w:pPr>
              <w:spacing w:after="0"/>
              <w:rPr>
                <w:sz w:val="1"/>
                <w:szCs w:val="1"/>
                <w:color w:val="auto"/>
              </w:rPr>
            </w:pPr>
          </w:p>
        </w:tc>
      </w:tr>
      <w:tr>
        <w:trPr>
          <w:trHeight w:val="212"/>
        </w:trPr>
        <w:tc>
          <w:tcPr>
            <w:tcW w:w="4180" w:type="dxa"/>
            <w:vAlign w:val="bottom"/>
            <w:gridSpan w:val="2"/>
          </w:tcPr>
          <w:p>
            <w:pPr>
              <w:ind w:left="120"/>
              <w:spacing w:after="0"/>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(94,039)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(94,058)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(99,880)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(99,894)</w:t>
            </w:r>
          </w:p>
        </w:tc>
        <w:tc>
          <w:tcPr>
            <w:tcW w:w="0" w:type="dxa"/>
            <w:vAlign w:val="bottom"/>
          </w:tcPr>
          <w:p>
            <w:pPr>
              <w:spacing w:after="0"/>
              <w:rPr>
                <w:sz w:val="1"/>
                <w:szCs w:val="1"/>
                <w:color w:val="auto"/>
              </w:rPr>
            </w:pPr>
          </w:p>
        </w:tc>
      </w:tr>
      <w:tr>
        <w:trPr>
          <w:trHeight w:val="220"/>
        </w:trPr>
        <w:tc>
          <w:tcPr>
            <w:tcW w:w="41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7"/>
              </w:rPr>
              <w:t>Interest on mandatorily redeemable preferred OP units / equity</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(3,491)</w:t>
            </w:r>
          </w:p>
        </w:tc>
        <w:tc>
          <w:tcPr>
            <w:tcW w:w="0" w:type="dxa"/>
            <w:vAlign w:val="bottom"/>
          </w:tcPr>
          <w:p>
            <w:pPr>
              <w:spacing w:after="0"/>
              <w:rPr>
                <w:sz w:val="1"/>
                <w:szCs w:val="1"/>
                <w:color w:val="auto"/>
              </w:rPr>
            </w:pPr>
          </w:p>
        </w:tc>
      </w:tr>
      <w:tr>
        <w:trPr>
          <w:trHeight w:val="212"/>
        </w:trPr>
        <w:tc>
          <w:tcPr>
            <w:tcW w:w="4180" w:type="dxa"/>
            <w:vAlign w:val="bottom"/>
            <w:gridSpan w:val="2"/>
          </w:tcPr>
          <w:p>
            <w:pPr>
              <w:ind w:left="120"/>
              <w:spacing w:after="0"/>
              <w:rPr>
                <w:sz w:val="20"/>
                <w:szCs w:val="20"/>
                <w:color w:val="auto"/>
              </w:rPr>
            </w:pPr>
            <w:r>
              <w:rPr>
                <w:rFonts w:ascii="Arial" w:cs="Arial" w:eastAsia="Arial" w:hAnsi="Arial"/>
                <w:sz w:val="15"/>
                <w:szCs w:val="15"/>
                <w:color w:val="auto"/>
              </w:rPr>
              <w:t>Gain / (loss) on remeasurement of marketable securities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16,548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16,548</w:t>
            </w:r>
          </w:p>
        </w:tc>
        <w:tc>
          <w:tcPr>
            <w:tcW w:w="0" w:type="dxa"/>
            <w:vAlign w:val="bottom"/>
          </w:tcPr>
          <w:p>
            <w:pPr>
              <w:spacing w:after="0"/>
              <w:rPr>
                <w:sz w:val="1"/>
                <w:szCs w:val="1"/>
                <w:color w:val="auto"/>
              </w:rPr>
            </w:pPr>
          </w:p>
        </w:tc>
      </w:tr>
      <w:tr>
        <w:trPr>
          <w:trHeight w:val="220"/>
        </w:trPr>
        <w:tc>
          <w:tcPr>
            <w:tcW w:w="41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Gain / (loss) on foreign currency translation</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12"/>
        </w:trPr>
        <w:tc>
          <w:tcPr>
            <w:tcW w:w="4180" w:type="dxa"/>
            <w:vAlign w:val="bottom"/>
            <w:gridSpan w:val="2"/>
          </w:tcPr>
          <w:p>
            <w:pPr>
              <w:ind w:left="120"/>
              <w:spacing w:after="0"/>
              <w:rPr>
                <w:sz w:val="20"/>
                <w:szCs w:val="20"/>
                <w:color w:val="auto"/>
              </w:rPr>
            </w:pPr>
            <w:r>
              <w:rPr>
                <w:rFonts w:ascii="Arial" w:cs="Arial" w:eastAsia="Arial" w:hAnsi="Arial"/>
                <w:sz w:val="15"/>
                <w:szCs w:val="15"/>
                <w:color w:val="auto"/>
              </w:rPr>
              <w:t>Gain on disposition of property</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5,595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5,595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41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Other expense, net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(1,524)</w:t>
            </w:r>
          </w:p>
        </w:tc>
        <w:tc>
          <w:tcPr>
            <w:tcW w:w="0" w:type="dxa"/>
            <w:vAlign w:val="bottom"/>
          </w:tcPr>
          <w:p>
            <w:pPr>
              <w:spacing w:after="0"/>
              <w:rPr>
                <w:sz w:val="1"/>
                <w:szCs w:val="1"/>
                <w:color w:val="auto"/>
              </w:rPr>
            </w:pPr>
          </w:p>
        </w:tc>
      </w:tr>
      <w:tr>
        <w:trPr>
          <w:trHeight w:val="212"/>
        </w:trPr>
        <w:tc>
          <w:tcPr>
            <w:tcW w:w="4180" w:type="dxa"/>
            <w:vAlign w:val="bottom"/>
            <w:gridSpan w:val="2"/>
          </w:tcPr>
          <w:p>
            <w:pPr>
              <w:ind w:left="120"/>
              <w:spacing w:after="0"/>
              <w:rPr>
                <w:sz w:val="20"/>
                <w:szCs w:val="20"/>
                <w:color w:val="auto"/>
              </w:rPr>
            </w:pPr>
            <w:r>
              <w:rPr>
                <w:rFonts w:ascii="Arial" w:cs="Arial" w:eastAsia="Arial" w:hAnsi="Arial"/>
                <w:sz w:val="15"/>
                <w:szCs w:val="15"/>
                <w:color w:val="auto"/>
              </w:rPr>
              <w:t>Loss on remeasurement of notes receivable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41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Income from nonconsolidated affiliates (see Note 6)</w:t>
            </w:r>
          </w:p>
        </w:tc>
        <w:tc>
          <w:tcPr>
            <w:tcW w:w="10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1,348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1,348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1,380</w:t>
            </w:r>
          </w:p>
        </w:tc>
        <w:tc>
          <w:tcPr>
            <w:tcW w:w="0" w:type="dxa"/>
            <w:vAlign w:val="bottom"/>
          </w:tcPr>
          <w:p>
            <w:pPr>
              <w:spacing w:after="0"/>
              <w:rPr>
                <w:sz w:val="1"/>
                <w:szCs w:val="1"/>
                <w:color w:val="auto"/>
              </w:rPr>
            </w:pPr>
          </w:p>
        </w:tc>
      </w:tr>
      <w:tr>
        <w:trPr>
          <w:trHeight w:val="176"/>
        </w:trPr>
        <w:tc>
          <w:tcPr>
            <w:tcW w:w="4180" w:type="dxa"/>
            <w:vAlign w:val="bottom"/>
            <w:gridSpan w:val="2"/>
          </w:tcPr>
          <w:p>
            <w:pPr>
              <w:ind w:left="120"/>
              <w:spacing w:after="0"/>
              <w:rPr>
                <w:sz w:val="20"/>
                <w:szCs w:val="20"/>
                <w:color w:val="auto"/>
              </w:rPr>
            </w:pPr>
            <w:r>
              <w:rPr>
                <w:rFonts w:ascii="Arial" w:cs="Arial" w:eastAsia="Arial" w:hAnsi="Arial"/>
                <w:sz w:val="15"/>
                <w:szCs w:val="15"/>
                <w:color w:val="auto"/>
              </w:rPr>
              <w:t>Loss on remeasurement of investment in nonconsolidated</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180" w:type="dxa"/>
            <w:vAlign w:val="bottom"/>
            <w:gridSpan w:val="2"/>
          </w:tcPr>
          <w:p>
            <w:pPr>
              <w:ind w:left="120"/>
              <w:spacing w:after="0"/>
              <w:rPr>
                <w:sz w:val="20"/>
                <w:szCs w:val="20"/>
                <w:color w:val="auto"/>
              </w:rPr>
            </w:pPr>
            <w:r>
              <w:rPr>
                <w:rFonts w:ascii="Arial" w:cs="Arial" w:eastAsia="Arial" w:hAnsi="Arial"/>
                <w:sz w:val="15"/>
                <w:szCs w:val="15"/>
                <w:color w:val="auto"/>
              </w:rPr>
              <w:t>affiliate</w:t>
            </w:r>
          </w:p>
        </w:tc>
        <w:tc>
          <w:tcPr>
            <w:tcW w:w="100" w:type="dxa"/>
            <w:vAlign w:val="bottom"/>
          </w:tcPr>
          <w:p>
            <w:pPr>
              <w:spacing w:after="0"/>
              <w:rPr>
                <w:sz w:val="17"/>
                <w:szCs w:val="17"/>
                <w:color w:val="auto"/>
              </w:rPr>
            </w:pPr>
          </w:p>
        </w:tc>
        <w:tc>
          <w:tcPr>
            <w:tcW w:w="1140" w:type="dxa"/>
            <w:vAlign w:val="bottom"/>
            <w:gridSpan w:val="4"/>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(1,505)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41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Current tax benefit / (expense)</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(906)</w:t>
            </w:r>
          </w:p>
        </w:tc>
        <w:tc>
          <w:tcPr>
            <w:tcW w:w="0" w:type="dxa"/>
            <w:vAlign w:val="bottom"/>
          </w:tcPr>
          <w:p>
            <w:pPr>
              <w:spacing w:after="0"/>
              <w:rPr>
                <w:sz w:val="1"/>
                <w:szCs w:val="1"/>
                <w:color w:val="auto"/>
              </w:rPr>
            </w:pPr>
          </w:p>
        </w:tc>
      </w:tr>
      <w:tr>
        <w:trPr>
          <w:trHeight w:val="212"/>
        </w:trPr>
        <w:tc>
          <w:tcPr>
            <w:tcW w:w="4180" w:type="dxa"/>
            <w:vAlign w:val="bottom"/>
            <w:gridSpan w:val="2"/>
          </w:tcPr>
          <w:p>
            <w:pPr>
              <w:ind w:left="120"/>
              <w:spacing w:after="0"/>
              <w:rPr>
                <w:sz w:val="20"/>
                <w:szCs w:val="20"/>
                <w:color w:val="auto"/>
              </w:rPr>
            </w:pPr>
            <w:r>
              <w:rPr>
                <w:rFonts w:ascii="Arial" w:cs="Arial" w:eastAsia="Arial" w:hAnsi="Arial"/>
                <w:sz w:val="15"/>
                <w:szCs w:val="15"/>
                <w:color w:val="auto"/>
              </w:rPr>
              <w:t>Deferred tax benefit / (expense) (see Note 12)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804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14"/>
        </w:trPr>
        <w:tc>
          <w:tcPr>
            <w:tcW w:w="41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b w:val="1"/>
                <w:bCs w:val="1"/>
                <w:color w:val="auto"/>
              </w:rPr>
              <w:t>Net Income / (Loss)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159,920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(22,287)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137,633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159,517</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146,694</w:t>
            </w:r>
          </w:p>
        </w:tc>
        <w:tc>
          <w:tcPr>
            <w:tcW w:w="0" w:type="dxa"/>
            <w:vAlign w:val="bottom"/>
          </w:tcPr>
          <w:p>
            <w:pPr>
              <w:spacing w:after="0"/>
              <w:rPr>
                <w:sz w:val="1"/>
                <w:szCs w:val="1"/>
                <w:color w:val="auto"/>
              </w:rPr>
            </w:pPr>
          </w:p>
        </w:tc>
      </w:tr>
      <w:tr>
        <w:trPr>
          <w:trHeight w:val="212"/>
        </w:trPr>
        <w:tc>
          <w:tcPr>
            <w:tcW w:w="4180" w:type="dxa"/>
            <w:vAlign w:val="bottom"/>
            <w:gridSpan w:val="2"/>
          </w:tcPr>
          <w:p>
            <w:pPr>
              <w:ind w:left="340"/>
              <w:spacing w:after="0"/>
              <w:rPr>
                <w:sz w:val="20"/>
                <w:szCs w:val="20"/>
                <w:color w:val="auto"/>
              </w:rPr>
            </w:pPr>
            <w:r>
              <w:rPr>
                <w:rFonts w:ascii="Arial" w:cs="Arial" w:eastAsia="Arial" w:hAnsi="Arial"/>
                <w:sz w:val="15"/>
                <w:szCs w:val="15"/>
                <w:color w:val="auto"/>
              </w:rPr>
              <w:t>Less: Preferred return to preferred OP units / equity</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4,799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4,799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4,640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4,640</w:t>
            </w:r>
          </w:p>
        </w:tc>
        <w:tc>
          <w:tcPr>
            <w:tcW w:w="0" w:type="dxa"/>
            <w:vAlign w:val="bottom"/>
          </w:tcPr>
          <w:p>
            <w:pPr>
              <w:spacing w:after="0"/>
              <w:rPr>
                <w:sz w:val="1"/>
                <w:szCs w:val="1"/>
                <w:color w:val="auto"/>
              </w:rPr>
            </w:pPr>
          </w:p>
        </w:tc>
      </w:tr>
      <w:tr>
        <w:trPr>
          <w:trHeight w:val="220"/>
        </w:trPr>
        <w:tc>
          <w:tcPr>
            <w:tcW w:w="418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96"/>
              </w:rPr>
              <w:t>Less: Income / (Loss) attributable to 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9,722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8,806</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9,641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9,048</w:t>
            </w:r>
          </w:p>
        </w:tc>
        <w:tc>
          <w:tcPr>
            <w:tcW w:w="0" w:type="dxa"/>
            <w:vAlign w:val="bottom"/>
          </w:tcPr>
          <w:p>
            <w:pPr>
              <w:spacing w:after="0"/>
              <w:rPr>
                <w:sz w:val="1"/>
                <w:szCs w:val="1"/>
                <w:color w:val="auto"/>
              </w:rPr>
            </w:pPr>
          </w:p>
        </w:tc>
      </w:tr>
      <w:tr>
        <w:trPr>
          <w:trHeight w:val="206"/>
        </w:trPr>
        <w:tc>
          <w:tcPr>
            <w:tcW w:w="4180" w:type="dxa"/>
            <w:vAlign w:val="bottom"/>
            <w:gridSpan w:val="2"/>
          </w:tcPr>
          <w:p>
            <w:pPr>
              <w:ind w:left="120"/>
              <w:spacing w:after="0"/>
              <w:rPr>
                <w:sz w:val="20"/>
                <w:szCs w:val="20"/>
                <w:color w:val="auto"/>
              </w:rPr>
            </w:pPr>
            <w:r>
              <w:rPr>
                <w:rFonts w:ascii="Arial" w:cs="Arial" w:eastAsia="Arial" w:hAnsi="Arial"/>
                <w:sz w:val="15"/>
                <w:szCs w:val="15"/>
                <w:b w:val="1"/>
                <w:bCs w:val="1"/>
                <w:color w:val="auto"/>
                <w:w w:val="98"/>
              </w:rPr>
              <w:t>Net Income / (Loss) Attributable to Sun Communities, Inc.</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145,399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(21,371)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124,028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145,236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(12,230)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133,006</w:t>
            </w:r>
          </w:p>
        </w:tc>
        <w:tc>
          <w:tcPr>
            <w:tcW w:w="0" w:type="dxa"/>
            <w:vAlign w:val="bottom"/>
          </w:tcPr>
          <w:p>
            <w:pPr>
              <w:spacing w:after="0"/>
              <w:rPr>
                <w:sz w:val="1"/>
                <w:szCs w:val="1"/>
                <w:color w:val="auto"/>
              </w:rPr>
            </w:pPr>
          </w:p>
        </w:tc>
      </w:tr>
      <w:tr>
        <w:trPr>
          <w:trHeight w:val="220"/>
        </w:trPr>
        <w:tc>
          <w:tcPr>
            <w:tcW w:w="418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Less: Preferred stock distribution</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1,288</w:t>
            </w:r>
          </w:p>
        </w:tc>
        <w:tc>
          <w:tcPr>
            <w:tcW w:w="0" w:type="dxa"/>
            <w:vAlign w:val="bottom"/>
          </w:tcPr>
          <w:p>
            <w:pPr>
              <w:spacing w:after="0"/>
              <w:rPr>
                <w:sz w:val="1"/>
                <w:szCs w:val="1"/>
                <w:color w:val="auto"/>
              </w:rPr>
            </w:pPr>
          </w:p>
        </w:tc>
      </w:tr>
      <w:tr>
        <w:trPr>
          <w:trHeight w:val="152"/>
        </w:trPr>
        <w:tc>
          <w:tcPr>
            <w:tcW w:w="4180" w:type="dxa"/>
            <w:vAlign w:val="bottom"/>
            <w:gridSpan w:val="2"/>
          </w:tcPr>
          <w:p>
            <w:pPr>
              <w:ind w:left="120"/>
              <w:spacing w:after="0" w:line="152" w:lineRule="exact"/>
              <w:rPr>
                <w:sz w:val="20"/>
                <w:szCs w:val="20"/>
                <w:color w:val="auto"/>
              </w:rPr>
            </w:pPr>
            <w:r>
              <w:rPr>
                <w:rFonts w:ascii="Arial" w:cs="Arial" w:eastAsia="Arial" w:hAnsi="Arial"/>
                <w:sz w:val="15"/>
                <w:szCs w:val="15"/>
                <w:b w:val="1"/>
                <w:bCs w:val="1"/>
                <w:color w:val="auto"/>
                <w:w w:val="98"/>
              </w:rPr>
              <w:t>Net Income / (Loss) Attributable to Sun Communities, Inc.</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145,399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vMerge w:val="restart"/>
          </w:tcPr>
          <w:p>
            <w:pPr>
              <w:jc w:val="right"/>
              <w:ind w:right="44"/>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(21,371)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vMerge w:val="restart"/>
          </w:tcPr>
          <w:p>
            <w:pPr>
              <w:jc w:val="right"/>
              <w:ind w:right="4"/>
              <w:spacing w:after="0"/>
              <w:rPr>
                <w:sz w:val="20"/>
                <w:szCs w:val="20"/>
                <w:color w:val="auto"/>
              </w:rPr>
            </w:pPr>
            <w:r>
              <w:rPr>
                <w:rFonts w:ascii="Arial" w:cs="Arial" w:eastAsia="Arial" w:hAnsi="Arial"/>
                <w:sz w:val="15"/>
                <w:szCs w:val="15"/>
                <w:color w:val="auto"/>
              </w:rPr>
              <w:t>124,028</w:t>
            </w:r>
          </w:p>
        </w:tc>
        <w:tc>
          <w:tcPr>
            <w:tcW w:w="2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143,948</w:t>
            </w:r>
          </w:p>
        </w:tc>
        <w:tc>
          <w:tcPr>
            <w:tcW w:w="2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(12,230)</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ind w:right="4"/>
              <w:spacing w:after="0"/>
              <w:rPr>
                <w:sz w:val="20"/>
                <w:szCs w:val="20"/>
                <w:color w:val="auto"/>
              </w:rPr>
            </w:pPr>
            <w:r>
              <w:rPr>
                <w:rFonts w:ascii="Arial" w:cs="Arial" w:eastAsia="Arial" w:hAnsi="Arial"/>
                <w:sz w:val="15"/>
                <w:szCs w:val="15"/>
                <w:color w:val="auto"/>
              </w:rPr>
              <w:t>131,718</w:t>
            </w:r>
          </w:p>
        </w:tc>
        <w:tc>
          <w:tcPr>
            <w:tcW w:w="0" w:type="dxa"/>
            <w:vAlign w:val="bottom"/>
          </w:tcPr>
          <w:p>
            <w:pPr>
              <w:spacing w:after="0"/>
              <w:rPr>
                <w:sz w:val="1"/>
                <w:szCs w:val="1"/>
                <w:color w:val="auto"/>
              </w:rPr>
            </w:pPr>
          </w:p>
        </w:tc>
      </w:tr>
      <w:tr>
        <w:trPr>
          <w:trHeight w:val="179"/>
        </w:trPr>
        <w:tc>
          <w:tcPr>
            <w:tcW w:w="4180" w:type="dxa"/>
            <w:vAlign w:val="bottom"/>
            <w:gridSpan w:val="2"/>
          </w:tcPr>
          <w:p>
            <w:pPr>
              <w:ind w:left="120"/>
              <w:spacing w:after="0"/>
              <w:rPr>
                <w:sz w:val="20"/>
                <w:szCs w:val="20"/>
                <w:color w:val="auto"/>
              </w:rPr>
            </w:pPr>
            <w:r>
              <w:rPr>
                <w:rFonts w:ascii="Arial" w:cs="Arial" w:eastAsia="Arial" w:hAnsi="Arial"/>
                <w:sz w:val="15"/>
                <w:szCs w:val="15"/>
                <w:b w:val="1"/>
                <w:bCs w:val="1"/>
                <w:color w:val="auto"/>
              </w:rPr>
              <w:t>Common Stockholders</w:t>
            </w:r>
          </w:p>
        </w:tc>
        <w:tc>
          <w:tcPr>
            <w:tcW w:w="10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3"/>
        </w:trPr>
        <w:tc>
          <w:tcPr>
            <w:tcW w:w="4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9"/>
          </w:tcPr>
          <w:p>
            <w:pPr>
              <w:jc w:val="center"/>
              <w:ind w:left="844"/>
              <w:spacing w:after="0"/>
              <w:rPr>
                <w:sz w:val="20"/>
                <w:szCs w:val="20"/>
                <w:color w:val="auto"/>
              </w:rPr>
            </w:pPr>
            <w:r>
              <w:rPr>
                <w:rFonts w:ascii="Arial" w:cs="Arial" w:eastAsia="Arial" w:hAnsi="Arial"/>
                <w:sz w:val="15"/>
                <w:szCs w:val="15"/>
                <w:b w:val="1"/>
                <w:bCs w:val="1"/>
                <w:color w:val="auto"/>
                <w:w w:val="91"/>
              </w:rPr>
              <w:t>September 30, 2020</w:t>
            </w:r>
          </w:p>
        </w:tc>
        <w:tc>
          <w:tcPr>
            <w:tcW w:w="10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w w:val="90"/>
              </w:rPr>
              <w:t>December 31, 2019</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center"/>
              <w:ind w:right="220"/>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060" w:type="dxa"/>
            <w:vAlign w:val="bottom"/>
            <w:gridSpan w:val="4"/>
          </w:tcPr>
          <w:p>
            <w:pPr>
              <w:jc w:val="center"/>
              <w:ind w:right="140"/>
              <w:spacing w:after="0" w:line="169" w:lineRule="exact"/>
              <w:rPr>
                <w:sz w:val="20"/>
                <w:szCs w:val="20"/>
                <w:color w:val="auto"/>
              </w:rPr>
            </w:pPr>
            <w:r>
              <w:rPr>
                <w:rFonts w:ascii="Arial" w:cs="Arial" w:eastAsia="Arial" w:hAnsi="Arial"/>
                <w:sz w:val="15"/>
                <w:szCs w:val="15"/>
                <w:b w:val="1"/>
                <w:bCs w:val="1"/>
                <w:color w:val="auto"/>
                <w:w w:val="89"/>
              </w:rPr>
              <w:t>Home Sales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Home Sales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3"/>
              </w:rPr>
              <w:t>Operations</w:t>
            </w:r>
          </w:p>
        </w:tc>
        <w:tc>
          <w:tcPr>
            <w:tcW w:w="10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9"/>
              </w:rPr>
              <w:t>and Rentals</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0"/>
              </w:rPr>
              <w:t>Consolidated</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93"/>
              </w:rPr>
              <w:t>Operations</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and Rentals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210"/>
        </w:trPr>
        <w:tc>
          <w:tcPr>
            <w:tcW w:w="4180" w:type="dxa"/>
            <w:vAlign w:val="bottom"/>
            <w:gridSpan w:val="2"/>
          </w:tcPr>
          <w:p>
            <w:pPr>
              <w:ind w:left="20"/>
              <w:spacing w:after="0"/>
              <w:rPr>
                <w:sz w:val="20"/>
                <w:szCs w:val="20"/>
                <w:color w:val="auto"/>
              </w:rPr>
            </w:pPr>
            <w:r>
              <w:rPr>
                <w:rFonts w:ascii="Arial" w:cs="Arial" w:eastAsia="Arial" w:hAnsi="Arial"/>
                <w:sz w:val="15"/>
                <w:szCs w:val="15"/>
                <w:b w:val="1"/>
                <w:bCs w:val="1"/>
                <w:color w:val="auto"/>
              </w:rPr>
              <w:t>Identifiable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Investment property,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7,040,869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606,600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7,647,469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6,651,275</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581,345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7,232,620</w:t>
            </w:r>
          </w:p>
        </w:tc>
        <w:tc>
          <w:tcPr>
            <w:tcW w:w="0" w:type="dxa"/>
            <w:vAlign w:val="bottom"/>
          </w:tcPr>
          <w:p>
            <w:pPr>
              <w:spacing w:after="0"/>
              <w:rPr>
                <w:sz w:val="1"/>
                <w:szCs w:val="1"/>
                <w:color w:val="auto"/>
              </w:rPr>
            </w:pPr>
          </w:p>
        </w:tc>
      </w:tr>
      <w:tr>
        <w:trPr>
          <w:trHeight w:val="212"/>
        </w:trPr>
        <w:tc>
          <w:tcPr>
            <w:tcW w:w="4180" w:type="dxa"/>
            <w:vAlign w:val="bottom"/>
            <w:gridSpan w:val="2"/>
          </w:tcPr>
          <w:p>
            <w:pPr>
              <w:ind w:left="120"/>
              <w:spacing w:after="0"/>
              <w:rPr>
                <w:sz w:val="20"/>
                <w:szCs w:val="20"/>
                <w:color w:val="auto"/>
              </w:rPr>
            </w:pPr>
            <w:r>
              <w:rPr>
                <w:rFonts w:ascii="Arial" w:cs="Arial" w:eastAsia="Arial" w:hAnsi="Arial"/>
                <w:sz w:val="15"/>
                <w:szCs w:val="15"/>
                <w:color w:val="auto"/>
              </w:rPr>
              <w:t>Cash, cash equivalents and restricted cash</w:t>
            </w:r>
          </w:p>
        </w:tc>
        <w:tc>
          <w:tcPr>
            <w:tcW w:w="10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37,400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78,129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115,529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(8,346)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43,176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34,830</w:t>
            </w:r>
          </w:p>
        </w:tc>
        <w:tc>
          <w:tcPr>
            <w:tcW w:w="0" w:type="dxa"/>
            <w:vAlign w:val="bottom"/>
          </w:tcPr>
          <w:p>
            <w:pPr>
              <w:spacing w:after="0"/>
              <w:rPr>
                <w:sz w:val="1"/>
                <w:szCs w:val="1"/>
                <w:color w:val="auto"/>
              </w:rPr>
            </w:pPr>
          </w:p>
        </w:tc>
      </w:tr>
      <w:tr>
        <w:trPr>
          <w:trHeight w:val="220"/>
        </w:trPr>
        <w:tc>
          <w:tcPr>
            <w:tcW w:w="41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Marketable securities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107,083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107,083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94,727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94,727</w:t>
            </w:r>
          </w:p>
        </w:tc>
        <w:tc>
          <w:tcPr>
            <w:tcW w:w="0" w:type="dxa"/>
            <w:vAlign w:val="bottom"/>
          </w:tcPr>
          <w:p>
            <w:pPr>
              <w:spacing w:after="0"/>
              <w:rPr>
                <w:sz w:val="1"/>
                <w:szCs w:val="1"/>
                <w:color w:val="auto"/>
              </w:rPr>
            </w:pPr>
          </w:p>
        </w:tc>
      </w:tr>
      <w:tr>
        <w:trPr>
          <w:trHeight w:val="212"/>
        </w:trPr>
        <w:tc>
          <w:tcPr>
            <w:tcW w:w="4180" w:type="dxa"/>
            <w:vAlign w:val="bottom"/>
            <w:gridSpan w:val="2"/>
          </w:tcPr>
          <w:p>
            <w:pPr>
              <w:ind w:left="120"/>
              <w:spacing w:after="0"/>
              <w:rPr>
                <w:sz w:val="20"/>
                <w:szCs w:val="20"/>
                <w:color w:val="auto"/>
              </w:rPr>
            </w:pPr>
            <w:r>
              <w:rPr>
                <w:rFonts w:ascii="Arial" w:cs="Arial" w:eastAsia="Arial" w:hAnsi="Arial"/>
                <w:sz w:val="15"/>
                <w:szCs w:val="15"/>
                <w:color w:val="auto"/>
              </w:rPr>
              <w:t>Inventory of manufactured homes</w:t>
            </w:r>
          </w:p>
        </w:tc>
        <w:tc>
          <w:tcPr>
            <w:tcW w:w="100" w:type="dxa"/>
            <w:vAlign w:val="bottom"/>
          </w:tcPr>
          <w:p>
            <w:pPr>
              <w:spacing w:after="0"/>
              <w:rPr>
                <w:sz w:val="18"/>
                <w:szCs w:val="18"/>
                <w:color w:val="auto"/>
              </w:rPr>
            </w:pPr>
          </w:p>
        </w:tc>
        <w:tc>
          <w:tcPr>
            <w:tcW w:w="1140" w:type="dxa"/>
            <w:vAlign w:val="bottom"/>
            <w:gridSpan w:val="4"/>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48,130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48,130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62,061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62,061</w:t>
            </w:r>
          </w:p>
        </w:tc>
        <w:tc>
          <w:tcPr>
            <w:tcW w:w="0" w:type="dxa"/>
            <w:vAlign w:val="bottom"/>
          </w:tcPr>
          <w:p>
            <w:pPr>
              <w:spacing w:after="0"/>
              <w:rPr>
                <w:sz w:val="1"/>
                <w:szCs w:val="1"/>
                <w:color w:val="auto"/>
              </w:rPr>
            </w:pPr>
          </w:p>
        </w:tc>
      </w:tr>
      <w:tr>
        <w:trPr>
          <w:trHeight w:val="220"/>
        </w:trPr>
        <w:tc>
          <w:tcPr>
            <w:tcW w:w="41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Notes and other receivables, net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173,090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18,418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191,508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142,509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15,417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157,926</w:t>
            </w:r>
          </w:p>
        </w:tc>
        <w:tc>
          <w:tcPr>
            <w:tcW w:w="0" w:type="dxa"/>
            <w:vAlign w:val="bottom"/>
          </w:tcPr>
          <w:p>
            <w:pPr>
              <w:spacing w:after="0"/>
              <w:rPr>
                <w:sz w:val="1"/>
                <w:szCs w:val="1"/>
                <w:color w:val="auto"/>
              </w:rPr>
            </w:pPr>
          </w:p>
        </w:tc>
      </w:tr>
      <w:tr>
        <w:trPr>
          <w:trHeight w:val="212"/>
        </w:trPr>
        <w:tc>
          <w:tcPr>
            <w:tcW w:w="41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assets, net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159,142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66,856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225,998</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167,804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52,092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219,896</w:t>
            </w:r>
          </w:p>
        </w:tc>
        <w:tc>
          <w:tcPr>
            <w:tcW w:w="0" w:type="dxa"/>
            <w:vAlign w:val="bottom"/>
          </w:tcPr>
          <w:p>
            <w:pPr>
              <w:spacing w:after="0"/>
              <w:rPr>
                <w:sz w:val="1"/>
                <w:szCs w:val="1"/>
                <w:color w:val="auto"/>
              </w:rPr>
            </w:pPr>
          </w:p>
        </w:tc>
      </w:tr>
      <w:tr>
        <w:trPr>
          <w:trHeight w:val="233"/>
        </w:trPr>
        <w:tc>
          <w:tcPr>
            <w:tcW w:w="4180" w:type="dxa"/>
            <w:vAlign w:val="bottom"/>
            <w:gridSpan w:val="2"/>
            <w:shd w:val="clear" w:color="auto" w:fill="CCEEFF"/>
          </w:tcPr>
          <w:p>
            <w:pPr>
              <w:ind w:left="320"/>
              <w:spacing w:after="0"/>
              <w:rPr>
                <w:sz w:val="20"/>
                <w:szCs w:val="20"/>
                <w:color w:val="auto"/>
              </w:rPr>
            </w:pPr>
            <w:r>
              <w:rPr>
                <w:rFonts w:ascii="Arial" w:cs="Arial" w:eastAsia="Arial" w:hAnsi="Arial"/>
                <w:sz w:val="15"/>
                <w:szCs w:val="15"/>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7,517,584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818,133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8,335,717</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7,047,969</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754,091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7,802,060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elected to be taxed as a real estate investment trust (“REIT”) pursuant to Section 856(c) of the Internal Revenue Code of 1986, as amended (“Code”). In order for us to qualify as a REIT, at least 95 percent of our gross income in any year must be derived from qualifying sources. In addition, a REIT must distribute annually at least 90 percent of its REIT taxable income (calculated without any deduction for dividends paid and excluding capital gain) to its stockholders and meet other tests.</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for the quarter ended September 30, 2020.</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REIT, we generally will not be subject to United States (“U.S.”) federal income taxes at the corporate level on the ordinary taxable income we distribute to our stockholders as dividends. If we fail to qualify as a REIT in any taxable year, our taxable income could be subject to U.S. federal income tax at regular corporate rates. Even if we qualify as a REIT, we may be subject to certain state and local income taxes as well as U.S. federal income and excise taxes on our undistributed income. In addition, taxable income from non-REIT activities managed through taxable REIT subsidiaries is subject to federal, state, and local income taxes. We are also subject to local income taxes in Canada as a result of the acquisition in 2016 of certain properties located in Canada. We do not provide for withholding taxes on our undistributed earnings from our Canadian subsidiaries as they are reinvested and will continue to be reinvested indefinitely outside of the U.S. However, we are subject to Australian withholding taxes on distributions from our investment in Ingenia Communities Group.</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Deferred tax assets and liabilities reflect the impact of temporary differences between the amounts of assets and liabilities for financial reporting purposes and the basis of such assets and liabilities as measured by tax laws. Deferred tax assets are reduced, if necessary, by a valuation allowance to the amount where realization is more likely than not assured after considering all available evidence. Our temporary differences primarily relate to net operating loss carryforwards, depreciation and basis differences between tax and U.S. GAAP on our Canadian investments. Our deferred tax assets that have a full valuation allowance relate to our taxable REIT subsidiaries business. Net deferred tax liabilities of $19.3 million and $21.0 million for Canadian entities have been recorded in relation to corporate entities and included in other liabilities in our Consolidated Balance Sheets as of September 30, 2020 and December 31, 2019, respectively. There are no U.S. federal deferred tax assets or liabilities included in our Consolidated Balance Sheets as of September 30, 2020 and December 31, 2019.</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had no unrecognized tax benefits as of September 30, 2020 and 2019. We do not expect significant changes in tax positions that would result in unrecognized tax benefits within one year of September 30, 2020.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September 30, 2020 we recorded a current tax benefit for federal, state, and Canadian income taxes and Australian withholding taxes of $0.1 million. For the the nine months ended September 30, 2020 we recorded a current tax expense for federal, state, and Canadian income taxes and Australian withholding taxes of $0.5 million. For the three and nine months ended September 30, 2019 we recorded a current tax expense for federal, state and Canadian income taxes of $0.4 million and $0.9 million, respectively.</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months and nine months ended September 30, 2020 we recorded a deferred tax benefit of $0.6 million and $0.8 million, respectively. For the three and nine months ended September 30, 2019, we recorded a deferred tax expense of $0.3 million and $36 thousand,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Earnings per share is computed by dividing net income by the weighted average number of common shares outstanding during the period on a basic and diluted basis. We calculate diluted earnings per share using the more dilutive of the treasury stock method and the two-class method.</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potentially dilutive securities include potential common shares related to our forward sale agreement, our outstanding stock options, our unvested restricted common shares, and our Operating Partnership outstanding common OP units, Series A-1 preferred OP units, Series A-3 preferred OP units, Series C preferred OP units, Series D preferred OP units, Series E preferred OP units, Series F preferred OP units, Series G preferred OP units, and Aspen preferred OP Units, which, if converted or exercised, may impact dilution.</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Diluted earnings per share considers the impact of potentially dilutive securities except when the potential common shares have an antidilutive effect. Our unvested restricted stock common shares contain rights to receive non-forfeitable dividends and participate equally with common stock with respect to dividends issued or declared, and thus, are participating securities, requiring the two-class method of computing earnings per share. The two-class method determines earnings per share by dividing the sum of distributed earnings to common stockholders and undistributed earnings allocated to common stockholders by the weighted average number of shares of common stock outstanding for the period. In calculating the two-class method, undistributed earnings are allocated to both common shares and participating securities based on the weighted average number of shares outstanding during the period. The remaining potential dilutive common shares do not contain rights to dividends and are included in the computation of diluted earnings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Computations of basic and diluted earnings per share were as follows (in thousands, except per share data):</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5"/>
                <w:szCs w:val="15"/>
                <w:b w:val="1"/>
                <w:bCs w:val="1"/>
                <w:color w:val="auto"/>
              </w:rPr>
              <w:t>Three Months Ended</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5"/>
                <w:szCs w:val="15"/>
                <w:b w:val="1"/>
                <w:bCs w:val="1"/>
                <w:color w:val="auto"/>
              </w:rPr>
              <w:t>Nine Months Ended</w:t>
            </w:r>
          </w:p>
        </w:tc>
        <w:tc>
          <w:tcPr>
            <w:tcW w:w="7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tcPr>
          <w:p>
            <w:pPr>
              <w:spacing w:after="0"/>
              <w:rPr>
                <w:sz w:val="18"/>
                <w:szCs w:val="18"/>
                <w:color w:val="auto"/>
              </w:rPr>
            </w:pPr>
          </w:p>
        </w:tc>
        <w:tc>
          <w:tcPr>
            <w:tcW w:w="1500" w:type="dxa"/>
            <w:vAlign w:val="bottom"/>
            <w:gridSpan w:val="4"/>
          </w:tcPr>
          <w:p>
            <w:pPr>
              <w:jc w:val="right"/>
              <w:ind w:right="160"/>
              <w:spacing w:after="0"/>
              <w:rPr>
                <w:sz w:val="20"/>
                <w:szCs w:val="20"/>
                <w:color w:val="auto"/>
              </w:rPr>
            </w:pPr>
            <w:r>
              <w:rPr>
                <w:rFonts w:ascii="Arial" w:cs="Arial" w:eastAsia="Arial" w:hAnsi="Arial"/>
                <w:sz w:val="15"/>
                <w:szCs w:val="15"/>
                <w:b w:val="1"/>
                <w:bCs w:val="1"/>
                <w:color w:val="auto"/>
                <w:w w:val="94"/>
              </w:rPr>
              <w:t>September 30, 2020</w:t>
            </w:r>
          </w:p>
        </w:tc>
        <w:tc>
          <w:tcPr>
            <w:tcW w:w="1660" w:type="dxa"/>
            <w:vAlign w:val="bottom"/>
            <w:gridSpan w:val="5"/>
          </w:tcPr>
          <w:p>
            <w:pPr>
              <w:ind w:left="80"/>
              <w:spacing w:after="0"/>
              <w:rPr>
                <w:sz w:val="20"/>
                <w:szCs w:val="20"/>
                <w:color w:val="auto"/>
              </w:rPr>
            </w:pPr>
            <w:r>
              <w:rPr>
                <w:rFonts w:ascii="Arial" w:cs="Arial" w:eastAsia="Arial" w:hAnsi="Arial"/>
                <w:sz w:val="15"/>
                <w:szCs w:val="15"/>
                <w:b w:val="1"/>
                <w:bCs w:val="1"/>
                <w:color w:val="auto"/>
              </w:rPr>
              <w:t>September 30, 2019</w:t>
            </w:r>
          </w:p>
        </w:tc>
        <w:tc>
          <w:tcPr>
            <w:tcW w:w="1540" w:type="dxa"/>
            <w:vAlign w:val="bottom"/>
            <w:gridSpan w:val="5"/>
          </w:tcPr>
          <w:p>
            <w:pPr>
              <w:ind w:left="80"/>
              <w:spacing w:after="0"/>
              <w:rPr>
                <w:sz w:val="20"/>
                <w:szCs w:val="20"/>
                <w:color w:val="auto"/>
              </w:rPr>
            </w:pPr>
            <w:r>
              <w:rPr>
                <w:rFonts w:ascii="Arial" w:cs="Arial" w:eastAsia="Arial" w:hAnsi="Arial"/>
                <w:sz w:val="15"/>
                <w:szCs w:val="15"/>
                <w:b w:val="1"/>
                <w:bCs w:val="1"/>
                <w:color w:val="auto"/>
              </w:rPr>
              <w:t>September 30, 2020</w:t>
            </w:r>
          </w:p>
        </w:tc>
        <w:tc>
          <w:tcPr>
            <w:tcW w:w="1520" w:type="dxa"/>
            <w:vAlign w:val="bottom"/>
            <w:gridSpan w:val="4"/>
          </w:tcPr>
          <w:p>
            <w:pPr>
              <w:jc w:val="right"/>
              <w:ind w:right="160"/>
              <w:spacing w:after="0"/>
              <w:rPr>
                <w:sz w:val="20"/>
                <w:szCs w:val="20"/>
                <w:color w:val="auto"/>
              </w:rPr>
            </w:pPr>
            <w:r>
              <w:rPr>
                <w:rFonts w:ascii="Arial" w:cs="Arial" w:eastAsia="Arial" w:hAnsi="Arial"/>
                <w:sz w:val="15"/>
                <w:szCs w:val="15"/>
                <w:b w:val="1"/>
                <w:bCs w:val="1"/>
                <w:color w:val="auto"/>
                <w:w w:val="95"/>
              </w:rPr>
              <w:t>September 30, 2019</w:t>
            </w:r>
          </w:p>
        </w:tc>
        <w:tc>
          <w:tcPr>
            <w:tcW w:w="0" w:type="dxa"/>
            <w:vAlign w:val="bottom"/>
          </w:tcPr>
          <w:p>
            <w:pPr>
              <w:spacing w:after="0"/>
              <w:rPr>
                <w:sz w:val="1"/>
                <w:szCs w:val="1"/>
                <w:color w:val="auto"/>
              </w:rPr>
            </w:pPr>
          </w:p>
        </w:tc>
      </w:tr>
      <w:tr>
        <w:trPr>
          <w:trHeight w:val="198"/>
        </w:trPr>
        <w:tc>
          <w:tcPr>
            <w:tcW w:w="5020" w:type="dxa"/>
            <w:vAlign w:val="bottom"/>
          </w:tcPr>
          <w:p>
            <w:pPr>
              <w:ind w:left="20"/>
              <w:spacing w:after="0"/>
              <w:rPr>
                <w:sz w:val="20"/>
                <w:szCs w:val="20"/>
                <w:color w:val="auto"/>
              </w:rPr>
            </w:pPr>
            <w:r>
              <w:rPr>
                <w:rFonts w:ascii="Arial" w:cs="Arial" w:eastAsia="Arial" w:hAnsi="Arial"/>
                <w:sz w:val="15"/>
                <w:szCs w:val="15"/>
                <w:b w:val="1"/>
                <w:bCs w:val="1"/>
                <w:color w:val="auto"/>
              </w:rPr>
              <w:t>Numerator</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Income Attributable to Sun Communities, Inc. Common Stockholders</w:t>
            </w:r>
          </w:p>
        </w:tc>
        <w:tc>
          <w:tcPr>
            <w:tcW w:w="48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81,204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57,002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124,028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40"/>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131,718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Less: allocation to restricted stock awards</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437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821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5020" w:type="dxa"/>
            <w:vAlign w:val="bottom"/>
            <w:shd w:val="clear" w:color="auto" w:fill="CCEEFF"/>
          </w:tcPr>
          <w:p>
            <w:pPr>
              <w:ind w:left="120"/>
              <w:spacing w:after="0" w:line="160" w:lineRule="exact"/>
              <w:rPr>
                <w:sz w:val="20"/>
                <w:szCs w:val="20"/>
                <w:color w:val="auto"/>
              </w:rPr>
            </w:pPr>
            <w:r>
              <w:rPr>
                <w:rFonts w:ascii="Arial" w:cs="Arial" w:eastAsia="Arial" w:hAnsi="Arial"/>
                <w:sz w:val="15"/>
                <w:szCs w:val="15"/>
                <w:color w:val="auto"/>
              </w:rPr>
              <w:t>Basic earnings - Net income attributable to common stockholders after</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allocation to restricted stock awards</w:t>
            </w:r>
          </w:p>
        </w:tc>
        <w:tc>
          <w:tcPr>
            <w:tcW w:w="48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80,668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56,565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123,207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40"/>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130,698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20" w:type="dxa"/>
            <w:vAlign w:val="bottom"/>
          </w:tcPr>
          <w:p>
            <w:pPr>
              <w:ind w:left="120"/>
              <w:spacing w:after="0"/>
              <w:rPr>
                <w:sz w:val="20"/>
                <w:szCs w:val="20"/>
                <w:color w:val="auto"/>
              </w:rPr>
            </w:pPr>
            <w:r>
              <w:rPr>
                <w:rFonts w:ascii="Arial" w:cs="Arial" w:eastAsia="Arial" w:hAnsi="Arial"/>
                <w:sz w:val="15"/>
                <w:szCs w:val="15"/>
                <w:color w:val="auto"/>
              </w:rPr>
              <w:t>Add allocation to restricted stock awards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437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3"/>
        </w:trPr>
        <w:tc>
          <w:tcPr>
            <w:tcW w:w="5020" w:type="dxa"/>
            <w:vAlign w:val="bottom"/>
            <w:tcBorders>
              <w:top w:val="single" w:sz="8" w:color="CCEEFF"/>
            </w:tcBorders>
            <w:shd w:val="clear" w:color="auto" w:fill="CCEEFF"/>
          </w:tcPr>
          <w:p>
            <w:pPr>
              <w:ind w:left="140"/>
              <w:spacing w:after="0" w:line="133" w:lineRule="exact"/>
              <w:rPr>
                <w:sz w:val="20"/>
                <w:szCs w:val="20"/>
                <w:color w:val="auto"/>
              </w:rPr>
            </w:pPr>
            <w:r>
              <w:rPr>
                <w:rFonts w:ascii="Arial" w:cs="Arial" w:eastAsia="Arial" w:hAnsi="Arial"/>
                <w:sz w:val="15"/>
                <w:szCs w:val="15"/>
                <w:color w:val="auto"/>
              </w:rPr>
              <w:t>Diluted earnings - Net income attributable to common stockholders after</w:t>
            </w:r>
          </w:p>
        </w:tc>
        <w:tc>
          <w:tcPr>
            <w:tcW w:w="480" w:type="dxa"/>
            <w:vAlign w:val="bottom"/>
            <w:tcBorders>
              <w:top w:val="single" w:sz="8" w:color="auto"/>
            </w:tcBorders>
            <w:gridSpan w:val="2"/>
            <w:vMerge w:val="restart"/>
            <w:shd w:val="clear" w:color="auto" w:fill="CCEEFF"/>
          </w:tcPr>
          <w:p>
            <w:pPr>
              <w:jc w:val="right"/>
              <w:ind w:right="380"/>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80,668</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57,002</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123,207</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gridSpan w:val="2"/>
            <w:vMerge w:val="restart"/>
            <w:shd w:val="clear" w:color="auto" w:fill="CCEEFF"/>
          </w:tcPr>
          <w:p>
            <w:pPr>
              <w:jc w:val="right"/>
              <w:ind w:right="640"/>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130,698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 xml:space="preserve">allocation to restricted stock awards </w:t>
            </w:r>
            <w:r>
              <w:rPr>
                <w:rFonts w:ascii="Arial" w:cs="Arial" w:eastAsia="Arial" w:hAnsi="Arial"/>
                <w:sz w:val="9"/>
                <w:szCs w:val="9"/>
                <w:color w:val="auto"/>
              </w:rPr>
              <w:t>(1)</w:t>
            </w:r>
          </w:p>
        </w:tc>
        <w:tc>
          <w:tcPr>
            <w:tcW w:w="480" w:type="dxa"/>
            <w:vAlign w:val="bottom"/>
            <w:tcBorders>
              <w:bottom w:val="single" w:sz="8" w:color="auto"/>
            </w:tcBorders>
            <w:gridSpan w:val="2"/>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gridSpan w:val="2"/>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Denominator</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5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Weighted average common shares outstanding</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97,542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89,847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95,270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87,499</w:t>
            </w:r>
          </w:p>
        </w:tc>
        <w:tc>
          <w:tcPr>
            <w:tcW w:w="0" w:type="dxa"/>
            <w:vAlign w:val="bottom"/>
          </w:tcPr>
          <w:p>
            <w:pPr>
              <w:spacing w:after="0"/>
              <w:rPr>
                <w:sz w:val="1"/>
                <w:szCs w:val="1"/>
                <w:color w:val="auto"/>
              </w:rPr>
            </w:pPr>
          </w:p>
        </w:tc>
      </w:tr>
      <w:tr>
        <w:trPr>
          <w:trHeight w:val="212"/>
        </w:trPr>
        <w:tc>
          <w:tcPr>
            <w:tcW w:w="5020" w:type="dxa"/>
            <w:vAlign w:val="bottom"/>
          </w:tcPr>
          <w:p>
            <w:pPr>
              <w:ind w:left="120"/>
              <w:spacing w:after="0"/>
              <w:rPr>
                <w:sz w:val="20"/>
                <w:szCs w:val="20"/>
                <w:color w:val="auto"/>
              </w:rPr>
            </w:pPr>
            <w:r>
              <w:rPr>
                <w:rFonts w:ascii="Arial" w:cs="Arial" w:eastAsia="Arial" w:hAnsi="Arial"/>
                <w:sz w:val="15"/>
                <w:szCs w:val="15"/>
                <w:color w:val="auto"/>
              </w:rPr>
              <w:t>Add: dilutive common share from forward sale</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5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Add: dilutive stock options</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2"/>
        </w:trPr>
        <w:tc>
          <w:tcPr>
            <w:tcW w:w="5020" w:type="dxa"/>
            <w:vAlign w:val="bottom"/>
          </w:tcPr>
          <w:p>
            <w:pPr>
              <w:ind w:left="120"/>
              <w:spacing w:after="0"/>
              <w:rPr>
                <w:sz w:val="20"/>
                <w:szCs w:val="20"/>
                <w:color w:val="auto"/>
              </w:rPr>
            </w:pPr>
            <w:r>
              <w:rPr>
                <w:rFonts w:ascii="Arial" w:cs="Arial" w:eastAsia="Arial" w:hAnsi="Arial"/>
                <w:sz w:val="15"/>
                <w:szCs w:val="15"/>
                <w:color w:val="auto"/>
              </w:rPr>
              <w:t>Add: dilutive restricted stock</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484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8"/>
        </w:trPr>
        <w:tc>
          <w:tcPr>
            <w:tcW w:w="50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 xml:space="preserve">Diluted weighted average common shares and securities </w:t>
            </w:r>
            <w:r>
              <w:rPr>
                <w:rFonts w:ascii="Arial" w:cs="Arial" w:eastAsia="Arial" w:hAnsi="Arial"/>
                <w:sz w:val="9"/>
                <w:szCs w:val="9"/>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97,549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90,332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95,273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87,500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w w:val="97"/>
              </w:rPr>
              <w:t>Earnings Per Share Available to Common Stockholders After Allocation</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Basic earnings per share</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0.83</w:t>
            </w:r>
          </w:p>
        </w:tc>
        <w:tc>
          <w:tcPr>
            <w:tcW w:w="800" w:type="dxa"/>
            <w:vAlign w:val="bottom"/>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0.63</w:t>
            </w:r>
          </w:p>
        </w:tc>
        <w:tc>
          <w:tcPr>
            <w:tcW w:w="1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1.29</w:t>
            </w: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5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208"/>
        </w:trPr>
        <w:tc>
          <w:tcPr>
            <w:tcW w:w="5020" w:type="dxa"/>
            <w:vAlign w:val="bottom"/>
          </w:tcPr>
          <w:p>
            <w:pPr>
              <w:ind w:left="140"/>
              <w:spacing w:after="0"/>
              <w:rPr>
                <w:sz w:val="20"/>
                <w:szCs w:val="20"/>
                <w:color w:val="auto"/>
              </w:rPr>
            </w:pPr>
            <w:r>
              <w:rPr>
                <w:rFonts w:ascii="Arial" w:cs="Arial" w:eastAsia="Arial" w:hAnsi="Arial"/>
                <w:sz w:val="15"/>
                <w:szCs w:val="15"/>
                <w:color w:val="auto"/>
              </w:rPr>
              <w:t xml:space="preserve">Diluted earnings per share </w:t>
            </w:r>
            <w:r>
              <w:rPr>
                <w:rFonts w:ascii="Arial" w:cs="Arial" w:eastAsia="Arial" w:hAnsi="Arial"/>
                <w:sz w:val="9"/>
                <w:szCs w:val="9"/>
                <w:color w:val="auto"/>
              </w:rPr>
              <w:t>(1)</w:t>
            </w:r>
          </w:p>
        </w:tc>
        <w:tc>
          <w:tcPr>
            <w:tcW w:w="4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0.83</w:t>
            </w:r>
          </w:p>
        </w:tc>
        <w:tc>
          <w:tcPr>
            <w:tcW w:w="800" w:type="dxa"/>
            <w:vAlign w:val="bottom"/>
            <w:gridSpan w:val="2"/>
          </w:tcPr>
          <w:p>
            <w:pPr>
              <w:jc w:val="right"/>
              <w:ind w:right="58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5"/>
                <w:szCs w:val="15"/>
                <w:color w:val="auto"/>
              </w:rPr>
              <w:t>0.63</w:t>
            </w:r>
          </w:p>
        </w:tc>
        <w:tc>
          <w:tcPr>
            <w:tcW w:w="120" w:type="dxa"/>
            <w:vAlign w:val="bottom"/>
          </w:tcPr>
          <w:p>
            <w:pPr>
              <w:spacing w:after="0"/>
              <w:rPr>
                <w:sz w:val="18"/>
                <w:szCs w:val="18"/>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1.29</w:t>
            </w:r>
          </w:p>
        </w:tc>
        <w:tc>
          <w:tcPr>
            <w:tcW w:w="20" w:type="dxa"/>
            <w:vAlign w:val="bottom"/>
          </w:tcPr>
          <w:p>
            <w:pPr>
              <w:spacing w:after="0"/>
              <w:rPr>
                <w:sz w:val="18"/>
                <w:szCs w:val="18"/>
                <w:color w:val="auto"/>
              </w:rPr>
            </w:pPr>
          </w:p>
        </w:tc>
        <w:tc>
          <w:tcPr>
            <w:tcW w:w="740" w:type="dxa"/>
            <w:vAlign w:val="bottom"/>
            <w:gridSpan w:val="2"/>
          </w:tcPr>
          <w:p>
            <w:pPr>
              <w:jc w:val="right"/>
              <w:ind w:right="5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260" w:hanging="252"/>
        <w:spacing w:after="0" w:line="257" w:lineRule="auto"/>
        <w:tabs>
          <w:tab w:leader="none" w:pos="163" w:val="left"/>
        </w:tabs>
        <w:numPr>
          <w:ilvl w:val="0"/>
          <w:numId w:val="21"/>
        </w:numPr>
        <w:rPr>
          <w:rFonts w:ascii="Arial" w:cs="Arial" w:eastAsia="Arial" w:hAnsi="Arial"/>
          <w:sz w:val="9"/>
          <w:szCs w:val="9"/>
          <w:color w:val="auto"/>
        </w:rPr>
      </w:pPr>
      <w:r>
        <w:rPr>
          <w:rFonts w:ascii="Arial" w:cs="Arial" w:eastAsia="Arial" w:hAnsi="Arial"/>
          <w:sz w:val="14"/>
          <w:szCs w:val="14"/>
          <w:color w:val="auto"/>
        </w:rPr>
        <w:t>For the three and nine months ended September 30, 2020, and the nine months ended September 30, 2019 diluted earnings per share was calculated using the two-class method as the application of this method resulted in a more dilutive earnings per share for those periods. Diluted earnings per share for the three months ended September 30, 2019 was calculated using the treasury stock method as the application of this method resulted in a more dilutive earnings per share for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excluded certain convertible securities from the computation of diluted earnings per share because the inclusion of those securities would have been anti-dilutive for the periods presented. The following table presents the outstanding securities that were excluded from the computation of diluted earnings per share as of September 30, 2020 and 2019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60" w:type="dxa"/>
            <w:vAlign w:val="bottom"/>
          </w:tcPr>
          <w:p>
            <w:pPr>
              <w:spacing w:after="0"/>
              <w:rPr>
                <w:sz w:val="17"/>
                <w:szCs w:val="17"/>
                <w:color w:val="auto"/>
              </w:rPr>
            </w:pPr>
          </w:p>
        </w:tc>
        <w:tc>
          <w:tcPr>
            <w:tcW w:w="3060" w:type="dxa"/>
            <w:vAlign w:val="bottom"/>
            <w:tcBorders>
              <w:bottom w:val="single" w:sz="8" w:color="auto"/>
            </w:tcBorders>
            <w:gridSpan w:val="3"/>
          </w:tcPr>
          <w:p>
            <w:pPr>
              <w:jc w:val="right"/>
              <w:ind w:right="1284"/>
              <w:spacing w:after="0"/>
              <w:rPr>
                <w:sz w:val="20"/>
                <w:szCs w:val="20"/>
                <w:color w:val="auto"/>
              </w:rPr>
            </w:pPr>
            <w:r>
              <w:rPr>
                <w:rFonts w:ascii="Arial" w:cs="Arial" w:eastAsia="Arial" w:hAnsi="Arial"/>
                <w:sz w:val="15"/>
                <w:szCs w:val="15"/>
                <w:b w:val="1"/>
                <w:bCs w:val="1"/>
                <w:color w:val="auto"/>
              </w:rPr>
              <w:t>As of</w:t>
            </w:r>
          </w:p>
        </w:tc>
      </w:tr>
      <w:tr>
        <w:trPr>
          <w:trHeight w:val="209"/>
        </w:trPr>
        <w:tc>
          <w:tcPr>
            <w:tcW w:w="816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2020</w:t>
            </w:r>
          </w:p>
        </w:tc>
        <w:tc>
          <w:tcPr>
            <w:tcW w:w="1480" w:type="dxa"/>
            <w:vAlign w:val="bottom"/>
          </w:tcPr>
          <w:p>
            <w:pPr>
              <w:jc w:val="right"/>
              <w:ind w:right="24"/>
              <w:spacing w:after="0"/>
              <w:rPr>
                <w:sz w:val="20"/>
                <w:szCs w:val="20"/>
                <w:color w:val="auto"/>
              </w:rPr>
            </w:pPr>
            <w:r>
              <w:rPr>
                <w:rFonts w:ascii="Arial" w:cs="Arial" w:eastAsia="Arial" w:hAnsi="Arial"/>
                <w:sz w:val="15"/>
                <w:szCs w:val="15"/>
                <w:b w:val="1"/>
                <w:bCs w:val="1"/>
                <w:color w:val="auto"/>
                <w:w w:val="97"/>
              </w:rPr>
              <w:t>September 30, 2019</w:t>
            </w:r>
          </w:p>
        </w:tc>
      </w:tr>
      <w:tr>
        <w:trPr>
          <w:trHeight w:val="214"/>
        </w:trPr>
        <w:tc>
          <w:tcPr>
            <w:tcW w:w="8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Common OP units</w:t>
            </w: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2,473</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2,282</w:t>
            </w:r>
          </w:p>
        </w:tc>
      </w:tr>
      <w:tr>
        <w:trPr>
          <w:trHeight w:val="212"/>
        </w:trPr>
        <w:tc>
          <w:tcPr>
            <w:tcW w:w="8160" w:type="dxa"/>
            <w:vAlign w:val="bottom"/>
          </w:tcPr>
          <w:p>
            <w:pPr>
              <w:ind w:left="20"/>
              <w:spacing w:after="0"/>
              <w:rPr>
                <w:sz w:val="20"/>
                <w:szCs w:val="20"/>
                <w:color w:val="auto"/>
              </w:rPr>
            </w:pPr>
            <w:r>
              <w:rPr>
                <w:rFonts w:ascii="Arial" w:cs="Arial" w:eastAsia="Arial" w:hAnsi="Arial"/>
                <w:sz w:val="15"/>
                <w:szCs w:val="15"/>
                <w:color w:val="auto"/>
              </w:rPr>
              <w:t>A-1 preferred OP units</w:t>
            </w: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299</w:t>
            </w:r>
          </w:p>
        </w:tc>
        <w:tc>
          <w:tcPr>
            <w:tcW w:w="100" w:type="dxa"/>
            <w:vAlign w:val="bottom"/>
          </w:tcPr>
          <w:p>
            <w:pPr>
              <w:spacing w:after="0"/>
              <w:rPr>
                <w:sz w:val="18"/>
                <w:szCs w:val="18"/>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316</w:t>
            </w:r>
          </w:p>
        </w:tc>
      </w:tr>
      <w:tr>
        <w:trPr>
          <w:trHeight w:val="220"/>
        </w:trPr>
        <w:tc>
          <w:tcPr>
            <w:tcW w:w="8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A-3 preferred OP units</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w:t>
            </w:r>
          </w:p>
        </w:tc>
      </w:tr>
      <w:tr>
        <w:trPr>
          <w:trHeight w:val="212"/>
        </w:trPr>
        <w:tc>
          <w:tcPr>
            <w:tcW w:w="8160" w:type="dxa"/>
            <w:vAlign w:val="bottom"/>
          </w:tcPr>
          <w:p>
            <w:pPr>
              <w:ind w:left="20"/>
              <w:spacing w:after="0"/>
              <w:rPr>
                <w:sz w:val="20"/>
                <w:szCs w:val="20"/>
                <w:color w:val="auto"/>
              </w:rPr>
            </w:pPr>
            <w:r>
              <w:rPr>
                <w:rFonts w:ascii="Arial" w:cs="Arial" w:eastAsia="Arial" w:hAnsi="Arial"/>
                <w:sz w:val="15"/>
                <w:szCs w:val="15"/>
                <w:color w:val="auto"/>
              </w:rPr>
              <w:t>A-4 preferred OP units</w:t>
            </w:r>
          </w:p>
        </w:tc>
        <w:tc>
          <w:tcPr>
            <w:tcW w:w="1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406</w:t>
            </w:r>
          </w:p>
        </w:tc>
      </w:tr>
      <w:tr>
        <w:trPr>
          <w:trHeight w:val="220"/>
        </w:trPr>
        <w:tc>
          <w:tcPr>
            <w:tcW w:w="8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Aspen preferred OP units</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1,284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1,284</w:t>
            </w:r>
          </w:p>
        </w:tc>
      </w:tr>
      <w:tr>
        <w:trPr>
          <w:trHeight w:val="212"/>
        </w:trPr>
        <w:tc>
          <w:tcPr>
            <w:tcW w:w="8160" w:type="dxa"/>
            <w:vAlign w:val="bottom"/>
          </w:tcPr>
          <w:p>
            <w:pPr>
              <w:ind w:left="20"/>
              <w:spacing w:after="0"/>
              <w:rPr>
                <w:sz w:val="20"/>
                <w:szCs w:val="20"/>
                <w:color w:val="auto"/>
              </w:rPr>
            </w:pPr>
            <w:r>
              <w:rPr>
                <w:rFonts w:ascii="Arial" w:cs="Arial" w:eastAsia="Arial" w:hAnsi="Arial"/>
                <w:sz w:val="15"/>
                <w:szCs w:val="15"/>
                <w:color w:val="auto"/>
              </w:rPr>
              <w:t>Series A-4 preferred stock</w:t>
            </w:r>
          </w:p>
        </w:tc>
        <w:tc>
          <w:tcPr>
            <w:tcW w:w="1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1,052</w:t>
            </w:r>
          </w:p>
        </w:tc>
      </w:tr>
      <w:tr>
        <w:trPr>
          <w:trHeight w:val="220"/>
        </w:trPr>
        <w:tc>
          <w:tcPr>
            <w:tcW w:w="8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C preferred OP units</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310</w:t>
            </w:r>
          </w:p>
        </w:tc>
      </w:tr>
      <w:tr>
        <w:trPr>
          <w:trHeight w:val="212"/>
        </w:trPr>
        <w:tc>
          <w:tcPr>
            <w:tcW w:w="8160" w:type="dxa"/>
            <w:vAlign w:val="bottom"/>
          </w:tcPr>
          <w:p>
            <w:pPr>
              <w:ind w:left="20"/>
              <w:spacing w:after="0"/>
              <w:rPr>
                <w:sz w:val="20"/>
                <w:szCs w:val="20"/>
                <w:color w:val="auto"/>
              </w:rPr>
            </w:pPr>
            <w:r>
              <w:rPr>
                <w:rFonts w:ascii="Arial" w:cs="Arial" w:eastAsia="Arial" w:hAnsi="Arial"/>
                <w:sz w:val="15"/>
                <w:szCs w:val="15"/>
                <w:color w:val="auto"/>
              </w:rPr>
              <w:t>Series D preferred OP units</w:t>
            </w: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489</w:t>
            </w:r>
          </w:p>
        </w:tc>
        <w:tc>
          <w:tcPr>
            <w:tcW w:w="100" w:type="dxa"/>
            <w:vAlign w:val="bottom"/>
          </w:tcPr>
          <w:p>
            <w:pPr>
              <w:spacing w:after="0"/>
              <w:rPr>
                <w:sz w:val="18"/>
                <w:szCs w:val="18"/>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489</w:t>
            </w:r>
          </w:p>
        </w:tc>
      </w:tr>
      <w:tr>
        <w:trPr>
          <w:trHeight w:val="220"/>
        </w:trPr>
        <w:tc>
          <w:tcPr>
            <w:tcW w:w="8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E preferred OP units</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12"/>
        </w:trPr>
        <w:tc>
          <w:tcPr>
            <w:tcW w:w="8160" w:type="dxa"/>
            <w:vAlign w:val="bottom"/>
          </w:tcPr>
          <w:p>
            <w:pPr>
              <w:ind w:left="20"/>
              <w:spacing w:after="0"/>
              <w:rPr>
                <w:sz w:val="20"/>
                <w:szCs w:val="20"/>
                <w:color w:val="auto"/>
              </w:rPr>
            </w:pPr>
            <w:r>
              <w:rPr>
                <w:rFonts w:ascii="Arial" w:cs="Arial" w:eastAsia="Arial" w:hAnsi="Arial"/>
                <w:sz w:val="15"/>
                <w:szCs w:val="15"/>
                <w:color w:val="auto"/>
              </w:rPr>
              <w:t>Series F preferred OP units</w:t>
            </w: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90</w:t>
            </w:r>
          </w:p>
        </w:tc>
        <w:tc>
          <w:tcPr>
            <w:tcW w:w="100" w:type="dxa"/>
            <w:vAlign w:val="bottom"/>
          </w:tcPr>
          <w:p>
            <w:pPr>
              <w:spacing w:after="0"/>
              <w:rPr>
                <w:sz w:val="18"/>
                <w:szCs w:val="18"/>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G preferred OP units</w:t>
            </w: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261</w:t>
            </w:r>
          </w:p>
        </w:tc>
        <w:tc>
          <w:tcPr>
            <w:tcW w:w="10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13"/>
        </w:trPr>
        <w:tc>
          <w:tcPr>
            <w:tcW w:w="8160" w:type="dxa"/>
            <w:vAlign w:val="bottom"/>
          </w:tcPr>
          <w:p>
            <w:pPr>
              <w:ind w:left="340"/>
              <w:spacing w:after="0"/>
              <w:rPr>
                <w:sz w:val="20"/>
                <w:szCs w:val="20"/>
                <w:color w:val="auto"/>
              </w:rPr>
            </w:pPr>
            <w:r>
              <w:rPr>
                <w:rFonts w:ascii="Arial" w:cs="Arial" w:eastAsia="Arial" w:hAnsi="Arial"/>
                <w:sz w:val="15"/>
                <w:szCs w:val="15"/>
                <w:b w:val="1"/>
                <w:bCs w:val="1"/>
                <w:color w:val="auto"/>
              </w:rPr>
              <w:t>Total Securities</w:t>
            </w: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5,335</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6,179</w:t>
            </w:r>
          </w:p>
        </w:tc>
      </w:tr>
      <w:tr>
        <w:trPr>
          <w:trHeight w:val="20"/>
        </w:trPr>
        <w:tc>
          <w:tcPr>
            <w:tcW w:w="8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instruments consist primarily of cash, cash equivalents and restricted cash, marketable securities, notes and other receivables, accounts payable, and debt.</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requires disclosure regarding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our market assumption. This hierarchy requires the use of observable market data when available. These two types of inputs have created the following fair value hierarchy: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unadjusted prices for identical instruments in active markets;</w:t>
      </w:r>
    </w:p>
    <w:p>
      <w:pPr>
        <w:spacing w:after="0" w:line="252"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3 - Valuations derived from valuation techniques in which one or more significant inputs or significant value drivers are unobservable.</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Marketable securities held by us and accounted for under the ASC 321 “</w:t>
      </w:r>
      <w:r>
        <w:rPr>
          <w:rFonts w:ascii="Arial" w:cs="Arial" w:eastAsia="Arial" w:hAnsi="Arial"/>
          <w:sz w:val="18"/>
          <w:szCs w:val="18"/>
          <w:i w:val="1"/>
          <w:iCs w:val="1"/>
          <w:color w:val="auto"/>
        </w:rPr>
        <w:t>Investment Equity Securities</w:t>
      </w:r>
      <w:r>
        <w:rPr>
          <w:rFonts w:ascii="Arial" w:cs="Arial" w:eastAsia="Arial" w:hAnsi="Arial"/>
          <w:sz w:val="18"/>
          <w:szCs w:val="18"/>
          <w:color w:val="auto"/>
        </w:rPr>
        <w:t>” are measured at fair value. Any change in fair value is recognized in the Consolidated Statement of Operations in Remeasurement of marketable securities in accordance with ASU 2016-01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 Overall (Subtopic 825-10): Recognition and measurement of financial assets and financial liabilities</w:t>
      </w:r>
      <w:r>
        <w:rPr>
          <w:rFonts w:ascii="Arial" w:cs="Arial" w:eastAsia="Arial" w:hAnsi="Arial"/>
          <w:sz w:val="18"/>
          <w:szCs w:val="18"/>
          <w:color w:val="auto"/>
        </w:rPr>
        <w:t>.” The fair value is measured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quoted unadjusted share price which is readily available in active markets (Level 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marketable securities balance is as follows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ind w:left="80"/>
              <w:spacing w:after="0"/>
              <w:rPr>
                <w:sz w:val="20"/>
                <w:szCs w:val="20"/>
                <w:color w:val="auto"/>
              </w:rPr>
            </w:pPr>
            <w:r>
              <w:rPr>
                <w:rFonts w:ascii="Arial" w:cs="Arial" w:eastAsia="Arial" w:hAnsi="Arial"/>
                <w:sz w:val="15"/>
                <w:szCs w:val="15"/>
                <w:b w:val="1"/>
                <w:bCs w:val="1"/>
                <w:color w:val="auto"/>
              </w:rPr>
              <w:t>Nine Months Ended</w:t>
            </w:r>
          </w:p>
        </w:tc>
        <w:tc>
          <w:tcPr>
            <w:tcW w:w="200" w:type="dxa"/>
            <w:vAlign w:val="bottom"/>
          </w:tcPr>
          <w:p>
            <w:pPr>
              <w:spacing w:after="0"/>
              <w:rPr>
                <w:sz w:val="17"/>
                <w:szCs w:val="17"/>
                <w:color w:val="auto"/>
              </w:rPr>
            </w:pPr>
          </w:p>
        </w:tc>
        <w:tc>
          <w:tcPr>
            <w:tcW w:w="1660" w:type="dxa"/>
            <w:vAlign w:val="bottom"/>
          </w:tcPr>
          <w:p>
            <w:pPr>
              <w:jc w:val="right"/>
              <w:ind w:right="464"/>
              <w:spacing w:after="0"/>
              <w:rPr>
                <w:sz w:val="20"/>
                <w:szCs w:val="20"/>
                <w:color w:val="auto"/>
              </w:rPr>
            </w:pPr>
            <w:r>
              <w:rPr>
                <w:rFonts w:ascii="Arial" w:cs="Arial" w:eastAsia="Arial" w:hAnsi="Arial"/>
                <w:sz w:val="15"/>
                <w:szCs w:val="15"/>
                <w:b w:val="1"/>
                <w:bCs w:val="1"/>
                <w:color w:val="auto"/>
              </w:rPr>
              <w:t>Year Ended</w:t>
            </w:r>
          </w:p>
        </w:tc>
      </w:tr>
      <w:tr>
        <w:trPr>
          <w:trHeight w:val="220"/>
        </w:trPr>
        <w:tc>
          <w:tcPr>
            <w:tcW w:w="7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2"/>
          </w:tcPr>
          <w:p>
            <w:pPr>
              <w:ind w:left="100"/>
              <w:spacing w:after="0"/>
              <w:rPr>
                <w:sz w:val="20"/>
                <w:szCs w:val="20"/>
                <w:color w:val="auto"/>
              </w:rPr>
            </w:pPr>
            <w:r>
              <w:rPr>
                <w:rFonts w:ascii="Arial" w:cs="Arial" w:eastAsia="Arial" w:hAnsi="Arial"/>
                <w:sz w:val="15"/>
                <w:szCs w:val="15"/>
                <w:b w:val="1"/>
                <w:bCs w:val="1"/>
                <w:color w:val="auto"/>
              </w:rPr>
              <w:t>September 30, 2020</w:t>
            </w:r>
          </w:p>
        </w:tc>
        <w:tc>
          <w:tcPr>
            <w:tcW w:w="200" w:type="dxa"/>
            <w:vAlign w:val="bottom"/>
          </w:tcPr>
          <w:p>
            <w:pPr>
              <w:spacing w:after="0"/>
              <w:rPr>
                <w:sz w:val="19"/>
                <w:szCs w:val="19"/>
                <w:color w:val="auto"/>
              </w:rPr>
            </w:pPr>
          </w:p>
        </w:tc>
        <w:tc>
          <w:tcPr>
            <w:tcW w:w="1660" w:type="dxa"/>
            <w:vAlign w:val="bottom"/>
          </w:tcPr>
          <w:p>
            <w:pPr>
              <w:jc w:val="right"/>
              <w:ind w:right="244"/>
              <w:spacing w:after="0"/>
              <w:rPr>
                <w:sz w:val="20"/>
                <w:szCs w:val="20"/>
                <w:color w:val="auto"/>
              </w:rPr>
            </w:pPr>
            <w:r>
              <w:rPr>
                <w:rFonts w:ascii="Arial" w:cs="Arial" w:eastAsia="Arial" w:hAnsi="Arial"/>
                <w:sz w:val="15"/>
                <w:szCs w:val="15"/>
                <w:b w:val="1"/>
                <w:bCs w:val="1"/>
                <w:color w:val="auto"/>
                <w:w w:val="97"/>
              </w:rPr>
              <w:t>December 31, 2019</w:t>
            </w:r>
          </w:p>
        </w:tc>
      </w:tr>
      <w:tr>
        <w:trPr>
          <w:trHeight w:val="213"/>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94,727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49,037</w:t>
            </w:r>
          </w:p>
        </w:tc>
      </w:tr>
      <w:tr>
        <w:trPr>
          <w:trHeight w:val="212"/>
        </w:trPr>
        <w:tc>
          <w:tcPr>
            <w:tcW w:w="7280" w:type="dxa"/>
            <w:vAlign w:val="bottom"/>
          </w:tcPr>
          <w:p>
            <w:pPr>
              <w:ind w:left="220"/>
              <w:spacing w:after="0"/>
              <w:rPr>
                <w:sz w:val="20"/>
                <w:szCs w:val="20"/>
                <w:color w:val="auto"/>
              </w:rPr>
            </w:pPr>
            <w:r>
              <w:rPr>
                <w:rFonts w:ascii="Arial" w:cs="Arial" w:eastAsia="Arial" w:hAnsi="Arial"/>
                <w:sz w:val="15"/>
                <w:szCs w:val="15"/>
                <w:color w:val="auto"/>
              </w:rPr>
              <w:t>Additional purchase</w:t>
            </w:r>
          </w:p>
        </w:tc>
        <w:tc>
          <w:tcPr>
            <w:tcW w:w="200" w:type="dxa"/>
            <w:vAlign w:val="bottom"/>
          </w:tcPr>
          <w:p>
            <w:pPr>
              <w:spacing w:after="0"/>
              <w:rPr>
                <w:sz w:val="18"/>
                <w:szCs w:val="18"/>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11,757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8,995</w:t>
            </w:r>
          </w:p>
        </w:tc>
      </w:tr>
      <w:tr>
        <w:trPr>
          <w:trHeight w:val="220"/>
        </w:trPr>
        <w:tc>
          <w:tcPr>
            <w:tcW w:w="7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 in fair value measurement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(2,636)</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34,240</w:t>
            </w:r>
          </w:p>
        </w:tc>
      </w:tr>
      <w:tr>
        <w:trPr>
          <w:trHeight w:val="212"/>
        </w:trPr>
        <w:tc>
          <w:tcPr>
            <w:tcW w:w="7280" w:type="dxa"/>
            <w:vAlign w:val="bottom"/>
          </w:tcPr>
          <w:p>
            <w:pPr>
              <w:ind w:left="220"/>
              <w:spacing w:after="0"/>
              <w:rPr>
                <w:sz w:val="20"/>
                <w:szCs w:val="20"/>
                <w:color w:val="auto"/>
              </w:rPr>
            </w:pPr>
            <w:r>
              <w:rPr>
                <w:rFonts w:ascii="Arial" w:cs="Arial" w:eastAsia="Arial" w:hAnsi="Arial"/>
                <w:sz w:val="15"/>
                <w:szCs w:val="15"/>
                <w:color w:val="auto"/>
              </w:rPr>
              <w:t>Foreign currency translation adjustment</w:t>
            </w:r>
          </w:p>
        </w:tc>
        <w:tc>
          <w:tcPr>
            <w:tcW w:w="200" w:type="dxa"/>
            <w:vAlign w:val="bottom"/>
          </w:tcPr>
          <w:p>
            <w:pPr>
              <w:spacing w:after="0"/>
              <w:rPr>
                <w:sz w:val="18"/>
                <w:szCs w:val="18"/>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1,264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ind w:right="4"/>
              <w:spacing w:after="0"/>
              <w:rPr>
                <w:sz w:val="20"/>
                <w:szCs w:val="20"/>
                <w:color w:val="auto"/>
              </w:rPr>
            </w:pPr>
            <w:r>
              <w:rPr>
                <w:rFonts w:ascii="Arial" w:cs="Arial" w:eastAsia="Arial" w:hAnsi="Arial"/>
                <w:sz w:val="15"/>
                <w:szCs w:val="15"/>
                <w:color w:val="auto"/>
              </w:rPr>
              <w:t>816</w:t>
            </w: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Dividend reinvestment, net of tax</w:t>
            </w: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1,971</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1,639</w:t>
            </w:r>
          </w:p>
        </w:tc>
      </w:tr>
      <w:tr>
        <w:trPr>
          <w:trHeight w:val="213"/>
        </w:trPr>
        <w:tc>
          <w:tcPr>
            <w:tcW w:w="7280" w:type="dxa"/>
            <w:vAlign w:val="bottom"/>
          </w:tcPr>
          <w:p>
            <w:pPr>
              <w:ind w:left="20"/>
              <w:spacing w:after="0"/>
              <w:rPr>
                <w:sz w:val="20"/>
                <w:szCs w:val="20"/>
                <w:color w:val="auto"/>
              </w:rPr>
            </w:pPr>
            <w:r>
              <w:rPr>
                <w:rFonts w:ascii="Arial" w:cs="Arial" w:eastAsia="Arial" w:hAnsi="Arial"/>
                <w:sz w:val="15"/>
                <w:szCs w:val="15"/>
                <w:b w:val="1"/>
                <w:bCs w:val="1"/>
                <w:color w:val="auto"/>
              </w:rPr>
              <w:t>Ending Balance</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107,083</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94,727</w:t>
            </w:r>
          </w:p>
        </w:tc>
      </w:tr>
      <w:tr>
        <w:trPr>
          <w:trHeight w:val="21"/>
        </w:trPr>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Installment notes receivable on manufactured homes are recorded at fair value and are measured using model-derived indicative pricing using observable inputs, inclusive of default rates, interest rates and recovery rates (Level 2). Refer to Note 4, “Notes and Other Receivables,” and Note 17, “Recent Accounting Pronouncements,” for additional detail.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 from Real Estate Developers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Notes receivable from real estate developers are recorded at fair value and are measured using prevailing market interest rates (Level 2). The carrying values of the notes generally approximate their fair market values either due to the nature of the note and / or the note being secured by underlying collateral and / or personal guarantees. Refer to Note 4, “Notes and Other Receivables,” and Note 17, “Recent Accounting Pronouncements,” for additional detail.</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and Lines of Credit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long-term debt is based on the estimates of management and on rates currently quoted, rates currently prevailing for comparable loans, and instruments of comparable maturities (Level 2). Refer to Note 8, “Debt and Lines of Credit,” for additional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Liabilities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estimate the fair value of our contingent consideration liability based on discounting of future cash flows using market interest rates and adjusting for non-performance risk over the remaining term of the liability (Level 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Instruments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other receivables, and accounts payable approximate their fair market values due to the short-term nature of those instruments.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table below sets forth our financial assets and liabilities (in thousands) that required disclosure of fair value on a recurring basis as of September 30, 2020. The table presents the carrying values and fair values of our financial instruments as of September 30, 2020 and December 31, 2019, that were measured using the valuation techniques described above. The table excludes other financial instruments such as cash and cash equivalents, other receivables, and accounts payable as the carrying values associated with these instruments approximate their fair value since their maturities are less than one year.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5"/>
          </w:tcPr>
          <w:p>
            <w:pPr>
              <w:ind w:left="260"/>
              <w:spacing w:after="0"/>
              <w:rPr>
                <w:sz w:val="20"/>
                <w:szCs w:val="20"/>
                <w:color w:val="auto"/>
              </w:rPr>
            </w:pPr>
            <w:r>
              <w:rPr>
                <w:rFonts w:ascii="Arial" w:cs="Arial" w:eastAsia="Arial" w:hAnsi="Arial"/>
                <w:sz w:val="15"/>
                <w:szCs w:val="15"/>
                <w:b w:val="1"/>
                <w:bCs w:val="1"/>
                <w:color w:val="auto"/>
              </w:rPr>
              <w:t>Nine Months Ended</w:t>
            </w:r>
          </w:p>
        </w:tc>
        <w:tc>
          <w:tcPr>
            <w:tcW w:w="26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5"/>
                <w:szCs w:val="15"/>
                <w:b w:val="1"/>
                <w:bCs w:val="1"/>
                <w:color w:val="auto"/>
              </w:rPr>
              <w:t>Year Ended</w:t>
            </w:r>
          </w:p>
        </w:tc>
        <w:tc>
          <w:tcPr>
            <w:tcW w:w="780" w:type="dxa"/>
            <w:vAlign w:val="bottom"/>
          </w:tcPr>
          <w:p>
            <w:pPr>
              <w:spacing w:after="0"/>
              <w:rPr>
                <w:sz w:val="17"/>
                <w:szCs w:val="17"/>
                <w:color w:val="auto"/>
              </w:rPr>
            </w:pPr>
          </w:p>
        </w:tc>
      </w:tr>
      <w:tr>
        <w:trPr>
          <w:trHeight w:val="220"/>
        </w:trPr>
        <w:tc>
          <w:tcPr>
            <w:tcW w:w="6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5"/>
                <w:szCs w:val="15"/>
                <w:b w:val="1"/>
                <w:bCs w:val="1"/>
                <w:color w:val="auto"/>
              </w:rPr>
              <w:t>September 30, 2020</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5"/>
                <w:szCs w:val="15"/>
                <w:b w:val="1"/>
                <w:bCs w:val="1"/>
                <w:color w:val="auto"/>
              </w:rPr>
              <w:t>December 31, 2019</w:t>
            </w:r>
          </w:p>
        </w:tc>
      </w:tr>
      <w:tr>
        <w:trPr>
          <w:trHeight w:val="169"/>
        </w:trPr>
        <w:tc>
          <w:tcPr>
            <w:tcW w:w="6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460"/>
              <w:spacing w:after="0" w:line="169" w:lineRule="exact"/>
              <w:rPr>
                <w:sz w:val="20"/>
                <w:szCs w:val="20"/>
                <w:color w:val="auto"/>
              </w:rPr>
            </w:pPr>
            <w:r>
              <w:rPr>
                <w:rFonts w:ascii="Arial" w:cs="Arial" w:eastAsia="Arial" w:hAnsi="Arial"/>
                <w:sz w:val="15"/>
                <w:szCs w:val="15"/>
                <w:b w:val="1"/>
                <w:bCs w:val="1"/>
                <w:color w:val="auto"/>
              </w:rPr>
              <w:t>Fair</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344"/>
              <w:spacing w:after="0" w:line="169" w:lineRule="exact"/>
              <w:rPr>
                <w:sz w:val="20"/>
                <w:szCs w:val="20"/>
                <w:color w:val="auto"/>
              </w:rPr>
            </w:pPr>
            <w:r>
              <w:rPr>
                <w:rFonts w:ascii="Arial" w:cs="Arial" w:eastAsia="Arial" w:hAnsi="Arial"/>
                <w:sz w:val="15"/>
                <w:szCs w:val="15"/>
                <w:b w:val="1"/>
                <w:bCs w:val="1"/>
                <w:color w:val="auto"/>
              </w:rPr>
              <w:t>Fair</w:t>
            </w:r>
          </w:p>
        </w:tc>
      </w:tr>
      <w:tr>
        <w:trPr>
          <w:trHeight w:val="202"/>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Financial Assets</w:t>
            </w:r>
          </w:p>
        </w:tc>
        <w:tc>
          <w:tcPr>
            <w:tcW w:w="1240" w:type="dxa"/>
            <w:vAlign w:val="bottom"/>
            <w:gridSpan w:val="3"/>
          </w:tcPr>
          <w:p>
            <w:pPr>
              <w:ind w:left="60"/>
              <w:spacing w:after="0"/>
              <w:rPr>
                <w:sz w:val="20"/>
                <w:szCs w:val="20"/>
                <w:color w:val="auto"/>
              </w:rPr>
            </w:pPr>
            <w:r>
              <w:rPr>
                <w:rFonts w:ascii="Arial" w:cs="Arial" w:eastAsia="Arial" w:hAnsi="Arial"/>
                <w:sz w:val="15"/>
                <w:szCs w:val="15"/>
                <w:b w:val="1"/>
                <w:bCs w:val="1"/>
                <w:color w:val="auto"/>
              </w:rPr>
              <w:t>Carrying Value</w:t>
            </w:r>
          </w:p>
        </w:tc>
        <w:tc>
          <w:tcPr>
            <w:tcW w:w="240" w:type="dxa"/>
            <w:vAlign w:val="bottom"/>
          </w:tcPr>
          <w:p>
            <w:pPr>
              <w:spacing w:after="0"/>
              <w:rPr>
                <w:sz w:val="17"/>
                <w:szCs w:val="17"/>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5"/>
                <w:szCs w:val="15"/>
                <w:b w:val="1"/>
                <w:bCs w:val="1"/>
                <w:color w:val="auto"/>
                <w:w w:val="94"/>
              </w:rPr>
              <w:t>Value</w:t>
            </w:r>
          </w:p>
        </w:tc>
        <w:tc>
          <w:tcPr>
            <w:tcW w:w="1240" w:type="dxa"/>
            <w:vAlign w:val="bottom"/>
            <w:gridSpan w:val="3"/>
          </w:tcPr>
          <w:p>
            <w:pPr>
              <w:ind w:left="60"/>
              <w:spacing w:after="0"/>
              <w:rPr>
                <w:sz w:val="20"/>
                <w:szCs w:val="20"/>
                <w:color w:val="auto"/>
              </w:rPr>
            </w:pPr>
            <w:r>
              <w:rPr>
                <w:rFonts w:ascii="Arial" w:cs="Arial" w:eastAsia="Arial" w:hAnsi="Arial"/>
                <w:sz w:val="15"/>
                <w:szCs w:val="15"/>
                <w:b w:val="1"/>
                <w:bCs w:val="1"/>
                <w:color w:val="auto"/>
              </w:rPr>
              <w:t>Carrying Value</w:t>
            </w:r>
          </w:p>
        </w:tc>
        <w:tc>
          <w:tcPr>
            <w:tcW w:w="340" w:type="dxa"/>
            <w:vAlign w:val="bottom"/>
          </w:tcPr>
          <w:p>
            <w:pPr>
              <w:spacing w:after="0"/>
              <w:rPr>
                <w:sz w:val="17"/>
                <w:szCs w:val="17"/>
                <w:color w:val="auto"/>
              </w:rPr>
            </w:pPr>
          </w:p>
        </w:tc>
        <w:tc>
          <w:tcPr>
            <w:tcW w:w="780" w:type="dxa"/>
            <w:vAlign w:val="bottom"/>
          </w:tcPr>
          <w:p>
            <w:pPr>
              <w:jc w:val="right"/>
              <w:ind w:right="304"/>
              <w:spacing w:after="0"/>
              <w:rPr>
                <w:sz w:val="20"/>
                <w:szCs w:val="20"/>
                <w:color w:val="auto"/>
              </w:rPr>
            </w:pPr>
            <w:r>
              <w:rPr>
                <w:rFonts w:ascii="Arial" w:cs="Arial" w:eastAsia="Arial" w:hAnsi="Arial"/>
                <w:sz w:val="15"/>
                <w:szCs w:val="15"/>
                <w:b w:val="1"/>
                <w:bCs w:val="1"/>
                <w:color w:val="auto"/>
                <w:w w:val="94"/>
              </w:rPr>
              <w:t>Value</w:t>
            </w:r>
          </w:p>
        </w:tc>
      </w:tr>
      <w:tr>
        <w:trPr>
          <w:trHeight w:val="214"/>
        </w:trPr>
        <w:tc>
          <w:tcPr>
            <w:tcW w:w="62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Marketable securities</w:t>
            </w: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107,083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107,083</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94,727</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94,727</w:t>
            </w:r>
          </w:p>
        </w:tc>
      </w:tr>
      <w:tr>
        <w:trPr>
          <w:trHeight w:val="212"/>
        </w:trPr>
        <w:tc>
          <w:tcPr>
            <w:tcW w:w="6240" w:type="dxa"/>
            <w:vAlign w:val="bottom"/>
          </w:tcPr>
          <w:p>
            <w:pPr>
              <w:ind w:left="120"/>
              <w:spacing w:after="0"/>
              <w:rPr>
                <w:sz w:val="20"/>
                <w:szCs w:val="20"/>
                <w:color w:val="auto"/>
              </w:rPr>
            </w:pPr>
            <w:r>
              <w:rPr>
                <w:rFonts w:ascii="Arial" w:cs="Arial" w:eastAsia="Arial" w:hAnsi="Arial"/>
                <w:sz w:val="15"/>
                <w:szCs w:val="15"/>
                <w:color w:val="auto"/>
              </w:rPr>
              <w:t>Installment notes receivable on manufactured homes, net</w:t>
            </w:r>
          </w:p>
        </w:tc>
        <w:tc>
          <w:tcPr>
            <w:tcW w:w="28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88,327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88,327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95,580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95,580</w:t>
            </w: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Notes receivable from real estate developers</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51,487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51,487</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18,960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18,960</w:t>
            </w:r>
          </w:p>
        </w:tc>
      </w:tr>
      <w:tr>
        <w:trPr>
          <w:trHeight w:val="214"/>
        </w:trPr>
        <w:tc>
          <w:tcPr>
            <w:tcW w:w="6240" w:type="dxa"/>
            <w:vAlign w:val="bottom"/>
          </w:tcPr>
          <w:p>
            <w:pPr>
              <w:ind w:left="120"/>
              <w:spacing w:after="0"/>
              <w:rPr>
                <w:sz w:val="20"/>
                <w:szCs w:val="20"/>
                <w:color w:val="auto"/>
              </w:rPr>
            </w:pPr>
            <w:r>
              <w:rPr>
                <w:rFonts w:ascii="Arial" w:cs="Arial" w:eastAsia="Arial" w:hAnsi="Arial"/>
                <w:sz w:val="15"/>
                <w:szCs w:val="15"/>
                <w:b w:val="1"/>
                <w:bCs w:val="1"/>
                <w:color w:val="auto"/>
              </w:rPr>
              <w:t>Total</w:t>
            </w: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246,897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246,897</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209,267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209,267</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6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12"/>
        </w:trPr>
        <w:tc>
          <w:tcPr>
            <w:tcW w:w="6240" w:type="dxa"/>
            <w:vAlign w:val="bottom"/>
          </w:tcPr>
          <w:p>
            <w:pPr>
              <w:ind w:left="20"/>
              <w:spacing w:after="0"/>
              <w:rPr>
                <w:sz w:val="20"/>
                <w:szCs w:val="20"/>
                <w:color w:val="auto"/>
              </w:rPr>
            </w:pPr>
            <w:r>
              <w:rPr>
                <w:rFonts w:ascii="Arial" w:cs="Arial" w:eastAsia="Arial" w:hAnsi="Arial"/>
                <w:sz w:val="15"/>
                <w:szCs w:val="15"/>
                <w:b w:val="1"/>
                <w:bCs w:val="1"/>
                <w:color w:val="auto"/>
              </w:rPr>
              <w:t>Financial Liabilities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0"/>
        </w:trPr>
        <w:tc>
          <w:tcPr>
            <w:tcW w:w="6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Debt</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3,261,292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3,306,279</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3,250,504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3,270,544</w:t>
            </w:r>
          </w:p>
        </w:tc>
      </w:tr>
      <w:tr>
        <w:trPr>
          <w:trHeight w:val="212"/>
        </w:trPr>
        <w:tc>
          <w:tcPr>
            <w:tcW w:w="6240" w:type="dxa"/>
            <w:vAlign w:val="bottom"/>
          </w:tcPr>
          <w:p>
            <w:pPr>
              <w:ind w:left="120"/>
              <w:spacing w:after="0"/>
              <w:rPr>
                <w:sz w:val="20"/>
                <w:szCs w:val="20"/>
                <w:color w:val="auto"/>
              </w:rPr>
            </w:pPr>
            <w:r>
              <w:rPr>
                <w:rFonts w:ascii="Arial" w:cs="Arial" w:eastAsia="Arial" w:hAnsi="Arial"/>
                <w:sz w:val="15"/>
                <w:szCs w:val="15"/>
                <w:color w:val="auto"/>
              </w:rPr>
              <w:t>Lines of credit and other debt</w:t>
            </w:r>
          </w:p>
        </w:tc>
        <w:tc>
          <w:tcPr>
            <w:tcW w:w="28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79,321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79,321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183,898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183,898</w:t>
            </w: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liabilities (contingent consideration)</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6,828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6,828</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6,134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6,134</w:t>
            </w:r>
          </w:p>
        </w:tc>
      </w:tr>
      <w:tr>
        <w:trPr>
          <w:trHeight w:val="213"/>
        </w:trPr>
        <w:tc>
          <w:tcPr>
            <w:tcW w:w="6240" w:type="dxa"/>
            <w:vAlign w:val="bottom"/>
          </w:tcPr>
          <w:p>
            <w:pPr>
              <w:ind w:left="120"/>
              <w:spacing w:after="0"/>
              <w:rPr>
                <w:sz w:val="20"/>
                <w:szCs w:val="20"/>
                <w:color w:val="auto"/>
              </w:rPr>
            </w:pPr>
            <w:r>
              <w:rPr>
                <w:rFonts w:ascii="Arial" w:cs="Arial" w:eastAsia="Arial" w:hAnsi="Arial"/>
                <w:sz w:val="15"/>
                <w:szCs w:val="15"/>
                <w:b w:val="1"/>
                <w:bCs w:val="1"/>
                <w:color w:val="auto"/>
              </w:rPr>
              <w:t>Total</w:t>
            </w: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3,347,441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3,392,428</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3,440,536</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3,460,576</w:t>
            </w:r>
          </w:p>
        </w:tc>
      </w:tr>
      <w:tr>
        <w:trPr>
          <w:trHeight w:val="20"/>
        </w:trPr>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involved in various legal proceedings arising in the ordinary course of business. All such proceedings, taken together, are not expected to have a material adverse impact on our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3"/>
          <w:szCs w:val="13"/>
          <w:b w:val="1"/>
          <w:bCs w:val="1"/>
          <w:color w:val="auto"/>
        </w:rPr>
        <w:t>Leases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non-cancellable leases as of the nine months ended September 30, 2020 where we are the lessee include: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580" w:type="dxa"/>
            <w:vAlign w:val="bottom"/>
          </w:tcPr>
          <w:p>
            <w:pPr>
              <w:ind w:left="20"/>
              <w:spacing w:after="0"/>
              <w:rPr>
                <w:sz w:val="20"/>
                <w:szCs w:val="20"/>
                <w:color w:val="auto"/>
              </w:rPr>
            </w:pPr>
            <w:r>
              <w:rPr>
                <w:rFonts w:ascii="Arial" w:cs="Arial" w:eastAsia="Arial" w:hAnsi="Arial"/>
                <w:sz w:val="15"/>
                <w:szCs w:val="15"/>
                <w:b w:val="1"/>
                <w:bCs w:val="1"/>
                <w:color w:val="auto"/>
              </w:rPr>
              <w:t xml:space="preserve">Maturity of Lease Liabilities </w:t>
            </w:r>
            <w:r>
              <w:rPr>
                <w:rFonts w:ascii="Arial" w:cs="Arial" w:eastAsia="Arial" w:hAnsi="Arial"/>
                <w:sz w:val="15"/>
                <w:szCs w:val="15"/>
                <w:color w:val="auto"/>
              </w:rPr>
              <w:t>(in thousands)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0"/>
        </w:trPr>
        <w:tc>
          <w:tcPr>
            <w:tcW w:w="6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Arial" w:cs="Arial" w:eastAsia="Arial" w:hAnsi="Arial"/>
                <w:sz w:val="15"/>
                <w:szCs w:val="15"/>
                <w:b w:val="1"/>
                <w:bCs w:val="1"/>
                <w:color w:val="auto"/>
              </w:rPr>
              <w:t>Operating Leases</w:t>
            </w:r>
          </w:p>
        </w:tc>
        <w:tc>
          <w:tcPr>
            <w:tcW w:w="14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Arial" w:cs="Arial" w:eastAsia="Arial" w:hAnsi="Arial"/>
                <w:sz w:val="15"/>
                <w:szCs w:val="15"/>
                <w:b w:val="1"/>
                <w:bCs w:val="1"/>
                <w:color w:val="auto"/>
              </w:rPr>
              <w:t>Finance Leases</w:t>
            </w:r>
          </w:p>
        </w:tc>
        <w:tc>
          <w:tcPr>
            <w:tcW w:w="300" w:type="dxa"/>
            <w:vAlign w:val="bottom"/>
          </w:tcPr>
          <w:p>
            <w:pPr>
              <w:spacing w:after="0"/>
              <w:rPr>
                <w:sz w:val="19"/>
                <w:szCs w:val="19"/>
                <w:color w:val="auto"/>
              </w:rPr>
            </w:pPr>
          </w:p>
        </w:tc>
        <w:tc>
          <w:tcPr>
            <w:tcW w:w="1040" w:type="dxa"/>
            <w:vAlign w:val="bottom"/>
          </w:tcPr>
          <w:p>
            <w:pPr>
              <w:jc w:val="right"/>
              <w:ind w:right="424"/>
              <w:spacing w:after="0"/>
              <w:rPr>
                <w:sz w:val="20"/>
                <w:szCs w:val="20"/>
                <w:color w:val="auto"/>
              </w:rPr>
            </w:pPr>
            <w:r>
              <w:rPr>
                <w:rFonts w:ascii="Arial" w:cs="Arial" w:eastAsia="Arial" w:hAnsi="Arial"/>
                <w:sz w:val="15"/>
                <w:szCs w:val="15"/>
                <w:b w:val="1"/>
                <w:bCs w:val="1"/>
                <w:color w:val="auto"/>
              </w:rPr>
              <w:t>Total</w:t>
            </w:r>
          </w:p>
        </w:tc>
      </w:tr>
      <w:tr>
        <w:trPr>
          <w:trHeight w:val="213"/>
        </w:trPr>
        <w:tc>
          <w:tcPr>
            <w:tcW w:w="6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2020 (Excluding nine months ended September 30,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821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97</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918</w:t>
            </w:r>
          </w:p>
        </w:tc>
      </w:tr>
      <w:tr>
        <w:trPr>
          <w:trHeight w:val="212"/>
        </w:trPr>
        <w:tc>
          <w:tcPr>
            <w:tcW w:w="6580" w:type="dxa"/>
            <w:vAlign w:val="bottom"/>
          </w:tcPr>
          <w:p>
            <w:pPr>
              <w:ind w:left="20"/>
              <w:spacing w:after="0"/>
              <w:rPr>
                <w:sz w:val="20"/>
                <w:szCs w:val="20"/>
                <w:color w:val="auto"/>
              </w:rPr>
            </w:pPr>
            <w:r>
              <w:rPr>
                <w:rFonts w:ascii="Arial" w:cs="Arial" w:eastAsia="Arial" w:hAnsi="Arial"/>
                <w:sz w:val="15"/>
                <w:szCs w:val="15"/>
                <w:color w:val="auto"/>
              </w:rPr>
              <w:t>2021</w:t>
            </w:r>
          </w:p>
        </w:tc>
        <w:tc>
          <w:tcPr>
            <w:tcW w:w="140" w:type="dxa"/>
            <w:vAlign w:val="bottom"/>
          </w:tcPr>
          <w:p>
            <w:pPr>
              <w:spacing w:after="0"/>
              <w:rPr>
                <w:sz w:val="18"/>
                <w:szCs w:val="18"/>
                <w:color w:val="auto"/>
              </w:rPr>
            </w:pP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2,842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2,962</w:t>
            </w:r>
          </w:p>
        </w:tc>
      </w:tr>
      <w:tr>
        <w:trPr>
          <w:trHeight w:val="220"/>
        </w:trPr>
        <w:tc>
          <w:tcPr>
            <w:tcW w:w="6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2,863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2,983</w:t>
            </w:r>
          </w:p>
        </w:tc>
      </w:tr>
      <w:tr>
        <w:trPr>
          <w:trHeight w:val="212"/>
        </w:trPr>
        <w:tc>
          <w:tcPr>
            <w:tcW w:w="6580" w:type="dxa"/>
            <w:vAlign w:val="bottom"/>
          </w:tcPr>
          <w:p>
            <w:pPr>
              <w:ind w:left="20"/>
              <w:spacing w:after="0"/>
              <w:rPr>
                <w:sz w:val="20"/>
                <w:szCs w:val="20"/>
                <w:color w:val="auto"/>
              </w:rPr>
            </w:pPr>
            <w:r>
              <w:rPr>
                <w:rFonts w:ascii="Arial" w:cs="Arial" w:eastAsia="Arial" w:hAnsi="Arial"/>
                <w:sz w:val="15"/>
                <w:szCs w:val="15"/>
                <w:color w:val="auto"/>
              </w:rPr>
              <w:t>2023</w:t>
            </w:r>
          </w:p>
        </w:tc>
        <w:tc>
          <w:tcPr>
            <w:tcW w:w="140" w:type="dxa"/>
            <w:vAlign w:val="bottom"/>
          </w:tcPr>
          <w:p>
            <w:pPr>
              <w:spacing w:after="0"/>
              <w:rPr>
                <w:sz w:val="18"/>
                <w:szCs w:val="18"/>
                <w:color w:val="auto"/>
              </w:rPr>
            </w:pP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2,993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3,113</w:t>
            </w:r>
          </w:p>
        </w:tc>
      </w:tr>
      <w:tr>
        <w:trPr>
          <w:trHeight w:val="220"/>
        </w:trPr>
        <w:tc>
          <w:tcPr>
            <w:tcW w:w="6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2024</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3,300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4,060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7,360</w:t>
            </w:r>
          </w:p>
        </w:tc>
      </w:tr>
      <w:tr>
        <w:trPr>
          <w:trHeight w:val="212"/>
        </w:trPr>
        <w:tc>
          <w:tcPr>
            <w:tcW w:w="6580" w:type="dxa"/>
            <w:vAlign w:val="bottom"/>
          </w:tcPr>
          <w:p>
            <w:pPr>
              <w:ind w:left="20"/>
              <w:spacing w:after="0"/>
              <w:rPr>
                <w:sz w:val="20"/>
                <w:szCs w:val="20"/>
                <w:color w:val="auto"/>
              </w:rPr>
            </w:pPr>
            <w:r>
              <w:rPr>
                <w:rFonts w:ascii="Arial" w:cs="Arial" w:eastAsia="Arial" w:hAnsi="Arial"/>
                <w:sz w:val="15"/>
                <w:szCs w:val="15"/>
                <w:color w:val="auto"/>
              </w:rPr>
              <w:t>Thereafter</w:t>
            </w:r>
          </w:p>
        </w:tc>
        <w:tc>
          <w:tcPr>
            <w:tcW w:w="140" w:type="dxa"/>
            <w:vAlign w:val="bottom"/>
          </w:tcPr>
          <w:p>
            <w:pPr>
              <w:spacing w:after="0"/>
              <w:rPr>
                <w:sz w:val="18"/>
                <w:szCs w:val="18"/>
                <w:color w:val="auto"/>
              </w:rPr>
            </w:pPr>
          </w:p>
        </w:tc>
        <w:tc>
          <w:tcPr>
            <w:tcW w:w="1340" w:type="dxa"/>
            <w:vAlign w:val="bottom"/>
          </w:tcPr>
          <w:p>
            <w:pPr>
              <w:jc w:val="right"/>
              <w:ind w:right="4"/>
              <w:spacing w:after="0"/>
              <w:rPr>
                <w:sz w:val="20"/>
                <w:szCs w:val="20"/>
                <w:color w:val="auto"/>
              </w:rPr>
            </w:pPr>
            <w:r>
              <w:rPr>
                <w:rFonts w:ascii="Arial" w:cs="Arial" w:eastAsia="Arial" w:hAnsi="Arial"/>
                <w:sz w:val="15"/>
                <w:szCs w:val="15"/>
                <w:color w:val="auto"/>
              </w:rPr>
              <w:t>32,774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32,774</w:t>
            </w:r>
          </w:p>
        </w:tc>
      </w:tr>
      <w:tr>
        <w:trPr>
          <w:trHeight w:val="213"/>
        </w:trPr>
        <w:tc>
          <w:tcPr>
            <w:tcW w:w="6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Lease Payments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45,593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4,517</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50,110</w:t>
            </w:r>
          </w:p>
        </w:tc>
      </w:tr>
      <w:tr>
        <w:trPr>
          <w:trHeight w:val="212"/>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Imputed interest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(382)</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(20,600)</w:t>
            </w:r>
          </w:p>
        </w:tc>
      </w:tr>
      <w:tr>
        <w:trPr>
          <w:trHeight w:val="238"/>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25,375</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4,135</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29,510</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Right-of-use (ROU) assets and lease liabilities for finance and operating leases as included in our Consolidated Balance Sheets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ind w:left="240"/>
              <w:spacing w:after="0"/>
              <w:rPr>
                <w:sz w:val="20"/>
                <w:szCs w:val="20"/>
                <w:color w:val="auto"/>
              </w:rPr>
            </w:pPr>
            <w:r>
              <w:rPr>
                <w:rFonts w:ascii="Arial" w:cs="Arial" w:eastAsia="Arial" w:hAnsi="Arial"/>
                <w:sz w:val="15"/>
                <w:szCs w:val="15"/>
                <w:b w:val="1"/>
                <w:bCs w:val="1"/>
                <w:color w:val="auto"/>
              </w:rPr>
              <w:t>Financial Statement</w:t>
            </w: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02"/>
        </w:trPr>
        <w:tc>
          <w:tcPr>
            <w:tcW w:w="5520" w:type="dxa"/>
            <w:vAlign w:val="bottom"/>
            <w:tcBorders>
              <w:bottom w:val="single" w:sz="8" w:color="auto"/>
            </w:tcBorders>
          </w:tcPr>
          <w:p>
            <w:pPr>
              <w:ind w:left="2400"/>
              <w:spacing w:after="0"/>
              <w:rPr>
                <w:sz w:val="20"/>
                <w:szCs w:val="20"/>
                <w:color w:val="auto"/>
              </w:rPr>
            </w:pPr>
            <w:r>
              <w:rPr>
                <w:rFonts w:ascii="Arial" w:cs="Arial" w:eastAsia="Arial" w:hAnsi="Arial"/>
                <w:sz w:val="15"/>
                <w:szCs w:val="15"/>
                <w:b w:val="1"/>
                <w:bCs w:val="1"/>
                <w:color w:val="auto"/>
              </w:rPr>
              <w:t>Description</w:t>
            </w:r>
          </w:p>
        </w:tc>
        <w:tc>
          <w:tcPr>
            <w:tcW w:w="12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ind w:left="460"/>
              <w:spacing w:after="0"/>
              <w:rPr>
                <w:sz w:val="20"/>
                <w:szCs w:val="20"/>
                <w:color w:val="auto"/>
              </w:rPr>
            </w:pPr>
            <w:r>
              <w:rPr>
                <w:rFonts w:ascii="Arial" w:cs="Arial" w:eastAsia="Arial" w:hAnsi="Arial"/>
                <w:sz w:val="15"/>
                <w:szCs w:val="15"/>
                <w:b w:val="1"/>
                <w:bCs w:val="1"/>
                <w:color w:val="auto"/>
              </w:rPr>
              <w:t>Classification</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95"/>
              </w:rPr>
              <w:t>September 30, 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w w:val="96"/>
              </w:rPr>
              <w:t>December 31, 2019</w:t>
            </w:r>
          </w:p>
        </w:tc>
      </w:tr>
      <w:tr>
        <w:trPr>
          <w:trHeight w:val="214"/>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Lease Assets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2"/>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ROU asset obtained in exchange for new finance lease liabilities</w:t>
            </w:r>
          </w:p>
        </w:tc>
        <w:tc>
          <w:tcPr>
            <w:tcW w:w="1900" w:type="dxa"/>
            <w:vAlign w:val="bottom"/>
            <w:gridSpan w:val="2"/>
          </w:tcPr>
          <w:p>
            <w:pPr>
              <w:ind w:left="20"/>
              <w:spacing w:after="0"/>
              <w:rPr>
                <w:sz w:val="20"/>
                <w:szCs w:val="20"/>
                <w:color w:val="auto"/>
              </w:rPr>
            </w:pPr>
            <w:r>
              <w:rPr>
                <w:rFonts w:ascii="Arial" w:cs="Arial" w:eastAsia="Arial" w:hAnsi="Arial"/>
                <w:sz w:val="15"/>
                <w:szCs w:val="15"/>
                <w:color w:val="auto"/>
              </w:rPr>
              <w:t>Other asset, net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4"/>
              <w:spacing w:after="0"/>
              <w:rPr>
                <w:sz w:val="20"/>
                <w:szCs w:val="20"/>
                <w:color w:val="auto"/>
              </w:rPr>
            </w:pPr>
            <w:r>
              <w:rPr>
                <w:rFonts w:ascii="Arial" w:cs="Arial" w:eastAsia="Arial" w:hAnsi="Arial"/>
                <w:sz w:val="15"/>
                <w:szCs w:val="15"/>
                <w:color w:val="auto"/>
              </w:rPr>
              <w:t>4,135</w:t>
            </w:r>
          </w:p>
        </w:tc>
        <w:tc>
          <w:tcPr>
            <w:tcW w:w="100" w:type="dxa"/>
            <w:vAlign w:val="bottom"/>
          </w:tcPr>
          <w:p>
            <w:pPr>
              <w:spacing w:after="0"/>
              <w:rPr>
                <w:sz w:val="18"/>
                <w:szCs w:val="18"/>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4,081</w:t>
            </w:r>
          </w:p>
        </w:tc>
      </w:tr>
      <w:tr>
        <w:trPr>
          <w:trHeight w:val="220"/>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ROU asset obtained in exchange for new operating lease liabilities</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asset, net</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24,365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23,751</w:t>
            </w:r>
          </w:p>
        </w:tc>
      </w:tr>
      <w:tr>
        <w:trPr>
          <w:trHeight w:val="212"/>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ROU asset obtained relative to below market operating lease</w:t>
            </w:r>
          </w:p>
        </w:tc>
        <w:tc>
          <w:tcPr>
            <w:tcW w:w="1900" w:type="dxa"/>
            <w:vAlign w:val="bottom"/>
            <w:gridSpan w:val="2"/>
          </w:tcPr>
          <w:p>
            <w:pPr>
              <w:ind w:left="20"/>
              <w:spacing w:after="0"/>
              <w:rPr>
                <w:sz w:val="20"/>
                <w:szCs w:val="20"/>
                <w:color w:val="auto"/>
              </w:rPr>
            </w:pPr>
            <w:r>
              <w:rPr>
                <w:rFonts w:ascii="Arial" w:cs="Arial" w:eastAsia="Arial" w:hAnsi="Arial"/>
                <w:sz w:val="15"/>
                <w:szCs w:val="15"/>
                <w:color w:val="auto"/>
              </w:rPr>
              <w:t>Other asset, net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4"/>
              <w:spacing w:after="0"/>
              <w:rPr>
                <w:sz w:val="20"/>
                <w:szCs w:val="20"/>
                <w:color w:val="auto"/>
              </w:rPr>
            </w:pPr>
            <w:r>
              <w:rPr>
                <w:rFonts w:ascii="Arial" w:cs="Arial" w:eastAsia="Arial" w:hAnsi="Arial"/>
                <w:sz w:val="15"/>
                <w:szCs w:val="15"/>
                <w:color w:val="auto"/>
              </w:rPr>
              <w:t>27,802</w:t>
            </w:r>
          </w:p>
        </w:tc>
        <w:tc>
          <w:tcPr>
            <w:tcW w:w="100" w:type="dxa"/>
            <w:vAlign w:val="bottom"/>
          </w:tcPr>
          <w:p>
            <w:pPr>
              <w:spacing w:after="0"/>
              <w:rPr>
                <w:sz w:val="18"/>
                <w:szCs w:val="18"/>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28,366</w:t>
            </w:r>
          </w:p>
        </w:tc>
      </w:tr>
      <w:tr>
        <w:trPr>
          <w:trHeight w:val="220"/>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Lease Liabilities</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2"/>
        </w:trPr>
        <w:tc>
          <w:tcPr>
            <w:tcW w:w="5640" w:type="dxa"/>
            <w:vAlign w:val="bottom"/>
            <w:gridSpan w:val="2"/>
          </w:tcPr>
          <w:p>
            <w:pPr>
              <w:ind w:left="20"/>
              <w:spacing w:after="0"/>
              <w:rPr>
                <w:sz w:val="20"/>
                <w:szCs w:val="20"/>
                <w:color w:val="auto"/>
              </w:rPr>
            </w:pPr>
            <w:r>
              <w:rPr>
                <w:rFonts w:ascii="Arial" w:cs="Arial" w:eastAsia="Arial" w:hAnsi="Arial"/>
                <w:sz w:val="15"/>
                <w:szCs w:val="15"/>
                <w:color w:val="auto"/>
              </w:rPr>
              <w:t>Finance lease liabilities</w:t>
            </w:r>
          </w:p>
        </w:tc>
        <w:tc>
          <w:tcPr>
            <w:tcW w:w="1900" w:type="dxa"/>
            <w:vAlign w:val="bottom"/>
            <w:gridSpan w:val="2"/>
          </w:tcPr>
          <w:p>
            <w:pPr>
              <w:ind w:left="20"/>
              <w:spacing w:after="0"/>
              <w:rPr>
                <w:sz w:val="20"/>
                <w:szCs w:val="20"/>
                <w:color w:val="auto"/>
              </w:rPr>
            </w:pPr>
            <w:r>
              <w:rPr>
                <w:rFonts w:ascii="Arial" w:cs="Arial" w:eastAsia="Arial" w:hAnsi="Arial"/>
                <w:sz w:val="15"/>
                <w:szCs w:val="15"/>
                <w:color w:val="auto"/>
              </w:rPr>
              <w:t>Other liabilities</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4"/>
              <w:spacing w:after="0"/>
              <w:rPr>
                <w:sz w:val="20"/>
                <w:szCs w:val="20"/>
                <w:color w:val="auto"/>
              </w:rPr>
            </w:pPr>
            <w:r>
              <w:rPr>
                <w:rFonts w:ascii="Arial" w:cs="Arial" w:eastAsia="Arial" w:hAnsi="Arial"/>
                <w:sz w:val="15"/>
                <w:szCs w:val="15"/>
                <w:color w:val="auto"/>
              </w:rPr>
              <w:t>4,135</w:t>
            </w:r>
          </w:p>
        </w:tc>
        <w:tc>
          <w:tcPr>
            <w:tcW w:w="100" w:type="dxa"/>
            <w:vAlign w:val="bottom"/>
          </w:tcPr>
          <w:p>
            <w:pPr>
              <w:spacing w:after="0"/>
              <w:rPr>
                <w:sz w:val="18"/>
                <w:szCs w:val="18"/>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4,081</w:t>
            </w:r>
          </w:p>
        </w:tc>
      </w:tr>
      <w:tr>
        <w:trPr>
          <w:trHeight w:val="220"/>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Operating lease liabilities</w:t>
            </w:r>
          </w:p>
        </w:tc>
        <w:tc>
          <w:tcPr>
            <w:tcW w:w="19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liabilities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25,375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24,222</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finance and operating leases as included in our Consolidated Statements of Operations are as follows (in thousands):</w:t>
      </w:r>
    </w:p>
    <w:p>
      <w:pPr>
        <w:sectPr>
          <w:pgSz w:w="11900" w:h="16838" w:orient="portrait"/>
          <w:cols w:equalWidth="0" w:num="1">
            <w:col w:w="11240"/>
          </w:cols>
          <w:pgMar w:left="320" w:top="126" w:right="339" w:bottom="1440" w:gutter="0" w:footer="0" w:header="0"/>
        </w:sectPr>
      </w:pPr>
    </w:p>
    <w:p>
      <w:pPr>
        <w:spacing w:after="0" w:line="290"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auto"/>
        </w:rPr>
        <w:t>Description</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5"/>
          <w:szCs w:val="15"/>
          <w:color w:val="auto"/>
        </w:rPr>
        <w:t>Finance lease expense</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Amortization of ROU assets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5"/>
          <w:szCs w:val="15"/>
          <w:color w:val="auto"/>
        </w:rPr>
        <w:t>Interest on lease liabilities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5"/>
          <w:szCs w:val="15"/>
          <w:color w:val="auto"/>
        </w:rPr>
        <w:t>Operating lease cost</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Variable lease cost</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Total Lease Expense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5"/>
                <w:szCs w:val="15"/>
                <w:b w:val="1"/>
                <w:bCs w:val="1"/>
                <w:color w:val="auto"/>
              </w:rPr>
              <w:t>Three Months Ended</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5"/>
                <w:szCs w:val="15"/>
                <w:b w:val="1"/>
                <w:bCs w:val="1"/>
                <w:color w:val="auto"/>
              </w:rPr>
              <w:t>Nine Months Ended</w:t>
            </w:r>
          </w:p>
        </w:tc>
        <w:tc>
          <w:tcPr>
            <w:tcW w:w="600" w:type="dxa"/>
            <w:vAlign w:val="bottom"/>
            <w:tcBorders>
              <w:bottom w:val="single" w:sz="8" w:color="auto"/>
            </w:tcBorders>
          </w:tcPr>
          <w:p>
            <w:pPr>
              <w:spacing w:after="0"/>
              <w:rPr>
                <w:sz w:val="17"/>
                <w:szCs w:val="17"/>
                <w:color w:val="auto"/>
              </w:rPr>
            </w:pPr>
          </w:p>
        </w:tc>
      </w:tr>
      <w:tr>
        <w:trPr>
          <w:trHeight w:val="209"/>
        </w:trPr>
        <w:tc>
          <w:tcPr>
            <w:tcW w:w="276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Financial Statement Classification</w:t>
            </w:r>
          </w:p>
        </w:tc>
        <w:tc>
          <w:tcPr>
            <w:tcW w:w="100" w:type="dxa"/>
            <w:vAlign w:val="bottom"/>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4"/>
              </w:rPr>
              <w:t>September 30, 2020</w:t>
            </w:r>
          </w:p>
        </w:tc>
        <w:tc>
          <w:tcPr>
            <w:tcW w:w="100" w:type="dxa"/>
            <w:vAlign w:val="bottom"/>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4"/>
              </w:rPr>
              <w:t>September 30, 2019</w:t>
            </w:r>
          </w:p>
        </w:tc>
        <w:tc>
          <w:tcPr>
            <w:tcW w:w="120" w:type="dxa"/>
            <w:vAlign w:val="bottom"/>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4"/>
              </w:rPr>
              <w:t>September 30, 2020</w:t>
            </w:r>
          </w:p>
        </w:tc>
        <w:tc>
          <w:tcPr>
            <w:tcW w:w="80" w:type="dxa"/>
            <w:vAlign w:val="bottom"/>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4"/>
              </w:rPr>
              <w:t>September 30, 2019</w:t>
            </w:r>
          </w:p>
        </w:tc>
      </w:tr>
      <w:tr>
        <w:trPr>
          <w:trHeight w:val="422"/>
        </w:trPr>
        <w:tc>
          <w:tcPr>
            <w:tcW w:w="2860" w:type="dxa"/>
            <w:vAlign w:val="bottom"/>
            <w:gridSpan w:val="2"/>
          </w:tcPr>
          <w:p>
            <w:pPr>
              <w:ind w:left="20"/>
              <w:spacing w:after="0"/>
              <w:rPr>
                <w:sz w:val="20"/>
                <w:szCs w:val="20"/>
                <w:color w:val="auto"/>
              </w:rPr>
            </w:pPr>
            <w:r>
              <w:rPr>
                <w:rFonts w:ascii="Arial" w:cs="Arial" w:eastAsia="Arial" w:hAnsi="Arial"/>
                <w:sz w:val="15"/>
                <w:szCs w:val="15"/>
                <w:color w:val="auto"/>
              </w:rPr>
              <w:t>Interest expense</w:t>
            </w: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4"/>
                <w:szCs w:val="24"/>
                <w:color w:val="auto"/>
              </w:rPr>
            </w:pPr>
          </w:p>
        </w:tc>
        <w:tc>
          <w:tcPr>
            <w:tcW w:w="800" w:type="dxa"/>
            <w:vAlign w:val="bottom"/>
          </w:tcPr>
          <w:p>
            <w:pPr>
              <w:jc w:val="right"/>
              <w:ind w:right="624"/>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24"/>
                <w:szCs w:val="24"/>
                <w:color w:val="auto"/>
              </w:rPr>
            </w:pP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(54)</w:t>
            </w:r>
          </w:p>
        </w:tc>
        <w:tc>
          <w:tcPr>
            <w:tcW w:w="80" w:type="dxa"/>
            <w:vAlign w:val="bottom"/>
          </w:tcPr>
          <w:p>
            <w:pPr>
              <w:spacing w:after="0"/>
              <w:rPr>
                <w:sz w:val="24"/>
                <w:szCs w:val="24"/>
                <w:color w:val="auto"/>
              </w:rPr>
            </w:pPr>
          </w:p>
        </w:tc>
        <w:tc>
          <w:tcPr>
            <w:tcW w:w="800" w:type="dxa"/>
            <w:vAlign w:val="bottom"/>
          </w:tcPr>
          <w:p>
            <w:pPr>
              <w:jc w:val="right"/>
              <w:ind w:right="624"/>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216"/>
        </w:trPr>
        <w:tc>
          <w:tcPr>
            <w:tcW w:w="2860" w:type="dxa"/>
            <w:vAlign w:val="bottom"/>
            <w:gridSpan w:val="2"/>
          </w:tcPr>
          <w:p>
            <w:pPr>
              <w:ind w:left="20"/>
              <w:spacing w:after="0"/>
              <w:rPr>
                <w:sz w:val="20"/>
                <w:szCs w:val="20"/>
                <w:color w:val="auto"/>
              </w:rPr>
            </w:pPr>
            <w:r>
              <w:rPr>
                <w:rFonts w:ascii="Arial" w:cs="Arial" w:eastAsia="Arial" w:hAnsi="Arial"/>
                <w:sz w:val="15"/>
                <w:szCs w:val="15"/>
                <w:color w:val="auto"/>
              </w:rPr>
              <w:t>Interest expense</w:t>
            </w:r>
          </w:p>
        </w:tc>
        <w:tc>
          <w:tcPr>
            <w:tcW w:w="420" w:type="dxa"/>
            <w:vAlign w:val="bottom"/>
          </w:tcPr>
          <w:p>
            <w:pPr>
              <w:spacing w:after="0"/>
              <w:rPr>
                <w:sz w:val="18"/>
                <w:szCs w:val="18"/>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77</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77</w:t>
            </w:r>
          </w:p>
        </w:tc>
      </w:tr>
      <w:tr>
        <w:trPr>
          <w:trHeight w:val="184"/>
        </w:trPr>
        <w:tc>
          <w:tcPr>
            <w:tcW w:w="2860" w:type="dxa"/>
            <w:vAlign w:val="bottom"/>
            <w:gridSpan w:val="2"/>
          </w:tcPr>
          <w:p>
            <w:pPr>
              <w:ind w:left="20"/>
              <w:spacing w:after="0"/>
              <w:rPr>
                <w:sz w:val="20"/>
                <w:szCs w:val="20"/>
                <w:color w:val="auto"/>
              </w:rPr>
            </w:pPr>
            <w:r>
              <w:rPr>
                <w:rFonts w:ascii="Arial" w:cs="Arial" w:eastAsia="Arial" w:hAnsi="Arial"/>
                <w:sz w:val="15"/>
                <w:szCs w:val="15"/>
                <w:color w:val="auto"/>
              </w:rPr>
              <w:t>General and administrative expense,</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94"/>
        </w:trPr>
        <w:tc>
          <w:tcPr>
            <w:tcW w:w="2860" w:type="dxa"/>
            <w:vAlign w:val="bottom"/>
            <w:gridSpan w:val="2"/>
          </w:tcPr>
          <w:p>
            <w:pPr>
              <w:ind w:left="20"/>
              <w:spacing w:after="0"/>
              <w:rPr>
                <w:sz w:val="20"/>
                <w:szCs w:val="20"/>
                <w:color w:val="auto"/>
              </w:rPr>
            </w:pPr>
            <w:r>
              <w:rPr>
                <w:rFonts w:ascii="Arial" w:cs="Arial" w:eastAsia="Arial" w:hAnsi="Arial"/>
                <w:sz w:val="15"/>
                <w:szCs w:val="15"/>
                <w:color w:val="auto"/>
              </w:rPr>
              <w:t>Property operating and maintenance</w:t>
            </w:r>
          </w:p>
        </w:tc>
        <w:tc>
          <w:tcPr>
            <w:tcW w:w="420" w:type="dxa"/>
            <w:vAlign w:val="bottom"/>
          </w:tcPr>
          <w:p>
            <w:pPr>
              <w:spacing w:after="0"/>
              <w:rPr>
                <w:sz w:val="16"/>
                <w:szCs w:val="16"/>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973</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794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2,925</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2,598</w:t>
            </w:r>
          </w:p>
        </w:tc>
      </w:tr>
      <w:tr>
        <w:trPr>
          <w:trHeight w:val="220"/>
        </w:trPr>
        <w:tc>
          <w:tcPr>
            <w:tcW w:w="2860" w:type="dxa"/>
            <w:vAlign w:val="bottom"/>
            <w:gridSpan w:val="2"/>
          </w:tcPr>
          <w:p>
            <w:pPr>
              <w:ind w:left="20"/>
              <w:spacing w:after="0"/>
              <w:rPr>
                <w:sz w:val="20"/>
                <w:szCs w:val="20"/>
                <w:color w:val="auto"/>
              </w:rPr>
            </w:pPr>
            <w:r>
              <w:rPr>
                <w:rFonts w:ascii="Arial" w:cs="Arial" w:eastAsia="Arial" w:hAnsi="Arial"/>
                <w:sz w:val="15"/>
                <w:szCs w:val="15"/>
                <w:color w:val="auto"/>
              </w:rPr>
              <w:t>Property operating and maintenance</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431</w:t>
            </w:r>
          </w:p>
        </w:tc>
        <w:tc>
          <w:tcPr>
            <w:tcW w:w="1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468</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1,220</w:t>
            </w:r>
          </w:p>
        </w:tc>
        <w:tc>
          <w:tcPr>
            <w:tcW w:w="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1,214</w:t>
            </w:r>
          </w:p>
        </w:tc>
      </w:tr>
      <w:tr>
        <w:trPr>
          <w:trHeight w:val="209"/>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1,412</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1,270</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4,168</w:t>
            </w: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3,834</w:t>
            </w:r>
          </w:p>
        </w:tc>
      </w:tr>
      <w:tr>
        <w:trPr>
          <w:trHeight w:val="25"/>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-693420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-316230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-976630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660"/>
            <w:col w:w="872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Lease term, discount rates and additional information for finance and operating leases are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440" w:type="dxa"/>
            <w:vAlign w:val="bottom"/>
          </w:tcPr>
          <w:p>
            <w:pPr>
              <w:ind w:left="20"/>
              <w:spacing w:after="0"/>
              <w:rPr>
                <w:sz w:val="20"/>
                <w:szCs w:val="20"/>
                <w:color w:val="auto"/>
              </w:rPr>
            </w:pPr>
            <w:r>
              <w:rPr>
                <w:rFonts w:ascii="Arial" w:cs="Arial" w:eastAsia="Arial" w:hAnsi="Arial"/>
                <w:sz w:val="15"/>
                <w:szCs w:val="15"/>
                <w:b w:val="1"/>
                <w:bCs w:val="1"/>
                <w:color w:val="auto"/>
              </w:rPr>
              <w:t>Lease Term and Discount Rate</w:t>
            </w: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63"/>
        </w:trPr>
        <w:tc>
          <w:tcPr>
            <w:tcW w:w="944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September 30, 2020</w:t>
            </w:r>
          </w:p>
        </w:tc>
        <w:tc>
          <w:tcPr>
            <w:tcW w:w="180" w:type="dxa"/>
            <w:vAlign w:val="bottom"/>
            <w:tcBorders>
              <w:bottom w:val="single" w:sz="8" w:color="auto"/>
            </w:tcBorders>
          </w:tcPr>
          <w:p>
            <w:pPr>
              <w:spacing w:after="0"/>
              <w:rPr>
                <w:sz w:val="24"/>
                <w:szCs w:val="24"/>
                <w:color w:val="auto"/>
              </w:rPr>
            </w:pPr>
          </w:p>
        </w:tc>
      </w:tr>
      <w:tr>
        <w:trPr>
          <w:trHeight w:val="200"/>
        </w:trPr>
        <w:tc>
          <w:tcPr>
            <w:tcW w:w="9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Weighted-average remaining lease terms (years)</w:t>
            </w:r>
          </w:p>
        </w:tc>
        <w:tc>
          <w:tcPr>
            <w:tcW w:w="1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2"/>
        </w:trPr>
        <w:tc>
          <w:tcPr>
            <w:tcW w:w="9440" w:type="dxa"/>
            <w:vAlign w:val="bottom"/>
          </w:tcPr>
          <w:p>
            <w:pPr>
              <w:ind w:left="120"/>
              <w:spacing w:after="0"/>
              <w:rPr>
                <w:sz w:val="20"/>
                <w:szCs w:val="20"/>
                <w:color w:val="auto"/>
              </w:rPr>
            </w:pPr>
            <w:r>
              <w:rPr>
                <w:rFonts w:ascii="Arial" w:cs="Arial" w:eastAsia="Arial" w:hAnsi="Arial"/>
                <w:sz w:val="15"/>
                <w:szCs w:val="15"/>
                <w:color w:val="auto"/>
              </w:rPr>
              <w:t>Finance lease</w:t>
            </w:r>
          </w:p>
        </w:tc>
        <w:tc>
          <w:tcPr>
            <w:tcW w:w="1780" w:type="dxa"/>
            <w:vAlign w:val="bottom"/>
            <w:gridSpan w:val="2"/>
          </w:tcPr>
          <w:p>
            <w:pPr>
              <w:jc w:val="right"/>
              <w:spacing w:after="0"/>
              <w:rPr>
                <w:sz w:val="20"/>
                <w:szCs w:val="20"/>
                <w:color w:val="auto"/>
              </w:rPr>
            </w:pPr>
            <w:r>
              <w:rPr>
                <w:rFonts w:ascii="Arial" w:cs="Arial" w:eastAsia="Arial" w:hAnsi="Arial"/>
                <w:sz w:val="15"/>
                <w:szCs w:val="15"/>
                <w:color w:val="auto"/>
              </w:rPr>
              <w:t>3.75</w:t>
            </w:r>
          </w:p>
        </w:tc>
      </w:tr>
      <w:tr>
        <w:trPr>
          <w:trHeight w:val="220"/>
        </w:trPr>
        <w:tc>
          <w:tcPr>
            <w:tcW w:w="94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Operating lease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25.97</w:t>
            </w:r>
          </w:p>
        </w:tc>
      </w:tr>
      <w:tr>
        <w:trPr>
          <w:trHeight w:val="212"/>
        </w:trPr>
        <w:tc>
          <w:tcPr>
            <w:tcW w:w="9440" w:type="dxa"/>
            <w:vAlign w:val="bottom"/>
          </w:tcPr>
          <w:p>
            <w:pPr>
              <w:ind w:left="20"/>
              <w:spacing w:after="0"/>
              <w:rPr>
                <w:sz w:val="20"/>
                <w:szCs w:val="20"/>
                <w:color w:val="auto"/>
              </w:rPr>
            </w:pPr>
            <w:r>
              <w:rPr>
                <w:rFonts w:ascii="Arial" w:cs="Arial" w:eastAsia="Arial" w:hAnsi="Arial"/>
                <w:sz w:val="15"/>
                <w:szCs w:val="15"/>
                <w:color w:val="auto"/>
              </w:rPr>
              <w:t>Weighted-average discount rate</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94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Finance lease</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8"/>
        </w:trPr>
        <w:tc>
          <w:tcPr>
            <w:tcW w:w="9440" w:type="dxa"/>
            <w:vAlign w:val="bottom"/>
          </w:tcPr>
          <w:p>
            <w:pPr>
              <w:ind w:left="120"/>
              <w:spacing w:after="0"/>
              <w:rPr>
                <w:sz w:val="20"/>
                <w:szCs w:val="20"/>
                <w:color w:val="auto"/>
              </w:rPr>
            </w:pPr>
            <w:r>
              <w:rPr>
                <w:rFonts w:ascii="Arial" w:cs="Arial" w:eastAsia="Arial" w:hAnsi="Arial"/>
                <w:sz w:val="15"/>
                <w:szCs w:val="15"/>
                <w:color w:val="auto"/>
              </w:rPr>
              <w:t>Operating lease</w:t>
            </w:r>
          </w:p>
        </w:tc>
        <w:tc>
          <w:tcPr>
            <w:tcW w:w="1600" w:type="dxa"/>
            <w:vAlign w:val="bottom"/>
          </w:tcPr>
          <w:p>
            <w:pPr>
              <w:jc w:val="right"/>
              <w:spacing w:after="0"/>
              <w:rPr>
                <w:sz w:val="20"/>
                <w:szCs w:val="20"/>
                <w:color w:val="auto"/>
              </w:rPr>
            </w:pPr>
            <w:r>
              <w:rPr>
                <w:rFonts w:ascii="Arial" w:cs="Arial" w:eastAsia="Arial" w:hAnsi="Arial"/>
                <w:sz w:val="15"/>
                <w:szCs w:val="15"/>
                <w:color w:val="auto"/>
              </w:rPr>
              <w:t>4.12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7680" w:type="dxa"/>
            <w:vAlign w:val="bottom"/>
          </w:tcPr>
          <w:p>
            <w:pPr>
              <w:ind w:left="20"/>
              <w:spacing w:after="0"/>
              <w:rPr>
                <w:sz w:val="20"/>
                <w:szCs w:val="20"/>
                <w:color w:val="auto"/>
              </w:rPr>
            </w:pPr>
            <w:r>
              <w:rPr>
                <w:rFonts w:ascii="Arial" w:cs="Arial" w:eastAsia="Arial" w:hAnsi="Arial"/>
                <w:sz w:val="15"/>
                <w:szCs w:val="15"/>
                <w:b w:val="1"/>
                <w:bCs w:val="1"/>
                <w:color w:val="auto"/>
              </w:rPr>
              <w:t xml:space="preserve">Other Information </w:t>
            </w:r>
            <w:r>
              <w:rPr>
                <w:rFonts w:ascii="Arial" w:cs="Arial" w:eastAsia="Arial" w:hAnsi="Arial"/>
                <w:sz w:val="15"/>
                <w:szCs w:val="15"/>
                <w:color w:val="auto"/>
              </w:rPr>
              <w:t>(in thousands)</w:t>
            </w:r>
          </w:p>
        </w:tc>
        <w:tc>
          <w:tcPr>
            <w:tcW w:w="1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1024"/>
              <w:spacing w:after="0"/>
              <w:rPr>
                <w:sz w:val="20"/>
                <w:szCs w:val="20"/>
                <w:color w:val="auto"/>
              </w:rPr>
            </w:pPr>
            <w:r>
              <w:rPr>
                <w:rFonts w:ascii="Arial" w:cs="Arial" w:eastAsia="Arial" w:hAnsi="Arial"/>
                <w:sz w:val="15"/>
                <w:szCs w:val="15"/>
                <w:b w:val="1"/>
                <w:bCs w:val="1"/>
                <w:color w:val="auto"/>
              </w:rPr>
              <w:t>Nine Months Ended</w:t>
            </w:r>
          </w:p>
        </w:tc>
      </w:tr>
      <w:tr>
        <w:trPr>
          <w:trHeight w:val="210"/>
        </w:trPr>
        <w:tc>
          <w:tcPr>
            <w:tcW w:w="7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5"/>
                <w:szCs w:val="15"/>
                <w:b w:val="1"/>
                <w:bCs w:val="1"/>
                <w:color w:val="auto"/>
              </w:rPr>
              <w:t>September 30, 2020</w:t>
            </w:r>
          </w:p>
        </w:tc>
        <w:tc>
          <w:tcPr>
            <w:tcW w:w="140" w:type="dxa"/>
            <w:vAlign w:val="bottom"/>
          </w:tcPr>
          <w:p>
            <w:pPr>
              <w:spacing w:after="0"/>
              <w:rPr>
                <w:sz w:val="18"/>
                <w:szCs w:val="18"/>
                <w:color w:val="auto"/>
              </w:rPr>
            </w:pPr>
          </w:p>
        </w:tc>
        <w:tc>
          <w:tcPr>
            <w:tcW w:w="1520" w:type="dxa"/>
            <w:vAlign w:val="bottom"/>
          </w:tcPr>
          <w:p>
            <w:pPr>
              <w:jc w:val="right"/>
              <w:ind w:right="104"/>
              <w:spacing w:after="0"/>
              <w:rPr>
                <w:sz w:val="20"/>
                <w:szCs w:val="20"/>
                <w:color w:val="auto"/>
              </w:rPr>
            </w:pPr>
            <w:r>
              <w:rPr>
                <w:rFonts w:ascii="Arial" w:cs="Arial" w:eastAsia="Arial" w:hAnsi="Arial"/>
                <w:sz w:val="15"/>
                <w:szCs w:val="15"/>
                <w:b w:val="1"/>
                <w:bCs w:val="1"/>
                <w:color w:val="auto"/>
                <w:w w:val="94"/>
              </w:rPr>
              <w:t>September 30, 2019</w:t>
            </w:r>
          </w:p>
        </w:tc>
      </w:tr>
      <w:tr>
        <w:trPr>
          <w:trHeight w:val="200"/>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12"/>
        </w:trPr>
        <w:tc>
          <w:tcPr>
            <w:tcW w:w="7680" w:type="dxa"/>
            <w:vAlign w:val="bottom"/>
          </w:tcPr>
          <w:p>
            <w:pPr>
              <w:ind w:left="120"/>
              <w:spacing w:after="0"/>
              <w:rPr>
                <w:sz w:val="20"/>
                <w:szCs w:val="20"/>
                <w:color w:val="auto"/>
              </w:rPr>
            </w:pPr>
            <w:r>
              <w:rPr>
                <w:rFonts w:ascii="Arial" w:cs="Arial" w:eastAsia="Arial" w:hAnsi="Arial"/>
                <w:sz w:val="15"/>
                <w:szCs w:val="15"/>
                <w:color w:val="auto"/>
              </w:rPr>
              <w:t>Operating Cash Flow from Operating leases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1,836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1,504</w:t>
            </w:r>
          </w:p>
        </w:tc>
      </w:tr>
      <w:tr>
        <w:trPr>
          <w:trHeight w:val="216"/>
        </w:trPr>
        <w:tc>
          <w:tcPr>
            <w:tcW w:w="7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Financing Cash Flow from Finance leases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w:t>
            </w:r>
          </w:p>
        </w:tc>
      </w:tr>
      <w:tr>
        <w:trPr>
          <w:trHeight w:val="214"/>
        </w:trPr>
        <w:tc>
          <w:tcPr>
            <w:tcW w:w="7680" w:type="dxa"/>
            <w:vAlign w:val="bottom"/>
          </w:tcPr>
          <w:p>
            <w:pPr>
              <w:ind w:left="120"/>
              <w:spacing w:after="0"/>
              <w:rPr>
                <w:sz w:val="20"/>
                <w:szCs w:val="20"/>
                <w:color w:val="auto"/>
              </w:rPr>
            </w:pPr>
            <w:r>
              <w:rPr>
                <w:rFonts w:ascii="Arial" w:cs="Arial" w:eastAsia="Arial" w:hAnsi="Arial"/>
                <w:sz w:val="15"/>
                <w:szCs w:val="15"/>
                <w:b w:val="1"/>
                <w:bCs w:val="1"/>
                <w:color w:val="auto"/>
              </w:rPr>
              <w:t>Total Cash Paid on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1,859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1,527</w:t>
            </w:r>
          </w:p>
        </w:tc>
      </w:tr>
      <w:tr>
        <w:trPr>
          <w:trHeight w:val="20"/>
        </w:trPr>
        <w:tc>
          <w:tcPr>
            <w:tcW w:w="7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Related Party Leases: Lease of Executive Offices. </w:t>
      </w:r>
      <w:r>
        <w:rPr>
          <w:rFonts w:ascii="Arial" w:cs="Arial" w:eastAsia="Arial" w:hAnsi="Arial"/>
          <w:sz w:val="17"/>
          <w:szCs w:val="17"/>
          <w:color w:val="auto"/>
        </w:rPr>
        <w:t>Gary A. Shiffman, together with certain of his family members, indirectly owns an equity interest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28.1 percent in American Center LLC, the entity from which we lease office space for our principal executive offices. Each of Brian M. Hermelin, Ronald A. Klein and Arthur A. Weiss indirectly owns a less than one percent interest in American Center LLC. Mr. Shiffman is our Chief Executive Officer and Chairman of the Board. Each of Mr. Hermelin, Mr. Klein and Mr. Weiss is a director of the Company. Under this agreement, we lease approximately 103,100 rentable square feet of permanent space. The initial term of the lease is until October 31, 2026, and the current average gross base rent is $18.95 per square foot until October 31, 2020 with graduated rental increases thereafter. We entered into an additional office space operating lease which commenced in January 2020. Under this agreement, we lease approximately 20,087 rentable square feet of permanent space. The initial term of the lease is until October 31, 2026 and the average gross base rent is $18.95 per square foot until October 31, 2020 with graduated rent increases thereafter. Each of Mr. Shiffman, Mr. Hermelin, Mr. Klein and Mr. Weiss may have a conflict of interest with respect to his obligations as our officer and / or director and his ownership interest in American Center LLC.</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the lessor for any finance leases as of September 30, 2020. Over 95 percent of our operating leases where we are the lessor are either month to month or for a time period not to exceed one year. As of the reporting date, future minimum lease payments would not exceed 12 months. Similarly, over 95 percent of our investment property, net on the Consolidated Balance Sheets, and related depreciation amounts relate to assets whereby we are the lessor under an operating lease.</w:t>
      </w:r>
    </w:p>
    <w:p>
      <w:pPr>
        <w:spacing w:after="0" w:line="21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April 2020, the FASB issued a Staff Question-and-Answer (Q&amp;A) to clarify whether lease concessions related to the effects of COVID-19 require the application of lease modification guidance under ASC Topic 842 “</w:t>
      </w:r>
      <w:r>
        <w:rPr>
          <w:rFonts w:ascii="Arial" w:cs="Arial" w:eastAsia="Arial" w:hAnsi="Arial"/>
          <w:sz w:val="16"/>
          <w:szCs w:val="16"/>
          <w:i w:val="1"/>
          <w:iCs w:val="1"/>
          <w:color w:val="auto"/>
        </w:rPr>
        <w:t>Leases</w:t>
      </w:r>
      <w:r>
        <w:rPr>
          <w:rFonts w:ascii="Arial" w:cs="Arial" w:eastAsia="Arial" w:hAnsi="Arial"/>
          <w:sz w:val="16"/>
          <w:szCs w:val="16"/>
          <w:color w:val="auto"/>
        </w:rPr>
        <w:t>”. The Q&amp;A allows companies not to apply the lease modification guidance to rent concessions that result in deferred rent where the total cash flows required by the modified lease agreement are materially the same as the cash flows required under the original lease and the change to the lease did not result in a substantial increase to the rights of the lessor or the obligations of the lessee.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adopted the guidance during the three months ended June 30, 2020 for eligible residential lease concessions. The lease concessions that meet the criteria of the Q&amp;A are treated as if they were part of the enforceable rights and obligations of the parties under the existing lease contract. The amount of rent concessions subject to the Q&amp;A were not material and this adoption did not have a material impact on our consolidated results of operations or financial position.</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(“CECL”). </w:t>
      </w:r>
      <w:r>
        <w:rPr>
          <w:rFonts w:ascii="Arial" w:cs="Arial" w:eastAsia="Arial" w:hAnsi="Arial"/>
          <w:sz w:val="16"/>
          <w:szCs w:val="16"/>
          <w:color w:val="auto"/>
        </w:rPr>
        <w:t>This update replaces the incurred loss impairment methodology in current GAAP with a methodology that reflects expected credit</w:t>
      </w:r>
      <w:r>
        <w:rPr>
          <w:rFonts w:ascii="Arial" w:cs="Arial" w:eastAsia="Arial" w:hAnsi="Arial"/>
          <w:sz w:val="16"/>
          <w:szCs w:val="16"/>
          <w:i w:val="1"/>
          <w:iCs w:val="1"/>
          <w:color w:val="auto"/>
        </w:rPr>
        <w:t xml:space="preserve"> </w:t>
      </w:r>
      <w:r>
        <w:rPr>
          <w:rFonts w:ascii="Arial" w:cs="Arial" w:eastAsia="Arial" w:hAnsi="Arial"/>
          <w:sz w:val="16"/>
          <w:szCs w:val="16"/>
          <w:color w:val="auto"/>
        </w:rPr>
        <w:t>losses and requires consideration of a broader range of reasonable and supportable information to inform credit loss estimates. The amendments in this update are effective for fiscal years beginning after December 15, 2019, including interim periods within those fiscal years. As of January 1, 2020, we adopted the fair value option for our installment notes receivable on manufactured homes and the notes receivable within the GTSC JV which resulted in fair value adjustments of $1.6 million and $0.3 million, respectively. We also adopted the fair value option on notes receivable from real estate developers. The carrying values of those notes generally approximate their fair market values either due to the short-term nature of the loan and / or the note being secured by underlying collateral and / or personal guarantees. The adoption of CECL had an immaterial impact on our remaining financial instruments within the CECL scope. Refer to Note 4, “Notes and Other Receivables,”, and Note 6. “Investment in Nonconsolidated Affiliates,” for additional detail.</w:t>
      </w:r>
    </w:p>
    <w:p>
      <w:pPr>
        <w:spacing w:after="0" w:line="1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b w:val="1"/>
          <w:bCs w:val="1"/>
          <w:color w:val="auto"/>
        </w:rPr>
        <w:t>Subsequent Events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Subsequent to the quarter ended September 30, 2020, we entered into a new $260.0 million term loan secured by 11 properties. The loan term is 12-years and the interest rate is fixed at 2.64 percent. The loan will mature in 2032.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our Consolidated Financial Statements for subsequent events through the date that this Form 10-Q was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and analysis of the consolidated financial condition and results of operations should be read in conjunction with the Consolidated Financial Statements and the accompanying Notes, along with our 2019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fully integrated, self-administered and self-managed REIT. As of September 30, 2020, we owned and operated or held an interest in a portfolio of 432 developed properties located in 32 states throughout the U.S. and one province in Canada, including 268 MH communities, 130 RV communities, and 34 properties containing both MH and RV sites.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in the business of acquiring, operating, developing and expanding MH and RV communities since 1975. We lease individual sites with utility access for placement of manufactured homes and RVs to our customers. We are also engaged through SHS in the marketing, selling and leasing of new and pre-owned homes to current and future residents in our communities. The operations of SHS support and enhance our occupancy levels, property performance,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2020, all of our MH communities and RV resorts are open. The execution of our operational and financial plans has helped to mitigate the impact of COVID-19 on our business.</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continue to provide essential services using social distancing techniques and minimal contact. To promote social distancing, we are encouraging our residents to use our online rent payment portals and other payment methods. We have instituted numerous health and safety measures at our communities and our Main Office to keep team members safe. These measures include infrared thermometers at entrances to monitor team members’ temperatures, increased cleaning and sanitation of shared spaces and social distancing protocols throughout our footprint. We closely monitor and track orders by federal, state and local authorities and hold regular status calls with our operations and Main Office leadership teams. We have implemented and continue to encourage remote working arrangements, wherever possible, to keep our team members safe and to do our part to promote social distancing.</w:t>
      </w:r>
    </w:p>
    <w:p>
      <w:pPr>
        <w:spacing w:after="0" w:line="1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experiencing more traffic at our communities as would be expected with the lifting of shelter-in-place mandates and other travel restrictions and are receiving more applications to live in our communities than in the prior year. Demand for short term RV sites has increased as travelers seek drive-to vacation destinations where they have more control over their personal accommodations and are able to enjoy outdoor, socially distanced activities.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provided a temporary hardship program to those residents who have been economically disadvantaged as a result of COVID-19 for the months of April and May. This hardship program deferred the payment of April and May rent over 12 months, commencing on July 1, 2020. When the program ended in June, we had provided deferred relief of $4.4 million to approximately 4 percent of residents in our communities, including owner occupied sites and rental home sites. As of September 30, 2020, over 40 percent of the hardship program funds had been repaid. We halted increases to our monthly rental rates for a period of time but have now resumed our rent increase process.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our RV resorts are currently open; however indoor and outdoor activities are limited to what government regulations permit, and to encourage social distancing.</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remain committed to assisting individuals who are in the process of leasing a site or purchasing a home, while maintaining health and safety protocols including following strict social distancing. Virtual viewings of homes are being utilized to avoid or minimize contact.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identified significant accounting policies that, as a result of the judgments, uncertainties and complexities of the underlying accounting standards and operations involved could result in material changes to our financial condition or results of operations under different conditions or using different assumptions. Details regarding significant accounting policies are described fully in our 2019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results reported in accordance with GAAP in our “Results of Operations” below, we have provided information regarding net operating income (“NOI”) and funds from operations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 / amortization of real estate assets. In addition, NOI and FFO are commonly used in various ratios, pricing multiples / yields and returns and valuation calculations used to measure financial position, performance and value.</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NOI is derived from revenues minus property operating expenses and real estate taxes. NOI is a non-GAAP 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 / 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GAAP net income (loss) is the most directly comparable measure to NOI. NOI should not be considered to be an alternative to GAAP net income (loss) as an indication of our financial performance or GAAP cash flow from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FFO is defined by the National Association of Real Estate Investment Trusts (“NAREIT”) as GAAP net income (loss), excluding gains (or losses) from sales of depreciable operating property, plus real estate related depreciation and amortization, and after adjustments for unconsolidated partnerships and joint ventures. FFO is a non-GAAP financial measure that management believes is a useful supplemental measure of our operating performance. By excluding gains and losses related to sales of previously depreciated operating real estate assets, impairment and excluding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 We also use FFO excluding certain gain and loss items that management considers unrelated to the operational and financial performance of our core business (“Core FFO”). We believe that Core FFO provides enhanced comparability for investor evaluations of period-over-period results.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GAAP net income (loss) is the most directly comparable measure to FFO. The principal limitation of FFO is that it does not replace GAAP net income (loss) as a performance measure or GAAP cash flow from operations as a liquidity measure. Because FFO excludes significant economic components of GAAP net income (loss) including depreciation and amortization, FFO should be used as a supplement to GAAP net income (loss) and not as an alternative to it. Further,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report operating results under two segments: Real Property Operations and Home Sales and Rentals. The Real Property Operations segment owns, operates, develops, or has an interest in, a portfolio of MH and RV communities throughout the U.S. and in Canada, and is in the business of acquiring, operating, and expanding MH and RV communities. The Home Sales and Rentals segment offers MH and RV park model sales and leasing services to tenants and prospective tenants of our communities. We evaluate segment operating performance based on NOI and gross profit. Refer to Note 11, “Segment Reporting,” in our accompanying Consolidated Financial Statements for additional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Statements of Operations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extent to which the COVID-19 pandemic impacts our operations, financial condition and financial results will depend on future developments, which are highly uncertain and cannot be predicted with confidence, including the scope, severity and duration of the pandemic, the actions taken to contain the pandemic or mitigate its impact, and the direct and indirect economic effects of the pandemic and containment measures, among others. The uncertainty of this situation precludes any prediction as to the full adverse impact of the COVID-19 pandemic.</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reconcile the Net income attributable to Sun Communities, Inc. common stockholders to NOI and summarize our consolidated financial results for the three and nine months ended September 30, 2020 and 2019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Three Months Ended</w:t>
            </w:r>
          </w:p>
        </w:tc>
        <w:tc>
          <w:tcPr>
            <w:tcW w:w="6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rPr>
              <w:t>Nine Months Ended</w:t>
            </w:r>
          </w:p>
        </w:tc>
        <w:tc>
          <w:tcPr>
            <w:tcW w:w="680" w:type="dxa"/>
            <w:vAlign w:val="bottom"/>
            <w:tcBorders>
              <w:bottom w:val="single" w:sz="8" w:color="auto"/>
            </w:tcBorders>
          </w:tcPr>
          <w:p>
            <w:pPr>
              <w:spacing w:after="0"/>
              <w:rPr>
                <w:sz w:val="17"/>
                <w:szCs w:val="17"/>
                <w:color w:val="auto"/>
              </w:rPr>
            </w:pPr>
          </w:p>
        </w:tc>
      </w:tr>
      <w:tr>
        <w:trPr>
          <w:trHeight w:val="209"/>
        </w:trPr>
        <w:tc>
          <w:tcPr>
            <w:tcW w:w="5280" w:type="dxa"/>
            <w:vAlign w:val="bottom"/>
          </w:tcPr>
          <w:p>
            <w:pPr>
              <w:spacing w:after="0"/>
              <w:rPr>
                <w:sz w:val="18"/>
                <w:szCs w:val="18"/>
                <w:color w:val="auto"/>
              </w:rPr>
            </w:pPr>
          </w:p>
        </w:tc>
        <w:tc>
          <w:tcPr>
            <w:tcW w:w="1500" w:type="dxa"/>
            <w:vAlign w:val="bottom"/>
            <w:gridSpan w:val="3"/>
          </w:tcPr>
          <w:p>
            <w:pPr>
              <w:ind w:left="60"/>
              <w:spacing w:after="0"/>
              <w:rPr>
                <w:sz w:val="20"/>
                <w:szCs w:val="20"/>
                <w:color w:val="auto"/>
              </w:rPr>
            </w:pPr>
            <w:r>
              <w:rPr>
                <w:rFonts w:ascii="Arial" w:cs="Arial" w:eastAsia="Arial" w:hAnsi="Arial"/>
                <w:sz w:val="15"/>
                <w:szCs w:val="15"/>
                <w:b w:val="1"/>
                <w:bCs w:val="1"/>
                <w:color w:val="auto"/>
              </w:rPr>
              <w:t>September 30, 2020</w:t>
            </w:r>
          </w:p>
        </w:tc>
        <w:tc>
          <w:tcPr>
            <w:tcW w:w="1600" w:type="dxa"/>
            <w:vAlign w:val="bottom"/>
            <w:gridSpan w:val="3"/>
          </w:tcPr>
          <w:p>
            <w:pPr>
              <w:ind w:left="40"/>
              <w:spacing w:after="0"/>
              <w:rPr>
                <w:sz w:val="20"/>
                <w:szCs w:val="20"/>
                <w:color w:val="auto"/>
              </w:rPr>
            </w:pPr>
            <w:r>
              <w:rPr>
                <w:rFonts w:ascii="Arial" w:cs="Arial" w:eastAsia="Arial" w:hAnsi="Arial"/>
                <w:sz w:val="15"/>
                <w:szCs w:val="15"/>
                <w:b w:val="1"/>
                <w:bCs w:val="1"/>
                <w:color w:val="auto"/>
              </w:rPr>
              <w:t>September 30, 2019</w:t>
            </w:r>
          </w:p>
        </w:tc>
        <w:tc>
          <w:tcPr>
            <w:tcW w:w="1480" w:type="dxa"/>
            <w:vAlign w:val="bottom"/>
            <w:gridSpan w:val="3"/>
          </w:tcPr>
          <w:p>
            <w:pPr>
              <w:ind w:left="40"/>
              <w:spacing w:after="0"/>
              <w:rPr>
                <w:sz w:val="20"/>
                <w:szCs w:val="20"/>
                <w:color w:val="auto"/>
              </w:rPr>
            </w:pPr>
            <w:r>
              <w:rPr>
                <w:rFonts w:ascii="Arial" w:cs="Arial" w:eastAsia="Arial" w:hAnsi="Arial"/>
                <w:sz w:val="15"/>
                <w:szCs w:val="15"/>
                <w:b w:val="1"/>
                <w:bCs w:val="1"/>
                <w:color w:val="auto"/>
              </w:rPr>
              <w:t>September 30, 2020</w:t>
            </w:r>
          </w:p>
        </w:tc>
        <w:tc>
          <w:tcPr>
            <w:tcW w:w="138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September 30, 2019</w:t>
            </w:r>
          </w:p>
        </w:tc>
      </w:tr>
      <w:tr>
        <w:trPr>
          <w:trHeight w:val="214"/>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Attributable to Sun Communities, Inc. Common Stockholders</w:t>
            </w:r>
          </w:p>
        </w:tc>
        <w:tc>
          <w:tcPr>
            <w:tcW w:w="42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81,204</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57,002</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124,028</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131,718</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Interest income</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(2,624)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(4,770)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(7,609)</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(14,489)</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Brokerage commissions and other revenues, net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(5,881)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(5,002)</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(13,068)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(11,190)</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Home selling expenses</w:t>
            </w:r>
          </w:p>
        </w:tc>
        <w:tc>
          <w:tcPr>
            <w:tcW w:w="42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3,652</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3,972</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10,508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10,922</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General and administrative expenses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27,243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22,946</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79,493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68,530</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Catastrophic weather-related charges, net</w:t>
            </w:r>
          </w:p>
        </w:tc>
        <w:tc>
          <w:tcPr>
            <w:tcW w:w="42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341</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1,302</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88,499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76,532</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259,453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229,241</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Loss on extinguishment of debt (see Note 8)</w:t>
            </w:r>
          </w:p>
        </w:tc>
        <w:tc>
          <w:tcPr>
            <w:tcW w:w="4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8"/>
                <w:szCs w:val="18"/>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12,755</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5,209</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13,478</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 expense</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30,214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32,219</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94,058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99,894</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Interest on mandatorily redeemable preferred OP units / equity</w:t>
            </w:r>
          </w:p>
        </w:tc>
        <w:tc>
          <w:tcPr>
            <w:tcW w:w="42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1,047</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1,216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3,130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3,491</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remeasurement of marketable securities (see Note 14)</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(12,661)</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2,636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(16,548)</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(Gain) / loss on foreign currency translation</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(4,664)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3,046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2,441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on disposition of property</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Other expense, net</w:t>
            </w:r>
          </w:p>
        </w:tc>
        <w:tc>
          <w:tcPr>
            <w:tcW w:w="42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2,524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1,362</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3,378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1,524</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Loss on remeasurement of notes receivable (see Note 4)</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2,311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Income from nonconsolidated affiliates (see Note 6)</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(1,204)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(513)</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(1,348)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(1,380)</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w w:val="95"/>
              </w:rPr>
              <w:t>Loss on remeasurement of investment in nonconsolidated affiliates (see Note 6)</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1,505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Current tax benefit / (expense) (see Note 12)</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(107)</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420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462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906</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Deferred tax benefit / (expense (see Note 12)</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Preferred return to preferred OP units / equity</w:t>
            </w:r>
          </w:p>
        </w:tc>
        <w:tc>
          <w:tcPr>
            <w:tcW w:w="42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1,645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1,599</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4,799</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4,640</w:t>
            </w:r>
          </w:p>
        </w:tc>
      </w:tr>
      <w:tr>
        <w:trPr>
          <w:trHeight w:val="220"/>
        </w:trPr>
        <w:tc>
          <w:tcPr>
            <w:tcW w:w="5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Income attributable to noncontrolling interests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6,907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5,422</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8,806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9,048</w:t>
            </w:r>
          </w:p>
        </w:tc>
      </w:tr>
      <w:tr>
        <w:trPr>
          <w:trHeight w:val="212"/>
        </w:trPr>
        <w:tc>
          <w:tcPr>
            <w:tcW w:w="5280" w:type="dxa"/>
            <w:vAlign w:val="bottom"/>
          </w:tcPr>
          <w:p>
            <w:pPr>
              <w:ind w:left="220"/>
              <w:spacing w:after="0"/>
              <w:rPr>
                <w:sz w:val="20"/>
                <w:szCs w:val="20"/>
                <w:color w:val="auto"/>
              </w:rPr>
            </w:pPr>
            <w:r>
              <w:rPr>
                <w:rFonts w:ascii="Arial" w:cs="Arial" w:eastAsia="Arial" w:hAnsi="Arial"/>
                <w:sz w:val="15"/>
                <w:szCs w:val="15"/>
                <w:color w:val="auto"/>
              </w:rPr>
              <w:t>Preferred stock distribution</w:t>
            </w:r>
          </w:p>
        </w:tc>
        <w:tc>
          <w:tcPr>
            <w:tcW w:w="4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428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1,288</w:t>
            </w:r>
          </w:p>
        </w:tc>
      </w:tr>
      <w:tr>
        <w:trPr>
          <w:trHeight w:val="238"/>
        </w:trPr>
        <w:tc>
          <w:tcPr>
            <w:tcW w:w="52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5"/>
                <w:szCs w:val="15"/>
                <w:b w:val="1"/>
                <w:bCs w:val="1"/>
                <w:color w:val="auto"/>
              </w:rPr>
              <w:t>NOI / Gross Profit</w:t>
            </w:r>
          </w:p>
        </w:tc>
        <w:tc>
          <w:tcPr>
            <w:tcW w:w="42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221,711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ind w:right="56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9"/>
              </w:rPr>
              <w:t>196,663</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573,847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ind w:right="524"/>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532,376</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Three Months Ended</w:t>
            </w:r>
          </w:p>
        </w:tc>
        <w:tc>
          <w:tcPr>
            <w:tcW w:w="6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rPr>
              <w:t>Nine Months Ended</w:t>
            </w:r>
          </w:p>
        </w:tc>
        <w:tc>
          <w:tcPr>
            <w:tcW w:w="680" w:type="dxa"/>
            <w:vAlign w:val="bottom"/>
            <w:tcBorders>
              <w:bottom w:val="single" w:sz="8" w:color="auto"/>
            </w:tcBorders>
          </w:tcPr>
          <w:p>
            <w:pPr>
              <w:spacing w:after="0"/>
              <w:rPr>
                <w:sz w:val="17"/>
                <w:szCs w:val="17"/>
                <w:color w:val="auto"/>
              </w:rPr>
            </w:pPr>
          </w:p>
        </w:tc>
      </w:tr>
      <w:tr>
        <w:trPr>
          <w:trHeight w:val="209"/>
        </w:trPr>
        <w:tc>
          <w:tcPr>
            <w:tcW w:w="5280" w:type="dxa"/>
            <w:vAlign w:val="bottom"/>
          </w:tcPr>
          <w:p>
            <w:pPr>
              <w:spacing w:after="0"/>
              <w:rPr>
                <w:sz w:val="18"/>
                <w:szCs w:val="18"/>
                <w:color w:val="auto"/>
              </w:rPr>
            </w:pPr>
          </w:p>
        </w:tc>
        <w:tc>
          <w:tcPr>
            <w:tcW w:w="1500" w:type="dxa"/>
            <w:vAlign w:val="bottom"/>
            <w:gridSpan w:val="3"/>
          </w:tcPr>
          <w:p>
            <w:pPr>
              <w:ind w:left="60"/>
              <w:spacing w:after="0"/>
              <w:rPr>
                <w:sz w:val="20"/>
                <w:szCs w:val="20"/>
                <w:color w:val="auto"/>
              </w:rPr>
            </w:pPr>
            <w:r>
              <w:rPr>
                <w:rFonts w:ascii="Arial" w:cs="Arial" w:eastAsia="Arial" w:hAnsi="Arial"/>
                <w:sz w:val="15"/>
                <w:szCs w:val="15"/>
                <w:b w:val="1"/>
                <w:bCs w:val="1"/>
                <w:color w:val="auto"/>
              </w:rPr>
              <w:t>September 30, 2020</w:t>
            </w:r>
          </w:p>
        </w:tc>
        <w:tc>
          <w:tcPr>
            <w:tcW w:w="1600" w:type="dxa"/>
            <w:vAlign w:val="bottom"/>
            <w:gridSpan w:val="3"/>
          </w:tcPr>
          <w:p>
            <w:pPr>
              <w:ind w:left="40"/>
              <w:spacing w:after="0"/>
              <w:rPr>
                <w:sz w:val="20"/>
                <w:szCs w:val="20"/>
                <w:color w:val="auto"/>
              </w:rPr>
            </w:pPr>
            <w:r>
              <w:rPr>
                <w:rFonts w:ascii="Arial" w:cs="Arial" w:eastAsia="Arial" w:hAnsi="Arial"/>
                <w:sz w:val="15"/>
                <w:szCs w:val="15"/>
                <w:b w:val="1"/>
                <w:bCs w:val="1"/>
                <w:color w:val="auto"/>
              </w:rPr>
              <w:t>September 30, 2019</w:t>
            </w:r>
          </w:p>
        </w:tc>
        <w:tc>
          <w:tcPr>
            <w:tcW w:w="1480" w:type="dxa"/>
            <w:vAlign w:val="bottom"/>
            <w:gridSpan w:val="3"/>
          </w:tcPr>
          <w:p>
            <w:pPr>
              <w:ind w:left="40"/>
              <w:spacing w:after="0"/>
              <w:rPr>
                <w:sz w:val="20"/>
                <w:szCs w:val="20"/>
                <w:color w:val="auto"/>
              </w:rPr>
            </w:pPr>
            <w:r>
              <w:rPr>
                <w:rFonts w:ascii="Arial" w:cs="Arial" w:eastAsia="Arial" w:hAnsi="Arial"/>
                <w:sz w:val="15"/>
                <w:szCs w:val="15"/>
                <w:b w:val="1"/>
                <w:bCs w:val="1"/>
                <w:color w:val="auto"/>
              </w:rPr>
              <w:t>September 30, 2020</w:t>
            </w:r>
          </w:p>
        </w:tc>
        <w:tc>
          <w:tcPr>
            <w:tcW w:w="138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September 30, 2019</w:t>
            </w:r>
          </w:p>
        </w:tc>
      </w:tr>
      <w:tr>
        <w:trPr>
          <w:trHeight w:val="21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Real Property NOI</w:t>
            </w:r>
          </w:p>
        </w:tc>
        <w:tc>
          <w:tcPr>
            <w:tcW w:w="42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176,284</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9"/>
              </w:rPr>
              <w:t>156,669</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481,393</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440,543</w:t>
            </w:r>
          </w:p>
        </w:tc>
      </w:tr>
      <w:tr>
        <w:trPr>
          <w:trHeight w:val="212"/>
        </w:trPr>
        <w:tc>
          <w:tcPr>
            <w:tcW w:w="5280" w:type="dxa"/>
            <w:vAlign w:val="bottom"/>
          </w:tcPr>
          <w:p>
            <w:pPr>
              <w:ind w:left="20"/>
              <w:spacing w:after="0"/>
              <w:rPr>
                <w:sz w:val="20"/>
                <w:szCs w:val="20"/>
                <w:color w:val="auto"/>
              </w:rPr>
            </w:pPr>
            <w:r>
              <w:rPr>
                <w:rFonts w:ascii="Arial" w:cs="Arial" w:eastAsia="Arial" w:hAnsi="Arial"/>
                <w:sz w:val="15"/>
                <w:szCs w:val="15"/>
                <w:color w:val="auto"/>
              </w:rPr>
              <w:t>Home Sales NOI / Gross Profit</w:t>
            </w:r>
          </w:p>
        </w:tc>
        <w:tc>
          <w:tcPr>
            <w:tcW w:w="42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11,425</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13,487</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31,329</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36,635</w:t>
            </w: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Rental Program NOI</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29,323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25,270</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86,182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77,700</w:t>
            </w:r>
          </w:p>
        </w:tc>
      </w:tr>
      <w:tr>
        <w:trPr>
          <w:trHeight w:val="212"/>
        </w:trPr>
        <w:tc>
          <w:tcPr>
            <w:tcW w:w="5280" w:type="dxa"/>
            <w:vAlign w:val="bottom"/>
          </w:tcPr>
          <w:p>
            <w:pPr>
              <w:ind w:left="20"/>
              <w:spacing w:after="0"/>
              <w:rPr>
                <w:sz w:val="20"/>
                <w:szCs w:val="20"/>
                <w:color w:val="auto"/>
              </w:rPr>
            </w:pPr>
            <w:r>
              <w:rPr>
                <w:rFonts w:ascii="Arial" w:cs="Arial" w:eastAsia="Arial" w:hAnsi="Arial"/>
                <w:sz w:val="15"/>
                <w:szCs w:val="15"/>
                <w:color w:val="auto"/>
              </w:rPr>
              <w:t>Ancillary NOI / Gross Profit</w:t>
            </w:r>
          </w:p>
        </w:tc>
        <w:tc>
          <w:tcPr>
            <w:tcW w:w="42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23,780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18,507</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30,642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28,824</w:t>
            </w: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Site rent from Rental Program (included in Real Property NOI) </w:t>
            </w:r>
            <w:r>
              <w:rPr>
                <w:rFonts w:ascii="Arial" w:cs="Arial" w:eastAsia="Arial" w:hAnsi="Arial"/>
                <w:sz w:val="9"/>
                <w:szCs w:val="9"/>
                <w:color w:val="auto"/>
              </w:rPr>
              <w:t>(1)</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(19,101)</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(17,270)</w:t>
            </w:r>
          </w:p>
        </w:tc>
        <w:tc>
          <w:tcPr>
            <w:tcW w:w="2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(55,699)</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(51,326)</w:t>
            </w:r>
          </w:p>
        </w:tc>
      </w:tr>
      <w:tr>
        <w:trPr>
          <w:trHeight w:val="213"/>
        </w:trPr>
        <w:tc>
          <w:tcPr>
            <w:tcW w:w="5280" w:type="dxa"/>
            <w:vAlign w:val="bottom"/>
          </w:tcPr>
          <w:p>
            <w:pPr>
              <w:ind w:left="20"/>
              <w:spacing w:after="0"/>
              <w:rPr>
                <w:sz w:val="20"/>
                <w:szCs w:val="20"/>
                <w:color w:val="auto"/>
              </w:rPr>
            </w:pPr>
            <w:r>
              <w:rPr>
                <w:rFonts w:ascii="Arial" w:cs="Arial" w:eastAsia="Arial" w:hAnsi="Arial"/>
                <w:sz w:val="15"/>
                <w:szCs w:val="15"/>
                <w:b w:val="1"/>
                <w:bCs w:val="1"/>
                <w:color w:val="auto"/>
              </w:rPr>
              <w:t>NOI / Gross Profit</w:t>
            </w:r>
          </w:p>
        </w:tc>
        <w:tc>
          <w:tcPr>
            <w:tcW w:w="4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221,711</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9"/>
              </w:rPr>
              <w:t>196,663</w:t>
            </w:r>
          </w:p>
        </w:tc>
        <w:tc>
          <w:tcPr>
            <w:tcW w:w="240" w:type="dxa"/>
            <w:vAlign w:val="bottom"/>
          </w:tcPr>
          <w:p>
            <w:pPr>
              <w:spacing w:after="0"/>
              <w:rPr>
                <w:sz w:val="18"/>
                <w:szCs w:val="18"/>
                <w:color w:val="auto"/>
              </w:rPr>
            </w:pPr>
          </w:p>
        </w:tc>
        <w:tc>
          <w:tcPr>
            <w:tcW w:w="4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573,847</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532,376</w:t>
            </w:r>
          </w:p>
        </w:tc>
      </w:tr>
      <w:tr>
        <w:trPr>
          <w:trHeight w:val="21"/>
        </w:trPr>
        <w:tc>
          <w:tcPr>
            <w:tcW w:w="5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hanging="252"/>
        <w:spacing w:after="0" w:line="257" w:lineRule="auto"/>
        <w:tabs>
          <w:tab w:leader="none" w:pos="149" w:val="left"/>
        </w:tabs>
        <w:numPr>
          <w:ilvl w:val="0"/>
          <w:numId w:val="24"/>
        </w:numPr>
        <w:rPr>
          <w:rFonts w:ascii="Arial" w:cs="Arial" w:eastAsia="Arial" w:hAnsi="Arial"/>
          <w:sz w:val="9"/>
          <w:szCs w:val="9"/>
          <w:color w:val="auto"/>
        </w:rPr>
      </w:pPr>
      <w:r>
        <w:rPr>
          <w:rFonts w:ascii="Arial" w:cs="Arial" w:eastAsia="Arial" w:hAnsi="Arial"/>
          <w:sz w:val="14"/>
          <w:szCs w:val="14"/>
          <w:color w:val="auto"/>
        </w:rPr>
        <w:t>The renter’s monthly payment includes the site rent and an amount attributable to the home lease. The site rent is reflected in Real Property Operations’ segment revenue. For purposes of management analysis, site rent is included in Rental Program revenue to evaluate the incremental revenue gains associated with the implementation of the Rental Program and to assess the overall growth and performance of the Rental Program and financial impact on our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and Nine Months Ended September 30, 2020 and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Total Portfolio</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reflect certain financial and other information for our Total Portfolio as of and for the three and nine months ended September 30, 2020 and 2019 (in thousands, except for statistical information):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right"/>
              <w:ind w:right="424"/>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right"/>
              <w:ind w:right="444"/>
              <w:spacing w:after="0"/>
              <w:rPr>
                <w:sz w:val="20"/>
                <w:szCs w:val="20"/>
                <w:color w:val="auto"/>
              </w:rPr>
            </w:pPr>
            <w:r>
              <w:rPr>
                <w:rFonts w:ascii="Arial" w:cs="Arial" w:eastAsia="Arial" w:hAnsi="Arial"/>
                <w:sz w:val="15"/>
                <w:szCs w:val="15"/>
                <w:b w:val="1"/>
                <w:bCs w:val="1"/>
                <w:color w:val="auto"/>
              </w:rPr>
              <w:t>Nine Months Ended</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169"/>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00" w:type="dxa"/>
            <w:vAlign w:val="bottom"/>
          </w:tcPr>
          <w:p>
            <w:pPr>
              <w:spacing w:after="0"/>
              <w:rPr>
                <w:sz w:val="14"/>
                <w:szCs w:val="14"/>
                <w:color w:val="auto"/>
              </w:rPr>
            </w:pPr>
          </w:p>
        </w:tc>
        <w:tc>
          <w:tcPr>
            <w:tcW w:w="116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September 30,</w:t>
            </w:r>
          </w:p>
        </w:tc>
        <w:tc>
          <w:tcPr>
            <w:tcW w:w="100" w:type="dxa"/>
            <w:vAlign w:val="bottom"/>
          </w:tcPr>
          <w:p>
            <w:pPr>
              <w:spacing w:after="0"/>
              <w:rPr>
                <w:sz w:val="14"/>
                <w:szCs w:val="14"/>
                <w:color w:val="auto"/>
              </w:rPr>
            </w:pPr>
          </w:p>
        </w:tc>
        <w:tc>
          <w:tcPr>
            <w:tcW w:w="118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0"/>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44"/>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64"/>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b w:val="1"/>
                <w:bCs w:val="1"/>
                <w:color w:val="auto"/>
                <w:w w:val="94"/>
              </w:rPr>
              <w:t>Change</w:t>
            </w:r>
          </w:p>
        </w:tc>
        <w:tc>
          <w:tcPr>
            <w:tcW w:w="120" w:type="dxa"/>
            <w:vAlign w:val="bottom"/>
          </w:tcPr>
          <w:p>
            <w:pPr>
              <w:spacing w:after="0"/>
              <w:rPr>
                <w:sz w:val="17"/>
                <w:szCs w:val="17"/>
                <w:color w:val="auto"/>
              </w:rPr>
            </w:pPr>
          </w:p>
        </w:tc>
        <w:tc>
          <w:tcPr>
            <w:tcW w:w="1120" w:type="dxa"/>
            <w:vAlign w:val="bottom"/>
            <w:gridSpan w:val="3"/>
          </w:tcPr>
          <w:p>
            <w:pPr>
              <w:ind w:left="100"/>
              <w:spacing w:after="0"/>
              <w:rPr>
                <w:sz w:val="20"/>
                <w:szCs w:val="20"/>
                <w:color w:val="auto"/>
              </w:rPr>
            </w:pPr>
            <w:r>
              <w:rPr>
                <w:rFonts w:ascii="Arial" w:cs="Arial" w:eastAsia="Arial" w:hAnsi="Arial"/>
                <w:sz w:val="15"/>
                <w:szCs w:val="15"/>
                <w:b w:val="1"/>
                <w:bCs w:val="1"/>
                <w:color w:val="auto"/>
              </w:rPr>
              <w:t>% Change</w:t>
            </w:r>
          </w:p>
        </w:tc>
        <w:tc>
          <w:tcPr>
            <w:tcW w:w="100" w:type="dxa"/>
            <w:vAlign w:val="bottom"/>
          </w:tcPr>
          <w:p>
            <w:pPr>
              <w:spacing w:after="0"/>
              <w:rPr>
                <w:sz w:val="17"/>
                <w:szCs w:val="17"/>
                <w:color w:val="auto"/>
              </w:rPr>
            </w:pPr>
          </w:p>
        </w:tc>
        <w:tc>
          <w:tcPr>
            <w:tcW w:w="1060" w:type="dxa"/>
            <w:vAlign w:val="bottom"/>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44"/>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84"/>
              <w:spacing w:after="0"/>
              <w:rPr>
                <w:sz w:val="20"/>
                <w:szCs w:val="20"/>
                <w:color w:val="auto"/>
              </w:rPr>
            </w:pPr>
            <w:r>
              <w:rPr>
                <w:rFonts w:ascii="Arial" w:cs="Arial" w:eastAsia="Arial" w:hAnsi="Arial"/>
                <w:sz w:val="15"/>
                <w:szCs w:val="15"/>
                <w:b w:val="1"/>
                <w:bCs w:val="1"/>
                <w:color w:val="auto"/>
                <w:w w:val="94"/>
              </w:rPr>
              <w:t>Change</w:t>
            </w:r>
          </w:p>
        </w:tc>
        <w:tc>
          <w:tcPr>
            <w:tcW w:w="120" w:type="dxa"/>
            <w:vAlign w:val="bottom"/>
          </w:tcPr>
          <w:p>
            <w:pPr>
              <w:spacing w:after="0"/>
              <w:rPr>
                <w:sz w:val="17"/>
                <w:szCs w:val="17"/>
                <w:color w:val="auto"/>
              </w:rPr>
            </w:pPr>
          </w:p>
        </w:tc>
        <w:tc>
          <w:tcPr>
            <w:tcW w:w="900" w:type="dxa"/>
            <w:vAlign w:val="bottom"/>
            <w:gridSpan w:val="2"/>
          </w:tcPr>
          <w:p>
            <w:pPr>
              <w:jc w:val="right"/>
              <w:ind w:right="24"/>
              <w:spacing w:after="0"/>
              <w:rPr>
                <w:sz w:val="20"/>
                <w:szCs w:val="20"/>
                <w:color w:val="auto"/>
              </w:rPr>
            </w:pPr>
            <w:r>
              <w:rPr>
                <w:rFonts w:ascii="Arial" w:cs="Arial" w:eastAsia="Arial" w:hAnsi="Arial"/>
                <w:sz w:val="15"/>
                <w:szCs w:val="15"/>
                <w:b w:val="1"/>
                <w:bCs w:val="1"/>
                <w:color w:val="auto"/>
              </w:rPr>
              <w:t>% Change</w:t>
            </w:r>
          </w:p>
        </w:tc>
      </w:tr>
      <w:tr>
        <w:trPr>
          <w:trHeight w:val="198"/>
        </w:trPr>
        <w:tc>
          <w:tcPr>
            <w:tcW w:w="2220" w:type="dxa"/>
            <w:vAlign w:val="bottom"/>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r>
      <w:tr>
        <w:trPr>
          <w:trHeight w:val="220"/>
        </w:trPr>
        <w:tc>
          <w:tcPr>
            <w:tcW w:w="2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Income from real property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284,373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251,163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33,210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753,642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689,890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63,752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2220" w:type="dxa"/>
            <w:vAlign w:val="bottom"/>
          </w:tcPr>
          <w:p>
            <w:pPr>
              <w:ind w:left="120"/>
              <w:spacing w:after="0"/>
              <w:rPr>
                <w:sz w:val="20"/>
                <w:szCs w:val="20"/>
                <w:color w:val="auto"/>
              </w:rPr>
            </w:pPr>
            <w:r>
              <w:rPr>
                <w:rFonts w:ascii="Arial" w:cs="Arial" w:eastAsia="Arial" w:hAnsi="Arial"/>
                <w:sz w:val="15"/>
                <w:szCs w:val="15"/>
                <w:color w:val="auto"/>
              </w:rPr>
              <w:t>Property operating expenses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2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Payroll and benefits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27,961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25,425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2,536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70,014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66,393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3,621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2220" w:type="dxa"/>
            <w:vAlign w:val="bottom"/>
          </w:tcPr>
          <w:p>
            <w:pPr>
              <w:ind w:left="320"/>
              <w:spacing w:after="0"/>
              <w:rPr>
                <w:sz w:val="20"/>
                <w:szCs w:val="20"/>
                <w:color w:val="auto"/>
              </w:rPr>
            </w:pPr>
            <w:r>
              <w:rPr>
                <w:rFonts w:ascii="Arial" w:cs="Arial" w:eastAsia="Arial" w:hAnsi="Arial"/>
                <w:sz w:val="15"/>
                <w:szCs w:val="15"/>
                <w:color w:val="auto"/>
              </w:rPr>
              <w:t>Legal, taxes, and insurance</w:t>
            </w:r>
          </w:p>
        </w:tc>
        <w:tc>
          <w:tcPr>
            <w:tcW w:w="10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2,631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2,968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(337)</w:t>
            </w:r>
          </w:p>
        </w:tc>
        <w:tc>
          <w:tcPr>
            <w:tcW w:w="1020" w:type="dxa"/>
            <w:vAlign w:val="bottom"/>
            <w:gridSpan w:val="3"/>
          </w:tcPr>
          <w:p>
            <w:pPr>
              <w:jc w:val="right"/>
              <w:spacing w:after="0"/>
              <w:rPr>
                <w:sz w:val="20"/>
                <w:szCs w:val="20"/>
                <w:color w:val="auto"/>
              </w:rPr>
            </w:pPr>
            <w:r>
              <w:rPr>
                <w:rFonts w:ascii="Arial" w:cs="Arial" w:eastAsia="Arial" w:hAnsi="Arial"/>
                <w:sz w:val="15"/>
                <w:szCs w:val="15"/>
                <w:color w:val="auto"/>
              </w:rPr>
              <w:t>(11.4)%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8,470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7,716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754</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9.8</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2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Utilities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34,723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29,384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5,339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85,030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77,462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7,568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2220" w:type="dxa"/>
            <w:vAlign w:val="bottom"/>
          </w:tcPr>
          <w:p>
            <w:pPr>
              <w:ind w:left="320"/>
              <w:spacing w:after="0"/>
              <w:rPr>
                <w:sz w:val="20"/>
                <w:szCs w:val="20"/>
                <w:color w:val="auto"/>
              </w:rPr>
            </w:pPr>
            <w:r>
              <w:rPr>
                <w:rFonts w:ascii="Arial" w:cs="Arial" w:eastAsia="Arial" w:hAnsi="Arial"/>
                <w:sz w:val="15"/>
                <w:szCs w:val="15"/>
                <w:color w:val="auto"/>
              </w:rPr>
              <w:t>Supplies and repairs</w:t>
            </w:r>
          </w:p>
        </w:tc>
        <w:tc>
          <w:tcPr>
            <w:tcW w:w="10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12,490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10,966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1,524</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13.9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29,094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27,049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2,045</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7.6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22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w:t>
            </w:r>
            <w:r>
              <w:rPr>
                <w:rFonts w:ascii="Arial" w:cs="Arial" w:eastAsia="Arial" w:hAnsi="Arial"/>
                <w:sz w:val="9"/>
                <w:szCs w:val="9"/>
                <w:color w:val="auto"/>
              </w:rPr>
              <w:t>(1)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12,842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10,352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2,490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24.1</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27,300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3,028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22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Real estate taxes</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17,442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15,399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2,043</w:t>
            </w:r>
          </w:p>
        </w:tc>
        <w:tc>
          <w:tcPr>
            <w:tcW w:w="8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13.3</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52,341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46,455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5,886</w:t>
            </w:r>
          </w:p>
        </w:tc>
        <w:tc>
          <w:tcPr>
            <w:tcW w:w="8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12.7</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r>
      <w:tr>
        <w:trPr>
          <w:trHeight w:val="210"/>
        </w:trPr>
        <w:tc>
          <w:tcPr>
            <w:tcW w:w="2220" w:type="dxa"/>
            <w:vAlign w:val="bottom"/>
            <w:shd w:val="clear" w:color="auto" w:fill="CCEEFF"/>
          </w:tcPr>
          <w:p>
            <w:pPr>
              <w:ind w:left="320"/>
              <w:spacing w:after="0"/>
              <w:rPr>
                <w:sz w:val="20"/>
                <w:szCs w:val="20"/>
                <w:color w:val="auto"/>
              </w:rPr>
            </w:pPr>
            <w:r>
              <w:rPr>
                <w:rFonts w:ascii="Arial" w:cs="Arial" w:eastAsia="Arial" w:hAnsi="Arial"/>
                <w:sz w:val="15"/>
                <w:szCs w:val="15"/>
                <w:color w:val="auto"/>
                <w:w w:val="98"/>
              </w:rPr>
              <w:t>Property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108,089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94,494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13,595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272,249</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249,347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22,902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3"/>
        </w:trPr>
        <w:tc>
          <w:tcPr>
            <w:tcW w:w="2220" w:type="dxa"/>
            <w:vAlign w:val="bottom"/>
          </w:tcPr>
          <w:p>
            <w:pPr>
              <w:ind w:left="120"/>
              <w:spacing w:after="0"/>
              <w:rPr>
                <w:sz w:val="20"/>
                <w:szCs w:val="20"/>
                <w:color w:val="auto"/>
              </w:rPr>
            </w:pPr>
            <w:r>
              <w:rPr>
                <w:rFonts w:ascii="Arial" w:cs="Arial" w:eastAsia="Arial" w:hAnsi="Arial"/>
                <w:sz w:val="15"/>
                <w:szCs w:val="15"/>
                <w:color w:val="auto"/>
              </w:rPr>
              <w:t>Real Property NOI</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176,284</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156,669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19,615</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12.5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481,393</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440,543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40,850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9.3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
        </w:trPr>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89"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9"/>
          <w:szCs w:val="9"/>
          <w:color w:val="auto"/>
        </w:rPr>
      </w:pPr>
      <w:r>
        <w:rPr>
          <w:rFonts w:ascii="Arial" w:cs="Arial" w:eastAsia="Arial" w:hAnsi="Arial"/>
          <w:sz w:val="14"/>
          <w:szCs w:val="14"/>
          <w:color w:val="auto"/>
        </w:rPr>
        <w:t>Includes COVID-19 personal protective equipment expense of $1,280 and $2,375 for the three and nine months ended September 30, 2020, respectively.</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4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7"/>
        </w:trPr>
        <w:tc>
          <w:tcPr>
            <w:tcW w:w="6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2020</w:t>
            </w:r>
          </w:p>
        </w:tc>
        <w:tc>
          <w:tcPr>
            <w:tcW w:w="120" w:type="dxa"/>
            <w:vAlign w:val="bottom"/>
          </w:tcPr>
          <w:p>
            <w:pPr>
              <w:spacing w:after="0"/>
              <w:rPr>
                <w:sz w:val="18"/>
                <w:szCs w:val="18"/>
                <w:color w:val="auto"/>
              </w:rPr>
            </w:pPr>
          </w:p>
        </w:tc>
        <w:tc>
          <w:tcPr>
            <w:tcW w:w="1460" w:type="dxa"/>
            <w:vAlign w:val="bottom"/>
          </w:tcPr>
          <w:p>
            <w:pPr>
              <w:jc w:val="right"/>
              <w:ind w:right="64"/>
              <w:spacing w:after="0"/>
              <w:rPr>
                <w:sz w:val="20"/>
                <w:szCs w:val="20"/>
                <w:color w:val="auto"/>
              </w:rPr>
            </w:pPr>
            <w:r>
              <w:rPr>
                <w:rFonts w:ascii="Arial" w:cs="Arial" w:eastAsia="Arial" w:hAnsi="Arial"/>
                <w:sz w:val="15"/>
                <w:szCs w:val="15"/>
                <w:b w:val="1"/>
                <w:bCs w:val="1"/>
                <w:color w:val="auto"/>
                <w:w w:val="92"/>
              </w:rPr>
              <w:t>September 30, 2019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484"/>
              <w:spacing w:after="0"/>
              <w:rPr>
                <w:sz w:val="20"/>
                <w:szCs w:val="20"/>
                <w:color w:val="auto"/>
              </w:rPr>
            </w:pPr>
            <w:r>
              <w:rPr>
                <w:rFonts w:ascii="Arial" w:cs="Arial" w:eastAsia="Arial" w:hAnsi="Arial"/>
                <w:sz w:val="15"/>
                <w:szCs w:val="15"/>
                <w:b w:val="1"/>
                <w:bCs w:val="1"/>
                <w:color w:val="auto"/>
              </w:rPr>
              <w:t>Change</w:t>
            </w:r>
          </w:p>
        </w:tc>
      </w:tr>
      <w:tr>
        <w:trPr>
          <w:trHeight w:val="198"/>
        </w:trPr>
        <w:tc>
          <w:tcPr>
            <w:tcW w:w="6000" w:type="dxa"/>
            <w:vAlign w:val="bottom"/>
          </w:tcPr>
          <w:p>
            <w:pPr>
              <w:ind w:left="20"/>
              <w:spacing w:after="0"/>
              <w:rPr>
                <w:sz w:val="20"/>
                <w:szCs w:val="20"/>
                <w:color w:val="auto"/>
              </w:rPr>
            </w:pPr>
            <w:r>
              <w:rPr>
                <w:rFonts w:ascii="Arial" w:cs="Arial" w:eastAsia="Arial" w:hAnsi="Arial"/>
                <w:sz w:val="15"/>
                <w:szCs w:val="15"/>
                <w:b w:val="1"/>
                <w:bCs w:val="1"/>
                <w:color w:val="auto"/>
              </w:rPr>
              <w:t>Other Information</w:t>
            </w: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20"/>
        </w:trPr>
        <w:tc>
          <w:tcPr>
            <w:tcW w:w="6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Number of properties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389</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43</w:t>
            </w:r>
          </w:p>
        </w:tc>
      </w:tr>
      <w:tr>
        <w:trPr>
          <w:trHeight w:val="203"/>
        </w:trPr>
        <w:tc>
          <w:tcPr>
            <w:tcW w:w="6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MH occupancy</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96.4 %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2"/>
        </w:trPr>
        <w:tc>
          <w:tcPr>
            <w:tcW w:w="6000" w:type="dxa"/>
            <w:vAlign w:val="bottom"/>
          </w:tcPr>
          <w:p>
            <w:pPr>
              <w:ind w:left="120"/>
              <w:spacing w:after="0"/>
              <w:rPr>
                <w:sz w:val="20"/>
                <w:szCs w:val="20"/>
                <w:color w:val="auto"/>
              </w:rPr>
            </w:pPr>
            <w:r>
              <w:rPr>
                <w:rFonts w:ascii="Arial" w:cs="Arial" w:eastAsia="Arial" w:hAnsi="Arial"/>
                <w:sz w:val="15"/>
                <w:szCs w:val="15"/>
                <w:color w:val="auto"/>
              </w:rPr>
              <w:t>RV occupancy</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100.0 %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0"/>
        </w:trPr>
        <w:tc>
          <w:tcPr>
            <w:tcW w:w="6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 xml:space="preserve">MH &amp; RV blended occupancy </w:t>
            </w:r>
            <w:r>
              <w:rPr>
                <w:rFonts w:ascii="Arial" w:cs="Arial" w:eastAsia="Arial" w:hAnsi="Arial"/>
                <w:sz w:val="9"/>
                <w:szCs w:val="9"/>
                <w:color w:val="auto"/>
              </w:rPr>
              <w:t>(1)</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96.7 %</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0.5 %</w:t>
            </w:r>
          </w:p>
        </w:tc>
      </w:tr>
      <w:tr>
        <w:trPr>
          <w:trHeight w:val="216"/>
        </w:trPr>
        <w:tc>
          <w:tcPr>
            <w:tcW w:w="6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Sites available for development</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10,130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10,557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(427)</w:t>
            </w:r>
          </w:p>
        </w:tc>
      </w:tr>
      <w:tr>
        <w:trPr>
          <w:trHeight w:val="216"/>
        </w:trPr>
        <w:tc>
          <w:tcPr>
            <w:tcW w:w="6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Monthly base rent per site - MH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574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12</w:t>
            </w:r>
          </w:p>
        </w:tc>
      </w:tr>
      <w:tr>
        <w:trPr>
          <w:trHeight w:val="212"/>
        </w:trPr>
        <w:tc>
          <w:tcPr>
            <w:tcW w:w="6000" w:type="dxa"/>
            <w:vAlign w:val="bottom"/>
          </w:tcPr>
          <w:p>
            <w:pPr>
              <w:ind w:left="140"/>
              <w:spacing w:after="0"/>
              <w:rPr>
                <w:sz w:val="20"/>
                <w:szCs w:val="20"/>
                <w:color w:val="auto"/>
              </w:rPr>
            </w:pPr>
            <w:r>
              <w:rPr>
                <w:rFonts w:ascii="Arial" w:cs="Arial" w:eastAsia="Arial" w:hAnsi="Arial"/>
                <w:sz w:val="15"/>
                <w:szCs w:val="15"/>
                <w:color w:val="auto"/>
              </w:rPr>
              <w:t xml:space="preserve">Monthly base rent per site - RV </w:t>
            </w:r>
            <w:r>
              <w:rPr>
                <w:rFonts w:ascii="Arial" w:cs="Arial" w:eastAsia="Arial" w:hAnsi="Arial"/>
                <w:sz w:val="9"/>
                <w:szCs w:val="9"/>
                <w:color w:val="auto"/>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444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104"/>
              <w:spacing w:after="0"/>
              <w:rPr>
                <w:sz w:val="20"/>
                <w:szCs w:val="20"/>
                <w:color w:val="auto"/>
              </w:rPr>
            </w:pPr>
            <w:r>
              <w:rPr>
                <w:rFonts w:ascii="Arial" w:cs="Arial" w:eastAsia="Arial" w:hAnsi="Arial"/>
                <w:sz w:val="15"/>
                <w:szCs w:val="15"/>
                <w:color w:val="auto"/>
              </w:rPr>
              <w:t>421</w:t>
            </w:r>
          </w:p>
        </w:tc>
        <w:tc>
          <w:tcPr>
            <w:tcW w:w="280" w:type="dxa"/>
            <w:vAlign w:val="bottom"/>
          </w:tcPr>
          <w:p>
            <w:pPr>
              <w:jc w:val="right"/>
              <w:ind w:right="90"/>
              <w:spacing w:after="0"/>
              <w:rPr>
                <w:sz w:val="20"/>
                <w:szCs w:val="20"/>
                <w:color w:val="auto"/>
              </w:rPr>
            </w:pPr>
            <w:r>
              <w:rPr>
                <w:rFonts w:ascii="Arial" w:cs="Arial" w:eastAsia="Arial" w:hAnsi="Arial"/>
                <w:sz w:val="10"/>
                <w:szCs w:val="10"/>
                <w:color w:val="auto"/>
                <w:w w:val="97"/>
              </w:rPr>
              <w:t>(3)</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24"/>
              <w:spacing w:after="0"/>
              <w:rPr>
                <w:sz w:val="20"/>
                <w:szCs w:val="20"/>
                <w:color w:val="auto"/>
              </w:rPr>
            </w:pPr>
            <w:r>
              <w:rPr>
                <w:rFonts w:ascii="Arial" w:cs="Arial" w:eastAsia="Arial" w:hAnsi="Arial"/>
                <w:sz w:val="15"/>
                <w:szCs w:val="15"/>
                <w:color w:val="auto"/>
              </w:rPr>
              <w:t>23</w:t>
            </w:r>
          </w:p>
        </w:tc>
      </w:tr>
      <w:tr>
        <w:trPr>
          <w:trHeight w:val="220"/>
        </w:trPr>
        <w:tc>
          <w:tcPr>
            <w:tcW w:w="6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Monthly base rent per site - 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539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97"/>
              </w:rPr>
              <w:t>(3)</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15</w:t>
            </w:r>
          </w:p>
        </w:tc>
      </w:tr>
    </w:tbl>
    <w:p>
      <w:pPr>
        <w:spacing w:after="0" w:line="89" w:lineRule="exact"/>
        <w:rPr>
          <w:sz w:val="20"/>
          <w:szCs w:val="20"/>
          <w:color w:val="auto"/>
        </w:rPr>
      </w:pPr>
    </w:p>
    <w:p>
      <w:pPr>
        <w:ind w:left="140" w:hanging="132"/>
        <w:spacing w:after="0"/>
        <w:tabs>
          <w:tab w:leader="none" w:pos="140" w:val="left"/>
        </w:tabs>
        <w:numPr>
          <w:ilvl w:val="0"/>
          <w:numId w:val="26"/>
        </w:numPr>
        <w:rPr>
          <w:rFonts w:ascii="Arial" w:cs="Arial" w:eastAsia="Arial" w:hAnsi="Arial"/>
          <w:sz w:val="9"/>
          <w:szCs w:val="9"/>
          <w:color w:val="auto"/>
        </w:rPr>
      </w:pPr>
      <w:r>
        <w:rPr>
          <w:rFonts w:ascii="Arial" w:cs="Arial" w:eastAsia="Arial" w:hAnsi="Arial"/>
          <w:sz w:val="14"/>
          <w:szCs w:val="14"/>
          <w:color w:val="auto"/>
        </w:rPr>
        <w:t>Overall occupancy percentage includes MH and annual RV sites and excludes transient RV sites.</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26"/>
        </w:numPr>
        <w:rPr>
          <w:rFonts w:ascii="Arial" w:cs="Arial" w:eastAsia="Arial" w:hAnsi="Arial"/>
          <w:sz w:val="9"/>
          <w:szCs w:val="9"/>
          <w:color w:val="auto"/>
        </w:rPr>
      </w:pPr>
      <w:r>
        <w:rPr>
          <w:rFonts w:ascii="Arial" w:cs="Arial" w:eastAsia="Arial" w:hAnsi="Arial"/>
          <w:sz w:val="14"/>
          <w:szCs w:val="14"/>
          <w:color w:val="auto"/>
        </w:rPr>
        <w:t>Monthly base rent pertains to annual RV sites and excludes transient RV sites.</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26"/>
        </w:numPr>
        <w:rPr>
          <w:rFonts w:ascii="Arial" w:cs="Arial" w:eastAsia="Arial" w:hAnsi="Arial"/>
          <w:sz w:val="9"/>
          <w:szCs w:val="9"/>
          <w:color w:val="auto"/>
        </w:rPr>
      </w:pPr>
      <w:r>
        <w:rPr>
          <w:rFonts w:ascii="Arial" w:cs="Arial" w:eastAsia="Arial" w:hAnsi="Arial"/>
          <w:sz w:val="14"/>
          <w:szCs w:val="14"/>
          <w:color w:val="auto"/>
        </w:rPr>
        <w:t>Canadian currency figures included within the three and nine months ended September 30, 2020 have been translated at 2020 average exchange rates.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$19.6 million increase in Real Property NOI consists of $8.3 million from Same Communities as detailed below and $11.3 million from recently acquired properties in the three months ended September 30, 2020 as compared to the same period in 2019.</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$40.9 million increase in Real Property NOI consists of $19.6 million from Same Communities as detailed below and $21.3 million from recently acquired properties in the nine months ended September 30, 2020 as compared to the same period in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Same Communities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key management tool used when evaluating performance and growth of our properties is a comparison of our Same Communities. The Same Communities data includes all properties which we have owned and operated continuously since January 1, 2019, exclusive of properties recently completed or under construction, and other properties as determined by management. The Same Community data may change from time-to-time depending on acquisitions, dispositions, management discretion, significant transactions or unique situations. In order to evaluate the growth of the Same Communities, management has classified certain items differently than our GAAP statements. The reclassification difference between our GAAP statements and our Same Community portfolio is the reclassification of water and sewer revenues from income from real property to utilities. A significant portion of our utility charges are re-billed to our residents.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reflect certain financial and other information for our Same Communities as of and for the three and nine months ended September 30, 2020 and 2019 (in thousands, except for statistical information).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404"/>
              <w:spacing w:after="0"/>
              <w:rPr>
                <w:sz w:val="20"/>
                <w:szCs w:val="20"/>
                <w:color w:val="auto"/>
              </w:rPr>
            </w:pPr>
            <w:r>
              <w:rPr>
                <w:rFonts w:ascii="Arial" w:cs="Arial" w:eastAsia="Arial" w:hAnsi="Arial"/>
                <w:sz w:val="15"/>
                <w:szCs w:val="15"/>
                <w:b w:val="1"/>
                <w:bCs w:val="1"/>
                <w:color w:val="auto"/>
                <w:w w:val="98"/>
              </w:rPr>
              <w:t>Three Months Ended</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right"/>
              <w:ind w:right="444"/>
              <w:spacing w:after="0"/>
              <w:rPr>
                <w:sz w:val="20"/>
                <w:szCs w:val="20"/>
                <w:color w:val="auto"/>
              </w:rPr>
            </w:pPr>
            <w:r>
              <w:rPr>
                <w:rFonts w:ascii="Arial" w:cs="Arial" w:eastAsia="Arial" w:hAnsi="Arial"/>
                <w:sz w:val="15"/>
                <w:szCs w:val="15"/>
                <w:b w:val="1"/>
                <w:bCs w:val="1"/>
                <w:color w:val="auto"/>
              </w:rPr>
              <w:t>Nine Months Ended</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169"/>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September 30,</w:t>
            </w:r>
          </w:p>
        </w:tc>
        <w:tc>
          <w:tcPr>
            <w:tcW w:w="100" w:type="dxa"/>
            <w:vAlign w:val="bottom"/>
          </w:tcPr>
          <w:p>
            <w:pPr>
              <w:spacing w:after="0"/>
              <w:rPr>
                <w:sz w:val="14"/>
                <w:szCs w:val="14"/>
                <w:color w:val="auto"/>
              </w:rPr>
            </w:pPr>
          </w:p>
        </w:tc>
        <w:tc>
          <w:tcPr>
            <w:tcW w:w="116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00" w:type="dxa"/>
            <w:vAlign w:val="bottom"/>
          </w:tcPr>
          <w:p>
            <w:pPr>
              <w:spacing w:after="0"/>
              <w:rPr>
                <w:sz w:val="14"/>
                <w:szCs w:val="14"/>
                <w:color w:val="auto"/>
              </w:rPr>
            </w:pPr>
          </w:p>
        </w:tc>
        <w:tc>
          <w:tcPr>
            <w:tcW w:w="118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0"/>
        </w:trPr>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44"/>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64"/>
              <w:spacing w:after="0"/>
              <w:rPr>
                <w:sz w:val="20"/>
                <w:szCs w:val="20"/>
                <w:color w:val="auto"/>
              </w:rPr>
            </w:pPr>
            <w:r>
              <w:rPr>
                <w:rFonts w:ascii="Arial" w:cs="Arial" w:eastAsia="Arial" w:hAnsi="Arial"/>
                <w:sz w:val="15"/>
                <w:szCs w:val="15"/>
                <w:b w:val="1"/>
                <w:bCs w:val="1"/>
                <w:color w:val="auto"/>
                <w:w w:val="94"/>
              </w:rPr>
              <w:t>Change</w:t>
            </w:r>
          </w:p>
        </w:tc>
        <w:tc>
          <w:tcPr>
            <w:tcW w:w="100" w:type="dxa"/>
            <w:vAlign w:val="bottom"/>
          </w:tcPr>
          <w:p>
            <w:pPr>
              <w:spacing w:after="0"/>
              <w:rPr>
                <w:sz w:val="17"/>
                <w:szCs w:val="17"/>
                <w:color w:val="auto"/>
              </w:rPr>
            </w:pPr>
          </w:p>
        </w:tc>
        <w:tc>
          <w:tcPr>
            <w:tcW w:w="1100" w:type="dxa"/>
            <w:vAlign w:val="bottom"/>
            <w:gridSpan w:val="3"/>
          </w:tcPr>
          <w:p>
            <w:pPr>
              <w:ind w:left="100"/>
              <w:spacing w:after="0"/>
              <w:rPr>
                <w:sz w:val="20"/>
                <w:szCs w:val="20"/>
                <w:color w:val="auto"/>
              </w:rPr>
            </w:pPr>
            <w:r>
              <w:rPr>
                <w:rFonts w:ascii="Arial" w:cs="Arial" w:eastAsia="Arial" w:hAnsi="Arial"/>
                <w:sz w:val="15"/>
                <w:szCs w:val="15"/>
                <w:b w:val="1"/>
                <w:bCs w:val="1"/>
                <w:color w:val="auto"/>
              </w:rPr>
              <w:t>% Change</w:t>
            </w:r>
          </w:p>
        </w:tc>
        <w:tc>
          <w:tcPr>
            <w:tcW w:w="100" w:type="dxa"/>
            <w:vAlign w:val="bottom"/>
          </w:tcPr>
          <w:p>
            <w:pPr>
              <w:spacing w:after="0"/>
              <w:rPr>
                <w:sz w:val="17"/>
                <w:szCs w:val="17"/>
                <w:color w:val="auto"/>
              </w:rPr>
            </w:pPr>
          </w:p>
        </w:tc>
        <w:tc>
          <w:tcPr>
            <w:tcW w:w="1060" w:type="dxa"/>
            <w:vAlign w:val="bottom"/>
          </w:tcPr>
          <w:p>
            <w:pPr>
              <w:jc w:val="right"/>
              <w:ind w:right="344"/>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44"/>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84"/>
              <w:spacing w:after="0"/>
              <w:rPr>
                <w:sz w:val="20"/>
                <w:szCs w:val="20"/>
                <w:color w:val="auto"/>
              </w:rPr>
            </w:pPr>
            <w:r>
              <w:rPr>
                <w:rFonts w:ascii="Arial" w:cs="Arial" w:eastAsia="Arial" w:hAnsi="Arial"/>
                <w:sz w:val="15"/>
                <w:szCs w:val="15"/>
                <w:b w:val="1"/>
                <w:bCs w:val="1"/>
                <w:color w:val="auto"/>
                <w:w w:val="90"/>
              </w:rPr>
              <w:t>Change</w:t>
            </w:r>
          </w:p>
        </w:tc>
        <w:tc>
          <w:tcPr>
            <w:tcW w:w="100" w:type="dxa"/>
            <w:vAlign w:val="bottom"/>
          </w:tcPr>
          <w:p>
            <w:pPr>
              <w:spacing w:after="0"/>
              <w:rPr>
                <w:sz w:val="17"/>
                <w:szCs w:val="17"/>
                <w:color w:val="auto"/>
              </w:rPr>
            </w:pPr>
          </w:p>
        </w:tc>
        <w:tc>
          <w:tcPr>
            <w:tcW w:w="920" w:type="dxa"/>
            <w:vAlign w:val="bottom"/>
            <w:gridSpan w:val="2"/>
          </w:tcPr>
          <w:p>
            <w:pPr>
              <w:jc w:val="right"/>
              <w:ind w:right="44"/>
              <w:spacing w:after="0"/>
              <w:rPr>
                <w:sz w:val="20"/>
                <w:szCs w:val="20"/>
                <w:color w:val="auto"/>
              </w:rPr>
            </w:pPr>
            <w:r>
              <w:rPr>
                <w:rFonts w:ascii="Arial" w:cs="Arial" w:eastAsia="Arial" w:hAnsi="Arial"/>
                <w:sz w:val="15"/>
                <w:szCs w:val="15"/>
                <w:b w:val="1"/>
                <w:bCs w:val="1"/>
                <w:color w:val="auto"/>
              </w:rPr>
              <w:t>% Change</w:t>
            </w:r>
          </w:p>
        </w:tc>
      </w:tr>
      <w:tr>
        <w:trPr>
          <w:trHeight w:val="199"/>
        </w:trPr>
        <w:tc>
          <w:tcPr>
            <w:tcW w:w="2320" w:type="dxa"/>
            <w:vAlign w:val="bottom"/>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r>
      <w:tr>
        <w:trPr>
          <w:trHeight w:val="220"/>
        </w:trPr>
        <w:tc>
          <w:tcPr>
            <w:tcW w:w="2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Income from real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243,373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230,983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12,390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661,984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642,809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19,175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2320" w:type="dxa"/>
            <w:vAlign w:val="bottom"/>
          </w:tcPr>
          <w:p>
            <w:pPr>
              <w:ind w:left="120"/>
              <w:spacing w:after="0"/>
              <w:rPr>
                <w:sz w:val="20"/>
                <w:szCs w:val="20"/>
                <w:color w:val="auto"/>
              </w:rPr>
            </w:pPr>
            <w:r>
              <w:rPr>
                <w:rFonts w:ascii="Arial" w:cs="Arial" w:eastAsia="Arial" w:hAnsi="Arial"/>
                <w:sz w:val="15"/>
                <w:szCs w:val="15"/>
                <w:color w:val="auto"/>
              </w:rPr>
              <w:t>Property operating expenses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23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Payroll and benefits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23,720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23,642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60,457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(2,798)</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(4.4)%</w:t>
            </w:r>
          </w:p>
        </w:tc>
      </w:tr>
      <w:tr>
        <w:trPr>
          <w:trHeight w:val="212"/>
        </w:trPr>
        <w:tc>
          <w:tcPr>
            <w:tcW w:w="2320" w:type="dxa"/>
            <w:vAlign w:val="bottom"/>
          </w:tcPr>
          <w:p>
            <w:pPr>
              <w:ind w:left="320"/>
              <w:spacing w:after="0"/>
              <w:rPr>
                <w:sz w:val="20"/>
                <w:szCs w:val="20"/>
                <w:color w:val="auto"/>
              </w:rPr>
            </w:pPr>
            <w:r>
              <w:rPr>
                <w:rFonts w:ascii="Arial" w:cs="Arial" w:eastAsia="Arial" w:hAnsi="Arial"/>
                <w:sz w:val="15"/>
                <w:szCs w:val="15"/>
                <w:color w:val="auto"/>
              </w:rPr>
              <w:t>Legal, taxes, and insurance</w:t>
            </w:r>
          </w:p>
        </w:tc>
        <w:tc>
          <w:tcPr>
            <w:tcW w:w="12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2,385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2,829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(444)</w:t>
            </w:r>
          </w:p>
        </w:tc>
        <w:tc>
          <w:tcPr>
            <w:tcW w:w="980" w:type="dxa"/>
            <w:vAlign w:val="bottom"/>
            <w:gridSpan w:val="3"/>
          </w:tcPr>
          <w:p>
            <w:pPr>
              <w:jc w:val="right"/>
              <w:spacing w:after="0"/>
              <w:rPr>
                <w:sz w:val="20"/>
                <w:szCs w:val="20"/>
                <w:color w:val="auto"/>
              </w:rPr>
            </w:pPr>
            <w:r>
              <w:rPr>
                <w:rFonts w:ascii="Arial" w:cs="Arial" w:eastAsia="Arial" w:hAnsi="Arial"/>
                <w:sz w:val="15"/>
                <w:szCs w:val="15"/>
                <w:color w:val="auto"/>
              </w:rPr>
              <w:t>(15.7)%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7,690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7,432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258</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3.5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23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Utilities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21,269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19,102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2,167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49,814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49,290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2320" w:type="dxa"/>
            <w:vAlign w:val="bottom"/>
          </w:tcPr>
          <w:p>
            <w:pPr>
              <w:ind w:left="320"/>
              <w:spacing w:after="0"/>
              <w:rPr>
                <w:sz w:val="20"/>
                <w:szCs w:val="20"/>
                <w:color w:val="auto"/>
              </w:rPr>
            </w:pPr>
            <w:r>
              <w:rPr>
                <w:rFonts w:ascii="Arial" w:cs="Arial" w:eastAsia="Arial" w:hAnsi="Arial"/>
                <w:sz w:val="15"/>
                <w:szCs w:val="15"/>
                <w:color w:val="auto"/>
              </w:rPr>
              <w:t>Supplies and repairs</w:t>
            </w:r>
          </w:p>
        </w:tc>
        <w:tc>
          <w:tcPr>
            <w:tcW w:w="12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10,920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10,617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303</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2.9</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25,223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26,227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(1,004)</w:t>
            </w:r>
          </w:p>
        </w:tc>
        <w:tc>
          <w:tcPr>
            <w:tcW w:w="1020" w:type="dxa"/>
            <w:vAlign w:val="bottom"/>
            <w:gridSpan w:val="3"/>
          </w:tcPr>
          <w:p>
            <w:pPr>
              <w:jc w:val="right"/>
              <w:spacing w:after="0"/>
              <w:rPr>
                <w:sz w:val="20"/>
                <w:szCs w:val="20"/>
                <w:color w:val="auto"/>
              </w:rPr>
            </w:pPr>
            <w:r>
              <w:rPr>
                <w:rFonts w:ascii="Arial" w:cs="Arial" w:eastAsia="Arial" w:hAnsi="Arial"/>
                <w:sz w:val="15"/>
                <w:szCs w:val="15"/>
                <w:color w:val="auto"/>
              </w:rPr>
              <w:t>(3.8)%</w:t>
            </w:r>
          </w:p>
        </w:tc>
      </w:tr>
      <w:tr>
        <w:trPr>
          <w:trHeight w:val="220"/>
        </w:trPr>
        <w:tc>
          <w:tcPr>
            <w:tcW w:w="23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 xml:space="preserve">Other </w:t>
            </w:r>
            <w:r>
              <w:rPr>
                <w:rFonts w:ascii="Arial" w:cs="Arial" w:eastAsia="Arial" w:hAnsi="Arial"/>
                <w:sz w:val="9"/>
                <w:szCs w:val="9"/>
                <w:color w:val="auto"/>
              </w:rPr>
              <w:t>(1)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9,774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8,626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1,148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21,607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23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Real estate taxes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15,937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15,066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871</w:t>
            </w:r>
          </w:p>
        </w:tc>
        <w:tc>
          <w:tcPr>
            <w:tcW w:w="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5.8</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47,920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45,610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2,310</w:t>
            </w:r>
          </w:p>
        </w:tc>
        <w:tc>
          <w:tcPr>
            <w:tcW w:w="8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5.1</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23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Property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84,005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79,882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4,123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212,711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213,090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(0.2)%</w:t>
            </w:r>
          </w:p>
        </w:tc>
      </w:tr>
      <w:tr>
        <w:trPr>
          <w:trHeight w:val="214"/>
        </w:trPr>
        <w:tc>
          <w:tcPr>
            <w:tcW w:w="2320" w:type="dxa"/>
            <w:vAlign w:val="bottom"/>
          </w:tcPr>
          <w:p>
            <w:pPr>
              <w:ind w:left="120"/>
              <w:spacing w:after="0"/>
              <w:rPr>
                <w:sz w:val="20"/>
                <w:szCs w:val="20"/>
                <w:color w:val="auto"/>
              </w:rPr>
            </w:pPr>
            <w:r>
              <w:rPr>
                <w:rFonts w:ascii="Arial" w:cs="Arial" w:eastAsia="Arial" w:hAnsi="Arial"/>
                <w:sz w:val="15"/>
                <w:szCs w:val="15"/>
                <w:color w:val="auto"/>
              </w:rPr>
              <w:t>Real Property NOI</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159,368</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151,101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8,267</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5.5</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449,273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429,719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19,554</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4.6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89"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9"/>
          <w:szCs w:val="9"/>
          <w:color w:val="auto"/>
        </w:rPr>
      </w:pPr>
      <w:r>
        <w:rPr>
          <w:rFonts w:ascii="Arial" w:cs="Arial" w:eastAsia="Arial" w:hAnsi="Arial"/>
          <w:sz w:val="14"/>
          <w:szCs w:val="14"/>
          <w:color w:val="auto"/>
        </w:rPr>
        <w:t>Includes COVID-19 personal protective equipment expense of $1,130 and $2,065 for the three and nine months ended September 30, 2020, respectively.</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7"/>
        </w:trPr>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2020</w:t>
            </w:r>
          </w:p>
        </w:tc>
        <w:tc>
          <w:tcPr>
            <w:tcW w:w="14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2019</w:t>
            </w:r>
          </w:p>
        </w:tc>
        <w:tc>
          <w:tcPr>
            <w:tcW w:w="340" w:type="dxa"/>
            <w:vAlign w:val="bottom"/>
          </w:tcPr>
          <w:p>
            <w:pPr>
              <w:spacing w:after="0"/>
              <w:rPr>
                <w:sz w:val="18"/>
                <w:szCs w:val="18"/>
                <w:color w:val="auto"/>
              </w:rPr>
            </w:pPr>
          </w:p>
        </w:tc>
        <w:tc>
          <w:tcPr>
            <w:tcW w:w="1300" w:type="dxa"/>
            <w:vAlign w:val="bottom"/>
          </w:tcPr>
          <w:p>
            <w:pPr>
              <w:jc w:val="right"/>
              <w:ind w:right="484"/>
              <w:spacing w:after="0"/>
              <w:rPr>
                <w:sz w:val="20"/>
                <w:szCs w:val="20"/>
                <w:color w:val="auto"/>
              </w:rPr>
            </w:pPr>
            <w:r>
              <w:rPr>
                <w:rFonts w:ascii="Arial" w:cs="Arial" w:eastAsia="Arial" w:hAnsi="Arial"/>
                <w:sz w:val="15"/>
                <w:szCs w:val="15"/>
                <w:b w:val="1"/>
                <w:bCs w:val="1"/>
                <w:color w:val="auto"/>
              </w:rPr>
              <w:t>Change</w:t>
            </w:r>
          </w:p>
        </w:tc>
      </w:tr>
      <w:tr>
        <w:trPr>
          <w:trHeight w:val="198"/>
        </w:trPr>
        <w:tc>
          <w:tcPr>
            <w:tcW w:w="6100" w:type="dxa"/>
            <w:vAlign w:val="bottom"/>
          </w:tcPr>
          <w:p>
            <w:pPr>
              <w:ind w:left="20"/>
              <w:spacing w:after="0"/>
              <w:rPr>
                <w:sz w:val="20"/>
                <w:szCs w:val="20"/>
                <w:color w:val="auto"/>
              </w:rPr>
            </w:pPr>
            <w:r>
              <w:rPr>
                <w:rFonts w:ascii="Arial" w:cs="Arial" w:eastAsia="Arial" w:hAnsi="Arial"/>
                <w:sz w:val="15"/>
                <w:szCs w:val="15"/>
                <w:b w:val="1"/>
                <w:bCs w:val="1"/>
                <w:color w:val="auto"/>
              </w:rPr>
              <w:t>Other Information</w:t>
            </w: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20"/>
        </w:trPr>
        <w:tc>
          <w:tcPr>
            <w:tcW w:w="6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Number of properties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r>
      <w:tr>
        <w:trPr>
          <w:trHeight w:val="162"/>
        </w:trPr>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6"/>
        </w:trPr>
        <w:tc>
          <w:tcPr>
            <w:tcW w:w="6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MH occupancy</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2"/>
        </w:trPr>
        <w:tc>
          <w:tcPr>
            <w:tcW w:w="6100" w:type="dxa"/>
            <w:vAlign w:val="bottom"/>
          </w:tcPr>
          <w:p>
            <w:pPr>
              <w:ind w:left="120"/>
              <w:spacing w:after="0"/>
              <w:rPr>
                <w:sz w:val="20"/>
                <w:szCs w:val="20"/>
                <w:color w:val="auto"/>
              </w:rPr>
            </w:pPr>
            <w:r>
              <w:rPr>
                <w:rFonts w:ascii="Arial" w:cs="Arial" w:eastAsia="Arial" w:hAnsi="Arial"/>
                <w:sz w:val="15"/>
                <w:szCs w:val="15"/>
                <w:color w:val="auto"/>
              </w:rPr>
              <w:t>RV occupancy</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100.0 %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0"/>
        </w:trPr>
        <w:tc>
          <w:tcPr>
            <w:tcW w:w="6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 xml:space="preserve">MH &amp; RV blended occupancy </w:t>
            </w:r>
            <w:r>
              <w:rPr>
                <w:rFonts w:ascii="Arial" w:cs="Arial" w:eastAsia="Arial" w:hAnsi="Arial"/>
                <w:sz w:val="9"/>
                <w:szCs w:val="9"/>
                <w:color w:val="auto"/>
              </w:rPr>
              <w:t>(1)</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162"/>
        </w:trPr>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6"/>
        </w:trPr>
        <w:tc>
          <w:tcPr>
            <w:tcW w:w="6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 xml:space="preserve">Adjusted MH occupancy </w:t>
            </w:r>
            <w:r>
              <w:rPr>
                <w:rFonts w:ascii="Arial" w:cs="Arial" w:eastAsia="Arial" w:hAnsi="Arial"/>
                <w:sz w:val="9"/>
                <w:szCs w:val="9"/>
                <w:color w:val="auto"/>
              </w:rPr>
              <w:t>(2)</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2"/>
        </w:trPr>
        <w:tc>
          <w:tcPr>
            <w:tcW w:w="6100" w:type="dxa"/>
            <w:vAlign w:val="bottom"/>
          </w:tcPr>
          <w:p>
            <w:pPr>
              <w:ind w:left="180"/>
              <w:spacing w:after="0"/>
              <w:rPr>
                <w:sz w:val="20"/>
                <w:szCs w:val="20"/>
                <w:color w:val="auto"/>
              </w:rPr>
            </w:pPr>
            <w:r>
              <w:rPr>
                <w:rFonts w:ascii="Arial" w:cs="Arial" w:eastAsia="Arial" w:hAnsi="Arial"/>
                <w:sz w:val="15"/>
                <w:szCs w:val="15"/>
                <w:color w:val="auto"/>
              </w:rPr>
              <w:t xml:space="preserve">RV occupancy </w:t>
            </w:r>
            <w:r>
              <w:rPr>
                <w:rFonts w:ascii="Arial" w:cs="Arial" w:eastAsia="Arial" w:hAnsi="Arial"/>
                <w:sz w:val="9"/>
                <w:szCs w:val="9"/>
                <w:color w:val="auto"/>
              </w:rPr>
              <w:t>(2)</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100.0 %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0"/>
        </w:trPr>
        <w:tc>
          <w:tcPr>
            <w:tcW w:w="61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 xml:space="preserve">Adjusted MH &amp; RV blended occupancy </w:t>
            </w:r>
            <w:r>
              <w:rPr>
                <w:rFonts w:ascii="Arial" w:cs="Arial" w:eastAsia="Arial" w:hAnsi="Arial"/>
                <w:sz w:val="9"/>
                <w:szCs w:val="9"/>
                <w:color w:val="auto"/>
              </w:rPr>
              <w:t>(1) (2)</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2.0 %</w:t>
            </w:r>
          </w:p>
        </w:tc>
      </w:tr>
      <w:tr>
        <w:trPr>
          <w:trHeight w:val="162"/>
        </w:trPr>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6"/>
        </w:trPr>
        <w:tc>
          <w:tcPr>
            <w:tcW w:w="6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Monthly base rent per site - MH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18</w:t>
            </w:r>
          </w:p>
        </w:tc>
      </w:tr>
      <w:tr>
        <w:trPr>
          <w:trHeight w:val="212"/>
        </w:trPr>
        <w:tc>
          <w:tcPr>
            <w:tcW w:w="6100" w:type="dxa"/>
            <w:vAlign w:val="bottom"/>
          </w:tcPr>
          <w:p>
            <w:pPr>
              <w:ind w:left="140"/>
              <w:spacing w:after="0"/>
              <w:rPr>
                <w:sz w:val="20"/>
                <w:szCs w:val="20"/>
                <w:color w:val="auto"/>
              </w:rPr>
            </w:pPr>
            <w:r>
              <w:rPr>
                <w:rFonts w:ascii="Arial" w:cs="Arial" w:eastAsia="Arial" w:hAnsi="Arial"/>
                <w:sz w:val="15"/>
                <w:szCs w:val="15"/>
                <w:color w:val="auto"/>
              </w:rPr>
              <w:t xml:space="preserve">Monthly base rent per site - RV </w:t>
            </w:r>
            <w:r>
              <w:rPr>
                <w:rFonts w:ascii="Arial" w:cs="Arial" w:eastAsia="Arial" w:hAnsi="Arial"/>
                <w:sz w:val="9"/>
                <w:szCs w:val="9"/>
                <w:color w:val="auto"/>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444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124"/>
              <w:spacing w:after="0"/>
              <w:rPr>
                <w:sz w:val="20"/>
                <w:szCs w:val="20"/>
                <w:color w:val="auto"/>
              </w:rPr>
            </w:pPr>
            <w:r>
              <w:rPr>
                <w:rFonts w:ascii="Arial" w:cs="Arial" w:eastAsia="Arial" w:hAnsi="Arial"/>
                <w:sz w:val="15"/>
                <w:szCs w:val="15"/>
                <w:color w:val="auto"/>
              </w:rPr>
              <w:t>420</w:t>
            </w:r>
          </w:p>
        </w:tc>
        <w:tc>
          <w:tcPr>
            <w:tcW w:w="100" w:type="dxa"/>
            <w:vAlign w:val="bottom"/>
          </w:tcPr>
          <w:p>
            <w:pPr>
              <w:spacing w:after="0"/>
              <w:rPr>
                <w:sz w:val="18"/>
                <w:szCs w:val="18"/>
                <w:color w:val="auto"/>
              </w:rPr>
            </w:pP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24"/>
              <w:spacing w:after="0"/>
              <w:rPr>
                <w:sz w:val="20"/>
                <w:szCs w:val="20"/>
                <w:color w:val="auto"/>
              </w:rPr>
            </w:pPr>
            <w:r>
              <w:rPr>
                <w:rFonts w:ascii="Arial" w:cs="Arial" w:eastAsia="Arial" w:hAnsi="Arial"/>
                <w:sz w:val="15"/>
                <w:szCs w:val="15"/>
                <w:color w:val="auto"/>
              </w:rPr>
              <w:t>24</w:t>
            </w:r>
          </w:p>
        </w:tc>
      </w:tr>
      <w:tr>
        <w:trPr>
          <w:trHeight w:val="220"/>
        </w:trPr>
        <w:tc>
          <w:tcPr>
            <w:tcW w:w="6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Monthly base rent per site - 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20</w:t>
            </w:r>
          </w:p>
        </w:tc>
      </w:tr>
    </w:tbl>
    <w:p>
      <w:pPr>
        <w:spacing w:after="0" w:line="89" w:lineRule="exact"/>
        <w:rPr>
          <w:sz w:val="20"/>
          <w:szCs w:val="20"/>
          <w:color w:val="auto"/>
        </w:rPr>
      </w:pPr>
    </w:p>
    <w:p>
      <w:pPr>
        <w:ind w:left="260" w:hanging="252"/>
        <w:spacing w:after="0" w:line="250" w:lineRule="auto"/>
        <w:tabs>
          <w:tab w:leader="none" w:pos="149" w:val="left"/>
        </w:tabs>
        <w:numPr>
          <w:ilvl w:val="0"/>
          <w:numId w:val="28"/>
        </w:numPr>
        <w:rPr>
          <w:rFonts w:ascii="Arial" w:cs="Arial" w:eastAsia="Arial" w:hAnsi="Arial"/>
          <w:sz w:val="9"/>
          <w:szCs w:val="9"/>
          <w:color w:val="auto"/>
        </w:rPr>
      </w:pPr>
      <w:r>
        <w:rPr>
          <w:rFonts w:ascii="Arial" w:cs="Arial" w:eastAsia="Arial" w:hAnsi="Arial"/>
          <w:sz w:val="14"/>
          <w:szCs w:val="14"/>
          <w:color w:val="auto"/>
        </w:rPr>
        <w:t>The occupancy percentage for 2019 has been adjusted to reflect incremental growth period-over-period from filled MH expansion sites and the conversion of transient RV sites to annual RV sites.</w:t>
      </w:r>
    </w:p>
    <w:p>
      <w:pPr>
        <w:ind w:left="140" w:hanging="132"/>
        <w:spacing w:after="0"/>
        <w:tabs>
          <w:tab w:leader="none" w:pos="140" w:val="left"/>
        </w:tabs>
        <w:numPr>
          <w:ilvl w:val="0"/>
          <w:numId w:val="28"/>
        </w:numPr>
        <w:rPr>
          <w:rFonts w:ascii="Arial" w:cs="Arial" w:eastAsia="Arial" w:hAnsi="Arial"/>
          <w:sz w:val="9"/>
          <w:szCs w:val="9"/>
          <w:color w:val="auto"/>
        </w:rPr>
      </w:pPr>
      <w:r>
        <w:rPr>
          <w:rFonts w:ascii="Arial" w:cs="Arial" w:eastAsia="Arial" w:hAnsi="Arial"/>
          <w:sz w:val="14"/>
          <w:szCs w:val="14"/>
          <w:color w:val="auto"/>
        </w:rPr>
        <w:t>The adjusted occupancy percentage includes MH and annual RV sites and excludes recently completed but vacant expansion sites and transient RV sites.</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28"/>
        </w:numPr>
        <w:rPr>
          <w:rFonts w:ascii="Arial" w:cs="Arial" w:eastAsia="Arial" w:hAnsi="Arial"/>
          <w:sz w:val="9"/>
          <w:szCs w:val="9"/>
          <w:color w:val="auto"/>
        </w:rPr>
      </w:pPr>
      <w:r>
        <w:rPr>
          <w:rFonts w:ascii="Arial" w:cs="Arial" w:eastAsia="Arial" w:hAnsi="Arial"/>
          <w:sz w:val="14"/>
          <w:szCs w:val="14"/>
          <w:color w:val="auto"/>
        </w:rPr>
        <w:t>Monthly base rent pertains to annual RV sites and excludes transient RV sites.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amounts in the table above reflect constant currency for comparative purposes. Canadian currency figures included within the three and nine months ended September 30, 2019 have been translated at 2020 average exchange rates. We have reclassified water and sewer revenues of $10.1 million and $8.9 million for the three months ended September 30, 2020 and 2019, and $28.4 million and $25.8 million for the nine months ended September 30, 2020 and 2019, respectively, to reflect the utility expenses associated with our Same Community portfolio net of recovery.</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September 30, 2020 and 2019, the $8.3 million, or 5.5 percent growth in NOI is primarily due to an increase in Income from real property of $12.4 million, or 5.4 percent, partially offset by an increase in Property operating expenses of $4.1 million, or 5.2 percent. Income from real property increased due to a 3.6 percent increase in total monthly base rent per site when compared to the same period in 2019, and a 2.0 percent increase in occupancy. The increase in Property operating expenses was primarily attributable to increases in utilities, real estate taxes and COVID-19 personal protective equipment expense.</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nine months ended September 30, 2020 and 2019, the $19.6 million or 4.6 percent growth in NOI is primarily due to an increase in Income from real property of $19.2 million, or 3.0 percent, and a $0.4 million, or 0.2 percent, decrease in Property operating expenses. Income from real property increased due to a 3.6 percent increase in total monthly base rent per site when compared to the same period in 2019, and a 2.0 percent increase in occupancy. The decrease in Property operating expenses was primarily attributable to decreases in payroll and benefits and supplies and repair costs, all of which were impacted by COVID-19 business operation restrictions, partially offset by increases in real estate taxes.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Sales Summary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purchase new homes and acquire pre-owned and repossessed manufactured homes, generally located within our communities, from lenders, dealers, and former residents to sell or lease to current and prospective residents.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certain financial and statistical information for our Home Sales Program for the three and nine months ended September 30, 2020 and 2019 (in thousands, except for average selling prices and statistical information):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5"/>
                <w:szCs w:val="15"/>
                <w:b w:val="1"/>
                <w:bCs w:val="1"/>
                <w:color w:val="auto"/>
                <w:w w:val="99"/>
              </w:rPr>
              <w:t>Three Months Ended</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584"/>
              <w:spacing w:after="0"/>
              <w:rPr>
                <w:sz w:val="20"/>
                <w:szCs w:val="20"/>
                <w:color w:val="auto"/>
              </w:rPr>
            </w:pPr>
            <w:r>
              <w:rPr>
                <w:rFonts w:ascii="Arial" w:cs="Arial" w:eastAsia="Arial" w:hAnsi="Arial"/>
                <w:sz w:val="15"/>
                <w:szCs w:val="15"/>
                <w:b w:val="1"/>
                <w:bCs w:val="1"/>
                <w:color w:val="auto"/>
              </w:rPr>
              <w:t>Nine Months Ended</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120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122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8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64"/>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04"/>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5"/>
                <w:szCs w:val="15"/>
                <w:b w:val="1"/>
                <w:bCs w:val="1"/>
                <w:color w:val="auto"/>
              </w:rPr>
              <w:t>% Change</w:t>
            </w:r>
          </w:p>
        </w:tc>
        <w:tc>
          <w:tcPr>
            <w:tcW w:w="100" w:type="dxa"/>
            <w:vAlign w:val="bottom"/>
          </w:tcPr>
          <w:p>
            <w:pPr>
              <w:spacing w:after="0"/>
              <w:rPr>
                <w:sz w:val="17"/>
                <w:szCs w:val="17"/>
                <w:color w:val="auto"/>
              </w:rPr>
            </w:pPr>
          </w:p>
        </w:tc>
        <w:tc>
          <w:tcPr>
            <w:tcW w:w="1100" w:type="dxa"/>
            <w:vAlign w:val="bottom"/>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84"/>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24"/>
              <w:spacing w:after="0"/>
              <w:rPr>
                <w:sz w:val="20"/>
                <w:szCs w:val="20"/>
                <w:color w:val="auto"/>
              </w:rPr>
            </w:pPr>
            <w:r>
              <w:rPr>
                <w:rFonts w:ascii="Arial" w:cs="Arial" w:eastAsia="Arial" w:hAnsi="Arial"/>
                <w:sz w:val="15"/>
                <w:szCs w:val="15"/>
                <w:b w:val="1"/>
                <w:bCs w:val="1"/>
                <w:color w:val="auto"/>
                <w:w w:val="98"/>
              </w:rPr>
              <w:t>Change</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w w:val="99"/>
              </w:rPr>
              <w:t>% Change</w:t>
            </w:r>
          </w:p>
        </w:tc>
        <w:tc>
          <w:tcPr>
            <w:tcW w:w="0" w:type="dxa"/>
            <w:vAlign w:val="bottom"/>
          </w:tcPr>
          <w:p>
            <w:pPr>
              <w:spacing w:after="0"/>
              <w:rPr>
                <w:sz w:val="1"/>
                <w:szCs w:val="1"/>
                <w:color w:val="auto"/>
              </w:rPr>
            </w:pPr>
          </w:p>
        </w:tc>
      </w:tr>
      <w:tr>
        <w:trPr>
          <w:trHeight w:val="198"/>
        </w:trPr>
        <w:tc>
          <w:tcPr>
            <w:tcW w:w="2200" w:type="dxa"/>
            <w:vAlign w:val="bottom"/>
            <w:gridSpan w:val="5"/>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89"/>
              </w:rPr>
              <w:t>New Homes</w:t>
            </w:r>
          </w:p>
        </w:tc>
        <w:tc>
          <w:tcPr>
            <w:tcW w:w="130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0" w:type="dxa"/>
            <w:vAlign w:val="bottom"/>
          </w:tcPr>
          <w:p>
            <w:pPr>
              <w:spacing w:after="0"/>
              <w:rPr>
                <w:sz w:val="18"/>
                <w:szCs w:val="18"/>
                <w:color w:val="auto"/>
              </w:rPr>
            </w:pPr>
          </w:p>
        </w:tc>
        <w:tc>
          <w:tcPr>
            <w:tcW w:w="2080" w:type="dxa"/>
            <w:vAlign w:val="bottom"/>
            <w:gridSpan w:val="4"/>
          </w:tcPr>
          <w:p>
            <w:pPr>
              <w:ind w:left="200"/>
              <w:spacing w:after="0"/>
              <w:rPr>
                <w:sz w:val="20"/>
                <w:szCs w:val="20"/>
                <w:color w:val="auto"/>
              </w:rPr>
            </w:pPr>
            <w:r>
              <w:rPr>
                <w:rFonts w:ascii="Arial" w:cs="Arial" w:eastAsia="Arial" w:hAnsi="Arial"/>
                <w:sz w:val="15"/>
                <w:szCs w:val="15"/>
                <w:color w:val="auto"/>
              </w:rPr>
              <w:t>New home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23,734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19,775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24"/>
              <w:spacing w:after="0"/>
              <w:rPr>
                <w:sz w:val="20"/>
                <w:szCs w:val="20"/>
                <w:color w:val="auto"/>
              </w:rPr>
            </w:pPr>
            <w:r>
              <w:rPr>
                <w:rFonts w:ascii="Arial" w:cs="Arial" w:eastAsia="Arial" w:hAnsi="Arial"/>
                <w:sz w:val="15"/>
                <w:szCs w:val="15"/>
                <w:color w:val="auto"/>
              </w:rPr>
              <w:t>3,959</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20.0 %</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58,536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51,860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6,676</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12.9 %</w:t>
            </w:r>
          </w:p>
        </w:tc>
        <w:tc>
          <w:tcPr>
            <w:tcW w:w="0" w:type="dxa"/>
            <w:vAlign w:val="bottom"/>
          </w:tcPr>
          <w:p>
            <w:pPr>
              <w:spacing w:after="0"/>
              <w:rPr>
                <w:sz w:val="1"/>
                <w:szCs w:val="1"/>
                <w:color w:val="auto"/>
              </w:rPr>
            </w:pPr>
          </w:p>
        </w:tc>
      </w:tr>
      <w:tr>
        <w:trPr>
          <w:trHeight w:val="220"/>
        </w:trPr>
        <w:tc>
          <w:tcPr>
            <w:tcW w:w="120" w:type="dxa"/>
            <w:vAlign w:val="bottom"/>
            <w:shd w:val="clear" w:color="auto" w:fill="CCEEFF"/>
          </w:tcPr>
          <w:p>
            <w:pPr>
              <w:spacing w:after="0"/>
              <w:rPr>
                <w:sz w:val="19"/>
                <w:szCs w:val="19"/>
                <w:color w:val="auto"/>
              </w:rPr>
            </w:pPr>
          </w:p>
        </w:tc>
        <w:tc>
          <w:tcPr>
            <w:tcW w:w="208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New home cost of sales</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19,294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16,761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2,533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15.1 %</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47,611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44,740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2,871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6.4 %</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80" w:type="dxa"/>
            <w:vAlign w:val="bottom"/>
            <w:gridSpan w:val="4"/>
          </w:tcPr>
          <w:p>
            <w:pPr>
              <w:ind w:left="200"/>
              <w:spacing w:after="0" w:line="156" w:lineRule="exact"/>
              <w:rPr>
                <w:sz w:val="20"/>
                <w:szCs w:val="20"/>
                <w:color w:val="auto"/>
              </w:rPr>
            </w:pPr>
            <w:r>
              <w:rPr>
                <w:rFonts w:ascii="Arial" w:cs="Arial" w:eastAsia="Arial" w:hAnsi="Arial"/>
                <w:sz w:val="15"/>
                <w:szCs w:val="15"/>
                <w:color w:val="auto"/>
              </w:rPr>
              <w:t>NOI / Gross Profit – new</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2080" w:type="dxa"/>
            <w:vAlign w:val="bottom"/>
            <w:gridSpan w:val="4"/>
          </w:tcPr>
          <w:p>
            <w:pPr>
              <w:ind w:left="200"/>
              <w:spacing w:after="0"/>
              <w:rPr>
                <w:sz w:val="20"/>
                <w:szCs w:val="20"/>
                <w:color w:val="auto"/>
              </w:rPr>
            </w:pPr>
            <w:r>
              <w:rPr>
                <w:rFonts w:ascii="Arial" w:cs="Arial" w:eastAsia="Arial" w:hAnsi="Arial"/>
                <w:sz w:val="15"/>
                <w:szCs w:val="15"/>
                <w:color w:val="auto"/>
              </w:rPr>
              <w:t>homes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4,440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3,014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24"/>
              <w:spacing w:after="0"/>
              <w:rPr>
                <w:sz w:val="20"/>
                <w:szCs w:val="20"/>
                <w:color w:val="auto"/>
              </w:rPr>
            </w:pPr>
            <w:r>
              <w:rPr>
                <w:rFonts w:ascii="Arial" w:cs="Arial" w:eastAsia="Arial" w:hAnsi="Arial"/>
                <w:sz w:val="15"/>
                <w:szCs w:val="15"/>
                <w:color w:val="auto"/>
              </w:rPr>
              <w:t>1,426</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47.3 %</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10,925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7,120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3,805</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53.4 %</w:t>
            </w:r>
          </w:p>
        </w:tc>
        <w:tc>
          <w:tcPr>
            <w:tcW w:w="0" w:type="dxa"/>
            <w:vAlign w:val="bottom"/>
          </w:tcPr>
          <w:p>
            <w:pPr>
              <w:spacing w:after="0"/>
              <w:rPr>
                <w:sz w:val="1"/>
                <w:szCs w:val="1"/>
                <w:color w:val="auto"/>
              </w:rPr>
            </w:pPr>
          </w:p>
        </w:tc>
      </w:tr>
      <w:tr>
        <w:trPr>
          <w:trHeight w:val="220"/>
        </w:trPr>
        <w:tc>
          <w:tcPr>
            <w:tcW w:w="120" w:type="dxa"/>
            <w:vAlign w:val="bottom"/>
            <w:shd w:val="clear" w:color="auto" w:fill="CCEEFF"/>
          </w:tcPr>
          <w:p>
            <w:pPr>
              <w:spacing w:after="0"/>
              <w:rPr>
                <w:sz w:val="19"/>
                <w:szCs w:val="19"/>
                <w:color w:val="auto"/>
              </w:rPr>
            </w:pPr>
          </w:p>
        </w:tc>
        <w:tc>
          <w:tcPr>
            <w:tcW w:w="208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w w:val="92"/>
              </w:rPr>
              <w:t>Gross margin % – new homes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3.5 %</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5.0 %</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2080" w:type="dxa"/>
            <w:vAlign w:val="bottom"/>
            <w:gridSpan w:val="4"/>
          </w:tcPr>
          <w:p>
            <w:pPr>
              <w:ind w:left="200"/>
              <w:spacing w:after="0"/>
              <w:rPr>
                <w:sz w:val="20"/>
                <w:szCs w:val="20"/>
                <w:color w:val="auto"/>
              </w:rPr>
            </w:pPr>
            <w:r>
              <w:rPr>
                <w:rFonts w:ascii="Arial" w:cs="Arial" w:eastAsia="Arial" w:hAnsi="Arial"/>
                <w:sz w:val="15"/>
                <w:szCs w:val="15"/>
                <w:color w:val="auto"/>
              </w:rPr>
              <w:t>Average selling price – new</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2080" w:type="dxa"/>
            <w:vAlign w:val="bottom"/>
            <w:gridSpan w:val="4"/>
          </w:tcPr>
          <w:p>
            <w:pPr>
              <w:ind w:left="200"/>
              <w:spacing w:after="0"/>
              <w:rPr>
                <w:sz w:val="20"/>
                <w:szCs w:val="20"/>
                <w:color w:val="auto"/>
              </w:rPr>
            </w:pPr>
            <w:r>
              <w:rPr>
                <w:rFonts w:ascii="Arial" w:cs="Arial" w:eastAsia="Arial" w:hAnsi="Arial"/>
                <w:sz w:val="15"/>
                <w:szCs w:val="15"/>
                <w:color w:val="auto"/>
              </w:rPr>
              <w:t>homes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153,123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118,413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24"/>
              <w:spacing w:after="0"/>
              <w:rPr>
                <w:sz w:val="20"/>
                <w:szCs w:val="20"/>
                <w:color w:val="auto"/>
              </w:rPr>
            </w:pPr>
            <w:r>
              <w:rPr>
                <w:rFonts w:ascii="Arial" w:cs="Arial" w:eastAsia="Arial" w:hAnsi="Arial"/>
                <w:sz w:val="15"/>
                <w:szCs w:val="15"/>
                <w:color w:val="auto"/>
              </w:rPr>
              <w:t>34,710</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29.3 %</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141,391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120,325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24"/>
              <w:spacing w:after="0"/>
              <w:rPr>
                <w:sz w:val="20"/>
                <w:szCs w:val="20"/>
                <w:color w:val="auto"/>
              </w:rPr>
            </w:pPr>
            <w:r>
              <w:rPr>
                <w:rFonts w:ascii="Arial" w:cs="Arial" w:eastAsia="Arial" w:hAnsi="Arial"/>
                <w:sz w:val="15"/>
                <w:szCs w:val="15"/>
                <w:color w:val="auto"/>
              </w:rPr>
              <w:t>21,066</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17.5 %</w:t>
            </w:r>
          </w:p>
        </w:tc>
        <w:tc>
          <w:tcPr>
            <w:tcW w:w="0" w:type="dxa"/>
            <w:vAlign w:val="bottom"/>
          </w:tcPr>
          <w:p>
            <w:pPr>
              <w:spacing w:after="0"/>
              <w:rPr>
                <w:sz w:val="1"/>
                <w:szCs w:val="1"/>
                <w:color w:val="auto"/>
              </w:rPr>
            </w:pPr>
          </w:p>
        </w:tc>
      </w:tr>
      <w:tr>
        <w:trPr>
          <w:trHeight w:val="207"/>
        </w:trPr>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2080" w:type="dxa"/>
            <w:vAlign w:val="bottom"/>
            <w:gridSpan w:val="4"/>
          </w:tcPr>
          <w:p>
            <w:pPr>
              <w:spacing w:after="0"/>
              <w:rPr>
                <w:sz w:val="20"/>
                <w:szCs w:val="20"/>
                <w:color w:val="auto"/>
              </w:rPr>
            </w:pPr>
            <w:r>
              <w:rPr>
                <w:rFonts w:ascii="Arial" w:cs="Arial" w:eastAsia="Arial" w:hAnsi="Arial"/>
                <w:sz w:val="15"/>
                <w:szCs w:val="15"/>
                <w:b w:val="1"/>
                <w:bCs w:val="1"/>
                <w:color w:val="auto"/>
              </w:rPr>
              <w:t>Pre-owned Homes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208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Pre-owned home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23,928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30,030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(6,102)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68,243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84,805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(16,562)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212"/>
        </w:trPr>
        <w:tc>
          <w:tcPr>
            <w:tcW w:w="120" w:type="dxa"/>
            <w:vAlign w:val="bottom"/>
            <w:tcBorders>
              <w:bottom w:val="single" w:sz="8" w:color="CCEEFF"/>
            </w:tcBorders>
          </w:tcPr>
          <w:p>
            <w:pPr>
              <w:spacing w:after="0"/>
              <w:rPr>
                <w:sz w:val="18"/>
                <w:szCs w:val="18"/>
                <w:color w:val="auto"/>
              </w:rPr>
            </w:pPr>
          </w:p>
        </w:tc>
        <w:tc>
          <w:tcPr>
            <w:tcW w:w="2080" w:type="dxa"/>
            <w:vAlign w:val="bottom"/>
            <w:tcBorders>
              <w:bottom w:val="single" w:sz="8" w:color="CCEEFF"/>
            </w:tcBorders>
            <w:gridSpan w:val="4"/>
          </w:tcPr>
          <w:p>
            <w:pPr>
              <w:ind w:left="200"/>
              <w:spacing w:after="0"/>
              <w:rPr>
                <w:sz w:val="20"/>
                <w:szCs w:val="20"/>
                <w:color w:val="auto"/>
              </w:rPr>
            </w:pPr>
            <w:r>
              <w:rPr>
                <w:rFonts w:ascii="Arial" w:cs="Arial" w:eastAsia="Arial" w:hAnsi="Arial"/>
                <w:sz w:val="15"/>
                <w:szCs w:val="15"/>
                <w:color w:val="auto"/>
                <w:w w:val="92"/>
              </w:rPr>
              <w:t>Pre-owned home cost of sales</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16,943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19,557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(2,614)</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(13.4)%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47,839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55,290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(7,451)</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(13.5)%</w:t>
            </w:r>
          </w:p>
        </w:tc>
        <w:tc>
          <w:tcPr>
            <w:tcW w:w="0" w:type="dxa"/>
            <w:vAlign w:val="bottom"/>
          </w:tcPr>
          <w:p>
            <w:pPr>
              <w:spacing w:after="0"/>
              <w:rPr>
                <w:sz w:val="1"/>
                <w:szCs w:val="1"/>
                <w:color w:val="auto"/>
              </w:rPr>
            </w:pPr>
          </w:p>
        </w:tc>
      </w:tr>
      <w:tr>
        <w:trPr>
          <w:trHeight w:val="160"/>
        </w:trPr>
        <w:tc>
          <w:tcPr>
            <w:tcW w:w="120" w:type="dxa"/>
            <w:vAlign w:val="bottom"/>
            <w:shd w:val="clear" w:color="auto" w:fill="CCEEFF"/>
          </w:tcPr>
          <w:p>
            <w:pPr>
              <w:spacing w:after="0"/>
              <w:rPr>
                <w:sz w:val="13"/>
                <w:szCs w:val="13"/>
                <w:color w:val="auto"/>
              </w:rPr>
            </w:pPr>
          </w:p>
        </w:tc>
        <w:tc>
          <w:tcPr>
            <w:tcW w:w="2080" w:type="dxa"/>
            <w:vAlign w:val="bottom"/>
            <w:gridSpan w:val="4"/>
            <w:shd w:val="clear" w:color="auto" w:fill="CCEEFF"/>
          </w:tcPr>
          <w:p>
            <w:pPr>
              <w:ind w:left="200"/>
              <w:spacing w:after="0" w:line="160" w:lineRule="exact"/>
              <w:rPr>
                <w:sz w:val="20"/>
                <w:szCs w:val="20"/>
                <w:color w:val="auto"/>
              </w:rPr>
            </w:pPr>
            <w:r>
              <w:rPr>
                <w:rFonts w:ascii="Arial" w:cs="Arial" w:eastAsia="Arial" w:hAnsi="Arial"/>
                <w:sz w:val="15"/>
                <w:szCs w:val="15"/>
                <w:color w:val="auto"/>
              </w:rPr>
              <w:t>NOI / Gross Profit – pre-</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20" w:type="dxa"/>
            <w:vAlign w:val="bottom"/>
            <w:shd w:val="clear" w:color="auto" w:fill="CCEEFF"/>
          </w:tcPr>
          <w:p>
            <w:pPr>
              <w:spacing w:after="0"/>
              <w:rPr>
                <w:sz w:val="17"/>
                <w:szCs w:val="17"/>
                <w:color w:val="auto"/>
              </w:rPr>
            </w:pPr>
          </w:p>
        </w:tc>
        <w:tc>
          <w:tcPr>
            <w:tcW w:w="208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owned homes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6,985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10,473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(3,488)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20,404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29,515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(9,111)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(30.9)%</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2080" w:type="dxa"/>
            <w:vAlign w:val="bottom"/>
            <w:gridSpan w:val="4"/>
          </w:tcPr>
          <w:p>
            <w:pPr>
              <w:ind w:left="200"/>
              <w:spacing w:after="0"/>
              <w:rPr>
                <w:sz w:val="20"/>
                <w:szCs w:val="20"/>
                <w:color w:val="auto"/>
              </w:rPr>
            </w:pPr>
            <w:r>
              <w:rPr>
                <w:rFonts w:ascii="Arial" w:cs="Arial" w:eastAsia="Arial" w:hAnsi="Arial"/>
                <w:sz w:val="15"/>
                <w:szCs w:val="15"/>
                <w:color w:val="auto"/>
                <w:w w:val="95"/>
              </w:rPr>
              <w:t>Gross margin % – pre-owned</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2080" w:type="dxa"/>
            <w:vAlign w:val="bottom"/>
            <w:gridSpan w:val="4"/>
          </w:tcPr>
          <w:p>
            <w:pPr>
              <w:ind w:left="200"/>
              <w:spacing w:after="0"/>
              <w:rPr>
                <w:sz w:val="20"/>
                <w:szCs w:val="20"/>
                <w:color w:val="auto"/>
              </w:rPr>
            </w:pPr>
            <w:r>
              <w:rPr>
                <w:rFonts w:ascii="Arial" w:cs="Arial" w:eastAsia="Arial" w:hAnsi="Arial"/>
                <w:sz w:val="15"/>
                <w:szCs w:val="15"/>
                <w:color w:val="auto"/>
              </w:rPr>
              <w:t>homes</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29.2 %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34.9 %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(5.7)%</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29.9 %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34.8 %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20" w:type="dxa"/>
            <w:vAlign w:val="bottom"/>
            <w:shd w:val="clear" w:color="auto" w:fill="CCEEFF"/>
          </w:tcPr>
          <w:p>
            <w:pPr>
              <w:spacing w:after="0"/>
              <w:rPr>
                <w:sz w:val="15"/>
                <w:szCs w:val="15"/>
                <w:color w:val="auto"/>
              </w:rPr>
            </w:pPr>
          </w:p>
        </w:tc>
        <w:tc>
          <w:tcPr>
            <w:tcW w:w="208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Average selling price – pre-</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0" w:type="dxa"/>
            <w:vAlign w:val="bottom"/>
            <w:shd w:val="clear" w:color="auto" w:fill="CCEEFF"/>
          </w:tcPr>
          <w:p>
            <w:pPr>
              <w:spacing w:after="0"/>
              <w:rPr>
                <w:sz w:val="17"/>
                <w:szCs w:val="17"/>
                <w:color w:val="auto"/>
              </w:rPr>
            </w:pPr>
          </w:p>
        </w:tc>
        <w:tc>
          <w:tcPr>
            <w:tcW w:w="208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owned homes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43,114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40,636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2,478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6.1 %</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40,864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38,548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2,316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6.0 %</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0" w:type="dxa"/>
            <w:vAlign w:val="bottom"/>
            <w:shd w:val="clear" w:color="auto" w:fill="CCEEFF"/>
          </w:tcPr>
          <w:p>
            <w:pPr>
              <w:spacing w:after="0"/>
              <w:rPr>
                <w:sz w:val="15"/>
                <w:szCs w:val="15"/>
                <w:color w:val="auto"/>
              </w:rPr>
            </w:pPr>
          </w:p>
        </w:tc>
        <w:tc>
          <w:tcPr>
            <w:tcW w:w="2080" w:type="dxa"/>
            <w:vAlign w:val="bottom"/>
            <w:gridSpan w:val="4"/>
            <w:shd w:val="clear" w:color="auto" w:fill="CCEEFF"/>
          </w:tcPr>
          <w:p>
            <w:pPr>
              <w:spacing w:after="0"/>
              <w:rPr>
                <w:sz w:val="20"/>
                <w:szCs w:val="20"/>
                <w:color w:val="auto"/>
              </w:rPr>
            </w:pPr>
            <w:r>
              <w:rPr>
                <w:rFonts w:ascii="Arial" w:cs="Arial" w:eastAsia="Arial" w:hAnsi="Arial"/>
                <w:sz w:val="15"/>
                <w:szCs w:val="15"/>
                <w:b w:val="1"/>
                <w:bCs w:val="1"/>
                <w:color w:val="auto"/>
              </w:rPr>
              <w:t>Total Home Sales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0" w:type="dxa"/>
            <w:vAlign w:val="bottom"/>
          </w:tcPr>
          <w:p>
            <w:pPr>
              <w:spacing w:after="0"/>
              <w:rPr>
                <w:sz w:val="18"/>
                <w:szCs w:val="18"/>
                <w:color w:val="auto"/>
              </w:rPr>
            </w:pPr>
          </w:p>
        </w:tc>
        <w:tc>
          <w:tcPr>
            <w:tcW w:w="2080" w:type="dxa"/>
            <w:vAlign w:val="bottom"/>
            <w:gridSpan w:val="4"/>
          </w:tcPr>
          <w:p>
            <w:pPr>
              <w:ind w:left="220"/>
              <w:spacing w:after="0"/>
              <w:rPr>
                <w:sz w:val="20"/>
                <w:szCs w:val="20"/>
                <w:color w:val="auto"/>
              </w:rPr>
            </w:pPr>
            <w:r>
              <w:rPr>
                <w:rFonts w:ascii="Arial" w:cs="Arial" w:eastAsia="Arial" w:hAnsi="Arial"/>
                <w:sz w:val="15"/>
                <w:szCs w:val="15"/>
                <w:color w:val="auto"/>
              </w:rPr>
              <w:t>Revenue from home sales</w:t>
            </w:r>
          </w:p>
        </w:tc>
        <w:tc>
          <w:tcPr>
            <w:tcW w:w="100" w:type="dxa"/>
            <w:vAlign w:val="bottom"/>
          </w:tcPr>
          <w:p>
            <w:pPr>
              <w:spacing w:after="0"/>
              <w:rPr>
                <w:sz w:val="18"/>
                <w:szCs w:val="18"/>
                <w:color w:val="auto"/>
              </w:rPr>
            </w:pP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47,662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49,805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(2,143)</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126,779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136,665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84"/>
              <w:spacing w:after="0"/>
              <w:rPr>
                <w:sz w:val="20"/>
                <w:szCs w:val="20"/>
                <w:color w:val="auto"/>
              </w:rPr>
            </w:pPr>
            <w:r>
              <w:rPr>
                <w:rFonts w:ascii="Arial" w:cs="Arial" w:eastAsia="Arial" w:hAnsi="Arial"/>
                <w:sz w:val="15"/>
                <w:szCs w:val="15"/>
                <w:color w:val="auto"/>
              </w:rPr>
              <w:t>(9,886)</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220"/>
        </w:trPr>
        <w:tc>
          <w:tcPr>
            <w:tcW w:w="120" w:type="dxa"/>
            <w:vAlign w:val="bottom"/>
            <w:shd w:val="clear" w:color="auto" w:fill="CCEEFF"/>
          </w:tcPr>
          <w:p>
            <w:pPr>
              <w:spacing w:after="0"/>
              <w:rPr>
                <w:sz w:val="19"/>
                <w:szCs w:val="19"/>
                <w:color w:val="auto"/>
              </w:rPr>
            </w:pPr>
          </w:p>
        </w:tc>
        <w:tc>
          <w:tcPr>
            <w:tcW w:w="208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Cost of home sales</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36,237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36,318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95,450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100,030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(4,580)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80" w:type="dxa"/>
            <w:vAlign w:val="bottom"/>
            <w:gridSpan w:val="4"/>
          </w:tcPr>
          <w:p>
            <w:pPr>
              <w:ind w:left="200"/>
              <w:spacing w:after="0" w:line="156" w:lineRule="exact"/>
              <w:rPr>
                <w:sz w:val="20"/>
                <w:szCs w:val="20"/>
                <w:color w:val="auto"/>
              </w:rPr>
            </w:pPr>
            <w:r>
              <w:rPr>
                <w:rFonts w:ascii="Arial" w:cs="Arial" w:eastAsia="Arial" w:hAnsi="Arial"/>
                <w:sz w:val="15"/>
                <w:szCs w:val="15"/>
                <w:color w:val="auto"/>
              </w:rPr>
              <w:t>NOI / Gross Profit – home</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vMerge w:val="restart"/>
          </w:tcPr>
          <w:p>
            <w:pPr>
              <w:jc w:val="right"/>
              <w:ind w:right="124"/>
              <w:spacing w:after="0"/>
              <w:rPr>
                <w:sz w:val="20"/>
                <w:szCs w:val="20"/>
                <w:color w:val="auto"/>
              </w:rPr>
            </w:pPr>
            <w:r>
              <w:rPr>
                <w:rFonts w:ascii="Arial" w:cs="Arial" w:eastAsia="Arial" w:hAnsi="Arial"/>
                <w:sz w:val="15"/>
                <w:szCs w:val="15"/>
                <w:color w:val="auto"/>
              </w:rPr>
              <w:t>11,425</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tcPr>
          <w:p>
            <w:pPr>
              <w:jc w:val="right"/>
              <w:ind w:right="124"/>
              <w:spacing w:after="0"/>
              <w:rPr>
                <w:sz w:val="20"/>
                <w:szCs w:val="20"/>
                <w:color w:val="auto"/>
              </w:rPr>
            </w:pPr>
            <w:r>
              <w:rPr>
                <w:rFonts w:ascii="Arial" w:cs="Arial" w:eastAsia="Arial" w:hAnsi="Arial"/>
                <w:sz w:val="15"/>
                <w:szCs w:val="15"/>
                <w:color w:val="auto"/>
              </w:rPr>
              <w:t>13,487</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vMerge w:val="restart"/>
          </w:tcPr>
          <w:p>
            <w:pPr>
              <w:jc w:val="right"/>
              <w:ind w:right="84"/>
              <w:spacing w:after="0"/>
              <w:rPr>
                <w:sz w:val="20"/>
                <w:szCs w:val="20"/>
                <w:color w:val="auto"/>
              </w:rPr>
            </w:pPr>
            <w:r>
              <w:rPr>
                <w:rFonts w:ascii="Arial" w:cs="Arial" w:eastAsia="Arial" w:hAnsi="Arial"/>
                <w:sz w:val="15"/>
                <w:szCs w:val="15"/>
                <w:color w:val="auto"/>
              </w:rPr>
              <w:t>(2,062)</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vMerge w:val="restart"/>
          </w:tcPr>
          <w:p>
            <w:pPr>
              <w:jc w:val="right"/>
              <w:ind w:right="124"/>
              <w:spacing w:after="0"/>
              <w:rPr>
                <w:sz w:val="20"/>
                <w:szCs w:val="20"/>
                <w:color w:val="auto"/>
              </w:rPr>
            </w:pPr>
            <w:r>
              <w:rPr>
                <w:rFonts w:ascii="Arial" w:cs="Arial" w:eastAsia="Arial" w:hAnsi="Arial"/>
                <w:sz w:val="15"/>
                <w:szCs w:val="15"/>
                <w:color w:val="auto"/>
              </w:rPr>
              <w:t>31,329</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vMerge w:val="restart"/>
          </w:tcPr>
          <w:p>
            <w:pPr>
              <w:jc w:val="right"/>
              <w:ind w:right="124"/>
              <w:spacing w:after="0"/>
              <w:rPr>
                <w:sz w:val="20"/>
                <w:szCs w:val="20"/>
                <w:color w:val="auto"/>
              </w:rPr>
            </w:pPr>
            <w:r>
              <w:rPr>
                <w:rFonts w:ascii="Arial" w:cs="Arial" w:eastAsia="Arial" w:hAnsi="Arial"/>
                <w:sz w:val="15"/>
                <w:szCs w:val="15"/>
                <w:color w:val="auto"/>
              </w:rPr>
              <w:t>36,635</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vMerge w:val="restart"/>
          </w:tcPr>
          <w:p>
            <w:pPr>
              <w:jc w:val="right"/>
              <w:ind w:right="84"/>
              <w:spacing w:after="0"/>
              <w:rPr>
                <w:sz w:val="20"/>
                <w:szCs w:val="20"/>
                <w:color w:val="auto"/>
              </w:rPr>
            </w:pPr>
            <w:r>
              <w:rPr>
                <w:rFonts w:ascii="Arial" w:cs="Arial" w:eastAsia="Arial" w:hAnsi="Arial"/>
                <w:sz w:val="15"/>
                <w:szCs w:val="15"/>
                <w:color w:val="auto"/>
              </w:rPr>
              <w:t>(5,306)</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2080" w:type="dxa"/>
            <w:vAlign w:val="bottom"/>
            <w:gridSpan w:val="4"/>
          </w:tcPr>
          <w:p>
            <w:pPr>
              <w:ind w:left="200"/>
              <w:spacing w:after="0"/>
              <w:rPr>
                <w:sz w:val="20"/>
                <w:szCs w:val="20"/>
                <w:color w:val="auto"/>
              </w:rPr>
            </w:pPr>
            <w:r>
              <w:rPr>
                <w:rFonts w:ascii="Arial" w:cs="Arial" w:eastAsia="Arial" w:hAnsi="Arial"/>
                <w:sz w:val="15"/>
                <w:szCs w:val="15"/>
                <w:color w:val="auto"/>
              </w:rPr>
              <w:t>sales</w:t>
            </w:r>
          </w:p>
        </w:tc>
        <w:tc>
          <w:tcPr>
            <w:tcW w:w="10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(15.3)%</w:t>
            </w:r>
          </w:p>
        </w:tc>
        <w:tc>
          <w:tcPr>
            <w:tcW w:w="1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(14.5)%</w:t>
            </w:r>
          </w:p>
        </w:tc>
        <w:tc>
          <w:tcPr>
            <w:tcW w:w="0" w:type="dxa"/>
            <w:vAlign w:val="bottom"/>
          </w:tcPr>
          <w:p>
            <w:pPr>
              <w:spacing w:after="0"/>
              <w:rPr>
                <w:sz w:val="1"/>
                <w:szCs w:val="1"/>
                <w:color w:val="auto"/>
              </w:rPr>
            </w:pPr>
          </w:p>
        </w:tc>
      </w:tr>
      <w:tr>
        <w:trPr>
          <w:trHeight w:val="20"/>
        </w:trPr>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200" w:type="dxa"/>
            <w:vAlign w:val="bottom"/>
            <w:gridSpan w:val="5"/>
          </w:tcPr>
          <w:p>
            <w:pPr>
              <w:ind w:left="20"/>
              <w:spacing w:after="0"/>
              <w:rPr>
                <w:sz w:val="20"/>
                <w:szCs w:val="20"/>
                <w:color w:val="auto"/>
              </w:rPr>
            </w:pPr>
            <w:r>
              <w:rPr>
                <w:rFonts w:ascii="Arial" w:cs="Arial" w:eastAsia="Arial" w:hAnsi="Arial"/>
                <w:sz w:val="15"/>
                <w:szCs w:val="15"/>
                <w:b w:val="1"/>
                <w:bCs w:val="1"/>
                <w:color w:val="auto"/>
              </w:rPr>
              <w:t>Statistical Information</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shd w:val="clear" w:color="auto" w:fill="CCEEFF"/>
          </w:tcPr>
          <w:p>
            <w:pPr>
              <w:spacing w:after="0"/>
              <w:rPr>
                <w:sz w:val="19"/>
                <w:szCs w:val="19"/>
                <w:color w:val="auto"/>
              </w:rPr>
            </w:pPr>
          </w:p>
        </w:tc>
        <w:tc>
          <w:tcPr>
            <w:tcW w:w="208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New home sales volume</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2080" w:type="dxa"/>
            <w:vAlign w:val="bottom"/>
            <w:gridSpan w:val="4"/>
          </w:tcPr>
          <w:p>
            <w:pPr>
              <w:ind w:left="200"/>
              <w:spacing w:after="0"/>
              <w:rPr>
                <w:sz w:val="20"/>
                <w:szCs w:val="20"/>
                <w:color w:val="auto"/>
              </w:rPr>
            </w:pPr>
            <w:r>
              <w:rPr>
                <w:rFonts w:ascii="Arial" w:cs="Arial" w:eastAsia="Arial" w:hAnsi="Arial"/>
                <w:sz w:val="15"/>
                <w:szCs w:val="15"/>
                <w:color w:val="auto"/>
              </w:rPr>
              <w:t>Pre-owned home sales</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20" w:type="dxa"/>
            <w:vAlign w:val="bottom"/>
            <w:tcBorders>
              <w:bottom w:val="single" w:sz="8" w:color="CCEEFF"/>
            </w:tcBorders>
          </w:tcPr>
          <w:p>
            <w:pPr>
              <w:spacing w:after="0"/>
              <w:rPr>
                <w:sz w:val="17"/>
                <w:szCs w:val="17"/>
                <w:color w:val="auto"/>
              </w:rPr>
            </w:pPr>
          </w:p>
        </w:tc>
        <w:tc>
          <w:tcPr>
            <w:tcW w:w="2080" w:type="dxa"/>
            <w:vAlign w:val="bottom"/>
            <w:tcBorders>
              <w:bottom w:val="single" w:sz="8" w:color="CCEEFF"/>
            </w:tcBorders>
            <w:gridSpan w:val="4"/>
          </w:tcPr>
          <w:p>
            <w:pPr>
              <w:ind w:left="200"/>
              <w:spacing w:after="0"/>
              <w:rPr>
                <w:sz w:val="20"/>
                <w:szCs w:val="20"/>
                <w:color w:val="auto"/>
              </w:rPr>
            </w:pPr>
            <w:r>
              <w:rPr>
                <w:rFonts w:ascii="Arial" w:cs="Arial" w:eastAsia="Arial" w:hAnsi="Arial"/>
                <w:sz w:val="15"/>
                <w:szCs w:val="15"/>
                <w:color w:val="auto"/>
              </w:rPr>
              <w:t>volume</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555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739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(184)</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(24.9)%</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1,670</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2,200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(530)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(24.1)%</w:t>
            </w:r>
          </w:p>
        </w:tc>
        <w:tc>
          <w:tcPr>
            <w:tcW w:w="0" w:type="dxa"/>
            <w:vAlign w:val="bottom"/>
          </w:tcPr>
          <w:p>
            <w:pPr>
              <w:spacing w:after="0"/>
              <w:rPr>
                <w:sz w:val="1"/>
                <w:szCs w:val="1"/>
                <w:color w:val="auto"/>
              </w:rPr>
            </w:pPr>
          </w:p>
        </w:tc>
      </w:tr>
      <w:tr>
        <w:trPr>
          <w:trHeight w:val="238"/>
        </w:trPr>
        <w:tc>
          <w:tcPr>
            <w:tcW w:w="12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5"/>
                <w:szCs w:val="15"/>
                <w:color w:val="auto"/>
              </w:rPr>
              <w:t>Total home sales volume</w:t>
            </w: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710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906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(196)</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(21.6)%</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2,084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2,631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(547)</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 New Homes</w:t>
      </w:r>
    </w:p>
    <w:p>
      <w:pPr>
        <w:spacing w:after="0" w:line="23" w:lineRule="exact"/>
        <w:rPr>
          <w:sz w:val="20"/>
          <w:szCs w:val="20"/>
          <w:color w:val="auto"/>
        </w:rPr>
      </w:pPr>
    </w:p>
    <w:p>
      <w:pPr>
        <w:ind w:left="180" w:right="20"/>
        <w:spacing w:after="0" w:line="323" w:lineRule="auto"/>
        <w:rPr>
          <w:sz w:val="20"/>
          <w:szCs w:val="20"/>
          <w:color w:val="auto"/>
        </w:rPr>
      </w:pPr>
      <w:r>
        <w:rPr>
          <w:rFonts w:ascii="Arial" w:cs="Arial" w:eastAsia="Arial" w:hAnsi="Arial"/>
          <w:sz w:val="16"/>
          <w:szCs w:val="16"/>
          <w:color w:val="auto"/>
        </w:rPr>
        <w:t>For the three months ended September 30, 2020, the $1.4 million, or 47.3 percent increase in gross profit is primarily the result of a 29.3 percent increase in the new home average selling price which drove a 3.5 percent increase in new home sales gross margin, as compared to the same period in 2019.</w:t>
      </w:r>
    </w:p>
    <w:p>
      <w:pPr>
        <w:spacing w:after="0" w:line="165" w:lineRule="exact"/>
        <w:rPr>
          <w:sz w:val="20"/>
          <w:szCs w:val="20"/>
          <w:color w:val="auto"/>
        </w:rPr>
      </w:pPr>
    </w:p>
    <w:p>
      <w:pPr>
        <w:ind w:left="180"/>
        <w:spacing w:after="0" w:line="342" w:lineRule="auto"/>
        <w:rPr>
          <w:sz w:val="20"/>
          <w:szCs w:val="20"/>
          <w:color w:val="auto"/>
        </w:rPr>
      </w:pPr>
      <w:r>
        <w:rPr>
          <w:rFonts w:ascii="Arial" w:cs="Arial" w:eastAsia="Arial" w:hAnsi="Arial"/>
          <w:sz w:val="16"/>
          <w:szCs w:val="16"/>
          <w:color w:val="auto"/>
        </w:rPr>
        <w:t>For the nine months ended September 30, 2020, the $3.8 million, or 53.4 percent increase in gross profit is primarily the result of a 17.5 percent increase in the new home average selling price which drove a 5.0 percent increase in new home sales gross margin, as compared to the same period in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 Pre-owned Homes</w:t>
      </w:r>
    </w:p>
    <w:p>
      <w:pPr>
        <w:spacing w:after="0" w:line="23" w:lineRule="exact"/>
        <w:rPr>
          <w:sz w:val="20"/>
          <w:szCs w:val="20"/>
          <w:color w:val="auto"/>
        </w:rPr>
      </w:pPr>
    </w:p>
    <w:p>
      <w:pPr>
        <w:ind w:left="180"/>
        <w:spacing w:after="0" w:line="323" w:lineRule="auto"/>
        <w:rPr>
          <w:sz w:val="20"/>
          <w:szCs w:val="20"/>
          <w:color w:val="auto"/>
        </w:rPr>
      </w:pPr>
      <w:r>
        <w:rPr>
          <w:rFonts w:ascii="Arial" w:cs="Arial" w:eastAsia="Arial" w:hAnsi="Arial"/>
          <w:sz w:val="16"/>
          <w:szCs w:val="16"/>
          <w:color w:val="auto"/>
        </w:rPr>
        <w:t>For the three months ended September 30, 2020, the $3.5 million or 33.3 percent decrease in gross profit is primarily the result of a 24.9 percent decrease in pre-owned home sales volume coupled with a 5.7 percent decrease in pre-owned homes gross margin, as compared to the same period in 2019.</w:t>
      </w:r>
    </w:p>
    <w:p>
      <w:pPr>
        <w:spacing w:after="0" w:line="165" w:lineRule="exact"/>
        <w:rPr>
          <w:sz w:val="20"/>
          <w:szCs w:val="20"/>
          <w:color w:val="auto"/>
        </w:rPr>
      </w:pPr>
    </w:p>
    <w:p>
      <w:pPr>
        <w:ind w:left="180"/>
        <w:spacing w:after="0" w:line="342" w:lineRule="auto"/>
        <w:rPr>
          <w:sz w:val="20"/>
          <w:szCs w:val="20"/>
          <w:color w:val="auto"/>
        </w:rPr>
      </w:pPr>
      <w:r>
        <w:rPr>
          <w:rFonts w:ascii="Arial" w:cs="Arial" w:eastAsia="Arial" w:hAnsi="Arial"/>
          <w:sz w:val="16"/>
          <w:szCs w:val="16"/>
          <w:color w:val="auto"/>
        </w:rPr>
        <w:t>For the nine months ended September 30, 2020, the $9.1 million or 30.9 percent decrease in gross profit is primarily the result of a 24.1 percent decrease in pre-owned home sales volume coupled with 4.9 percent decrease in pre-owned homes gross margin, as compared to the same period in 2019.</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Program Summary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certain financial and other information for our Rental Program as of and for the three and nine months ended September 30, 2020 and 2019 (in thousands, except for statistical information):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5"/>
                <w:szCs w:val="15"/>
                <w:b w:val="1"/>
                <w:bCs w:val="1"/>
                <w:color w:val="auto"/>
                <w:w w:val="95"/>
              </w:rPr>
              <w:t>Three Months Ended</w:t>
            </w: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484"/>
              <w:spacing w:after="0"/>
              <w:rPr>
                <w:sz w:val="20"/>
                <w:szCs w:val="20"/>
                <w:color w:val="auto"/>
              </w:rPr>
            </w:pPr>
            <w:r>
              <w:rPr>
                <w:rFonts w:ascii="Arial" w:cs="Arial" w:eastAsia="Arial" w:hAnsi="Arial"/>
                <w:sz w:val="15"/>
                <w:szCs w:val="15"/>
                <w:b w:val="1"/>
                <w:bCs w:val="1"/>
                <w:color w:val="auto"/>
                <w:w w:val="98"/>
              </w:rPr>
              <w:t>Nine Months Ended</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169"/>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00" w:type="dxa"/>
            <w:vAlign w:val="bottom"/>
          </w:tcPr>
          <w:p>
            <w:pPr>
              <w:spacing w:after="0"/>
              <w:rPr>
                <w:sz w:val="14"/>
                <w:szCs w:val="14"/>
                <w:color w:val="auto"/>
              </w:rPr>
            </w:pPr>
          </w:p>
        </w:tc>
        <w:tc>
          <w:tcPr>
            <w:tcW w:w="116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116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0"/>
        </w:trPr>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44"/>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64"/>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84"/>
              <w:spacing w:after="0"/>
              <w:rPr>
                <w:sz w:val="20"/>
                <w:szCs w:val="20"/>
                <w:color w:val="auto"/>
              </w:rPr>
            </w:pPr>
            <w:r>
              <w:rPr>
                <w:rFonts w:ascii="Arial" w:cs="Arial" w:eastAsia="Arial" w:hAnsi="Arial"/>
                <w:sz w:val="15"/>
                <w:szCs w:val="15"/>
                <w:b w:val="1"/>
                <w:bCs w:val="1"/>
                <w:color w:val="auto"/>
                <w:w w:val="94"/>
              </w:rPr>
              <w:t>Change</w:t>
            </w:r>
          </w:p>
        </w:tc>
        <w:tc>
          <w:tcPr>
            <w:tcW w:w="8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5"/>
                <w:szCs w:val="15"/>
                <w:b w:val="1"/>
                <w:bCs w:val="1"/>
                <w:color w:val="auto"/>
              </w:rPr>
              <w:t>% Change</w:t>
            </w:r>
          </w:p>
        </w:tc>
        <w:tc>
          <w:tcPr>
            <w:tcW w:w="100" w:type="dxa"/>
            <w:vAlign w:val="bottom"/>
          </w:tcPr>
          <w:p>
            <w:pPr>
              <w:spacing w:after="0"/>
              <w:rPr>
                <w:sz w:val="17"/>
                <w:szCs w:val="17"/>
                <w:color w:val="auto"/>
              </w:rPr>
            </w:pPr>
          </w:p>
        </w:tc>
        <w:tc>
          <w:tcPr>
            <w:tcW w:w="1080" w:type="dxa"/>
            <w:vAlign w:val="bottom"/>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64"/>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64"/>
              <w:spacing w:after="0"/>
              <w:rPr>
                <w:sz w:val="20"/>
                <w:szCs w:val="20"/>
                <w:color w:val="auto"/>
              </w:rPr>
            </w:pPr>
            <w:r>
              <w:rPr>
                <w:rFonts w:ascii="Arial" w:cs="Arial" w:eastAsia="Arial" w:hAnsi="Arial"/>
                <w:sz w:val="15"/>
                <w:szCs w:val="15"/>
                <w:b w:val="1"/>
                <w:bCs w:val="1"/>
                <w:color w:val="auto"/>
                <w:w w:val="94"/>
              </w:rPr>
              <w:t>Change</w:t>
            </w: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b w:val="1"/>
                <w:bCs w:val="1"/>
                <w:color w:val="auto"/>
              </w:rPr>
              <w:t>% Change</w:t>
            </w:r>
          </w:p>
        </w:tc>
      </w:tr>
      <w:tr>
        <w:trPr>
          <w:trHeight w:val="198"/>
        </w:trPr>
        <w:tc>
          <w:tcPr>
            <w:tcW w:w="2540" w:type="dxa"/>
            <w:vAlign w:val="bottom"/>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r>
      <w:tr>
        <w:trPr>
          <w:trHeight w:val="220"/>
        </w:trPr>
        <w:tc>
          <w:tcPr>
            <w:tcW w:w="25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Revenues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12"/>
        </w:trPr>
        <w:tc>
          <w:tcPr>
            <w:tcW w:w="2540" w:type="dxa"/>
            <w:vAlign w:val="bottom"/>
          </w:tcPr>
          <w:p>
            <w:pPr>
              <w:ind w:left="320"/>
              <w:spacing w:after="0"/>
              <w:rPr>
                <w:sz w:val="20"/>
                <w:szCs w:val="20"/>
                <w:color w:val="auto"/>
              </w:rPr>
            </w:pPr>
            <w:r>
              <w:rPr>
                <w:rFonts w:ascii="Arial" w:cs="Arial" w:eastAsia="Arial" w:hAnsi="Arial"/>
                <w:sz w:val="15"/>
                <w:szCs w:val="15"/>
                <w:color w:val="auto"/>
              </w:rPr>
              <w:t>Rental home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16,171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14,444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1,727</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12.0 %</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46,611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42,827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3,784</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8.8</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16"/>
        </w:trPr>
        <w:tc>
          <w:tcPr>
            <w:tcW w:w="25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 xml:space="preserve">Site rent from Rental Program </w:t>
            </w:r>
            <w:r>
              <w:rPr>
                <w:rFonts w:ascii="Arial" w:cs="Arial" w:eastAsia="Arial" w:hAnsi="Arial"/>
                <w:sz w:val="9"/>
                <w:szCs w:val="9"/>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19,101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17,270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10.6 %</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55,699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51,326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4,373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2540" w:type="dxa"/>
            <w:vAlign w:val="bottom"/>
          </w:tcPr>
          <w:p>
            <w:pPr>
              <w:ind w:left="320"/>
              <w:spacing w:after="0"/>
              <w:rPr>
                <w:sz w:val="20"/>
                <w:szCs w:val="20"/>
                <w:color w:val="auto"/>
              </w:rPr>
            </w:pPr>
            <w:r>
              <w:rPr>
                <w:rFonts w:ascii="Arial" w:cs="Arial" w:eastAsia="Arial" w:hAnsi="Arial"/>
                <w:sz w:val="15"/>
                <w:szCs w:val="15"/>
                <w:color w:val="auto"/>
              </w:rPr>
              <w:t>Rental Program revenue</w:t>
            </w:r>
          </w:p>
        </w:tc>
        <w:tc>
          <w:tcPr>
            <w:tcW w:w="10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35,272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31,714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Arial" w:cs="Arial" w:eastAsia="Arial" w:hAnsi="Arial"/>
                <w:sz w:val="15"/>
                <w:szCs w:val="15"/>
                <w:color w:val="auto"/>
              </w:rPr>
              <w:t>3,558</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11.2 %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102,310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94,153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8,157</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8.7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20"/>
        </w:trPr>
        <w:tc>
          <w:tcPr>
            <w:tcW w:w="25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Expenses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12"/>
        </w:trPr>
        <w:tc>
          <w:tcPr>
            <w:tcW w:w="2540" w:type="dxa"/>
            <w:vAlign w:val="bottom"/>
          </w:tcPr>
          <w:p>
            <w:pPr>
              <w:ind w:left="320"/>
              <w:spacing w:after="0"/>
              <w:rPr>
                <w:sz w:val="20"/>
                <w:szCs w:val="20"/>
                <w:color w:val="auto"/>
              </w:rPr>
            </w:pPr>
            <w:r>
              <w:rPr>
                <w:rFonts w:ascii="Arial" w:cs="Arial" w:eastAsia="Arial" w:hAnsi="Arial"/>
                <w:sz w:val="15"/>
                <w:szCs w:val="15"/>
                <w:color w:val="auto"/>
              </w:rPr>
              <w:t>Repairs and refurbishment</w:t>
            </w:r>
          </w:p>
        </w:tc>
        <w:tc>
          <w:tcPr>
            <w:tcW w:w="10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3,414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4,080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(666)</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8,623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9,317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(694)</w:t>
            </w:r>
          </w:p>
        </w:tc>
        <w:tc>
          <w:tcPr>
            <w:tcW w:w="920" w:type="dxa"/>
            <w:vAlign w:val="bottom"/>
            <w:gridSpan w:val="3"/>
          </w:tcPr>
          <w:p>
            <w:pPr>
              <w:jc w:val="right"/>
              <w:spacing w:after="0"/>
              <w:rPr>
                <w:sz w:val="20"/>
                <w:szCs w:val="20"/>
                <w:color w:val="auto"/>
              </w:rPr>
            </w:pPr>
            <w:r>
              <w:rPr>
                <w:rFonts w:ascii="Arial" w:cs="Arial" w:eastAsia="Arial" w:hAnsi="Arial"/>
                <w:sz w:val="15"/>
                <w:szCs w:val="15"/>
                <w:color w:val="auto"/>
              </w:rPr>
              <w:t>(7.4)%</w:t>
            </w:r>
          </w:p>
        </w:tc>
      </w:tr>
      <w:tr>
        <w:trPr>
          <w:trHeight w:val="220"/>
        </w:trPr>
        <w:tc>
          <w:tcPr>
            <w:tcW w:w="2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Taxes and insurance</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6.1 %</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5,631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2"/>
        </w:trPr>
        <w:tc>
          <w:tcPr>
            <w:tcW w:w="25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Other</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476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52</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12.3 %</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1,505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w:t>
            </w:r>
          </w:p>
        </w:tc>
        <w:tc>
          <w:tcPr>
            <w:tcW w:w="920" w:type="dxa"/>
            <w:vAlign w:val="bottom"/>
            <w:tcBorders>
              <w:bottom w:val="single" w:sz="8" w:color="CCEEFF"/>
            </w:tcBorders>
            <w:gridSpan w:val="3"/>
          </w:tcPr>
          <w:p>
            <w:pPr>
              <w:jc w:val="right"/>
              <w:spacing w:after="0"/>
              <w:rPr>
                <w:sz w:val="20"/>
                <w:szCs w:val="20"/>
                <w:color w:val="auto"/>
              </w:rPr>
            </w:pPr>
            <w:r>
              <w:rPr>
                <w:rFonts w:ascii="Arial" w:cs="Arial" w:eastAsia="Arial" w:hAnsi="Arial"/>
                <w:sz w:val="15"/>
                <w:szCs w:val="15"/>
                <w:color w:val="auto"/>
              </w:rPr>
              <w:t>(5.2)%</w:t>
            </w:r>
          </w:p>
        </w:tc>
      </w:tr>
      <w:tr>
        <w:trPr>
          <w:trHeight w:val="160"/>
        </w:trPr>
        <w:tc>
          <w:tcPr>
            <w:tcW w:w="2540" w:type="dxa"/>
            <w:vAlign w:val="bottom"/>
            <w:shd w:val="clear" w:color="auto" w:fill="CCEEFF"/>
          </w:tcPr>
          <w:p>
            <w:pPr>
              <w:ind w:left="320"/>
              <w:spacing w:after="0" w:line="160" w:lineRule="exact"/>
              <w:rPr>
                <w:sz w:val="20"/>
                <w:szCs w:val="20"/>
                <w:color w:val="auto"/>
              </w:rPr>
            </w:pPr>
            <w:r>
              <w:rPr>
                <w:rFonts w:ascii="Arial" w:cs="Arial" w:eastAsia="Arial" w:hAnsi="Arial"/>
                <w:sz w:val="15"/>
                <w:szCs w:val="15"/>
                <w:color w:val="auto"/>
              </w:rPr>
              <w:t>Rental Program operating and</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r>
      <w:tr>
        <w:trPr>
          <w:trHeight w:val="198"/>
        </w:trPr>
        <w:tc>
          <w:tcPr>
            <w:tcW w:w="25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maintenance</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5,949</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6,444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16,128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16,453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(325)</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(2.0)%</w:t>
            </w:r>
          </w:p>
        </w:tc>
      </w:tr>
      <w:tr>
        <w:trPr>
          <w:trHeight w:val="213"/>
        </w:trPr>
        <w:tc>
          <w:tcPr>
            <w:tcW w:w="2540" w:type="dxa"/>
            <w:vAlign w:val="bottom"/>
          </w:tcPr>
          <w:p>
            <w:pPr>
              <w:ind w:left="120"/>
              <w:spacing w:after="0"/>
              <w:rPr>
                <w:sz w:val="20"/>
                <w:szCs w:val="20"/>
                <w:color w:val="auto"/>
              </w:rPr>
            </w:pPr>
            <w:r>
              <w:rPr>
                <w:rFonts w:ascii="Arial" w:cs="Arial" w:eastAsia="Arial" w:hAnsi="Arial"/>
                <w:sz w:val="15"/>
                <w:szCs w:val="15"/>
                <w:color w:val="auto"/>
              </w:rPr>
              <w:t>Rental Program NOI</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29,323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25,270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4,053</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16.0 %</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86,182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77,700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8,482</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10.9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r>
      <w:tr>
        <w:trPr>
          <w:trHeight w:val="223"/>
        </w:trPr>
        <w:tc>
          <w:tcPr>
            <w:tcW w:w="2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5"/>
                <w:szCs w:val="15"/>
                <w:b w:val="1"/>
                <w:bCs w:val="1"/>
                <w:color w:val="auto"/>
              </w:rPr>
              <w:t>Other Information</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25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Number of sold rental homes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(32.4)%</w:t>
            </w:r>
          </w:p>
        </w:tc>
      </w:tr>
      <w:tr>
        <w:trPr>
          <w:trHeight w:val="176"/>
        </w:trPr>
        <w:tc>
          <w:tcPr>
            <w:tcW w:w="2540" w:type="dxa"/>
            <w:vAlign w:val="bottom"/>
          </w:tcPr>
          <w:p>
            <w:pPr>
              <w:ind w:left="120"/>
              <w:spacing w:after="0"/>
              <w:rPr>
                <w:sz w:val="20"/>
                <w:szCs w:val="20"/>
                <w:color w:val="auto"/>
              </w:rPr>
            </w:pPr>
            <w:r>
              <w:rPr>
                <w:rFonts w:ascii="Arial" w:cs="Arial" w:eastAsia="Arial" w:hAnsi="Arial"/>
                <w:sz w:val="15"/>
                <w:szCs w:val="15"/>
                <w:color w:val="auto"/>
              </w:rPr>
              <w:t>Number of occupied rentals, end of</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8"/>
        </w:trPr>
        <w:tc>
          <w:tcPr>
            <w:tcW w:w="2540" w:type="dxa"/>
            <w:vAlign w:val="bottom"/>
          </w:tcPr>
          <w:p>
            <w:pPr>
              <w:ind w:left="120"/>
              <w:spacing w:after="0"/>
              <w:rPr>
                <w:sz w:val="20"/>
                <w:szCs w:val="20"/>
                <w:color w:val="auto"/>
              </w:rPr>
            </w:pPr>
            <w:r>
              <w:rPr>
                <w:rFonts w:ascii="Arial" w:cs="Arial" w:eastAsia="Arial" w:hAnsi="Arial"/>
                <w:sz w:val="15"/>
                <w:szCs w:val="15"/>
                <w:color w:val="auto"/>
              </w:rPr>
              <w:t>period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11,729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11,170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559</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5.0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0"/>
        </w:trPr>
        <w:tc>
          <w:tcPr>
            <w:tcW w:w="254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6"/>
              </w:rPr>
              <w:t>Investment in occupied rental homes,</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02"/>
        </w:trPr>
        <w:tc>
          <w:tcPr>
            <w:tcW w:w="25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end of period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625,922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570,053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55,869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76"/>
        </w:trPr>
        <w:tc>
          <w:tcPr>
            <w:tcW w:w="2540" w:type="dxa"/>
            <w:vAlign w:val="bottom"/>
          </w:tcPr>
          <w:p>
            <w:pPr>
              <w:ind w:left="120"/>
              <w:spacing w:after="0"/>
              <w:rPr>
                <w:sz w:val="20"/>
                <w:szCs w:val="20"/>
                <w:color w:val="auto"/>
              </w:rPr>
            </w:pPr>
            <w:r>
              <w:rPr>
                <w:rFonts w:ascii="Arial" w:cs="Arial" w:eastAsia="Arial" w:hAnsi="Arial"/>
                <w:sz w:val="15"/>
                <w:szCs w:val="15"/>
                <w:color w:val="auto"/>
                <w:w w:val="94"/>
              </w:rPr>
              <w:t>Weighted average monthly rental rate,</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4"/>
        </w:trPr>
        <w:tc>
          <w:tcPr>
            <w:tcW w:w="2540" w:type="dxa"/>
            <w:vAlign w:val="bottom"/>
          </w:tcPr>
          <w:p>
            <w:pPr>
              <w:ind w:left="120"/>
              <w:spacing w:after="0"/>
              <w:rPr>
                <w:sz w:val="20"/>
                <w:szCs w:val="20"/>
                <w:color w:val="auto"/>
              </w:rPr>
            </w:pPr>
            <w:r>
              <w:rPr>
                <w:rFonts w:ascii="Arial" w:cs="Arial" w:eastAsia="Arial" w:hAnsi="Arial"/>
                <w:sz w:val="15"/>
                <w:szCs w:val="15"/>
                <w:color w:val="auto"/>
              </w:rPr>
              <w:t>end of period</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4"/>
              <w:spacing w:after="0"/>
              <w:rPr>
                <w:sz w:val="20"/>
                <w:szCs w:val="20"/>
                <w:color w:val="auto"/>
              </w:rPr>
            </w:pPr>
            <w:r>
              <w:rPr>
                <w:rFonts w:ascii="Arial" w:cs="Arial" w:eastAsia="Arial" w:hAnsi="Arial"/>
                <w:sz w:val="15"/>
                <w:szCs w:val="15"/>
                <w:color w:val="auto"/>
              </w:rPr>
              <w:t>1,032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987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45</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4.6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97" w:lineRule="exact"/>
        <w:rPr>
          <w:sz w:val="20"/>
          <w:szCs w:val="20"/>
          <w:color w:val="auto"/>
        </w:rPr>
      </w:pPr>
    </w:p>
    <w:p>
      <w:pPr>
        <w:ind w:left="260" w:hanging="252"/>
        <w:spacing w:after="0" w:line="257" w:lineRule="auto"/>
        <w:tabs>
          <w:tab w:leader="none" w:pos="149" w:val="left"/>
        </w:tabs>
        <w:numPr>
          <w:ilvl w:val="0"/>
          <w:numId w:val="29"/>
        </w:numPr>
        <w:rPr>
          <w:rFonts w:ascii="Arial" w:cs="Arial" w:eastAsia="Arial" w:hAnsi="Arial"/>
          <w:sz w:val="9"/>
          <w:szCs w:val="9"/>
          <w:color w:val="auto"/>
        </w:rPr>
      </w:pPr>
      <w:r>
        <w:rPr>
          <w:rFonts w:ascii="Arial" w:cs="Arial" w:eastAsia="Arial" w:hAnsi="Arial"/>
          <w:sz w:val="14"/>
          <w:szCs w:val="14"/>
          <w:color w:val="auto"/>
        </w:rPr>
        <w:t>The renter’s monthly payment includes the site rent and an amount attributable to the home lease. The site rent is reflected in Real Property Operations’ segment revenue. For purposes of management analysis, site rent is included in Rental Program revenue to evaluate the incremental revenue gains associated with the implementation of the Rental Program, and to assess the overall growth and performance of the Rental Program and financial impact on our operations.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Rental Program NOI increased $4.1 million, or 16.0 percent for the three months ended September 30, 2020 as compared to the same period in 2019. The increase is primarily due to an increase in Rental Program revenue of $3.6 million, or 11.2 percent, in addition to a $0.5 million or 7.7 percent decrease in expenses.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Rental Program NOI increased $8.5 million, or 10.9 percent for the nine months ended September 30, 2020 as compared to the same period in 2019. The increase is primarily due to an increase in Rental Program revenue of $8.2 million, or 8.7 percent. The increase in revenue is partially attributable to a 4.6 percent increase in the weighted average monthly rental rate and a 5.0 percent increase in the number of occupied rentals in the nine months ended September 30, 2020 as compared to the same period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Items - Statements of Operations </w:t>
      </w:r>
      <w:r>
        <w:rPr>
          <w:rFonts w:ascii="Arial" w:cs="Arial" w:eastAsia="Arial" w:hAnsi="Arial"/>
          <w:sz w:val="18"/>
          <w:szCs w:val="18"/>
          <w:color w:val="auto"/>
          <w:vertAlign w:val="superscript"/>
        </w:rPr>
        <w:t>(1)</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other income and expenses for the three and nine months ended September 30, 2020 and 2019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80"/>
              <w:spacing w:after="0"/>
              <w:rPr>
                <w:sz w:val="20"/>
                <w:szCs w:val="20"/>
                <w:color w:val="auto"/>
              </w:rPr>
            </w:pPr>
            <w:r>
              <w:rPr>
                <w:rFonts w:ascii="Arial" w:cs="Arial" w:eastAsia="Arial" w:hAnsi="Arial"/>
                <w:sz w:val="15"/>
                <w:szCs w:val="15"/>
                <w:b w:val="1"/>
                <w:bCs w:val="1"/>
                <w:color w:val="auto"/>
              </w:rPr>
              <w:t>Three Months Ended</w:t>
            </w: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5"/>
          </w:tcPr>
          <w:p>
            <w:pPr>
              <w:ind w:left="120"/>
              <w:spacing w:after="0"/>
              <w:rPr>
                <w:sz w:val="20"/>
                <w:szCs w:val="20"/>
                <w:color w:val="auto"/>
              </w:rPr>
            </w:pPr>
            <w:r>
              <w:rPr>
                <w:rFonts w:ascii="Arial" w:cs="Arial" w:eastAsia="Arial" w:hAnsi="Arial"/>
                <w:sz w:val="15"/>
                <w:szCs w:val="15"/>
                <w:b w:val="1"/>
                <w:bCs w:val="1"/>
                <w:color w:val="auto"/>
              </w:rPr>
              <w:t>Nine Months Ended</w:t>
            </w:r>
          </w:p>
        </w:tc>
        <w:tc>
          <w:tcPr>
            <w:tcW w:w="860" w:type="dxa"/>
            <w:vAlign w:val="bottom"/>
            <w:tcBorders>
              <w:bottom w:val="single" w:sz="8" w:color="auto"/>
            </w:tcBorders>
          </w:tcPr>
          <w:p>
            <w:pPr>
              <w:spacing w:after="0"/>
              <w:rPr>
                <w:sz w:val="17"/>
                <w:szCs w:val="17"/>
                <w:color w:val="auto"/>
              </w:rPr>
            </w:pPr>
          </w:p>
        </w:tc>
      </w:tr>
      <w:tr>
        <w:trPr>
          <w:trHeight w:val="169"/>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00" w:type="dxa"/>
            <w:vAlign w:val="bottom"/>
          </w:tcPr>
          <w:p>
            <w:pPr>
              <w:spacing w:after="0"/>
              <w:rPr>
                <w:sz w:val="14"/>
                <w:szCs w:val="14"/>
                <w:color w:val="auto"/>
              </w:rPr>
            </w:pPr>
          </w:p>
        </w:tc>
        <w:tc>
          <w:tcPr>
            <w:tcW w:w="116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116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2"/>
        </w:trPr>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44"/>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64"/>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5"/>
                <w:szCs w:val="15"/>
                <w:b w:val="1"/>
                <w:bCs w:val="1"/>
                <w:color w:val="auto"/>
              </w:rPr>
              <w:t>Change</w:t>
            </w:r>
          </w:p>
        </w:tc>
        <w:tc>
          <w:tcPr>
            <w:tcW w:w="1000" w:type="dxa"/>
            <w:vAlign w:val="bottom"/>
            <w:gridSpan w:val="3"/>
          </w:tcPr>
          <w:p>
            <w:pPr>
              <w:ind w:left="80"/>
              <w:spacing w:after="0"/>
              <w:rPr>
                <w:sz w:val="20"/>
                <w:szCs w:val="20"/>
                <w:color w:val="auto"/>
              </w:rPr>
            </w:pPr>
            <w:r>
              <w:rPr>
                <w:rFonts w:ascii="Arial" w:cs="Arial" w:eastAsia="Arial" w:hAnsi="Arial"/>
                <w:sz w:val="15"/>
                <w:szCs w:val="15"/>
                <w:b w:val="1"/>
                <w:bCs w:val="1"/>
                <w:color w:val="auto"/>
              </w:rPr>
              <w:t>% Change</w:t>
            </w:r>
          </w:p>
        </w:tc>
        <w:tc>
          <w:tcPr>
            <w:tcW w:w="120" w:type="dxa"/>
            <w:vAlign w:val="bottom"/>
          </w:tcPr>
          <w:p>
            <w:pPr>
              <w:spacing w:after="0"/>
              <w:rPr>
                <w:sz w:val="17"/>
                <w:szCs w:val="17"/>
                <w:color w:val="auto"/>
              </w:rPr>
            </w:pPr>
          </w:p>
        </w:tc>
        <w:tc>
          <w:tcPr>
            <w:tcW w:w="1040" w:type="dxa"/>
            <w:vAlign w:val="bottom"/>
          </w:tcPr>
          <w:p>
            <w:pPr>
              <w:jc w:val="right"/>
              <w:ind w:right="344"/>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64"/>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5"/>
                <w:szCs w:val="15"/>
                <w:b w:val="1"/>
                <w:bCs w:val="1"/>
                <w:color w:val="auto"/>
              </w:rPr>
              <w:t>Change</w:t>
            </w:r>
          </w:p>
        </w:tc>
        <w:tc>
          <w:tcPr>
            <w:tcW w:w="860" w:type="dxa"/>
            <w:vAlign w:val="bottom"/>
          </w:tcPr>
          <w:p>
            <w:pPr>
              <w:jc w:val="right"/>
              <w:ind w:right="4"/>
              <w:spacing w:after="0"/>
              <w:rPr>
                <w:sz w:val="20"/>
                <w:szCs w:val="20"/>
                <w:color w:val="auto"/>
              </w:rPr>
            </w:pPr>
            <w:r>
              <w:rPr>
                <w:rFonts w:ascii="Arial" w:cs="Arial" w:eastAsia="Arial" w:hAnsi="Arial"/>
                <w:sz w:val="15"/>
                <w:szCs w:val="15"/>
                <w:b w:val="1"/>
                <w:bCs w:val="1"/>
                <w:color w:val="auto"/>
              </w:rPr>
              <w:t>% Change</w:t>
            </w:r>
          </w:p>
        </w:tc>
      </w:tr>
      <w:tr>
        <w:trPr>
          <w:trHeight w:val="213"/>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Ancillary revenues, net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23,780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18,507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5,273</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30,642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28,824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1,818</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6.3 %</w:t>
            </w:r>
          </w:p>
        </w:tc>
      </w:tr>
      <w:tr>
        <w:trPr>
          <w:trHeight w:val="212"/>
        </w:trPr>
        <w:tc>
          <w:tcPr>
            <w:tcW w:w="2540" w:type="dxa"/>
            <w:vAlign w:val="bottom"/>
          </w:tcPr>
          <w:p>
            <w:pPr>
              <w:ind w:left="20"/>
              <w:spacing w:after="0"/>
              <w:rPr>
                <w:sz w:val="20"/>
                <w:szCs w:val="20"/>
                <w:color w:val="auto"/>
              </w:rPr>
            </w:pPr>
            <w:r>
              <w:rPr>
                <w:rFonts w:ascii="Arial" w:cs="Arial" w:eastAsia="Arial" w:hAnsi="Arial"/>
                <w:sz w:val="15"/>
                <w:szCs w:val="15"/>
                <w:color w:val="auto"/>
              </w:rPr>
              <w:t>Interest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2,624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4,770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(2,146)</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(45.0)%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7,609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14,489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(6,880)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(47.5)%</w:t>
            </w: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Brokerage commissions and other</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5,881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879</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13,068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11,190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1,878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16.8 %</w:t>
            </w:r>
          </w:p>
        </w:tc>
      </w:tr>
      <w:tr>
        <w:trPr>
          <w:trHeight w:val="212"/>
        </w:trPr>
        <w:tc>
          <w:tcPr>
            <w:tcW w:w="2540" w:type="dxa"/>
            <w:vAlign w:val="bottom"/>
          </w:tcPr>
          <w:p>
            <w:pPr>
              <w:ind w:left="20"/>
              <w:spacing w:after="0"/>
              <w:rPr>
                <w:sz w:val="20"/>
                <w:szCs w:val="20"/>
                <w:color w:val="auto"/>
              </w:rPr>
            </w:pPr>
            <w:r>
              <w:rPr>
                <w:rFonts w:ascii="Arial" w:cs="Arial" w:eastAsia="Arial" w:hAnsi="Arial"/>
                <w:sz w:val="15"/>
                <w:szCs w:val="15"/>
                <w:color w:val="auto"/>
              </w:rPr>
              <w:t>Home selling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3,652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3,972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(320)</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(8.1)%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10,508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10,922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(414)</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220"/>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General and administrative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27,243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22,946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4,297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79,493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68,530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10,963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16.0 %</w:t>
            </w:r>
          </w:p>
        </w:tc>
      </w:tr>
      <w:tr>
        <w:trPr>
          <w:trHeight w:val="176"/>
        </w:trPr>
        <w:tc>
          <w:tcPr>
            <w:tcW w:w="2540" w:type="dxa"/>
            <w:vAlign w:val="bottom"/>
          </w:tcPr>
          <w:p>
            <w:pPr>
              <w:ind w:left="20"/>
              <w:spacing w:after="0"/>
              <w:rPr>
                <w:sz w:val="20"/>
                <w:szCs w:val="20"/>
                <w:color w:val="auto"/>
              </w:rPr>
            </w:pPr>
            <w:r>
              <w:rPr>
                <w:rFonts w:ascii="Arial" w:cs="Arial" w:eastAsia="Arial" w:hAnsi="Arial"/>
                <w:sz w:val="15"/>
                <w:szCs w:val="15"/>
                <w:color w:val="auto"/>
                <w:w w:val="98"/>
              </w:rPr>
              <w:t>Catastrophic weather-related charges,</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8"/>
        </w:trPr>
        <w:tc>
          <w:tcPr>
            <w:tcW w:w="2540" w:type="dxa"/>
            <w:vAlign w:val="bottom"/>
          </w:tcPr>
          <w:p>
            <w:pPr>
              <w:ind w:left="20"/>
              <w:spacing w:after="0"/>
              <w:rPr>
                <w:sz w:val="20"/>
                <w:szCs w:val="20"/>
                <w:color w:val="auto"/>
              </w:rPr>
            </w:pPr>
            <w:r>
              <w:rPr>
                <w:rFonts w:ascii="Arial" w:cs="Arial" w:eastAsia="Arial" w:hAnsi="Arial"/>
                <w:sz w:val="15"/>
                <w:szCs w:val="15"/>
                <w:color w:val="auto"/>
              </w:rPr>
              <w:t>net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341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(327)</w:t>
            </w:r>
          </w:p>
        </w:tc>
        <w:tc>
          <w:tcPr>
            <w:tcW w:w="1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(95.9)%</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54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1,302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(1,248)</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(95.9)%</w:t>
            </w:r>
          </w:p>
        </w:tc>
      </w:tr>
      <w:tr>
        <w:trPr>
          <w:trHeight w:val="220"/>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88,499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76,532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11,967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259,453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229,241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30,212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13.2 %</w:t>
            </w:r>
          </w:p>
        </w:tc>
      </w:tr>
      <w:tr>
        <w:trPr>
          <w:trHeight w:val="176"/>
        </w:trPr>
        <w:tc>
          <w:tcPr>
            <w:tcW w:w="2540" w:type="dxa"/>
            <w:vAlign w:val="bottom"/>
          </w:tcPr>
          <w:p>
            <w:pPr>
              <w:ind w:left="20"/>
              <w:spacing w:after="0"/>
              <w:rPr>
                <w:sz w:val="20"/>
                <w:szCs w:val="20"/>
                <w:color w:val="auto"/>
              </w:rPr>
            </w:pPr>
            <w:r>
              <w:rPr>
                <w:rFonts w:ascii="Arial" w:cs="Arial" w:eastAsia="Arial" w:hAnsi="Arial"/>
                <w:sz w:val="15"/>
                <w:szCs w:val="15"/>
                <w:color w:val="auto"/>
              </w:rPr>
              <w:t>Loss on extinguishment of debt (see</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8"/>
        </w:trPr>
        <w:tc>
          <w:tcPr>
            <w:tcW w:w="2540" w:type="dxa"/>
            <w:vAlign w:val="bottom"/>
          </w:tcPr>
          <w:p>
            <w:pPr>
              <w:ind w:left="20"/>
              <w:spacing w:after="0"/>
              <w:rPr>
                <w:sz w:val="20"/>
                <w:szCs w:val="20"/>
                <w:color w:val="auto"/>
              </w:rPr>
            </w:pPr>
            <w:r>
              <w:rPr>
                <w:rFonts w:ascii="Arial" w:cs="Arial" w:eastAsia="Arial" w:hAnsi="Arial"/>
                <w:sz w:val="15"/>
                <w:szCs w:val="15"/>
                <w:color w:val="auto"/>
              </w:rPr>
              <w:t>Note 8)</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12,755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(12,755)</w:t>
            </w:r>
          </w:p>
        </w:tc>
        <w:tc>
          <w:tcPr>
            <w:tcW w:w="1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(100.0)%</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5,209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13,478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(8,269)</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(61.4)%</w:t>
            </w:r>
          </w:p>
        </w:tc>
      </w:tr>
      <w:tr>
        <w:trPr>
          <w:trHeight w:val="220"/>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30,214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32,219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(2,005)</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94,058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99,894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r>
      <w:tr>
        <w:trPr>
          <w:trHeight w:val="176"/>
        </w:trPr>
        <w:tc>
          <w:tcPr>
            <w:tcW w:w="2540" w:type="dxa"/>
            <w:vAlign w:val="bottom"/>
          </w:tcPr>
          <w:p>
            <w:pPr>
              <w:ind w:left="20"/>
              <w:spacing w:after="0"/>
              <w:rPr>
                <w:sz w:val="20"/>
                <w:szCs w:val="20"/>
                <w:color w:val="auto"/>
              </w:rPr>
            </w:pPr>
            <w:r>
              <w:rPr>
                <w:rFonts w:ascii="Arial" w:cs="Arial" w:eastAsia="Arial" w:hAnsi="Arial"/>
                <w:sz w:val="15"/>
                <w:szCs w:val="15"/>
                <w:color w:val="auto"/>
              </w:rPr>
              <w:t>Interest on mandatorily redeemable</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8"/>
        </w:trPr>
        <w:tc>
          <w:tcPr>
            <w:tcW w:w="2540" w:type="dxa"/>
            <w:vAlign w:val="bottom"/>
          </w:tcPr>
          <w:p>
            <w:pPr>
              <w:ind w:left="20"/>
              <w:spacing w:after="0"/>
              <w:rPr>
                <w:sz w:val="20"/>
                <w:szCs w:val="20"/>
                <w:color w:val="auto"/>
              </w:rPr>
            </w:pPr>
            <w:r>
              <w:rPr>
                <w:rFonts w:ascii="Arial" w:cs="Arial" w:eastAsia="Arial" w:hAnsi="Arial"/>
                <w:sz w:val="15"/>
                <w:szCs w:val="15"/>
                <w:color w:val="auto"/>
              </w:rPr>
              <w:t>preferred OP units /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1,047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1,216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(169)</w:t>
            </w:r>
          </w:p>
        </w:tc>
        <w:tc>
          <w:tcPr>
            <w:tcW w:w="1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(13.9)%</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3,130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3,491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(361)</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(10.3)%</w:t>
            </w: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Gain / (loss) on remeasurement of</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marketable securities (see Note 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12,661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(11,169)</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(88.2)%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16,548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(19,184)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(115.9)%</w:t>
            </w:r>
          </w:p>
        </w:tc>
      </w:tr>
      <w:tr>
        <w:trPr>
          <w:trHeight w:val="176"/>
        </w:trPr>
        <w:tc>
          <w:tcPr>
            <w:tcW w:w="2540" w:type="dxa"/>
            <w:vAlign w:val="bottom"/>
          </w:tcPr>
          <w:p>
            <w:pPr>
              <w:ind w:left="20"/>
              <w:spacing w:after="0"/>
              <w:rPr>
                <w:sz w:val="20"/>
                <w:szCs w:val="20"/>
                <w:color w:val="auto"/>
              </w:rPr>
            </w:pPr>
            <w:r>
              <w:rPr>
                <w:rFonts w:ascii="Arial" w:cs="Arial" w:eastAsia="Arial" w:hAnsi="Arial"/>
                <w:sz w:val="15"/>
                <w:szCs w:val="15"/>
                <w:color w:val="auto"/>
              </w:rPr>
              <w:t>Gain / (loss) on foreign currency</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8"/>
        </w:trPr>
        <w:tc>
          <w:tcPr>
            <w:tcW w:w="2540" w:type="dxa"/>
            <w:vAlign w:val="bottom"/>
          </w:tcPr>
          <w:p>
            <w:pPr>
              <w:ind w:left="20"/>
              <w:spacing w:after="0"/>
              <w:rPr>
                <w:sz w:val="20"/>
                <w:szCs w:val="20"/>
                <w:color w:val="auto"/>
              </w:rPr>
            </w:pPr>
            <w:r>
              <w:rPr>
                <w:rFonts w:ascii="Arial" w:cs="Arial" w:eastAsia="Arial" w:hAnsi="Arial"/>
                <w:sz w:val="15"/>
                <w:szCs w:val="15"/>
                <w:color w:val="auto"/>
              </w:rPr>
              <w:t>translation</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4,664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(3,046)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7,710</w:t>
            </w:r>
          </w:p>
        </w:tc>
        <w:tc>
          <w:tcPr>
            <w:tcW w:w="10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5"/>
                <w:szCs w:val="15"/>
                <w:color w:val="auto"/>
              </w:rPr>
              <w:t>N/M</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(2,441)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(2,476)</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N/M</w:t>
            </w:r>
          </w:p>
        </w:tc>
      </w:tr>
      <w:tr>
        <w:trPr>
          <w:trHeight w:val="220"/>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Gain on disposition of property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5,595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5,595</w:t>
            </w: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5,595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N/A</w:t>
            </w:r>
          </w:p>
        </w:tc>
      </w:tr>
      <w:tr>
        <w:trPr>
          <w:trHeight w:val="212"/>
        </w:trPr>
        <w:tc>
          <w:tcPr>
            <w:tcW w:w="2540" w:type="dxa"/>
            <w:vAlign w:val="bottom"/>
          </w:tcPr>
          <w:p>
            <w:pPr>
              <w:ind w:left="20"/>
              <w:spacing w:after="0"/>
              <w:rPr>
                <w:sz w:val="20"/>
                <w:szCs w:val="20"/>
                <w:color w:val="auto"/>
              </w:rPr>
            </w:pPr>
            <w:r>
              <w:rPr>
                <w:rFonts w:ascii="Arial" w:cs="Arial" w:eastAsia="Arial" w:hAnsi="Arial"/>
                <w:sz w:val="15"/>
                <w:szCs w:val="15"/>
                <w:color w:val="auto"/>
              </w:rPr>
              <w:t>Other expense, net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(2,524)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(1,362)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(1,162)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85.3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(3,378)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(1,524)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(1,854)</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121.7 %</w:t>
            </w: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on remeasurement of notes</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receivable (see Note 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w:t>
            </w: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N/A</w:t>
            </w:r>
          </w:p>
        </w:tc>
      </w:tr>
      <w:tr>
        <w:trPr>
          <w:trHeight w:val="176"/>
        </w:trPr>
        <w:tc>
          <w:tcPr>
            <w:tcW w:w="2540" w:type="dxa"/>
            <w:vAlign w:val="bottom"/>
          </w:tcPr>
          <w:p>
            <w:pPr>
              <w:ind w:left="20"/>
              <w:spacing w:after="0"/>
              <w:rPr>
                <w:sz w:val="20"/>
                <w:szCs w:val="20"/>
                <w:color w:val="auto"/>
              </w:rPr>
            </w:pPr>
            <w:r>
              <w:rPr>
                <w:rFonts w:ascii="Arial" w:cs="Arial" w:eastAsia="Arial" w:hAnsi="Arial"/>
                <w:sz w:val="15"/>
                <w:szCs w:val="15"/>
                <w:color w:val="auto"/>
                <w:w w:val="97"/>
              </w:rPr>
              <w:t>Income from nonconsolidated affiliates</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8"/>
        </w:trPr>
        <w:tc>
          <w:tcPr>
            <w:tcW w:w="2540" w:type="dxa"/>
            <w:vAlign w:val="bottom"/>
          </w:tcPr>
          <w:p>
            <w:pPr>
              <w:ind w:left="20"/>
              <w:spacing w:after="0"/>
              <w:rPr>
                <w:sz w:val="20"/>
                <w:szCs w:val="20"/>
                <w:color w:val="auto"/>
              </w:rPr>
            </w:pPr>
            <w:r>
              <w:rPr>
                <w:rFonts w:ascii="Arial" w:cs="Arial" w:eastAsia="Arial" w:hAnsi="Arial"/>
                <w:sz w:val="15"/>
                <w:szCs w:val="15"/>
                <w:color w:val="auto"/>
              </w:rPr>
              <w:t>(see Note 6)</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1,204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513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691</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134.7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1,348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1,380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w w:val="92"/>
              </w:rPr>
              <w:t>Loss on remeasurement of investment in</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w w:val="97"/>
              </w:rPr>
              <w:t>nonconsolidated affiliates (see Note 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N/A</w:t>
            </w:r>
          </w:p>
        </w:tc>
      </w:tr>
      <w:tr>
        <w:trPr>
          <w:trHeight w:val="176"/>
        </w:trPr>
        <w:tc>
          <w:tcPr>
            <w:tcW w:w="2540" w:type="dxa"/>
            <w:vAlign w:val="bottom"/>
          </w:tcPr>
          <w:p>
            <w:pPr>
              <w:ind w:left="20"/>
              <w:spacing w:after="0"/>
              <w:rPr>
                <w:sz w:val="20"/>
                <w:szCs w:val="20"/>
                <w:color w:val="auto"/>
              </w:rPr>
            </w:pPr>
            <w:r>
              <w:rPr>
                <w:rFonts w:ascii="Arial" w:cs="Arial" w:eastAsia="Arial" w:hAnsi="Arial"/>
                <w:sz w:val="15"/>
                <w:szCs w:val="15"/>
                <w:color w:val="auto"/>
                <w:w w:val="91"/>
              </w:rPr>
              <w:t>Current tax benefit / (expense) (see Note</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8"/>
        </w:trPr>
        <w:tc>
          <w:tcPr>
            <w:tcW w:w="2540" w:type="dxa"/>
            <w:vAlign w:val="bottom"/>
          </w:tcPr>
          <w:p>
            <w:pPr>
              <w:ind w:left="20"/>
              <w:spacing w:after="0"/>
              <w:rPr>
                <w:sz w:val="20"/>
                <w:szCs w:val="20"/>
                <w:color w:val="auto"/>
              </w:rPr>
            </w:pPr>
            <w:r>
              <w:rPr>
                <w:rFonts w:ascii="Arial" w:cs="Arial" w:eastAsia="Arial" w:hAnsi="Arial"/>
                <w:sz w:val="15"/>
                <w:szCs w:val="15"/>
                <w:color w:val="auto"/>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107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(420)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527</w:t>
            </w:r>
          </w:p>
        </w:tc>
        <w:tc>
          <w:tcPr>
            <w:tcW w:w="1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(125.5)%</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(462)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(906)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444</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(49.0)%</w:t>
            </w: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tax benefit / (expense) (see</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Note 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562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911</w:t>
            </w: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N/M</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840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176"/>
        </w:trPr>
        <w:tc>
          <w:tcPr>
            <w:tcW w:w="2540" w:type="dxa"/>
            <w:vAlign w:val="bottom"/>
          </w:tcPr>
          <w:p>
            <w:pPr>
              <w:ind w:left="20"/>
              <w:spacing w:after="0"/>
              <w:rPr>
                <w:sz w:val="20"/>
                <w:szCs w:val="20"/>
                <w:color w:val="auto"/>
              </w:rPr>
            </w:pPr>
            <w:r>
              <w:rPr>
                <w:rFonts w:ascii="Arial" w:cs="Arial" w:eastAsia="Arial" w:hAnsi="Arial"/>
                <w:sz w:val="15"/>
                <w:szCs w:val="15"/>
                <w:color w:val="auto"/>
                <w:w w:val="97"/>
              </w:rPr>
              <w:t>Preferred return to preferred OP units /</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8"/>
        </w:trPr>
        <w:tc>
          <w:tcPr>
            <w:tcW w:w="2540" w:type="dxa"/>
            <w:vAlign w:val="bottom"/>
          </w:tcPr>
          <w:p>
            <w:pPr>
              <w:ind w:left="20"/>
              <w:spacing w:after="0"/>
              <w:rPr>
                <w:sz w:val="20"/>
                <w:szCs w:val="20"/>
                <w:color w:val="auto"/>
              </w:rPr>
            </w:pPr>
            <w:r>
              <w:rPr>
                <w:rFonts w:ascii="Arial" w:cs="Arial" w:eastAsia="Arial" w:hAnsi="Arial"/>
                <w:sz w:val="15"/>
                <w:szCs w:val="15"/>
                <w:color w:val="auto"/>
              </w:rPr>
              <w:t>equity</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1,645</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1,599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4,799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4,640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4"/>
              <w:spacing w:after="0"/>
              <w:rPr>
                <w:sz w:val="20"/>
                <w:szCs w:val="20"/>
                <w:color w:val="auto"/>
              </w:rPr>
            </w:pPr>
            <w:r>
              <w:rPr>
                <w:rFonts w:ascii="Arial" w:cs="Arial" w:eastAsia="Arial" w:hAnsi="Arial"/>
                <w:sz w:val="15"/>
                <w:szCs w:val="15"/>
                <w:color w:val="auto"/>
              </w:rPr>
              <w:t>159</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3.4 %</w:t>
            </w:r>
          </w:p>
        </w:tc>
      </w:tr>
      <w:tr>
        <w:trPr>
          <w:trHeight w:val="180"/>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attributable to noncontrolling</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6,907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5,422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1,485</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8,806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9,048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r>
      <w:tr>
        <w:trPr>
          <w:trHeight w:val="208"/>
        </w:trPr>
        <w:tc>
          <w:tcPr>
            <w:tcW w:w="2540" w:type="dxa"/>
            <w:vAlign w:val="bottom"/>
          </w:tcPr>
          <w:p>
            <w:pPr>
              <w:ind w:left="20"/>
              <w:spacing w:after="0"/>
              <w:rPr>
                <w:sz w:val="20"/>
                <w:szCs w:val="20"/>
                <w:color w:val="auto"/>
              </w:rPr>
            </w:pPr>
            <w:r>
              <w:rPr>
                <w:rFonts w:ascii="Arial" w:cs="Arial" w:eastAsia="Arial" w:hAnsi="Arial"/>
                <w:sz w:val="15"/>
                <w:szCs w:val="15"/>
                <w:color w:val="auto"/>
              </w:rPr>
              <w:t>Preferred stock distribution</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428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(428)</w:t>
            </w:r>
          </w:p>
        </w:tc>
        <w:tc>
          <w:tcPr>
            <w:tcW w:w="1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5"/>
                <w:szCs w:val="15"/>
                <w:color w:val="auto"/>
              </w:rPr>
              <w:t>N/M</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1,288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(1,288)</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N/M</w:t>
            </w:r>
          </w:p>
        </w:tc>
      </w:tr>
    </w:tbl>
    <w:p>
      <w:pPr>
        <w:spacing w:after="0" w:line="103" w:lineRule="exact"/>
        <w:rPr>
          <w:sz w:val="20"/>
          <w:szCs w:val="20"/>
          <w:color w:val="auto"/>
        </w:rPr>
      </w:pPr>
    </w:p>
    <w:p>
      <w:pPr>
        <w:ind w:right="3280" w:firstLine="8"/>
        <w:spacing w:after="0" w:line="298" w:lineRule="auto"/>
        <w:tabs>
          <w:tab w:leader="none" w:pos="140" w:val="left"/>
        </w:tabs>
        <w:numPr>
          <w:ilvl w:val="0"/>
          <w:numId w:val="30"/>
        </w:numPr>
        <w:rPr>
          <w:rFonts w:ascii="Arial" w:cs="Arial" w:eastAsia="Arial" w:hAnsi="Arial"/>
          <w:sz w:val="16"/>
          <w:szCs w:val="16"/>
          <w:color w:val="auto"/>
          <w:vertAlign w:val="superscript"/>
        </w:rPr>
      </w:pPr>
      <w:r>
        <w:rPr>
          <w:rFonts w:ascii="Arial" w:cs="Arial" w:eastAsia="Arial" w:hAnsi="Arial"/>
          <w:sz w:val="13"/>
          <w:szCs w:val="13"/>
          <w:color w:val="auto"/>
        </w:rPr>
        <w:t>Only items determined by management to be material, of interest, or unique to the periods disclosed above are explained below. N/M = Percentage change is not meaningful.</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Ancillary revenues, net - </w:t>
      </w:r>
      <w:r>
        <w:rPr>
          <w:rFonts w:ascii="Arial" w:cs="Arial" w:eastAsia="Arial" w:hAnsi="Arial"/>
          <w:sz w:val="18"/>
          <w:szCs w:val="18"/>
          <w:color w:val="auto"/>
        </w:rPr>
        <w:t>for the three and nine months ended September 30, 2020, increased primarily due to lifting of various COVID-19 related travel</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leading to more guest reservations in vacation rental homes and ancillary purchases at RV resorts.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 </w:t>
      </w:r>
      <w:r>
        <w:rPr>
          <w:rFonts w:ascii="Arial" w:cs="Arial" w:eastAsia="Arial" w:hAnsi="Arial"/>
          <w:sz w:val="18"/>
          <w:szCs w:val="18"/>
          <w:color w:val="auto"/>
        </w:rPr>
        <w:t>for the three and nine months ended September 30, 2020, decreased primarily due to lower balances on our notes receivable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derecognition of collateralized notes receivable in November 2019.</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General and administrative expenses - </w:t>
      </w:r>
      <w:r>
        <w:rPr>
          <w:rFonts w:ascii="Arial" w:cs="Arial" w:eastAsia="Arial" w:hAnsi="Arial"/>
          <w:sz w:val="18"/>
          <w:szCs w:val="18"/>
          <w:color w:val="auto"/>
        </w:rPr>
        <w:t>for the three and nine months ended September 30, 2020, increased primarily due to an increase 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amortization, legal costs and consulting fees as compared to the same period in 2019, and COVID-19 personal protective equipment expense that did not exist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Depreciation and amortization - </w:t>
      </w:r>
      <w:r>
        <w:rPr>
          <w:rFonts w:ascii="Arial" w:cs="Arial" w:eastAsia="Arial" w:hAnsi="Arial"/>
          <w:sz w:val="17"/>
          <w:szCs w:val="17"/>
          <w:color w:val="auto"/>
        </w:rPr>
        <w:t>for the three and nine months ended September 30, 2020, increased as a result of property acquisitions during 2019 and</w:t>
      </w:r>
      <w:r>
        <w:rPr>
          <w:rFonts w:ascii="Arial" w:cs="Arial" w:eastAsia="Arial" w:hAnsi="Arial"/>
          <w:sz w:val="17"/>
          <w:szCs w:val="17"/>
          <w:i w:val="1"/>
          <w:iCs w:val="1"/>
          <w:color w:val="auto"/>
        </w:rPr>
        <w:t xml:space="preserve"> </w:t>
      </w:r>
      <w:r>
        <w:rPr>
          <w:rFonts w:ascii="Arial" w:cs="Arial" w:eastAsia="Arial" w:hAnsi="Arial"/>
          <w:sz w:val="17"/>
          <w:szCs w:val="17"/>
          <w:color w:val="auto"/>
        </w:rPr>
        <w:t>2020. Refer to Note 3, “Real Estate Acquisitions,” in our accompanying Consolidated Financial Statements for additional information.</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Loss on extinguishment of debt - </w:t>
      </w:r>
      <w:r>
        <w:rPr>
          <w:rFonts w:ascii="Arial" w:cs="Arial" w:eastAsia="Arial" w:hAnsi="Arial"/>
          <w:sz w:val="17"/>
          <w:szCs w:val="17"/>
          <w:color w:val="auto"/>
        </w:rPr>
        <w:t>for the nine months ended September 30, 2020, decreased primarily due to fewer prepayment penalties related to debt and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activity as compared to the same period in 2019. There was no extinguishment of debt during the three months ended September 30, 2020. Refer to Note 8, “Debt and Lines of Credit,” in our accompanying Consolidated Financial Statements for additional information.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Interest expense - </w:t>
      </w:r>
      <w:r>
        <w:rPr>
          <w:rFonts w:ascii="Arial" w:cs="Arial" w:eastAsia="Arial" w:hAnsi="Arial"/>
          <w:sz w:val="18"/>
          <w:szCs w:val="18"/>
          <w:color w:val="auto"/>
        </w:rPr>
        <w:t>for the three and nine months ended September 30, 2020, decreased primarily due to lower prevailing interest rates and lower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on our lines of credit as compared to the same period in 2019. Refer to Note 8, “Debt and Lines of Credit,” of our accompanying Consolidated Financial Statements for additional information.</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Gain / (loss) on remeasurement of marketable securities - </w:t>
      </w:r>
      <w:r>
        <w:rPr>
          <w:rFonts w:ascii="Arial" w:cs="Arial" w:eastAsia="Arial" w:hAnsi="Arial"/>
          <w:sz w:val="16"/>
          <w:szCs w:val="16"/>
          <w:color w:val="auto"/>
        </w:rPr>
        <w:t>for the three months ended September 30, 2020, was a $1.5 million gain as compared to a</w:t>
      </w:r>
      <w:r>
        <w:rPr>
          <w:rFonts w:ascii="Arial" w:cs="Arial" w:eastAsia="Arial" w:hAnsi="Arial"/>
          <w:sz w:val="16"/>
          <w:szCs w:val="16"/>
          <w:i w:val="1"/>
          <w:iCs w:val="1"/>
          <w:color w:val="auto"/>
        </w:rPr>
        <w:t xml:space="preserve"> </w:t>
      </w:r>
      <w:r>
        <w:rPr>
          <w:rFonts w:ascii="Arial" w:cs="Arial" w:eastAsia="Arial" w:hAnsi="Arial"/>
          <w:sz w:val="16"/>
          <w:szCs w:val="16"/>
          <w:color w:val="auto"/>
        </w:rPr>
        <w:t>$12.7 million gain in the same period in 2019, which represent remeasurement gains from our investment in marketable securities. For the nine months ended September 30, 2020, there was a $2.6 million loss on remeasurement of marketable securities as compared to a $16.5 million gain in the same period in 2019. Refer to Note 14, “Fair Value of Financial Instruments,” in our accompanying Consolidated Financial Statements for additional information.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Gain / (loss) on foreign currency translation - </w:t>
      </w:r>
      <w:r>
        <w:rPr>
          <w:rFonts w:ascii="Arial" w:cs="Arial" w:eastAsia="Arial" w:hAnsi="Arial"/>
          <w:sz w:val="18"/>
          <w:szCs w:val="18"/>
          <w:color w:val="auto"/>
        </w:rPr>
        <w:t>for the three months ended September 30, 2020, was a $4.7 million gain as compared to a $3.0 million loss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2019, primarily due to the fluctuation in exchange rate on Canadian and Australian denominated currencies. For the nine months ended September 30, 2020, there was a $2.4 million loss as compared to a nominal gain in the same period in 2019.</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Gain on disposition of property </w:t>
      </w:r>
      <w:r>
        <w:rPr>
          <w:rFonts w:ascii="Arial" w:cs="Arial" w:eastAsia="Arial" w:hAnsi="Arial"/>
          <w:sz w:val="18"/>
          <w:szCs w:val="18"/>
          <w:color w:val="auto"/>
        </w:rPr>
        <w:t>- for the three months ended September 30, 2020, was a $5.6 million gain. There was no disposition of property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2019. Refer to Note 3</w:t>
      </w:r>
      <w:r>
        <w:rPr>
          <w:rFonts w:ascii="Arial" w:cs="Arial" w:eastAsia="Arial" w:hAnsi="Arial"/>
          <w:sz w:val="18"/>
          <w:szCs w:val="18"/>
          <w:i w:val="1"/>
          <w:iCs w:val="1"/>
          <w:color w:val="auto"/>
        </w:rPr>
        <w:t>, “</w:t>
      </w:r>
      <w:r>
        <w:rPr>
          <w:rFonts w:ascii="Arial" w:cs="Arial" w:eastAsia="Arial" w:hAnsi="Arial"/>
          <w:sz w:val="18"/>
          <w:szCs w:val="18"/>
          <w:color w:val="auto"/>
        </w:rPr>
        <w:t>Real Estate Acquisitions and Dispositions,” in our accompanying Consolidated Financial Statements for additional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Loss on remeasurement of notes receivable - </w:t>
      </w:r>
      <w:r>
        <w:rPr>
          <w:rFonts w:ascii="Arial" w:cs="Arial" w:eastAsia="Arial" w:hAnsi="Arial"/>
          <w:sz w:val="18"/>
          <w:szCs w:val="18"/>
          <w:color w:val="auto"/>
        </w:rPr>
        <w:t>represents the adjustment of our in-house financing notes receivable portfolio, for which we elected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option on January 1, 2020. Refer to Note 4, “Notes and Other Receivables,” and Note 14, “Fair Value of Financial Instruments,” in our accompanying Consolidated Financial Statements for additional information.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Loss on remeasurement of investment in nonconsolidated affiliates - </w:t>
      </w:r>
      <w:r>
        <w:rPr>
          <w:rFonts w:ascii="Arial" w:cs="Arial" w:eastAsia="Arial" w:hAnsi="Arial"/>
          <w:sz w:val="18"/>
          <w:szCs w:val="18"/>
          <w:color w:val="auto"/>
        </w:rPr>
        <w:t>represents the adjustment of our equity investment in GTSC, for which we elected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fair value option on January 1, 2020. Refer to Note 6, </w:t>
      </w:r>
      <w:r>
        <w:rPr>
          <w:rFonts w:ascii="Arial" w:cs="Arial" w:eastAsia="Arial" w:hAnsi="Arial"/>
          <w:sz w:val="18"/>
          <w:szCs w:val="18"/>
          <w:b w:val="1"/>
          <w:bCs w:val="1"/>
          <w:color w:val="auto"/>
        </w:rPr>
        <w:t>“</w:t>
      </w:r>
      <w:r>
        <w:rPr>
          <w:rFonts w:ascii="Arial" w:cs="Arial" w:eastAsia="Arial" w:hAnsi="Arial"/>
          <w:sz w:val="18"/>
          <w:szCs w:val="18"/>
          <w:color w:val="auto"/>
        </w:rPr>
        <w:t>Investment in Nonconsolidated Affiliates,” in our accompanying Consolidated Financial Statements for additional information.</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Income attributable to noncontrolling interests - </w:t>
      </w:r>
      <w:r>
        <w:rPr>
          <w:rFonts w:ascii="Arial" w:cs="Arial" w:eastAsia="Arial" w:hAnsi="Arial"/>
          <w:sz w:val="17"/>
          <w:szCs w:val="17"/>
          <w:color w:val="auto"/>
        </w:rPr>
        <w:t>for the three months ended September 30, 2020, increased as compared to the same period in 2019,</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improved financial performance of the Company and its consolidated VIEs. For the nine months ended September 30, 2020, the cumulative decrease was primarily a result of decreased performance in our RV based joint ventures as compared to the same period in 2019. This decreased performance is attributable to the impact of COVID-19 on reservations at RV resorts during the first and second quarter of 2020.</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Attributable to Sun Communities, Inc. Common Stockholders to FFO</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Net income attributable to Sun Communities, Inc. common stockholders to FFO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 (in thousands, except per share amounts):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right="820"/>
        <w:spacing w:after="0" w:line="303" w:lineRule="auto"/>
        <w:rPr>
          <w:sz w:val="20"/>
          <w:szCs w:val="20"/>
          <w:color w:val="auto"/>
        </w:rPr>
      </w:pPr>
      <w:r>
        <w:rPr>
          <w:rFonts w:ascii="Arial" w:cs="Arial" w:eastAsia="Arial" w:hAnsi="Arial"/>
          <w:sz w:val="15"/>
          <w:szCs w:val="15"/>
          <w:b w:val="1"/>
          <w:bCs w:val="1"/>
          <w:color w:val="auto"/>
        </w:rPr>
        <w:t xml:space="preserve">Net Income Attributable to Sun Communities, Inc. Common Stockholders </w:t>
      </w:r>
      <w:r>
        <w:rPr>
          <w:rFonts w:ascii="Arial" w:cs="Arial" w:eastAsia="Arial" w:hAnsi="Arial"/>
          <w:sz w:val="15"/>
          <w:szCs w:val="15"/>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5"/>
          <w:szCs w:val="15"/>
          <w:color w:val="auto"/>
        </w:rPr>
        <w:t>Depreciation and amortization</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Depreciation on nonconsolidated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Gain / (loss) on remeasurement of marketable securities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Loss on remeasurement of investment in nonconsolidated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Loss on remeasurement of notes receivable</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Preferred return to preferred OP units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Interest Expense on Aspen preferred OP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Preferred distribution to Series A-4 preferred stock</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Gain on disposition of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Gain on disposition of assets, net</w:t>
      </w:r>
    </w:p>
    <w:p>
      <w:pPr>
        <w:spacing w:after="0" w:line="26" w:lineRule="exact"/>
        <w:rPr>
          <w:sz w:val="20"/>
          <w:szCs w:val="20"/>
          <w:color w:val="auto"/>
        </w:rPr>
      </w:pPr>
    </w:p>
    <w:p>
      <w:pPr>
        <w:ind w:left="20" w:right="360"/>
        <w:spacing w:after="0" w:line="242" w:lineRule="auto"/>
        <w:rPr>
          <w:sz w:val="20"/>
          <w:szCs w:val="20"/>
          <w:color w:val="auto"/>
        </w:rPr>
      </w:pPr>
      <w:r>
        <w:rPr>
          <w:rFonts w:ascii="Arial" w:cs="Arial" w:eastAsia="Arial" w:hAnsi="Arial"/>
          <w:sz w:val="15"/>
          <w:szCs w:val="15"/>
          <w:b w:val="1"/>
          <w:bCs w:val="1"/>
          <w:color w:val="auto"/>
        </w:rPr>
        <w:t>FFO Attributable To Sun Communities, Inc. Common Stockholders And Dilutive Convertible Securities</w:t>
      </w:r>
      <w:r>
        <w:rPr>
          <w:rFonts w:ascii="Arial" w:cs="Arial" w:eastAsia="Arial" w:hAnsi="Arial"/>
          <w:sz w:val="9"/>
          <w:szCs w:val="9"/>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Adjustments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Other acquisition related costs </w:t>
      </w:r>
      <w:r>
        <w:rPr>
          <w:rFonts w:ascii="Arial" w:cs="Arial" w:eastAsia="Arial" w:hAnsi="Arial"/>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Loss on extinguishment of debt</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Catastrophic weather-related charges,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Loss of earnings - catastrophic weather related </w:t>
      </w:r>
      <w:r>
        <w:rPr>
          <w:rFonts w:ascii="Arial" w:cs="Arial" w:eastAsia="Arial" w:hAnsi="Arial"/>
          <w:sz w:val="9"/>
          <w:szCs w:val="9"/>
          <w:color w:val="auto"/>
        </w:rPr>
        <w:t>(3)</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(Gain) / loss on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Other expense, net</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Other adjustments </w:t>
      </w:r>
      <w:r>
        <w:rPr>
          <w:rFonts w:ascii="Arial" w:cs="Arial" w:eastAsia="Arial" w:hAnsi="Arial"/>
          <w:sz w:val="9"/>
          <w:szCs w:val="9"/>
          <w:color w:val="auto"/>
        </w:rPr>
        <w:t>(4)</w:t>
      </w:r>
    </w:p>
    <w:p>
      <w:pPr>
        <w:spacing w:after="0" w:line="26" w:lineRule="exact"/>
        <w:rPr>
          <w:sz w:val="20"/>
          <w:szCs w:val="20"/>
          <w:color w:val="auto"/>
        </w:rPr>
      </w:pPr>
    </w:p>
    <w:p>
      <w:pPr>
        <w:ind w:left="20"/>
        <w:spacing w:after="0" w:line="242" w:lineRule="auto"/>
        <w:rPr>
          <w:sz w:val="20"/>
          <w:szCs w:val="20"/>
          <w:color w:val="auto"/>
        </w:rPr>
      </w:pPr>
      <w:r>
        <w:rPr>
          <w:rFonts w:ascii="Arial" w:cs="Arial" w:eastAsia="Arial" w:hAnsi="Arial"/>
          <w:sz w:val="15"/>
          <w:szCs w:val="15"/>
          <w:b w:val="1"/>
          <w:bCs w:val="1"/>
          <w:color w:val="auto"/>
        </w:rPr>
        <w:t>Core FFO Attributable To Sun Communities, Inc. Common Stockholders And Dilutive Convertible Securities</w:t>
      </w:r>
      <w:r>
        <w:rPr>
          <w:rFonts w:ascii="Arial" w:cs="Arial" w:eastAsia="Arial" w:hAnsi="Arial"/>
          <w:sz w:val="9"/>
          <w:szCs w:val="9"/>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222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3" w:lineRule="exact"/>
        <w:rPr>
          <w:sz w:val="20"/>
          <w:szCs w:val="20"/>
          <w:color w:val="auto"/>
        </w:rPr>
      </w:pPr>
    </w:p>
    <w:p>
      <w:pPr>
        <w:ind w:left="20" w:right="2380"/>
        <w:spacing w:after="0" w:line="300" w:lineRule="auto"/>
        <w:rPr>
          <w:sz w:val="20"/>
          <w:szCs w:val="20"/>
          <w:color w:val="auto"/>
        </w:rPr>
      </w:pPr>
      <w:r>
        <w:rPr>
          <w:rFonts w:ascii="Arial" w:cs="Arial" w:eastAsia="Arial" w:hAnsi="Arial"/>
          <w:sz w:val="15"/>
          <w:szCs w:val="15"/>
          <w:color w:val="auto"/>
        </w:rPr>
        <w:t>Weighted average common shares outstanding - basic 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5"/>
          <w:szCs w:val="15"/>
          <w:color w:val="auto"/>
        </w:rPr>
        <w:t>Common shares dilutive effect from forward sale agreement</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Common stock issuable upon conversion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Restricted stock</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Common OP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Common stock issuable upon conversion of Aspen preferred OP units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Common stock issuable upon conversion of Series A-3 preferred OP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Common stock issuable upon conversion of Series A-1 preferred OP units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Common stock issuable upon conversion of Series A-4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Weighted Average Common Shares Outstanding - Fully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240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86" w:lineRule="exact"/>
        <w:rPr>
          <w:sz w:val="20"/>
          <w:szCs w:val="20"/>
          <w:color w:val="auto"/>
        </w:rPr>
      </w:pPr>
    </w:p>
    <w:p>
      <w:pPr>
        <w:ind w:left="20" w:right="360"/>
        <w:spacing w:after="0" w:line="261" w:lineRule="auto"/>
        <w:rPr>
          <w:sz w:val="20"/>
          <w:szCs w:val="20"/>
          <w:color w:val="auto"/>
        </w:rPr>
      </w:pPr>
      <w:r>
        <w:rPr>
          <w:rFonts w:ascii="Arial" w:cs="Arial" w:eastAsia="Arial" w:hAnsi="Arial"/>
          <w:sz w:val="15"/>
          <w:szCs w:val="15"/>
          <w:b w:val="1"/>
          <w:bCs w:val="1"/>
          <w:color w:val="auto"/>
        </w:rPr>
        <w:t>FFO Attributable To Sun Communities, Inc. Common Stockholders And Dilutive Convertible Securities Per Share - Fully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2400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45" w:lineRule="exact"/>
        <w:rPr>
          <w:sz w:val="20"/>
          <w:szCs w:val="20"/>
          <w:color w:val="auto"/>
        </w:rPr>
      </w:pPr>
    </w:p>
    <w:p>
      <w:pPr>
        <w:ind w:left="20"/>
        <w:spacing w:after="0" w:line="261" w:lineRule="auto"/>
        <w:rPr>
          <w:sz w:val="20"/>
          <w:szCs w:val="20"/>
          <w:color w:val="auto"/>
        </w:rPr>
      </w:pPr>
      <w:r>
        <w:rPr>
          <w:rFonts w:ascii="Arial" w:cs="Arial" w:eastAsia="Arial" w:hAnsi="Arial"/>
          <w:sz w:val="15"/>
          <w:szCs w:val="15"/>
          <w:b w:val="1"/>
          <w:bCs w:val="1"/>
          <w:color w:val="auto"/>
        </w:rPr>
        <w:t>Core FFO Attributable To Sun Communities, Inc. Common Stockholders And Dilutive Convertible Securities Per Share - Fully Diluted</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5"/>
                <w:szCs w:val="15"/>
                <w:b w:val="1"/>
                <w:bCs w:val="1"/>
                <w:color w:val="auto"/>
              </w:rPr>
              <w:t>Nine Months Ended</w:t>
            </w:r>
          </w:p>
        </w:tc>
      </w:tr>
      <w:tr>
        <w:trPr>
          <w:trHeight w:val="169"/>
        </w:trPr>
        <w:tc>
          <w:tcPr>
            <w:tcW w:w="120" w:type="dxa"/>
            <w:vAlign w:val="bottom"/>
          </w:tcPr>
          <w:p>
            <w:pPr>
              <w:spacing w:after="0"/>
              <w:rPr>
                <w:sz w:val="14"/>
                <w:szCs w:val="14"/>
                <w:color w:val="auto"/>
              </w:rPr>
            </w:pPr>
          </w:p>
        </w:tc>
        <w:tc>
          <w:tcPr>
            <w:tcW w:w="120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132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120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4"/>
                <w:szCs w:val="14"/>
                <w:color w:val="auto"/>
              </w:rPr>
            </w:pPr>
          </w:p>
        </w:tc>
        <w:tc>
          <w:tcPr>
            <w:tcW w:w="1100" w:type="dxa"/>
            <w:vAlign w:val="bottom"/>
          </w:tcPr>
          <w:p>
            <w:pPr>
              <w:jc w:val="right"/>
              <w:ind w:right="64"/>
              <w:spacing w:after="0" w:line="169" w:lineRule="exact"/>
              <w:rPr>
                <w:sz w:val="20"/>
                <w:szCs w:val="20"/>
                <w:color w:val="auto"/>
              </w:rPr>
            </w:pPr>
            <w:r>
              <w:rPr>
                <w:rFonts w:ascii="Arial" w:cs="Arial" w:eastAsia="Arial" w:hAnsi="Arial"/>
                <w:sz w:val="15"/>
                <w:szCs w:val="15"/>
                <w:b w:val="1"/>
                <w:bCs w:val="1"/>
                <w:color w:val="auto"/>
                <w:w w:val="91"/>
              </w:rPr>
              <w:t>September 30,</w:t>
            </w:r>
          </w:p>
        </w:tc>
      </w:tr>
      <w:tr>
        <w:trPr>
          <w:trHeight w:val="202"/>
        </w:trPr>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2019</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2019</w:t>
            </w:r>
          </w:p>
        </w:tc>
      </w:tr>
      <w:tr>
        <w:trPr>
          <w:trHeight w:val="205"/>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81,204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57,002</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124,028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131,718</w:t>
            </w:r>
          </w:p>
        </w:tc>
      </w:tr>
      <w:tr>
        <w:trPr>
          <w:trHeight w:val="432"/>
        </w:trPr>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88,495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76,692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259,543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229,698</w:t>
            </w:r>
          </w:p>
        </w:tc>
      </w:tr>
      <w:tr>
        <w:trPr>
          <w:trHeight w:val="216"/>
        </w:trPr>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16"/>
        </w:trPr>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(12,661)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2,636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(16,548)</w:t>
            </w:r>
          </w:p>
        </w:tc>
      </w:tr>
      <w:tr>
        <w:trPr>
          <w:trHeight w:val="216"/>
        </w:trPr>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1,505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16"/>
        </w:trPr>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16"/>
        </w:trPr>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6,196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4,839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7,725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7,720</w:t>
            </w:r>
          </w:p>
        </w:tc>
      </w:tr>
      <w:tr>
        <w:trPr>
          <w:trHeight w:val="216"/>
        </w:trPr>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530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1,498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1,594</w:t>
            </w:r>
          </w:p>
        </w:tc>
      </w:tr>
      <w:tr>
        <w:trPr>
          <w:trHeight w:val="216"/>
        </w:trPr>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1,542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16"/>
        </w:trPr>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428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1,288</w:t>
            </w:r>
          </w:p>
        </w:tc>
      </w:tr>
      <w:tr>
        <w:trPr>
          <w:trHeight w:val="216"/>
        </w:trPr>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(5,595)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(5,595)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20"/>
        </w:trPr>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(5,511)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(7,334)</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(15,251)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(21,083)</w:t>
            </w:r>
          </w:p>
        </w:tc>
      </w:tr>
      <w:tr>
        <w:trPr>
          <w:trHeight w:val="381"/>
        </w:trPr>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165,209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119,496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379,970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334,387</w:t>
            </w:r>
          </w:p>
        </w:tc>
      </w:tr>
      <w:tr>
        <w:trPr>
          <w:trHeight w:val="621"/>
        </w:trPr>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375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1,291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902</w:t>
            </w:r>
          </w:p>
        </w:tc>
      </w:tr>
      <w:tr>
        <w:trPr>
          <w:trHeight w:val="216"/>
        </w:trPr>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12,755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5,209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13,478</w:t>
            </w:r>
          </w:p>
        </w:tc>
      </w:tr>
      <w:tr>
        <w:trPr>
          <w:trHeight w:val="216"/>
        </w:trPr>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363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1,339</w:t>
            </w:r>
          </w:p>
        </w:tc>
      </w:tr>
      <w:tr>
        <w:trPr>
          <w:trHeight w:val="216"/>
        </w:trPr>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16"/>
        </w:trPr>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(4,664)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3,046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2,441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16"/>
        </w:trPr>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2,524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1,362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3,378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1,524</w:t>
            </w:r>
          </w:p>
        </w:tc>
      </w:tr>
      <w:tr>
        <w:trPr>
          <w:trHeight w:val="220"/>
        </w:trPr>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349</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36</w:t>
            </w:r>
          </w:p>
        </w:tc>
      </w:tr>
      <w:tr>
        <w:trPr>
          <w:trHeight w:val="246"/>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162,624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137,369</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391,839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351,631</w:t>
            </w:r>
          </w:p>
        </w:tc>
      </w:tr>
      <w:tr>
        <w:trPr>
          <w:trHeight w:val="62"/>
        </w:trPr>
        <w:tc>
          <w:tcPr>
            <w:tcW w:w="1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36"/>
        </w:trPr>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97,542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89,847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95,270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87,499</w:t>
            </w:r>
          </w:p>
        </w:tc>
      </w:tr>
      <w:tr>
        <w:trPr>
          <w:trHeight w:val="432"/>
        </w:trPr>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16"/>
        </w:trPr>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w:t>
            </w:r>
          </w:p>
        </w:tc>
      </w:tr>
      <w:tr>
        <w:trPr>
          <w:trHeight w:val="216"/>
        </w:trPr>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484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395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431</w:t>
            </w:r>
          </w:p>
        </w:tc>
      </w:tr>
      <w:tr>
        <w:trPr>
          <w:trHeight w:val="216"/>
        </w:trPr>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2,476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2,284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2,445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2,498</w:t>
            </w:r>
          </w:p>
        </w:tc>
      </w:tr>
      <w:tr>
        <w:trPr>
          <w:trHeight w:val="216"/>
        </w:trPr>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408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16"/>
        </w:trPr>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75</w:t>
            </w:r>
          </w:p>
        </w:tc>
      </w:tr>
      <w:tr>
        <w:trPr>
          <w:trHeight w:val="216"/>
        </w:trPr>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780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737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792</w:t>
            </w:r>
          </w:p>
        </w:tc>
      </w:tr>
      <w:tr>
        <w:trPr>
          <w:trHeight w:val="220"/>
        </w:trPr>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467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467</w:t>
            </w:r>
          </w:p>
        </w:tc>
      </w:tr>
      <w:tr>
        <w:trPr>
          <w:trHeight w:val="209"/>
        </w:trPr>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101,628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93,938</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99,333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91,763</w:t>
            </w:r>
          </w:p>
        </w:tc>
      </w:tr>
      <w:tr>
        <w:trPr>
          <w:trHeight w:val="25"/>
        </w:trPr>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498"/>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1.63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1.27</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3.83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3.64</w:t>
            </w:r>
          </w:p>
        </w:tc>
      </w:tr>
      <w:tr>
        <w:trPr>
          <w:trHeight w:val="540"/>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1.60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1.46</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3.94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3.83</w:t>
            </w:r>
          </w:p>
        </w:tc>
      </w:tr>
    </w:tbl>
    <w:p>
      <w:pPr>
        <w:spacing w:after="0" w:line="214" w:lineRule="exact"/>
        <w:rPr>
          <w:sz w:val="20"/>
          <w:szCs w:val="20"/>
          <w:color w:val="auto"/>
        </w:rPr>
      </w:pPr>
    </w:p>
    <w:p>
      <w:pPr>
        <w:sectPr>
          <w:pgSz w:w="11900" w:h="16838" w:orient="portrait"/>
          <w:cols w:equalWidth="0" w:num="2">
            <w:col w:w="5680" w:space="260"/>
            <w:col w:w="5300"/>
          </w:cols>
          <w:pgMar w:left="320" w:top="364" w:right="339" w:bottom="1440" w:gutter="0" w:footer="0" w:header="0"/>
          <w:type w:val="continuous"/>
        </w:sectPr>
      </w:pPr>
    </w:p>
    <w:p>
      <w:pPr>
        <w:spacing w:after="0" w:line="17" w:lineRule="exact"/>
        <w:rPr>
          <w:sz w:val="20"/>
          <w:szCs w:val="20"/>
          <w:color w:val="auto"/>
        </w:rPr>
      </w:pPr>
    </w:p>
    <w:p>
      <w:pPr>
        <w:ind w:left="140" w:hanging="132"/>
        <w:spacing w:after="0"/>
        <w:tabs>
          <w:tab w:leader="none" w:pos="140" w:val="left"/>
        </w:tabs>
        <w:numPr>
          <w:ilvl w:val="0"/>
          <w:numId w:val="31"/>
        </w:numPr>
        <w:rPr>
          <w:rFonts w:ascii="Arial" w:cs="Arial" w:eastAsia="Arial" w:hAnsi="Arial"/>
          <w:sz w:val="9"/>
          <w:szCs w:val="9"/>
          <w:color w:val="auto"/>
        </w:rPr>
      </w:pPr>
      <w:r>
        <w:rPr>
          <w:rFonts w:ascii="Arial" w:cs="Arial" w:eastAsia="Arial" w:hAnsi="Arial"/>
          <w:sz w:val="14"/>
          <w:szCs w:val="14"/>
          <w:color w:val="auto"/>
        </w:rPr>
        <w:t>The effect of certain anti-dilutive convertible securities is excluded from these items.</w:t>
      </w:r>
    </w:p>
    <w:p>
      <w:pPr>
        <w:spacing w:after="0" w:line="13" w:lineRule="exact"/>
        <w:rPr>
          <w:rFonts w:ascii="Arial" w:cs="Arial" w:eastAsia="Arial" w:hAnsi="Arial"/>
          <w:sz w:val="9"/>
          <w:szCs w:val="9"/>
          <w:color w:val="auto"/>
        </w:rPr>
      </w:pPr>
    </w:p>
    <w:p>
      <w:pPr>
        <w:ind w:left="260" w:hanging="252"/>
        <w:spacing w:after="0" w:line="241" w:lineRule="auto"/>
        <w:tabs>
          <w:tab w:leader="none" w:pos="149" w:val="left"/>
        </w:tabs>
        <w:numPr>
          <w:ilvl w:val="0"/>
          <w:numId w:val="31"/>
        </w:numPr>
        <w:rPr>
          <w:rFonts w:ascii="Arial" w:cs="Arial" w:eastAsia="Arial" w:hAnsi="Arial"/>
          <w:sz w:val="9"/>
          <w:szCs w:val="9"/>
          <w:color w:val="auto"/>
        </w:rPr>
      </w:pPr>
      <w:r>
        <w:rPr>
          <w:rFonts w:ascii="Arial" w:cs="Arial" w:eastAsia="Arial" w:hAnsi="Arial"/>
          <w:sz w:val="14"/>
          <w:szCs w:val="14"/>
          <w:color w:val="auto"/>
        </w:rPr>
        <w:t>These costs represent the expenses incurred to bring recently acquired properties up to our operating standards, including items such as tree trimming and painting costs that do not meet our capitalization policy.</w:t>
      </w:r>
    </w:p>
    <w:p>
      <w:pPr>
        <w:ind w:left="260" w:right="20" w:hanging="252"/>
        <w:spacing w:after="0" w:line="241" w:lineRule="auto"/>
        <w:tabs>
          <w:tab w:leader="none" w:pos="149" w:val="left"/>
        </w:tabs>
        <w:numPr>
          <w:ilvl w:val="0"/>
          <w:numId w:val="31"/>
        </w:numPr>
        <w:rPr>
          <w:rFonts w:ascii="Arial" w:cs="Arial" w:eastAsia="Arial" w:hAnsi="Arial"/>
          <w:sz w:val="9"/>
          <w:szCs w:val="9"/>
          <w:color w:val="auto"/>
        </w:rPr>
      </w:pPr>
      <w:r>
        <w:rPr>
          <w:rFonts w:ascii="Arial" w:cs="Arial" w:eastAsia="Arial" w:hAnsi="Arial"/>
          <w:sz w:val="14"/>
          <w:szCs w:val="14"/>
          <w:color w:val="auto"/>
        </w:rPr>
        <w:t>Adjustment represents estimated loss of earnings in excess of the applicable business interruption deductible in relation to our three Florida Keys communities that were impaired by Hurricane Irma which had not yet been received from our insurer.</w:t>
      </w:r>
    </w:p>
    <w:p>
      <w:pPr>
        <w:ind w:left="140" w:hanging="132"/>
        <w:spacing w:after="0"/>
        <w:tabs>
          <w:tab w:leader="none" w:pos="140" w:val="left"/>
        </w:tabs>
        <w:numPr>
          <w:ilvl w:val="0"/>
          <w:numId w:val="31"/>
        </w:numPr>
        <w:rPr>
          <w:rFonts w:ascii="Arial" w:cs="Arial" w:eastAsia="Arial" w:hAnsi="Arial"/>
          <w:sz w:val="9"/>
          <w:szCs w:val="9"/>
          <w:color w:val="auto"/>
        </w:rPr>
      </w:pPr>
      <w:r>
        <w:rPr>
          <w:rFonts w:ascii="Arial" w:cs="Arial" w:eastAsia="Arial" w:hAnsi="Arial"/>
          <w:sz w:val="14"/>
          <w:szCs w:val="14"/>
          <w:color w:val="auto"/>
        </w:rPr>
        <w:t>Adjustments include deferred compensation amortization upon retirement and deferred tax (benefit) / expense.</w:t>
      </w:r>
    </w:p>
    <w:p>
      <w:pPr>
        <w:sectPr>
          <w:pgSz w:w="11900" w:h="16838" w:orient="portrait"/>
          <w:cols w:equalWidth="0" w:num="1">
            <w:col w:w="11240"/>
          </w:cols>
          <w:pgMar w:left="320" w:top="364" w:right="339"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liquidity demands have historically been, and are expected to continue to be, distributions to our stockholders and the unit holders of the Operating Partnership, capital improvement of properties, the purchase of new and pre-owned homes, property acquisitions, development and expansion of properties, and debt repayment.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 to market conditions, we intend to continue to identify opportunities to expand our development pipeline and acquire existing communities. We finance acquisitions through available cash, secured financing, draws on our lines of credit, the assumption of existing debt on properties, and the issuance of equity securities. We will continue to evaluate acquisition opportunities that meet our criteria. Refer to Note 3, “Real Estate Acquisitions and Dispositions,” in our accompanying Consolidated Financial Statements for information regarding recent community acquisitions.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intend to continue to strengthen our capital and liquidity positions by focusing on our core fundamentals, which are generating positive cash flows from operations, maintaining appropriate debt levels and leverage ratios, and controlling overhead costs. We intend to meet our liquidity requirements through available cash balances, cash flows generated from operations, draws on our lines of credit, and the use of debt and equity offerings under our shelf registration statement. Refer to Note 8, “Debt and Lines of Credit,” and Note 9, “Equity and Temporary Equity,” in our accompanying Consolidated Financial Statements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capital expenditures include expansion sites and development construction costs, lot modifications, recurring capital expenditures and rental home purchases.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2020 and 2019, expansion and development activities of $197.7 million and $203.9 million, respectively, related to costs consisting primarily of construction of sites and other costs necessary to complete home site improvements.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2020 and 2019, lot modification expenditures were $21.8 million and $22.2 million, respectively. These expenditures improve asset quality in our communities and are incurred when an existing home is removed and the site is prepared for a new home (more often than not, a multi-sectional home). These activities, which are mandated by strict manufacturer’s installation requirements and state building codes, include items such as new foundations, driveways, and utility upgrades.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2020 and 2019, recurring capital expenditures were $17.4 million and $16.9 million, respectively, related to our continued commitment to the upkeep of our properties.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invest in the acquisition of homes intended for the Rental Program. Expenditures for these investments depend upon the condition of the markets for repossessions and new home sales, as well as rental homes. We finance certain of our new home purchases with a $12.0 million manufactured home floor plan facility. Our ability to purchase homes for sale or rent may be limited by cash received from third-party financing of our home sales, available manufactured home floor plan financing and working capital available on our lines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cash flow activities are summarized as follows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4"/>
          </w:tcPr>
          <w:p>
            <w:pPr>
              <w:jc w:val="right"/>
              <w:ind w:right="1004"/>
              <w:spacing w:after="0"/>
              <w:rPr>
                <w:sz w:val="20"/>
                <w:szCs w:val="20"/>
                <w:color w:val="auto"/>
              </w:rPr>
            </w:pPr>
            <w:r>
              <w:rPr>
                <w:rFonts w:ascii="Arial" w:cs="Arial" w:eastAsia="Arial" w:hAnsi="Arial"/>
                <w:sz w:val="15"/>
                <w:szCs w:val="15"/>
                <w:b w:val="1"/>
                <w:bCs w:val="1"/>
                <w:color w:val="auto"/>
              </w:rPr>
              <w:t>Nine Months Ended</w:t>
            </w:r>
          </w:p>
        </w:tc>
      </w:tr>
      <w:tr>
        <w:trPr>
          <w:trHeight w:val="209"/>
        </w:trPr>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2020</w:t>
            </w:r>
          </w:p>
        </w:tc>
        <w:tc>
          <w:tcPr>
            <w:tcW w:w="140" w:type="dxa"/>
            <w:vAlign w:val="bottom"/>
          </w:tcPr>
          <w:p>
            <w:pPr>
              <w:spacing w:after="0"/>
              <w:rPr>
                <w:sz w:val="18"/>
                <w:szCs w:val="18"/>
                <w:color w:val="auto"/>
              </w:rPr>
            </w:pPr>
          </w:p>
        </w:tc>
        <w:tc>
          <w:tcPr>
            <w:tcW w:w="1480" w:type="dxa"/>
            <w:vAlign w:val="bottom"/>
          </w:tcPr>
          <w:p>
            <w:pPr>
              <w:jc w:val="right"/>
              <w:ind w:right="104"/>
              <w:spacing w:after="0"/>
              <w:rPr>
                <w:sz w:val="20"/>
                <w:szCs w:val="20"/>
                <w:color w:val="auto"/>
              </w:rPr>
            </w:pPr>
            <w:r>
              <w:rPr>
                <w:rFonts w:ascii="Arial" w:cs="Arial" w:eastAsia="Arial" w:hAnsi="Arial"/>
                <w:sz w:val="15"/>
                <w:szCs w:val="15"/>
                <w:b w:val="1"/>
                <w:bCs w:val="1"/>
                <w:color w:val="auto"/>
                <w:w w:val="91"/>
              </w:rPr>
              <w:t>September 30, 2019</w:t>
            </w:r>
          </w:p>
        </w:tc>
      </w:tr>
      <w:tr>
        <w:trPr>
          <w:trHeight w:val="214"/>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464,458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398,293</w:t>
            </w:r>
          </w:p>
        </w:tc>
      </w:tr>
      <w:tr>
        <w:trPr>
          <w:trHeight w:val="212"/>
        </w:trPr>
        <w:tc>
          <w:tcPr>
            <w:tcW w:w="7780" w:type="dxa"/>
            <w:vAlign w:val="bottom"/>
          </w:tcPr>
          <w:p>
            <w:pPr>
              <w:ind w:left="20"/>
              <w:spacing w:after="0"/>
              <w:rPr>
                <w:sz w:val="20"/>
                <w:szCs w:val="20"/>
                <w:color w:val="auto"/>
              </w:rPr>
            </w:pPr>
            <w:r>
              <w:rPr>
                <w:rFonts w:ascii="Arial" w:cs="Arial" w:eastAsia="Arial" w:hAnsi="Arial"/>
                <w:sz w:val="15"/>
                <w:szCs w:val="15"/>
                <w:color w:val="auto"/>
              </w:rPr>
              <w:t>Net Cash Used for Investing Activities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(665,708)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(799,251)</w:t>
            </w:r>
          </w:p>
        </w:tc>
      </w:tr>
      <w:tr>
        <w:trPr>
          <w:trHeight w:val="220"/>
        </w:trPr>
        <w:tc>
          <w:tcPr>
            <w:tcW w:w="7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Financing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281,997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380,131</w:t>
            </w:r>
          </w:p>
        </w:tc>
      </w:tr>
      <w:tr>
        <w:trPr>
          <w:trHeight w:val="208"/>
        </w:trPr>
        <w:tc>
          <w:tcPr>
            <w:tcW w:w="7780" w:type="dxa"/>
            <w:vAlign w:val="bottom"/>
          </w:tcPr>
          <w:p>
            <w:pPr>
              <w:ind w:left="2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(48)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291</w:t>
            </w:r>
          </w:p>
        </w:tc>
      </w:tr>
    </w:tbl>
    <w:p>
      <w:pPr>
        <w:spacing w:after="0" w:line="3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cash equivalents and restricted cash increased by $80.7 million from $34.8 million as of December 31, 2019, to $115.5 million as of September 30, 2020.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Net cash provided by operating activities increased by $66.2 million from $398.3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to $464.5 million for the nine months ended September 30, 2020.</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net cash flows provided by operating activities from continuing operations may be adversely impacted by, among other things: (a) the market and economic conditions in our current markets generally, and specifically in metropolitan areas of our current markets; (b) lower occupancy and rental rates of our properties; (c) increased operating costs, such as wage and benefit costs, insurance premiums, real estate taxes and utilities, that cannot be passed on to our tenants; (d) decreased sales of manufactured homes; (e) current volatility in economic conditions and the financial markets; and (f) the effects of the COVID-19 pandemic. See “Risk Factors” in Part I, Item 1A of our 2019 Annual Report, in Part II, Item 1A of our Quarterly Report on Form 10-Q for the quarter ended March 31,2020 and Part II, Item 1A of this report.</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Net cash used for investing activities was $665.7 million for the nine months ended September 30, 2020, compared to $799.3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2019. Refer to Note 3, “Real Estate Acquisitions and Dispositions,” in our accompanying Consolidated Financial Statements for additional information.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u w:val="single" w:color="auto"/>
          <w:color w:val="auto"/>
        </w:rPr>
        <w:t>Financing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 Net cash provided by financing activities was $282.0 million for the nine months ended September 30, 2020, compared to net cash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by financing activities of $380.1 million for the nine months ended September 30, 2019. Refer to Note 8, “Debt and Lines of Credit” and Note 9, “Equity and Temporary Equity,” in our accompanying Consolidated Financial Statements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Flexibility</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30, 2020 and October 1, 2020, we entered into two forward sale agreements (the “Forward Sale Agreements”) relating to an underwritten registered public offering of 9,200,000 shares of our common stock at a public offering price of $139.50 per share. The offering closed on October 5, 2020. We did not initially receive any proceeds from the sale of shares of our common stock in the offering. We expect to physically settle the Forward Sale Agreements (by the delivery of shares of our common stock) and receive proceeds from the sale of those shares of our common stock upon one or more forward settlement dates no later than October 5, 2021. We may also elect to cash settle or net share settle all or a portion of our obligations under the Forward Sale Agreements if we conclude it is in our best interest to do so. If we elect to cash settle or net settle the Forward Sale Agreements we may not receive any proceeds. If we fully physically settle the Forward Sale Agreements, we expect to receive net proceeds of approximately $1.23 billion. As described below, we intend to use the net proceeds of the physical settlement of the Forward Sale Agreements to fund the cash portion of the purchase price for the Safe Harbor acquisition.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2020, we closed an underwritten registered public offering of 4,968,000 shares of common stock. Proceeds from the offering were $633.1 million after deducting expenses related to the offering. We used the net proceeds of this offering to repay borrowings outstanding under the revolving loan under our senior credit facility. We intend to use the remaining net proceeds of this offering to fund possible future acquisitions, for working capital and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2017, we entered into an at the market offering sales agreement (as amended, the “Sales Agreement”) with certain sales agents (collectively, the “Sales Agents”), whereby we may offer and sell shares of our common stock, having an aggregate offering price of up to $450.0 million, from time to time through the Sales Agents. The Sales Agents are entitled to compensation in an agreed amount not to exceed 2.0 percent of the gross price per share for any shares sold under the Sales Agreement. Through September 30, 2020, we have sold shares of our common stock for gross proceeds of $163.8 million under the Sales Agreement. There were no issuances of common stock under the Sales Agreement during the three months ended September 30, 2020 or the year ended December 31, 2019.</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2019, we assumed a term loan facility with Citibank, in the amount of $58.0 million in relation to an acquisition. The term loan has a four-year term ending October 29, 2023, and bears interest at a floating rate based on the Eurodollar rate or Prime rate. The outstanding balance was $47.5 million at September 30, 2020 and $57.0 million at December 31, 2019, respectively.</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2019, we amended and restated our credit agreement with Citibank and certain other lenders. Pursuant to the credit agreement, we entered into a senior credit facility with Citibank and certain lenders in the amount of $750.0 million, comprised of a $650.0 million revolving loan, with the ability to use up to $100.0 million for advances in Australian dollars, and a $100.0 million term loan (the “A&amp;R Facility”). The A&amp;R Credit Agreement has a four-year term ending May 21, 2023, which can be extended for two additional six-month periods, subject to the satisfaction of certain conditions as defined in the credit agreement. The credit agreement also provides for additional commitments in an amount not to exceed $350.0 million. The funding of these additional commitments is subject to certain conditions, including obtaining the consent of the lenders, some of which are outside of our control. If additional borrowings are made pursuant to any such additional commitments, the aggregate borrowing limit under the A&amp;R Facility may be increased up to $1.1 billion.</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A&amp;R Facility bears interest at a floating rate based on the Eurodollar rate or Bank Bill Swap Bid Rate plus a margin that is determined based on our leverage ratio calculated in accordance with the credit agreement, which margin can range from 1.20 percent to 2.10 percent for the revolving loan and 1.20 percent to 2.05 percent for the term loan. As of September 30, 2020, the margin based on our leverage ratio was 1.2 percent on the revolving loan and 1.2 percent on the term loan. We had $28.1 million and no borrowings on the revolving loan and the term loan, respectively, as of September 30, 2020. We had $123.6 million of borrowings on the revolving loan and no borrowings on the term loan, as of December 31, 2019.</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A&amp;R Facility provides us with the ability to issue letters of credit. Our issuance of letters of credit does not increase our borrowings outstanding under our line of credit but does reduce the borrowing amount available. At September 30, 2020 and December 31, 2019, we had approximately $2.9 million and $2.8 million of outstanding letters of credit, respectively.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terms of the A&amp;R Facility, we are subject to various financial and other covenants. We are currently in compliance with these covenants and do not anticipate that we will be unable to meet these covenants in the near term as a result of COVID-19’s impact on our business. The most restrictive financial covenants for the A&amp;R Facility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20" w:type="dxa"/>
            <w:vAlign w:val="bottom"/>
            <w:tcBorders>
              <w:bottom w:val="single" w:sz="8" w:color="auto"/>
            </w:tcBorders>
          </w:tcPr>
          <w:p>
            <w:pPr>
              <w:ind w:left="3000"/>
              <w:spacing w:after="0"/>
              <w:rPr>
                <w:sz w:val="20"/>
                <w:szCs w:val="20"/>
                <w:color w:val="auto"/>
              </w:rPr>
            </w:pPr>
            <w:r>
              <w:rPr>
                <w:rFonts w:ascii="Arial" w:cs="Arial" w:eastAsia="Arial" w:hAnsi="Arial"/>
                <w:sz w:val="15"/>
                <w:szCs w:val="15"/>
                <w:b w:val="1"/>
                <w:bCs w:val="1"/>
                <w:color w:val="auto"/>
              </w:rPr>
              <w:t>Covenant</w:t>
            </w:r>
          </w:p>
        </w:tc>
        <w:tc>
          <w:tcPr>
            <w:tcW w:w="24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600"/>
              <w:spacing w:after="0"/>
              <w:rPr>
                <w:sz w:val="20"/>
                <w:szCs w:val="20"/>
                <w:color w:val="auto"/>
              </w:rPr>
            </w:pPr>
            <w:r>
              <w:rPr>
                <w:rFonts w:ascii="Arial" w:cs="Arial" w:eastAsia="Arial" w:hAnsi="Arial"/>
                <w:sz w:val="15"/>
                <w:szCs w:val="15"/>
                <w:b w:val="1"/>
                <w:bCs w:val="1"/>
                <w:color w:val="auto"/>
              </w:rPr>
              <w:t>Requirement</w:t>
            </w:r>
          </w:p>
        </w:tc>
        <w:tc>
          <w:tcPr>
            <w:tcW w:w="22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As of September 30, 2020</w:t>
            </w:r>
          </w:p>
        </w:tc>
      </w:tr>
      <w:tr>
        <w:trPr>
          <w:trHeight w:val="214"/>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Maximum Leverage Ratio</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&lt;65.0%</w:t>
            </w:r>
          </w:p>
        </w:tc>
        <w:tc>
          <w:tcPr>
            <w:tcW w:w="2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24.1%</w:t>
            </w:r>
          </w:p>
        </w:tc>
      </w:tr>
      <w:tr>
        <w:trPr>
          <w:trHeight w:val="212"/>
        </w:trPr>
        <w:tc>
          <w:tcPr>
            <w:tcW w:w="6860" w:type="dxa"/>
            <w:vAlign w:val="bottom"/>
            <w:gridSpan w:val="2"/>
          </w:tcPr>
          <w:p>
            <w:pPr>
              <w:ind w:left="20"/>
              <w:spacing w:after="0"/>
              <w:rPr>
                <w:sz w:val="20"/>
                <w:szCs w:val="20"/>
                <w:color w:val="auto"/>
              </w:rPr>
            </w:pPr>
            <w:r>
              <w:rPr>
                <w:rFonts w:ascii="Arial" w:cs="Arial" w:eastAsia="Arial" w:hAnsi="Arial"/>
                <w:sz w:val="15"/>
                <w:szCs w:val="15"/>
                <w:color w:val="auto"/>
              </w:rPr>
              <w:t>Minimum Fixed Charge Coverage Ratio</w:t>
            </w:r>
          </w:p>
        </w:tc>
        <w:tc>
          <w:tcPr>
            <w:tcW w:w="2080" w:type="dxa"/>
            <w:vAlign w:val="bottom"/>
          </w:tcPr>
          <w:p>
            <w:pPr>
              <w:jc w:val="center"/>
              <w:spacing w:after="0"/>
              <w:rPr>
                <w:sz w:val="20"/>
                <w:szCs w:val="20"/>
                <w:color w:val="auto"/>
              </w:rPr>
            </w:pPr>
            <w:r>
              <w:rPr>
                <w:rFonts w:ascii="Arial" w:cs="Arial" w:eastAsia="Arial" w:hAnsi="Arial"/>
                <w:sz w:val="15"/>
                <w:szCs w:val="15"/>
                <w:color w:val="auto"/>
                <w:w w:val="89"/>
              </w:rPr>
              <w:t>&gt;1.40</w:t>
            </w:r>
          </w:p>
        </w:tc>
        <w:tc>
          <w:tcPr>
            <w:tcW w:w="2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5"/>
                <w:szCs w:val="15"/>
                <w:color w:val="auto"/>
                <w:w w:val="95"/>
              </w:rPr>
              <w:t>3.19</w:t>
            </w:r>
          </w:p>
        </w:tc>
      </w:tr>
      <w:tr>
        <w:trPr>
          <w:trHeight w:val="22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Minimum Tangible Net Worth</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&gt;$3,731,946</w:t>
            </w: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$6,437,695</w:t>
            </w:r>
          </w:p>
        </w:tc>
      </w:tr>
      <w:tr>
        <w:trPr>
          <w:trHeight w:val="212"/>
        </w:trPr>
        <w:tc>
          <w:tcPr>
            <w:tcW w:w="6860" w:type="dxa"/>
            <w:vAlign w:val="bottom"/>
            <w:gridSpan w:val="2"/>
          </w:tcPr>
          <w:p>
            <w:pPr>
              <w:ind w:left="20"/>
              <w:spacing w:after="0"/>
              <w:rPr>
                <w:sz w:val="20"/>
                <w:szCs w:val="20"/>
                <w:color w:val="auto"/>
              </w:rPr>
            </w:pPr>
            <w:r>
              <w:rPr>
                <w:rFonts w:ascii="Arial" w:cs="Arial" w:eastAsia="Arial" w:hAnsi="Arial"/>
                <w:sz w:val="15"/>
                <w:szCs w:val="15"/>
                <w:color w:val="auto"/>
              </w:rPr>
              <w:t>Maximum Dividend Payout Ratio</w:t>
            </w:r>
          </w:p>
        </w:tc>
        <w:tc>
          <w:tcPr>
            <w:tcW w:w="2080" w:type="dxa"/>
            <w:vAlign w:val="bottom"/>
          </w:tcPr>
          <w:p>
            <w:pPr>
              <w:jc w:val="center"/>
              <w:spacing w:after="0"/>
              <w:rPr>
                <w:sz w:val="20"/>
                <w:szCs w:val="20"/>
                <w:color w:val="auto"/>
              </w:rPr>
            </w:pPr>
            <w:r>
              <w:rPr>
                <w:rFonts w:ascii="Arial" w:cs="Arial" w:eastAsia="Arial" w:hAnsi="Arial"/>
                <w:sz w:val="15"/>
                <w:szCs w:val="15"/>
                <w:color w:val="auto"/>
                <w:w w:val="93"/>
              </w:rPr>
              <w:t>&lt;95.0%</w:t>
            </w:r>
          </w:p>
        </w:tc>
        <w:tc>
          <w:tcPr>
            <w:tcW w:w="2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5"/>
                <w:szCs w:val="15"/>
                <w:color w:val="auto"/>
                <w:w w:val="93"/>
              </w:rPr>
              <w:t>68.5%</w:t>
            </w:r>
          </w:p>
        </w:tc>
      </w:tr>
      <w:tr>
        <w:trPr>
          <w:trHeight w:val="22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Maximum Variable Rate Indebtedness</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&lt;50.0%</w:t>
            </w: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0.6%</w:t>
            </w:r>
          </w:p>
        </w:tc>
      </w:tr>
    </w:tbl>
    <w:p>
      <w:pPr>
        <w:spacing w:after="0" w:line="3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Safe Harbor acquisition is consummated, our short-term liquidity requirements include the need to pay a significant portion of the purchase price in cash. The Safe Harbor acquisition is expected to close on October 30, 2020. At the execution of the acquisition agreement on September 29, 2020, we estimated the cash portion of the purchase price to be approximately $1.17 billion. The actual cash portion of the purchase price will depend on various factors and may be materially higher or lower than this estimate. We intend to fund the cash portion of the purchase price with the net proceeds of the physical settlement of the Forward Sale Agreements. The net proceeds of a physical settlement of the transaction may be up to $1.23 billion. We intend to use any net proceeds of the physical settlement of the forward sale transaction in excess of the cash portion of the purchase price to fund possible future acquisitions of properties and for working capital and general corporate purposes.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anticipate meeting our long-term liquidity requirements, such as scheduled debt maturities, large property acquisitions, expansion and development of communities, and Operating Partnership unit redemptions through the issuance of certain debt or equity securities and / or the collateralization of our properties.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unrestricted cash on hand as of September 30, 2020 of approximately $102.4 million and used a portion of the proceeds of our May equity raise to pay down the balance on our line of credit. As of September 30, 2020, there is approximately $719.0 million of remaining capacity on the line of credit. We also have 157 unencumbered properties with an estimated asset value, as of September 30, 2020, of approximately $2.9 billion available to secure potential mortgage debt.</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time to time, we may also issue shares of our capital stock, issue equity units in our Operating Partnership, obtain debt financing, or sell selected assets. Our ability to finance our long-term liquidity requirements in such a manner will be affected by numerous economic factors affecting the MH and RV community industry at the time, including the effects of the COVID-19 pandemic,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See “Risk Factors” in Part I, Item 1A of our 2019 Annual Report, in Part II, Item 1A of our Quarterly Report on Form 10-Q for the quarter ended March 31, 2020 and in Part II, Item 1A of this report. If we are unable to obtain additional debt or equity financing on acceptable terms, our business, results of operations and financial condition would be adversely impacted.</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2020, our net debt to enterprise value was approximately 18.3 percent (assuming conversion of all common OP units, Series A-1 preferred OP units, Series A-3 preferred OP units, Series C preferred OP units, Series D preferred OP units, Series E preferred OP units, Series F preferred OP units, and Series G preferred OP units to shares of common stock). Our debt has a weighted average maturity of approximately 11.4 years and a weighted average interest rate of 3.86 percent.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off-balance sheet investments include nonconsolidated affiliates. These investments all have varying ownership structures. Substantially all of our nonconsolidated affiliates are accounted for under the equity method of accounting as we have the ability to exercise significant influence, but not control, over the operating and financial decisions of these JV arrangements. Refer to Note 6,"Investment in Nonconsolidated Affiliates," and Note 8, "Debt and Lines of Credit," in the accompanying Consolidated Financial Statements, for additional information on our off-balance sheet investments.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Nonconsolidated Affiliate Indebtedness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GTSC </w:t>
      </w:r>
      <w:r>
        <w:rPr>
          <w:rFonts w:ascii="Arial" w:cs="Arial" w:eastAsia="Arial" w:hAnsi="Arial"/>
          <w:sz w:val="18"/>
          <w:szCs w:val="18"/>
          <w:color w:val="auto"/>
        </w:rPr>
        <w:t>- During September 2019, GTSC entered into a warehouse line of credit with a maximum loan amount of $125.0 million. During September 2020,</w:t>
      </w:r>
      <w:r>
        <w:rPr>
          <w:rFonts w:ascii="Arial" w:cs="Arial" w:eastAsia="Arial" w:hAnsi="Arial"/>
          <w:sz w:val="18"/>
          <w:szCs w:val="18"/>
          <w:i w:val="1"/>
          <w:iCs w:val="1"/>
          <w:color w:val="auto"/>
        </w:rPr>
        <w:t xml:space="preserve"> </w:t>
      </w:r>
      <w:r>
        <w:rPr>
          <w:rFonts w:ascii="Arial" w:cs="Arial" w:eastAsia="Arial" w:hAnsi="Arial"/>
          <w:sz w:val="18"/>
          <w:szCs w:val="18"/>
          <w:color w:val="auto"/>
        </w:rPr>
        <w:t>the maximum amount was increased to $180.0 million. As of September 30, 2020, the aggregate carrying amount of debt, including both our and our partners’ share, incurred by GTSC was approximately $154.7 million (of which our proportionate share is approximately $61.9 million). The debt bears interest at a variable rate based on LIBOR plus 1.65 percent per annum and matures on September 15, 2023. Refer to Note 6, "Investment in Nonconsolidated Affiliates," for additional information on our nonconsolidated affiliates.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Sungenia JV </w:t>
      </w:r>
      <w:r>
        <w:rPr>
          <w:rFonts w:ascii="Arial" w:cs="Arial" w:eastAsia="Arial" w:hAnsi="Arial"/>
          <w:sz w:val="17"/>
          <w:szCs w:val="17"/>
          <w:color w:val="auto"/>
        </w:rPr>
        <w:t>- During May 2020, Sungenia JV entered into a debt facility agreement with a maximum loan amount of 27.0 million Australian dollars, or</w:t>
      </w:r>
      <w:r>
        <w:rPr>
          <w:rFonts w:ascii="Arial" w:cs="Arial" w:eastAsia="Arial" w:hAnsi="Arial"/>
          <w:sz w:val="17"/>
          <w:szCs w:val="17"/>
          <w:i w:val="1"/>
          <w:iCs w:val="1"/>
          <w:color w:val="auto"/>
        </w:rPr>
        <w:t xml:space="preserve"> </w:t>
      </w:r>
      <w:r>
        <w:rPr>
          <w:rFonts w:ascii="Arial" w:cs="Arial" w:eastAsia="Arial" w:hAnsi="Arial"/>
          <w:sz w:val="17"/>
          <w:szCs w:val="17"/>
          <w:color w:val="auto"/>
        </w:rPr>
        <w:t>$19.3 million converted at the September 30, 2020 exchange rate. As of September 30, 2020, the aggregate carrying amount of debt, including both our and our partners’ share, incurred by Sungenia JV was approximately $1.4 million (of which our proportionate share is approximately $0.7 million). The debt bears interest at a variable rate based on Australian BBSY plus 2.05 percent per annum and is available for a minimum of three years. Refer to Note 6, "Investment in Nonconsolidated Affiliates," for additional information on our nonconsolidated affiliates.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report contains various “forward-looking statements” within the meaning of the Securities Act of 1933, as amended (the “Securities Act”), and the Securities Exchange Act of 1934, as amended (the “Exchange Act”), and we intend that such forward-looking statements will be subject to the safe harbors created thereby. For this purpose, any statements contained in this filing that relate to expectations, beliefs, projections, future plans and strategies, trends or prospective events or developments and similar expressions concerning matters that are not historical facts are deemed to be forward-looking statements. Words such as “forecasts,” “intends,” “intend,” “intended,” “goal,” “estimate,” “estimates,” “expects,” “expect,” “expected,” “project,” “projected,” “projections,” “plans,” “predicts,” “potential,” “seeks,” “anticipates,” “anticipated,” “should,” “could,” “may,” “will,” “designed to,” “foreseeable future,” “believe,” “believes,” “scheduled,” “guidance”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and uncertainties, both general and specific to the matters discussed in this filing. These risks and uncertainties may cause our actual results to be materially different from any future results expressed or implied by such forward-looking statements. In addition to the risks disclosed under “Risk Factors” in our 2019 Annual Report, in our Quarterly Report on Form 10-Q for the quarter ended March 31, 2020, and in our other filings with the SEC, such risks and uncertainties include, but are not limited to:</w:t>
      </w:r>
    </w:p>
    <w:p>
      <w:pPr>
        <w:spacing w:after="0" w:line="111" w:lineRule="exact"/>
        <w:rPr>
          <w:sz w:val="20"/>
          <w:szCs w:val="20"/>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outbreaks of disease, including the COVID-19 pandemic, and related stay-at-home orders, quarantine policies and restrictions on travel, trade and business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general economic conditions, the real estate industry, and the markets in which we operate;</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difficulties in our ability to evaluate, finance, complete and integrate acquisitions (including the Safe Harbor acquisition), developments and expansions successfully;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liquidity and refinancing demands;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obtain or refinance maturing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maintain compliance with covenants contained in our debt facilities;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of capital;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in foreign currency exchange rates, including between the U.S. dollar and each of the Canadian dollar and the Australian dollar;</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maintain rental rates and occupancy levels;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maintain effective internal control over financial reporting and disclosure controls and procedures;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increases in interest rates and operating costs, including insurance premiums and real property taxes;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related to natural disasters such as hurricanes, earthquakes, floods and wildfires;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volatility of the capital markets and the market price of shares of our capital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failure to maintain our status as a REIT;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real estate and zoning laws and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legislative or regulatory changes, including changes to laws governing the taxation of REITs;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judgments or settlements;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competitive market forces;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purchasers of manufactured homes and boats to obtain financing;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repossessions by manufactured home and boat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filing, whether as a result of new information, future events, changes in our expectations or otherwise, except as required by law.</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risk is the exposure to loss resulting from changes in market factors such as interest rates, foreign currency exchange rates, commodity prices, and equity prices.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variable rate debt totaled $79.3 million and $140.6 million as of September 30, 2020 and 2019, respectively, and bears interest at Prime or various LIBOR rates. If Prime or LIBOR increased or decreased by 1.0 percent, our interest expense would have increased or decreased by approximately $1.7 million and $2.0 million for the nine months ended September 30, 2020 and 2019, respectively, based on the $231.1 million and $270.2 million average balances outstanding under our variable rate debt facilities,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Canadian properties, and our Australian equity investment and JV into U.S. dollars. Fluctuations in foreign currency exchange rates can therefore create volatility in our results of operations and may adversely affect our financial condition.</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September 30, 2020 and December 31, 2019, our stockholder’s equity included $212.9 million and $202.5 million from our Canadian subsidiaries and Australian equity investments, respectively, which represented 4.8 percent and 5.2 percent of total stockholder’s equity, respectively. Based on our sensitivity analysis, a 10.0 percent strengthening of the U.S. dollar against the Canadian and Australian dollar would have caused a reduction of $21.3 million and $20.2 million to our total stockholder’s equity at September 30, 2020 and December 31,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with the participation of our CEO and CFO, evaluated the effectiveness of our disclosure controls and procedures (pursuant to Rules 13a-15(e) or 15d-15(e) of the Exchange Act) at September 30, 2020. Based upon this evaluation, our CEO and CFO concluded that our disclosure controls and procedures were effective as of September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three months ended September 30, 2020 that have materially affected, or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Refer to “Legal Proceedings” in Part 1 - Item 1 - Note 15, “Commitments and Contingencies,” in our accompanying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prospects are subject to certain uncertainties and risks. Our future results could differ materially from current results, and our actual results could differ materially from those projected in forward-looking statements as a result of certain risk factors. In addition to the other information set forth in this report, you should carefully consider the factors described below, in Part 1, Item 1A, “Risk Factors,” in our 2019 Annual Report, in Item 1A “Risk Factors” in our Quarterly Report on Form 10-Q for the quarter ended March 31, 2020 and in our other filings with the SEC.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MERGER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consummate the Merger.</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expect to complete the Merger no later than October 30, 2020. However, the closing is subject to the satisfaction of the closing conditions set forth in the Merger Agreement, including compliance with the Hart-Scott-Rodino Act and other antitrust laws. If these conditions are not satisfied or waived, or if the Merger Agreement and the other definitive agreements relating to the Merger are otherwise terminated in accordance with their respective terms, then the Merger will not be consummated. If we do not complete the Merger, our common stock will not reflect any interest in the Safe Harbor Properties; if the closing is delayed, this interest will not be reflected during the period of delay; and if the Merger is restructured, it is uncertain as to whether this interest will be adversely affected. In addition, the price of our common stock may decline to the extent that the current market price of our common stock reflects a market assumption that the Merger will be completed and that we will realize certain anticipated benefits of acquiring Safe Harbor.</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Even if the Merger is consummated, if certain third-party consents are not received, we will be required to acquire some or all of the Delayed Closing Properties, potentially without the right to operate them, which may have a material adverse effect on our financial condition, results of operations or cash flows.</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11 Delayed Closing Properties are leased by subsidiaries of Safe Harbor. The portion of the Merger consideration allocated to the Delayed Closing Properties is $260.2 million. The ground leases for the Delayed Closing Properties require consents of the lessors for us to acquire them in the Merger. Under the Merger Agreement, if the required lessor consent is not obtained by the closing of the Merger, which is expected to occur not later than October 30, 2020, at our election an affiliate of the owners of Safe Harbor will retain ownership of these subsidiaries until not later than November 30, 2020. Even if required third-party consents for the Delayed Closing Properties are not obtained before November 30, 2020, we are obligated on that date to acquire all of the Delayed Closing Properties for cash consideration equal to their agreed values. If we acquire these subsidiaries without having received consent of the lessors, among other possible remedies, the lessors will have the right to terminate the leases, in which case we will not be able to operate these properties. Any inability to operate these properties may have a material adverse effect on our financial condition, results of operations or cash flows.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we are not able to operate these properties, we may seek to sell the equity or assets of the applicable Safe Harbor subsidiary. If the lease has been terminated, we will not be able to sell the business of the subsidiary as a going concern and we may receive little value in any sale. Even if the lease has not been terminated, the value of the subsidiary or its assets may be materially adversely affected if there has been a disruption in the operations of the property or other unforeseen events occur. There can be no assurance that we will be able to sell the business or assets of any such subsidiary, or, if we are able to complete a sale, that we will receive consideration that is not materially lower than the price we will pay to acquire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jc w:val="both"/>
        <w:spacing w:after="0" w:line="273" w:lineRule="auto"/>
        <w:rPr>
          <w:sz w:val="20"/>
          <w:szCs w:val="20"/>
          <w:color w:val="auto"/>
        </w:rPr>
      </w:pPr>
      <w:r>
        <w:rPr>
          <w:rFonts w:ascii="Arial" w:cs="Arial" w:eastAsia="Arial" w:hAnsi="Arial"/>
          <w:sz w:val="17"/>
          <w:szCs w:val="17"/>
          <w:color w:val="auto"/>
        </w:rPr>
        <w:t>If the Delayed Closing Properties are retained by an affiliate of the owners of Safe Harbor at the closing of the Merger, we expect that Safe Harbor’s borrowing capacity under its line of credit will be reduced because each of the Delayed Closing Properties supports the borrowing base under the line of credit. If we acquire the Delayed Closing Properties without having obtained required consents, we expect that Safe Harbor’s borrowing capacity under its line of credit will not be increased. A default under or a termination of a ground lease may also create defaults under other agreements to which the applicable Safe Harbor subsidiary or another Safe Harbor entity is a party. Any of these events may have a material adverse effect on our ability to operate the Safe Harbor Properties or our financial condition, results of operations or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intended benefits of the Merger may not be realized.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Merger poses risks for our ongoing operations, including, among others:</w:t>
      </w:r>
    </w:p>
    <w:p>
      <w:pPr>
        <w:spacing w:after="0" w:line="117" w:lineRule="exact"/>
        <w:rPr>
          <w:sz w:val="20"/>
          <w:szCs w:val="20"/>
          <w:color w:val="auto"/>
        </w:rPr>
      </w:pPr>
    </w:p>
    <w:p>
      <w:pPr>
        <w:ind w:left="660" w:right="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senior management’s attention may be diverted from the management of daily operations of our MH and RV business to the integration of the Safe Harbor Properties;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and expenses associated with any undisclosed or potential liabilities that are not covered by our transaction insurance;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the Safe Harbor Properties may not perform as well as anticipated; and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difficulties may arise in integrating a new marina business generally, and the Safe Harbor Properties specifically, into our existing corporate structure.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foregoing, we cannot assure you that the Merger will be accretive to us in the near term or at all. Furthermore, if we fail to realize the intended benefits of the Safe Harbor Properties, the market price of our common stock could decline to the extent that the market price reflects those benefits.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assume a significant amount of debt in the Merger, which, together with our other debt, could limit our operational flexibility or otherwise adversely affect our financial condition.</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Merger closes, we will indirectly assume approximately $808.0 million of debt currently owed by Safe Harbor, which will come due in October 2024 (assuming extension options are not exercised). In addition, as of September 30, 2020, we had approximately $3.3 billion of total debt outstanding, consisting of approximately $3.2 billion in debt that is collateralized by mortgage liens on 179 of the Properties, no debt secured by collateralized receivables, and no unsecured debt. As of September 30, 2020, we had $28.1 million outstanding under the revolving loan under our senior credit facility. If we fail to meet our obligations under our secured debt, including any debt we assume in the Merger, the lenders would be entitled to foreclose on all or some of the collateral securing such debt which could have a material adverse effect on us and our ability to make expected distributions, and could threaten our continued viability.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the risks normally associated with debt financing, including the following risks:</w:t>
      </w:r>
    </w:p>
    <w:p>
      <w:pPr>
        <w:spacing w:after="0" w:line="117" w:lineRule="exact"/>
        <w:rPr>
          <w:sz w:val="20"/>
          <w:szCs w:val="20"/>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cash flow may be insufficient to meet required payments of principal and interest, or require us to dedicate a substantial portion of our cash flow to pay our debt and the interest associated with our debt rather than to other areas of our business;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existing indebtedness may limit our operating flexibility due to financial and other restrictive covenants, including restrictions on incurring additional debt;</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may be more difficult for us to obtain additional financing in the future for our operations, working capital requirements, capital expenditures, debt service or other general requirements;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more vulnerable in the event of adverse economic and industry conditions or a downturn in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placed at a competitive disadvantage compared to our competitors that have less debt;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be able to refinance at all or on favorable terms, as our debt matures.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If any of the above risks occurred, our financial condition and results of operations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RISKS RELATED TO OPERATING THE SAFE HARBOR PROPERTIES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face a variety of risks through our expansion into the business of owning and operating marinas.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acquisition of Safe Harbor will mark our entrance into the business of owning and operating marinas. The risks of our entry into the marina operations segment include, without limitation, the need for additional capital and other resources to expand into this new line of business, and potentially inefficient integration of financial reporting and information technology systems and controls. In addition, the Safe Harbor business we acquire may have unknown or contingent liabilities, including liabilities for failure to comply with maritime and other laws and regulations, environmental liabilities, workers’ compensation liabilities, and tax liabilities. Although we have generally attempted to manage these risks through representations, warranties and indemnification rights under the Merger Agreement, and also through transaction insurance, we may nevertheless have material liabilities for past activities of Safe Harbor. Entry into the marina business will also subject us to new laws and regulations with which we are not familiar and may lead to increased litigation and regulatory risk. A marina will also be affected by various statutes and government regulations that govern the use of, and construction on, rivers, lakes and other waterways. Exposure to the marina industry may expose us to certain weather events and risks to which we have not previously been exposed. Additionally, the marina business may be affected in different ways or to a greater extent than our existing MH and RV business by the COVID-19 pandemic with respect to infection control, facility and work-site access, or other related issues.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rely on key employees that have prior experience in the marina business.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existing management does not have experience owning or operating marinas. The successful operation of the Safe Harbor Properties will depend on our ability to retain key employees with experience in the marina business, including Baxter Underwood, who is the Chief Executive Officer of Safe Harbor. The loss of services of Mr. Underwood or other key employees could have a materially adverse effect on our ability to operate Safe Harbor. Although Mr. Underwood has entered into an employment and non-competition agreement that will become effective upon consummation of the Merger, upon certain events he will have the option to eliminate the non-competition covenant by foregoing certain compensation and other benefits. We do not contemplate obtaining any “key-man” life insurance on any of the key employees of Safe Harbor.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of the Safe Harbor Properties are located in areas that experience extreme weather conditions.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Extreme weather or weather-related conditions, including hurricanes, flash floods, or sea-level rise, may interrupt marina operations, damage the Safe Harbor Properties and reduce the number of customers who utilize the Safe Harbor Properties in the affected areas. Many of the Safe Harbor Properties we intend to acquire in the Merger are on coastlines that are subject to hurricane seasons, flash flooding and sea-level rise. If there are prolonged disruptions at the Safe Harbor Properties due to extreme weather or weather-related conditions, our results of operations and financial condition could be materially adversely affected.</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While we will maintain insurance coverage that may cover certain of the costs and loss of revenue associated with the effect of extreme weather or weather-related conditions on the Safe Harbor Properties, our coverage will be subject to deductibles and limits on maximum benefits. We cannot assure you that we will be able to fully collect, if at all, on any claims resulting from extreme weather or weather-related conditions. If any of the Safe Harbor Properties are damaged or if their operations are disrupted as a result of extreme weather or weather-related conditions in the future, or if extreme weather or weather-related conditions adversely impacts general economic or other conditions in the areas in which the Safe Harbor Properties are located or from which they draw their patrons, our business, financial condition and results of operations could be materially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cyclical and seasonal nature of the marina industry may lead to fluctuations in our operating results.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marina industry can experience cycles of growth and downturn due to seasonality patterns, and results of operations in any one period may not be indicative of results in future periods. Demand for wet slip storage increases during the summer months as customers contract for the summer boating season, which also drives non-storage revenue streams such as service, fuel and on-premise restaurants or convenience storage. Demand for dry storage increases during the winter season as seasonal weather patterns require boat owners to store their vessels on dry docks and within covered racks.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Marinas may not be readily adaptable to other uses.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Marinas are specific-use properties and may contain features or assets that have limited alternative uses. These properties may also have distinct operational functions that involve specific procedures and training. If the operations of any of the Safe Harbor Properties become unprofitable due to industry competition, operational execution or otherwise, then it may not be feasible to operate the property for another use, and the value of certain features or assets used at the property, or the property itself, may be impaired. Should any of these events occur, our financial condition, results of operations and cash flows could be adversely impacted.</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Marina operations are subject to regulation under various federal, state, and local laws and regulations that may expose us to significant costs and liabilities.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Marina operations are subject to regulation under various federal, state and local laws and regulations. Compliance with laws and regulations that govern marina operations may require expenditures and modifications of development plans and operations that could have a detrimental effect on the operations of the Safe Harbor Properties and our financial condition, results of operations and cash flows. There can be no assurance that the application of laws, regulations or policies, or changes in such laws, regulations and policies, will not occur in a manner that could have a detrimental effect on any Safe Harbor Property.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Marina operations are subject to regulation under various federal, state, and local laws concerning the environment.</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Marina operations involve the use, handling, storage, and contracting for recycling or disposal of hazardous or toxic substances or wastes, including, but not limited to environmentally sensitive materials such as herbicides, pesticides, fertilizers, motor oil, waste motor oil and filters, transmission fluid, antifreeze, freon, waste paint, lacquer, paint and lacquer thinner, batteries, solvents, lubricants, degreasing agents, gasoline and diesel fuels and sewage. Accordingly, the operation of marinas is subject to regulation by federal, state, and local governmental authorities establishing investigation and health and environmental quality standards, including laws concerning the lawful handling and disposal of hazardous substances used in and generated by marina operations. In addition, certain Safe Harbor Properties have storage tanks for petroleum products. Storage tanks are subject to federal, state and / or local laws and regulations that often require testing and upgrading of storage tanks and remediation of contaminated soils and groundwater resulting from leaking storage tanks.</w:t>
      </w: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the operation of the Safe Harbor Properties, we may be required to investigate and clean up certain hazardous or toxic substances or petroleum products located on, in or emanating from the Safe Harbor Properties. These laws often impose liability without regard to whether the owner knew of, or was responsible for, the release of hazardous substances. We may also be held liable to a governmental entity or third parties for property damage and for investigation and cleanup costs incurred by those parties in connection with the contamination. In addition, some environmental laws create a lien on the contaminated site in favor of the government for damages and costs it incurs in connection with the contamination. Other environmental laws impose liability on a previous owner of property to the extent hazardous or toxic substances were present during the prior ownership period. A transfer of the property may not relieve an owner of such liability. Moreover, we cannot be sure that: (i) future laws, ordinances or regulations will not impose any material environmental liability; or (ii) the current environmental condition of the marinas will not be affected by tenants and occupants of the properties, by the condition of land or operations in the vicinity of the marinas (such as the presence of underground storage tanks), or by unrelated third parties. Environmental liabilities that we may incur could have an adverse effect on our financial condition, results of operations and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obtain, renew or maintain permits, licenses and approvals necessary for the operation of the Safe Harbor Properties.</w:t>
      </w:r>
    </w:p>
    <w:p>
      <w:pPr>
        <w:spacing w:after="0" w:line="2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U.S. Army Corps of Engineers, the Coast Guard and other governmental bodies control much of the land located beneath and surrounding many Safe Harbor Properties and lease such land to Safe Harbor under leases that typically range from five to 50 years. As a result, it is unlikely that we can obtain fee-simple title to the land on or near these Safe Harbor Properties. If any of these governmental bodies terminate, fail to renew, or renew or interpret in ways that are materially less favorable any of the permits, licenses and approvals necessary for operation of the Safe Harbor Properties, our financial condition, results of operations and cash flows could be adversely impacted.</w:t>
      </w: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Some Safe Harbor Properties must be dredged from time to time to remove silt and mud that collect in harbor-areas in order to assure that boat traffic can safely enter the harbor. Dredging and disposing of the dredged material can be very costly and require permits from various governmental authorities. If the permits necessary to dredge marinas or dispose of the dredged material cannot be timely obtained after the acquisition of a Safe Harbor Property, or if dredging is not practical or is exceedingly expensive, the operations of such Safe Harbor Property would be materially and adversely affected.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The marina business is highly fragmented, but competitive, which may reduce the number of suitable acquisition opportunities.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Safe Harbor operates in a highly fragmented industry. There is competition both within markets Safe Harbor currently serves and in new markets that it may enter. Safe Harbor has both national and regional marina competitors. We anticipate that Safe Harbor will compete with other companies and investors, including REITs, real estate partnerships, banks and insurance companies, for the acquisition of marina properties that it seeks to acquire. Competition may reduce the number of suitable acquisition opportunities available.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marina business is subject to the risks typically associated with investments in real estate.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Safe Harbor Properties are subject to the risks typically associated with investments in real estate. Such risks include the possibility that the Safe Harbor Properties will generate rent and capital appreciation, if any, at rates lower than anticipated or will yield returns lower than those available through other investments. Income from the Safe Harbor Properties may be adversely affected by many factors, including a decrease in the number of people interested in boating, adverse weather conditions, changes in government regulation or taxes, national or local economic deterioration and changes in consumer tastes.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or attempting to acquire multiple properties in a single transaction may adversely affect our operations.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business and acquisition strategy for marinas by Safe Harbor may include acquisitions of multiple properties in a single transaction. Portfolio acquisitions are more complex than single-asset acquisitions, and the risk that a portfolio acquisition will not close may be greater than in a single-asset acquisition. In addition, costs for a portfolio acquisition that does not close are generally greater than for a single-asset acquisition that does not close. If Safe Harbor fails to close one or more portfolio acquisitions, then we will incur costs with no corresponding investment return.</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Another risk associated with portfolio acquisitions is that a seller may require that a group of assets be purchased as a package, even though one or more of the assets in the portfolio does not meet Safe Harbor’s investment criteria or is located in a market that is geographically distant from current principal markets. In such cases, Safe Harbor may purchase the portfolio of assets with the intent to subsequently dispose of those assets that do not meet the investment criteria. In cases where Safe Harbor intends to dispose of assets that we do not wish to own, we cannot be assured that we will be able to sell or exchange such asset or assets in a timely manner or on terms beneficial or satisfactory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The risks that affect our MH and RV business will also generally apply to the marina business.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While marinas are a separate business line from our existing MH and RV business, there are common risks that apply to both businesses, including risks related to:</w:t>
      </w:r>
    </w:p>
    <w:p>
      <w:pPr>
        <w:spacing w:after="0" w:line="6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COVID-19 pandemic;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concentration of properties in geographic areas;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local market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costs and shortages of labor;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cyclicality and 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integration and financing of new assets and expansion activities;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compliance;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legislation or other government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environmental liability;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cybersecurity breaches and other disruptions;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losses in excess of insurance coverage;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climate change.</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These risks and others discussed under the heading “Real Estate and Operations Risks” contained in Part I, Item 1A in our 2019 Annual Report, and in Part II, Item 1A in our Quarterly Report on Form 10-Q for the quarter ended March 31, 2020, also apply to the marina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If any of the above risks occurred, our financial condition and results of operations could be materially adversely affected.</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OP units have converted the following units during the three months ended September 30, 2020:</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2"/>
          </w:tcPr>
          <w:p>
            <w:pPr>
              <w:jc w:val="right"/>
              <w:ind w:right="444"/>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57"/>
        </w:trPr>
        <w:tc>
          <w:tcPr>
            <w:tcW w:w="7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00" w:type="dxa"/>
            <w:vAlign w:val="bottom"/>
            <w:gridSpan w:val="2"/>
          </w:tcPr>
          <w:p>
            <w:pPr>
              <w:jc w:val="right"/>
              <w:ind w:right="504"/>
              <w:spacing w:after="0"/>
              <w:rPr>
                <w:sz w:val="20"/>
                <w:szCs w:val="20"/>
                <w:color w:val="auto"/>
              </w:rPr>
            </w:pPr>
            <w:r>
              <w:rPr>
                <w:rFonts w:ascii="Arial" w:cs="Arial" w:eastAsia="Arial" w:hAnsi="Arial"/>
                <w:sz w:val="16"/>
                <w:szCs w:val="16"/>
                <w:b w:val="1"/>
                <w:bCs w:val="1"/>
                <w:color w:val="auto"/>
              </w:rPr>
              <w:t>September 30, 2020</w:t>
            </w:r>
          </w:p>
        </w:tc>
        <w:tc>
          <w:tcPr>
            <w:tcW w:w="0" w:type="dxa"/>
            <w:vAlign w:val="bottom"/>
          </w:tcPr>
          <w:p>
            <w:pPr>
              <w:spacing w:after="0"/>
              <w:rPr>
                <w:sz w:val="1"/>
                <w:szCs w:val="1"/>
                <w:color w:val="auto"/>
              </w:rPr>
            </w:pPr>
          </w:p>
        </w:tc>
      </w:tr>
      <w:tr>
        <w:trPr>
          <w:trHeight w:val="33"/>
        </w:trPr>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7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Series</w:t>
            </w:r>
          </w:p>
        </w:tc>
        <w:tc>
          <w:tcPr>
            <w:tcW w:w="240" w:type="dxa"/>
            <w:vAlign w:val="bottom"/>
            <w:vMerge w:val="restart"/>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82"/>
              <w:spacing w:after="0" w:line="165" w:lineRule="exact"/>
              <w:rPr>
                <w:sz w:val="20"/>
                <w:szCs w:val="20"/>
                <w:color w:val="auto"/>
              </w:rPr>
            </w:pPr>
            <w:r>
              <w:rPr>
                <w:rFonts w:ascii="Arial" w:cs="Arial" w:eastAsia="Arial" w:hAnsi="Arial"/>
                <w:sz w:val="15"/>
                <w:szCs w:val="15"/>
                <w:b w:val="1"/>
                <w:bCs w:val="1"/>
                <w:color w:val="auto"/>
              </w:rPr>
              <w:t>Units / Shares</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0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vMerge w:val="continue"/>
          </w:tcPr>
          <w:p>
            <w:pPr>
              <w:spacing w:after="0"/>
              <w:rPr>
                <w:sz w:val="17"/>
                <w:szCs w:val="17"/>
                <w:color w:val="auto"/>
              </w:rPr>
            </w:pP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97"/>
              </w:rPr>
              <w:t>Conversion Rate</w:t>
            </w: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202"/>
              <w:spacing w:after="0"/>
              <w:rPr>
                <w:sz w:val="20"/>
                <w:szCs w:val="20"/>
                <w:color w:val="auto"/>
              </w:rPr>
            </w:pPr>
            <w:r>
              <w:rPr>
                <w:rFonts w:ascii="Arial" w:cs="Arial" w:eastAsia="Arial" w:hAnsi="Arial"/>
                <w:sz w:val="15"/>
                <w:szCs w:val="15"/>
                <w:b w:val="1"/>
                <w:bCs w:val="1"/>
                <w:color w:val="auto"/>
              </w:rPr>
              <w:t>Converted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4"/>
              </w:rPr>
              <w:t xml:space="preserve">Common Stock </w:t>
            </w:r>
            <w:r>
              <w:rPr>
                <w:rFonts w:ascii="Arial" w:cs="Arial" w:eastAsia="Arial" w:hAnsi="Arial"/>
                <w:sz w:val="9"/>
                <w:szCs w:val="9"/>
                <w:b w:val="1"/>
                <w:bCs w:val="1"/>
                <w:color w:val="auto"/>
                <w:w w:val="94"/>
              </w:rPr>
              <w:t>(1)</w:t>
            </w:r>
          </w:p>
        </w:tc>
        <w:tc>
          <w:tcPr>
            <w:tcW w:w="0" w:type="dxa"/>
            <w:vAlign w:val="bottom"/>
          </w:tcPr>
          <w:p>
            <w:pPr>
              <w:spacing w:after="0"/>
              <w:rPr>
                <w:sz w:val="1"/>
                <w:szCs w:val="1"/>
                <w:color w:val="auto"/>
              </w:rPr>
            </w:pPr>
          </w:p>
        </w:tc>
      </w:tr>
      <w:tr>
        <w:trPr>
          <w:trHeight w:val="213"/>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Common OP units</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1.0000</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3,781</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3,781</w:t>
            </w:r>
          </w:p>
        </w:tc>
        <w:tc>
          <w:tcPr>
            <w:tcW w:w="0" w:type="dxa"/>
            <w:vAlign w:val="bottom"/>
          </w:tcPr>
          <w:p>
            <w:pPr>
              <w:spacing w:after="0"/>
              <w:rPr>
                <w:sz w:val="1"/>
                <w:szCs w:val="1"/>
                <w:color w:val="auto"/>
              </w:rPr>
            </w:pPr>
          </w:p>
        </w:tc>
      </w:tr>
      <w:tr>
        <w:trPr>
          <w:trHeight w:val="212"/>
        </w:trPr>
        <w:tc>
          <w:tcPr>
            <w:tcW w:w="7240" w:type="dxa"/>
            <w:vAlign w:val="bottom"/>
            <w:gridSpan w:val="2"/>
          </w:tcPr>
          <w:p>
            <w:pPr>
              <w:ind w:left="20"/>
              <w:spacing w:after="0"/>
              <w:rPr>
                <w:sz w:val="20"/>
                <w:szCs w:val="20"/>
                <w:color w:val="auto"/>
              </w:rPr>
            </w:pPr>
            <w:r>
              <w:rPr>
                <w:rFonts w:ascii="Arial" w:cs="Arial" w:eastAsia="Arial" w:hAnsi="Arial"/>
                <w:sz w:val="15"/>
                <w:szCs w:val="15"/>
                <w:color w:val="auto"/>
              </w:rPr>
              <w:t>Series A-1 preferred OP units</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2.4390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1,500</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3,658</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Series C preferred OP units</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1.1100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1,485</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1,648</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160" w:hanging="152"/>
        <w:spacing w:after="0"/>
        <w:tabs>
          <w:tab w:leader="none" w:pos="160" w:val="left"/>
        </w:tabs>
        <w:numPr>
          <w:ilvl w:val="0"/>
          <w:numId w:val="3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w:t>
      </w:r>
      <w:r>
        <w:rPr>
          <w:rFonts w:ascii="Arial" w:cs="Arial" w:eastAsia="Arial" w:hAnsi="Arial"/>
          <w:sz w:val="14"/>
          <w:szCs w:val="14"/>
          <w:color w:val="auto"/>
        </w:rPr>
        <w:t>alculation may yield minor differences due to rounding incorporated in the above numbers.</w:t>
      </w:r>
    </w:p>
    <w:p>
      <w:pPr>
        <w:spacing w:after="0" w:line="22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All of the above shares of common stock were issued in private placements in reliance on Section 4(a)(2) of the Securities Act, including Regulation D promulgated thereunder. No underwriters were used in connection with any of such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6. EXHIBITS</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840" w:type="dxa"/>
            <w:vAlign w:val="bottom"/>
            <w:tcBorders>
              <w:top w:val="single" w:sz="8" w:color="auto"/>
              <w:left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Borders>
              <w:top w:val="single" w:sz="8" w:color="auto"/>
            </w:tcBorders>
          </w:tcPr>
          <w:p>
            <w:pPr>
              <w:spacing w:after="0"/>
              <w:rPr>
                <w:sz w:val="22"/>
                <w:szCs w:val="22"/>
                <w:color w:val="auto"/>
              </w:rPr>
            </w:pPr>
          </w:p>
        </w:tc>
        <w:tc>
          <w:tcPr>
            <w:tcW w:w="194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3920" w:type="dxa"/>
            <w:vAlign w:val="bottom"/>
            <w:tcBorders>
              <w:top w:val="single" w:sz="8" w:color="auto"/>
              <w:right w:val="single" w:sz="8" w:color="auto"/>
            </w:tcBorders>
            <w:gridSpan w:val="9"/>
          </w:tcPr>
          <w:p>
            <w:pPr>
              <w:jc w:val="center"/>
              <w:ind w:right="2720"/>
              <w:spacing w:after="0"/>
              <w:rPr>
                <w:sz w:val="20"/>
                <w:szCs w:val="20"/>
                <w:color w:val="auto"/>
              </w:rPr>
            </w:pPr>
            <w:r>
              <w:rPr>
                <w:rFonts w:ascii="Arial" w:cs="Arial" w:eastAsia="Arial" w:hAnsi="Arial"/>
                <w:sz w:val="18"/>
                <w:szCs w:val="18"/>
                <w:b w:val="1"/>
                <w:bCs w:val="1"/>
                <w:color w:val="auto"/>
                <w:w w:val="88"/>
              </w:rPr>
              <w:t>Description</w:t>
            </w:r>
          </w:p>
        </w:tc>
        <w:tc>
          <w:tcPr>
            <w:tcW w:w="284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Method of Filing</w:t>
            </w:r>
          </w:p>
        </w:tc>
        <w:tc>
          <w:tcPr>
            <w:tcW w:w="0" w:type="dxa"/>
            <w:vAlign w:val="bottom"/>
          </w:tcPr>
          <w:p>
            <w:pPr>
              <w:spacing w:after="0"/>
              <w:rPr>
                <w:sz w:val="1"/>
                <w:szCs w:val="1"/>
                <w:color w:val="auto"/>
              </w:rPr>
            </w:pP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40" w:type="dxa"/>
            <w:vAlign w:val="bottom"/>
            <w:tcBorders>
              <w:left w:val="single" w:sz="8" w:color="auto"/>
              <w:right w:val="single" w:sz="8" w:color="auto"/>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87"/>
              </w:rPr>
              <w:t>2.1</w:t>
            </w:r>
          </w:p>
        </w:tc>
        <w:tc>
          <w:tcPr>
            <w:tcW w:w="6580" w:type="dxa"/>
            <w:vAlign w:val="bottom"/>
            <w:tcBorders>
              <w:right w:val="single" w:sz="8" w:color="auto"/>
            </w:tcBorders>
            <w:gridSpan w:val="13"/>
            <w:shd w:val="clear" w:color="auto" w:fill="CCEEFF"/>
          </w:tcPr>
          <w:p>
            <w:pPr>
              <w:spacing w:after="0" w:line="169" w:lineRule="exact"/>
              <w:rPr>
                <w:rFonts w:ascii="Arial" w:cs="Arial" w:eastAsia="Arial" w:hAnsi="Arial"/>
                <w:sz w:val="18"/>
                <w:szCs w:val="18"/>
                <w:color w:val="0000FF"/>
                <w:w w:val="95"/>
              </w:rPr>
            </w:pPr>
            <w:hyperlink r:id="rId91">
              <w:r>
                <w:rPr>
                  <w:rFonts w:ascii="Arial" w:cs="Arial" w:eastAsia="Arial" w:hAnsi="Arial"/>
                  <w:sz w:val="18"/>
                  <w:szCs w:val="18"/>
                  <w:u w:val="single" w:color="auto"/>
                  <w:color w:val="0000FF"/>
                  <w:w w:val="95"/>
                </w:rPr>
                <w:t>Agreement and Plan of Merger dated</w:t>
              </w:r>
              <w:r>
                <w:rPr>
                  <w:rFonts w:ascii="Arial" w:cs="Arial" w:eastAsia="Arial" w:hAnsi="Arial"/>
                  <w:sz w:val="18"/>
                  <w:szCs w:val="18"/>
                  <w:color w:val="0000FF"/>
                  <w:w w:val="95"/>
                </w:rPr>
                <w:t xml:space="preserve"> September 29, 2020 by and among Safe Harbor</w:t>
              </w:r>
            </w:hyperlink>
          </w:p>
        </w:tc>
        <w:tc>
          <w:tcPr>
            <w:tcW w:w="2840" w:type="dxa"/>
            <w:vAlign w:val="bottom"/>
            <w:tcBorders>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20"/>
        </w:trPr>
        <w:tc>
          <w:tcPr>
            <w:tcW w:w="18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0" w:type="dxa"/>
            <w:vAlign w:val="bottom"/>
            <w:tcBorders>
              <w:right w:val="single" w:sz="8" w:color="CCEE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28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40" w:type="dxa"/>
            <w:vAlign w:val="bottom"/>
            <w:tcBorders>
              <w:left w:val="single" w:sz="8" w:color="auto"/>
              <w:bottom w:val="single" w:sz="8" w:color="CCEEFF"/>
              <w:right w:val="single" w:sz="8" w:color="auto"/>
            </w:tcBorders>
            <w:shd w:val="clear" w:color="auto" w:fill="CCEEFF"/>
          </w:tcPr>
          <w:p>
            <w:pPr>
              <w:spacing w:after="0"/>
              <w:rPr>
                <w:sz w:val="13"/>
                <w:szCs w:val="13"/>
                <w:color w:val="auto"/>
              </w:rPr>
            </w:pPr>
          </w:p>
        </w:tc>
        <w:tc>
          <w:tcPr>
            <w:tcW w:w="6420" w:type="dxa"/>
            <w:vAlign w:val="bottom"/>
            <w:tcBorders>
              <w:bottom w:val="single" w:sz="8" w:color="0000FF"/>
            </w:tcBorders>
            <w:gridSpan w:val="10"/>
            <w:shd w:val="clear" w:color="auto" w:fill="CCEEFF"/>
          </w:tcPr>
          <w:p>
            <w:pPr>
              <w:spacing w:after="0" w:line="142" w:lineRule="exact"/>
              <w:rPr>
                <w:rFonts w:ascii="Arial" w:cs="Arial" w:eastAsia="Arial" w:hAnsi="Arial"/>
                <w:sz w:val="16"/>
                <w:szCs w:val="16"/>
                <w:color w:val="0000FF"/>
              </w:rPr>
            </w:pPr>
            <w:hyperlink r:id="rId91">
              <w:r>
                <w:rPr>
                  <w:rFonts w:ascii="Arial" w:cs="Arial" w:eastAsia="Arial" w:hAnsi="Arial"/>
                  <w:sz w:val="16"/>
                  <w:szCs w:val="16"/>
                  <w:color w:val="0000FF"/>
                </w:rPr>
                <w:t>Marinas, LLC, Sun Communities, Inc., Sun Communities Operating Limited Partnership,</w:t>
              </w:r>
            </w:hyperlink>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auto"/>
            </w:tcBorders>
            <w:shd w:val="clear" w:color="auto" w:fill="CCEEFF"/>
          </w:tcPr>
          <w:p>
            <w:pPr>
              <w:spacing w:after="0"/>
              <w:rPr>
                <w:sz w:val="13"/>
                <w:szCs w:val="13"/>
                <w:color w:val="auto"/>
              </w:rPr>
            </w:pPr>
          </w:p>
        </w:tc>
        <w:tc>
          <w:tcPr>
            <w:tcW w:w="2840" w:type="dxa"/>
            <w:vAlign w:val="bottom"/>
            <w:tcBorders>
              <w:bottom w:val="single" w:sz="8" w:color="CCEEFF"/>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8"/>
              </w:rPr>
              <w:t>Communities, Inc.’s Current Report</w:t>
            </w:r>
          </w:p>
        </w:tc>
        <w:tc>
          <w:tcPr>
            <w:tcW w:w="0" w:type="dxa"/>
            <w:vAlign w:val="bottom"/>
          </w:tcPr>
          <w:p>
            <w:pPr>
              <w:spacing w:after="0"/>
              <w:rPr>
                <w:sz w:val="1"/>
                <w:szCs w:val="1"/>
                <w:color w:val="auto"/>
              </w:rPr>
            </w:pPr>
          </w:p>
        </w:tc>
      </w:tr>
      <w:tr>
        <w:trPr>
          <w:trHeight w:val="60"/>
        </w:trPr>
        <w:tc>
          <w:tcPr>
            <w:tcW w:w="1840" w:type="dxa"/>
            <w:vAlign w:val="bottom"/>
            <w:tcBorders>
              <w:left w:val="single" w:sz="8" w:color="auto"/>
              <w:right w:val="single" w:sz="8" w:color="auto"/>
            </w:tcBorders>
            <w:shd w:val="clear" w:color="auto" w:fill="CCEEFF"/>
          </w:tcPr>
          <w:p>
            <w:pPr>
              <w:spacing w:after="0"/>
              <w:rPr>
                <w:sz w:val="5"/>
                <w:szCs w:val="5"/>
                <w:color w:val="auto"/>
              </w:rPr>
            </w:pPr>
          </w:p>
        </w:tc>
        <w:tc>
          <w:tcPr>
            <w:tcW w:w="6580" w:type="dxa"/>
            <w:vAlign w:val="bottom"/>
            <w:tcBorders>
              <w:right w:val="single" w:sz="8" w:color="auto"/>
            </w:tcBorders>
            <w:gridSpan w:val="13"/>
            <w:vMerge w:val="restart"/>
            <w:shd w:val="clear" w:color="auto" w:fill="CCEEFF"/>
          </w:tcPr>
          <w:p>
            <w:pPr>
              <w:spacing w:after="0" w:line="156" w:lineRule="exact"/>
              <w:rPr>
                <w:rFonts w:ascii="Arial" w:cs="Arial" w:eastAsia="Arial" w:hAnsi="Arial"/>
                <w:sz w:val="18"/>
                <w:szCs w:val="18"/>
                <w:color w:val="0000FF"/>
                <w:w w:val="98"/>
              </w:rPr>
            </w:pPr>
            <w:hyperlink r:id="rId91">
              <w:r>
                <w:rPr>
                  <w:rFonts w:ascii="Arial" w:cs="Arial" w:eastAsia="Arial" w:hAnsi="Arial"/>
                  <w:sz w:val="18"/>
                  <w:szCs w:val="18"/>
                  <w:color w:val="0000FF"/>
                  <w:w w:val="98"/>
                </w:rPr>
                <w:t>Sun SH LLC and Safe Harbor Marinas II, LLC, individually and in its capacity as the</w:t>
              </w:r>
            </w:hyperlink>
          </w:p>
        </w:tc>
        <w:tc>
          <w:tcPr>
            <w:tcW w:w="2840" w:type="dxa"/>
            <w:vAlign w:val="bottom"/>
            <w:tcBorders>
              <w:right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840" w:type="dxa"/>
            <w:vAlign w:val="bottom"/>
            <w:tcBorders>
              <w:left w:val="single" w:sz="8" w:color="auto"/>
              <w:right w:val="single" w:sz="8" w:color="auto"/>
            </w:tcBorders>
            <w:shd w:val="clear" w:color="auto" w:fill="CCEEFF"/>
          </w:tcPr>
          <w:p>
            <w:pPr>
              <w:spacing w:after="0"/>
              <w:rPr>
                <w:sz w:val="8"/>
                <w:szCs w:val="8"/>
                <w:color w:val="auto"/>
              </w:rPr>
            </w:pPr>
          </w:p>
        </w:tc>
        <w:tc>
          <w:tcPr>
            <w:tcW w:w="6580" w:type="dxa"/>
            <w:vAlign w:val="bottom"/>
            <w:tcBorders>
              <w:right w:val="single" w:sz="8" w:color="auto"/>
            </w:tcBorders>
            <w:gridSpan w:val="13"/>
            <w:vMerge w:val="continue"/>
            <w:shd w:val="clear" w:color="auto" w:fill="CCEEFF"/>
          </w:tcPr>
          <w:p>
            <w:pPr>
              <w:spacing w:after="0"/>
              <w:rPr>
                <w:sz w:val="8"/>
                <w:szCs w:val="8"/>
                <w:color w:val="auto"/>
              </w:rPr>
            </w:pPr>
          </w:p>
        </w:tc>
        <w:tc>
          <w:tcPr>
            <w:tcW w:w="284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7"/>
              </w:rPr>
              <w:t>on Form 8-K filed on September 29,</w:t>
            </w:r>
          </w:p>
        </w:tc>
        <w:tc>
          <w:tcPr>
            <w:tcW w:w="0" w:type="dxa"/>
            <w:vAlign w:val="bottom"/>
          </w:tcPr>
          <w:p>
            <w:pPr>
              <w:spacing w:after="0"/>
              <w:rPr>
                <w:sz w:val="1"/>
                <w:szCs w:val="1"/>
                <w:color w:val="auto"/>
              </w:rPr>
            </w:pPr>
          </w:p>
        </w:tc>
      </w:tr>
      <w:tr>
        <w:trPr>
          <w:trHeight w:val="20"/>
        </w:trPr>
        <w:tc>
          <w:tcPr>
            <w:tcW w:w="18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2840" w:type="dxa"/>
            <w:vAlign w:val="bottom"/>
            <w:tcBorders>
              <w:right w:val="single" w:sz="8" w:color="auto"/>
            </w:tcBorders>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840" w:type="dxa"/>
            <w:vAlign w:val="bottom"/>
            <w:tcBorders>
              <w:left w:val="single" w:sz="8" w:color="auto"/>
              <w:right w:val="single" w:sz="8" w:color="auto"/>
            </w:tcBorders>
            <w:shd w:val="clear" w:color="auto" w:fill="CCEEFF"/>
          </w:tcPr>
          <w:p>
            <w:pPr>
              <w:spacing w:after="0"/>
              <w:rPr>
                <w:sz w:val="8"/>
                <w:szCs w:val="8"/>
                <w:color w:val="auto"/>
              </w:rPr>
            </w:pPr>
          </w:p>
        </w:tc>
        <w:tc>
          <w:tcPr>
            <w:tcW w:w="6580" w:type="dxa"/>
            <w:vAlign w:val="bottom"/>
            <w:tcBorders>
              <w:right w:val="single" w:sz="8" w:color="auto"/>
            </w:tcBorders>
            <w:gridSpan w:val="13"/>
            <w:vMerge w:val="restart"/>
            <w:shd w:val="clear" w:color="auto" w:fill="CCEEFF"/>
          </w:tcPr>
          <w:p>
            <w:pPr>
              <w:spacing w:after="0" w:line="156" w:lineRule="exact"/>
              <w:rPr>
                <w:rFonts w:ascii="Arial" w:cs="Arial" w:eastAsia="Arial" w:hAnsi="Arial"/>
                <w:sz w:val="18"/>
                <w:szCs w:val="18"/>
                <w:color w:val="0000FF"/>
              </w:rPr>
            </w:pPr>
            <w:hyperlink r:id="rId91">
              <w:r>
                <w:rPr>
                  <w:rFonts w:ascii="Arial" w:cs="Arial" w:eastAsia="Arial" w:hAnsi="Arial"/>
                  <w:sz w:val="18"/>
                  <w:szCs w:val="18"/>
                  <w:color w:val="0000FF"/>
                </w:rPr>
                <w:t>Seller Representative (as defined therein)</w:t>
              </w:r>
            </w:hyperlink>
          </w:p>
        </w:tc>
        <w:tc>
          <w:tcPr>
            <w:tcW w:w="284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840" w:type="dxa"/>
            <w:vAlign w:val="bottom"/>
            <w:tcBorders>
              <w:left w:val="single" w:sz="8" w:color="auto"/>
              <w:right w:val="single" w:sz="8" w:color="auto"/>
            </w:tcBorders>
            <w:shd w:val="clear" w:color="auto" w:fill="CCEEFF"/>
          </w:tcPr>
          <w:p>
            <w:pPr>
              <w:spacing w:after="0"/>
              <w:rPr>
                <w:sz w:val="4"/>
                <w:szCs w:val="4"/>
                <w:color w:val="auto"/>
              </w:rPr>
            </w:pPr>
          </w:p>
        </w:tc>
        <w:tc>
          <w:tcPr>
            <w:tcW w:w="6580" w:type="dxa"/>
            <w:vAlign w:val="bottom"/>
            <w:tcBorders>
              <w:right w:val="single" w:sz="8" w:color="auto"/>
            </w:tcBorders>
            <w:gridSpan w:val="13"/>
            <w:vMerge w:val="continue"/>
            <w:shd w:val="clear" w:color="auto" w:fill="CCEEFF"/>
          </w:tcPr>
          <w:p>
            <w:pPr>
              <w:spacing w:after="0"/>
              <w:rPr>
                <w:sz w:val="4"/>
                <w:szCs w:val="4"/>
                <w:color w:val="auto"/>
              </w:rPr>
            </w:pPr>
          </w:p>
        </w:tc>
        <w:tc>
          <w:tcPr>
            <w:tcW w:w="284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83"/>
        </w:trPr>
        <w:tc>
          <w:tcPr>
            <w:tcW w:w="1840" w:type="dxa"/>
            <w:vAlign w:val="bottom"/>
            <w:tcBorders>
              <w:top w:val="single" w:sz="8" w:color="CCEEFF"/>
              <w:left w:val="single" w:sz="8" w:color="auto"/>
              <w:bottom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0000FF"/>
              <w:bottom w:val="single" w:sz="8" w:color="CCEEFF"/>
            </w:tcBorders>
            <w:shd w:val="clear" w:color="auto" w:fill="CCEEFF"/>
          </w:tcPr>
          <w:p>
            <w:pPr>
              <w:spacing w:after="0"/>
              <w:rPr>
                <w:sz w:val="15"/>
                <w:szCs w:val="15"/>
                <w:color w:val="auto"/>
              </w:rPr>
            </w:pPr>
          </w:p>
        </w:tc>
        <w:tc>
          <w:tcPr>
            <w:tcW w:w="1940" w:type="dxa"/>
            <w:vAlign w:val="bottom"/>
            <w:tcBorders>
              <w:top w:val="single" w:sz="8" w:color="0000FF"/>
              <w:bottom w:val="single" w:sz="8" w:color="CCEEFF"/>
            </w:tcBorders>
            <w:shd w:val="clear" w:color="auto" w:fill="CCEEFF"/>
          </w:tcPr>
          <w:p>
            <w:pPr>
              <w:spacing w:after="0"/>
              <w:rPr>
                <w:sz w:val="15"/>
                <w:szCs w:val="15"/>
                <w:color w:val="auto"/>
              </w:rPr>
            </w:pPr>
          </w:p>
        </w:tc>
        <w:tc>
          <w:tcPr>
            <w:tcW w:w="300" w:type="dxa"/>
            <w:vAlign w:val="bottom"/>
            <w:tcBorders>
              <w:top w:val="single" w:sz="8" w:color="0000FF"/>
              <w:bottom w:val="single" w:sz="8" w:color="CCEEFF"/>
            </w:tcBorders>
            <w:shd w:val="clear" w:color="auto" w:fill="CCEEFF"/>
          </w:tcPr>
          <w:p>
            <w:pPr>
              <w:spacing w:after="0"/>
              <w:rPr>
                <w:sz w:val="15"/>
                <w:szCs w:val="15"/>
                <w:color w:val="auto"/>
              </w:rPr>
            </w:pPr>
          </w:p>
        </w:tc>
        <w:tc>
          <w:tcPr>
            <w:tcW w:w="320" w:type="dxa"/>
            <w:vAlign w:val="bottom"/>
            <w:tcBorders>
              <w:top w:val="single" w:sz="8" w:color="0000FF"/>
              <w:bottom w:val="single" w:sz="8" w:color="CCEEFF"/>
            </w:tcBorders>
            <w:shd w:val="clear" w:color="auto" w:fill="CCEEFF"/>
          </w:tcPr>
          <w:p>
            <w:pPr>
              <w:spacing w:after="0"/>
              <w:rPr>
                <w:sz w:val="15"/>
                <w:szCs w:val="15"/>
                <w:color w:val="auto"/>
              </w:rPr>
            </w:pPr>
          </w:p>
        </w:tc>
        <w:tc>
          <w:tcPr>
            <w:tcW w:w="300" w:type="dxa"/>
            <w:vAlign w:val="bottom"/>
            <w:tcBorders>
              <w:top w:val="single" w:sz="8" w:color="0000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30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2840" w:type="dxa"/>
            <w:vAlign w:val="bottom"/>
            <w:tcBorders>
              <w:top w:val="single" w:sz="8" w:color="CCEEFF"/>
              <w:bottom w:val="single" w:sz="8" w:color="CCEEFF"/>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6580" w:type="dxa"/>
            <w:vAlign w:val="bottom"/>
            <w:tcBorders>
              <w:top w:val="single" w:sz="8" w:color="auto"/>
              <w:right w:val="single" w:sz="8" w:color="auto"/>
            </w:tcBorders>
            <w:gridSpan w:val="13"/>
          </w:tcPr>
          <w:p>
            <w:pPr>
              <w:spacing w:after="0"/>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Sun Communities, Inc. Articles of Restatement</w:t>
              </w:r>
            </w:hyperlink>
          </w:p>
        </w:tc>
        <w:tc>
          <w:tcPr>
            <w:tcW w:w="2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Communities, Inc.'s Annual Report on</w:t>
            </w:r>
          </w:p>
        </w:tc>
        <w:tc>
          <w:tcPr>
            <w:tcW w:w="0" w:type="dxa"/>
            <w:vAlign w:val="bottom"/>
          </w:tcPr>
          <w:p>
            <w:pPr>
              <w:spacing w:after="0"/>
              <w:rPr>
                <w:sz w:val="1"/>
                <w:szCs w:val="1"/>
                <w:color w:val="auto"/>
              </w:rPr>
            </w:pPr>
          </w:p>
        </w:tc>
      </w:tr>
      <w:tr>
        <w:trPr>
          <w:trHeight w:val="230"/>
        </w:trPr>
        <w:tc>
          <w:tcPr>
            <w:tcW w:w="1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Form 10-K filed on February 22, 2018</w:t>
            </w:r>
          </w:p>
        </w:tc>
        <w:tc>
          <w:tcPr>
            <w:tcW w:w="0" w:type="dxa"/>
            <w:vAlign w:val="bottom"/>
          </w:tcPr>
          <w:p>
            <w:pPr>
              <w:spacing w:after="0"/>
              <w:rPr>
                <w:sz w:val="1"/>
                <w:szCs w:val="1"/>
                <w:color w:val="auto"/>
              </w:rPr>
            </w:pP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4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3.2</w:t>
            </w:r>
          </w:p>
        </w:tc>
        <w:tc>
          <w:tcPr>
            <w:tcW w:w="6580" w:type="dxa"/>
            <w:vAlign w:val="bottom"/>
            <w:tcBorders>
              <w:right w:val="single" w:sz="8" w:color="auto"/>
            </w:tcBorders>
            <w:gridSpan w:val="13"/>
            <w:shd w:val="clear" w:color="auto" w:fill="CCEEFF"/>
          </w:tcPr>
          <w:p>
            <w:pPr>
              <w:spacing w:after="0"/>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Third Amended and Restated Bylaws</w:t>
              </w:r>
            </w:hyperlink>
          </w:p>
        </w:tc>
        <w:tc>
          <w:tcPr>
            <w:tcW w:w="28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auto"/>
            </w:tcBorders>
            <w:shd w:val="clear" w:color="auto" w:fill="CCEEFF"/>
          </w:tcPr>
          <w:p>
            <w:pPr>
              <w:spacing w:after="0"/>
              <w:rPr>
                <w:sz w:val="18"/>
                <w:szCs w:val="18"/>
                <w:color w:val="auto"/>
              </w:rPr>
            </w:pPr>
          </w:p>
        </w:tc>
        <w:tc>
          <w:tcPr>
            <w:tcW w:w="28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Communities Inc.'s Current Report on</w:t>
            </w:r>
          </w:p>
        </w:tc>
        <w:tc>
          <w:tcPr>
            <w:tcW w:w="0" w:type="dxa"/>
            <w:vAlign w:val="bottom"/>
          </w:tcPr>
          <w:p>
            <w:pPr>
              <w:spacing w:after="0"/>
              <w:rPr>
                <w:sz w:val="1"/>
                <w:szCs w:val="1"/>
                <w:color w:val="auto"/>
              </w:rPr>
            </w:pPr>
          </w:p>
        </w:tc>
      </w:tr>
      <w:tr>
        <w:trPr>
          <w:trHeight w:val="262"/>
        </w:trPr>
        <w:tc>
          <w:tcPr>
            <w:tcW w:w="184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0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right w:val="single" w:sz="8" w:color="auto"/>
            </w:tcBorders>
            <w:shd w:val="clear" w:color="auto" w:fill="CCEEFF"/>
          </w:tcPr>
          <w:p>
            <w:pPr>
              <w:spacing w:after="0"/>
              <w:rPr>
                <w:sz w:val="22"/>
                <w:szCs w:val="22"/>
                <w:color w:val="auto"/>
              </w:rPr>
            </w:pPr>
          </w:p>
        </w:tc>
        <w:tc>
          <w:tcPr>
            <w:tcW w:w="28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Form 8-K filed on May 12, 2017</w:t>
            </w:r>
          </w:p>
        </w:tc>
        <w:tc>
          <w:tcPr>
            <w:tcW w:w="0" w:type="dxa"/>
            <w:vAlign w:val="bottom"/>
          </w:tcPr>
          <w:p>
            <w:pPr>
              <w:spacing w:after="0"/>
              <w:rPr>
                <w:sz w:val="1"/>
                <w:szCs w:val="1"/>
                <w:color w:val="auto"/>
              </w:rPr>
            </w:pPr>
          </w:p>
        </w:tc>
      </w:tr>
      <w:tr>
        <w:trPr>
          <w:trHeight w:val="196"/>
        </w:trPr>
        <w:tc>
          <w:tcPr>
            <w:tcW w:w="1840" w:type="dxa"/>
            <w:vAlign w:val="bottom"/>
            <w:tcBorders>
              <w:top w:val="single" w:sz="8" w:color="auto"/>
              <w:left w:val="single" w:sz="8" w:color="auto"/>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4.1</w:t>
            </w:r>
          </w:p>
        </w:tc>
        <w:tc>
          <w:tcPr>
            <w:tcW w:w="6580" w:type="dxa"/>
            <w:vAlign w:val="bottom"/>
            <w:tcBorders>
              <w:top w:val="single" w:sz="8" w:color="auto"/>
              <w:right w:val="single" w:sz="8" w:color="auto"/>
            </w:tcBorders>
            <w:gridSpan w:val="13"/>
          </w:tcPr>
          <w:p>
            <w:pPr>
              <w:spacing w:after="0" w:line="196" w:lineRule="exact"/>
              <w:rPr>
                <w:rFonts w:ascii="Arial" w:cs="Arial" w:eastAsia="Arial" w:hAnsi="Arial"/>
                <w:sz w:val="18"/>
                <w:szCs w:val="18"/>
                <w:color w:val="0000FF"/>
                <w:w w:val="91"/>
              </w:rPr>
            </w:pPr>
            <w:hyperlink r:id="rId94">
              <w:r>
                <w:rPr>
                  <w:rFonts w:ascii="Arial" w:cs="Arial" w:eastAsia="Arial" w:hAnsi="Arial"/>
                  <w:sz w:val="18"/>
                  <w:szCs w:val="18"/>
                  <w:color w:val="0000FF"/>
                  <w:w w:val="91"/>
                </w:rPr>
                <w:t>Form of Registration Rights Agreement by and among Sun Communities, Inc. and certain</w:t>
              </w:r>
            </w:hyperlink>
          </w:p>
        </w:tc>
        <w:tc>
          <w:tcPr>
            <w:tcW w:w="2840" w:type="dxa"/>
            <w:vAlign w:val="bottom"/>
            <w:tcBorders>
              <w:top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183"/>
        </w:trPr>
        <w:tc>
          <w:tcPr>
            <w:tcW w:w="1840" w:type="dxa"/>
            <w:vAlign w:val="bottom"/>
            <w:tcBorders>
              <w:left w:val="single" w:sz="8" w:color="auto"/>
              <w:right w:val="single" w:sz="8" w:color="auto"/>
            </w:tcBorders>
          </w:tcPr>
          <w:p>
            <w:pPr>
              <w:spacing w:after="0"/>
              <w:rPr>
                <w:sz w:val="15"/>
                <w:szCs w:val="15"/>
                <w:color w:val="auto"/>
              </w:rPr>
            </w:pPr>
          </w:p>
        </w:tc>
        <w:tc>
          <w:tcPr>
            <w:tcW w:w="204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9"/>
              </w:rPr>
            </w:pPr>
            <w:hyperlink r:id="rId94">
              <w:r>
                <w:rPr>
                  <w:rFonts w:ascii="Arial" w:cs="Arial" w:eastAsia="Arial" w:hAnsi="Arial"/>
                  <w:sz w:val="18"/>
                  <w:szCs w:val="18"/>
                  <w:color w:val="0000FF"/>
                  <w:w w:val="89"/>
                </w:rPr>
                <w:t>holders of Merger Securities</w:t>
              </w:r>
            </w:hyperlink>
          </w:p>
        </w:tc>
        <w:tc>
          <w:tcPr>
            <w:tcW w:w="30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gridSpan w:val="3"/>
          </w:tcPr>
          <w:p>
            <w:pPr>
              <w:spacing w:after="0"/>
              <w:rPr>
                <w:sz w:val="15"/>
                <w:szCs w:val="15"/>
                <w:color w:val="auto"/>
              </w:rPr>
            </w:pPr>
          </w:p>
        </w:tc>
        <w:tc>
          <w:tcPr>
            <w:tcW w:w="30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w w:val="98"/>
              </w:rPr>
              <w:t>Communities, Inc.’s Current Report</w:t>
            </w:r>
          </w:p>
        </w:tc>
        <w:tc>
          <w:tcPr>
            <w:tcW w:w="0" w:type="dxa"/>
            <w:vAlign w:val="bottom"/>
          </w:tcPr>
          <w:p>
            <w:pPr>
              <w:spacing w:after="0"/>
              <w:rPr>
                <w:sz w:val="1"/>
                <w:szCs w:val="1"/>
                <w:color w:val="auto"/>
              </w:rPr>
            </w:pPr>
          </w:p>
        </w:tc>
      </w:tr>
      <w:tr>
        <w:trPr>
          <w:trHeight w:val="236"/>
        </w:trPr>
        <w:tc>
          <w:tcPr>
            <w:tcW w:w="1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on Form 8-K filed on September 29,</w:t>
            </w:r>
          </w:p>
        </w:tc>
        <w:tc>
          <w:tcPr>
            <w:tcW w:w="0" w:type="dxa"/>
            <w:vAlign w:val="bottom"/>
          </w:tcPr>
          <w:p>
            <w:pPr>
              <w:spacing w:after="0"/>
              <w:rPr>
                <w:sz w:val="1"/>
                <w:szCs w:val="1"/>
                <w:color w:val="auto"/>
              </w:rPr>
            </w:pPr>
          </w:p>
        </w:tc>
      </w:tr>
      <w:tr>
        <w:trPr>
          <w:trHeight w:val="230"/>
        </w:trPr>
        <w:tc>
          <w:tcPr>
            <w:tcW w:w="1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40" w:type="dxa"/>
            <w:vAlign w:val="bottom"/>
            <w:tcBorders>
              <w:left w:val="single" w:sz="8" w:color="auto"/>
              <w:right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6580" w:type="dxa"/>
            <w:vAlign w:val="bottom"/>
            <w:tcBorders>
              <w:right w:val="single" w:sz="8" w:color="auto"/>
            </w:tcBorders>
            <w:gridSpan w:val="13"/>
            <w:shd w:val="clear" w:color="auto" w:fill="CCEEFF"/>
          </w:tcPr>
          <w:p>
            <w:pPr>
              <w:spacing w:after="0" w:line="196" w:lineRule="exact"/>
              <w:rPr>
                <w:rFonts w:ascii="Arial" w:cs="Arial" w:eastAsia="Arial" w:hAnsi="Arial"/>
                <w:sz w:val="18"/>
                <w:szCs w:val="18"/>
                <w:color w:val="0000FF"/>
                <w:w w:val="95"/>
              </w:rPr>
            </w:pPr>
            <w:hyperlink r:id="rId95">
              <w:r>
                <w:rPr>
                  <w:rFonts w:ascii="Arial" w:cs="Arial" w:eastAsia="Arial" w:hAnsi="Arial"/>
                  <w:sz w:val="18"/>
                  <w:szCs w:val="18"/>
                  <w:u w:val="single" w:color="auto"/>
                  <w:color w:val="0000FF"/>
                  <w:w w:val="95"/>
                </w:rPr>
                <w:t>Employment</w:t>
              </w:r>
              <w:r>
                <w:rPr>
                  <w:rFonts w:ascii="Arial" w:cs="Arial" w:eastAsia="Arial" w:hAnsi="Arial"/>
                  <w:sz w:val="18"/>
                  <w:szCs w:val="18"/>
                  <w:color w:val="0000FF"/>
                  <w:w w:val="95"/>
                </w:rPr>
                <w:t xml:space="preserve"> Agreement, dated as of September 29, 2020, but to be effective as of the</w:t>
              </w:r>
            </w:hyperlink>
          </w:p>
        </w:tc>
        <w:tc>
          <w:tcPr>
            <w:tcW w:w="2840" w:type="dxa"/>
            <w:vAlign w:val="bottom"/>
            <w:tcBorders>
              <w:right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20"/>
        </w:trPr>
        <w:tc>
          <w:tcPr>
            <w:tcW w:w="18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gridSpan w:val="3"/>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28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840" w:type="dxa"/>
            <w:vAlign w:val="bottom"/>
            <w:tcBorders>
              <w:left w:val="single" w:sz="8" w:color="auto"/>
              <w:right w:val="single" w:sz="8" w:color="auto"/>
            </w:tcBorders>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6480" w:type="dxa"/>
            <w:vAlign w:val="bottom"/>
            <w:tcBorders>
              <w:right w:val="single" w:sz="8" w:color="auto"/>
            </w:tcBorders>
            <w:gridSpan w:val="12"/>
            <w:shd w:val="clear" w:color="auto" w:fill="CCEEFF"/>
          </w:tcPr>
          <w:p>
            <w:pPr>
              <w:jc w:val="center"/>
              <w:ind w:right="120"/>
              <w:spacing w:after="0"/>
              <w:rPr>
                <w:rFonts w:ascii="Arial" w:cs="Arial" w:eastAsia="Arial" w:hAnsi="Arial"/>
                <w:sz w:val="18"/>
                <w:szCs w:val="18"/>
                <w:u w:val="single" w:color="auto"/>
                <w:color w:val="0000FF"/>
                <w:w w:val="90"/>
              </w:rPr>
            </w:pPr>
            <w:hyperlink r:id="rId95">
              <w:r>
                <w:rPr>
                  <w:rFonts w:ascii="Arial" w:cs="Arial" w:eastAsia="Arial" w:hAnsi="Arial"/>
                  <w:sz w:val="18"/>
                  <w:szCs w:val="18"/>
                  <w:u w:val="single" w:color="auto"/>
                  <w:color w:val="0000FF"/>
                  <w:w w:val="90"/>
                </w:rPr>
                <w:t>Merger closing, by and between Baxter Underwood and International Marina Group I, LP</w:t>
              </w:r>
            </w:hyperlink>
          </w:p>
        </w:tc>
        <w:tc>
          <w:tcPr>
            <w:tcW w:w="28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Communities, Inc.’s Current Report</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auto"/>
            </w:tcBorders>
            <w:shd w:val="clear" w:color="auto" w:fill="CCEEFF"/>
          </w:tcPr>
          <w:p>
            <w:pPr>
              <w:spacing w:after="0"/>
              <w:rPr>
                <w:sz w:val="18"/>
                <w:szCs w:val="18"/>
                <w:color w:val="auto"/>
              </w:rPr>
            </w:pPr>
          </w:p>
        </w:tc>
        <w:tc>
          <w:tcPr>
            <w:tcW w:w="28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on Form 8-K filed on September 29,</w:t>
            </w:r>
          </w:p>
        </w:tc>
        <w:tc>
          <w:tcPr>
            <w:tcW w:w="0" w:type="dxa"/>
            <w:vAlign w:val="bottom"/>
          </w:tcPr>
          <w:p>
            <w:pPr>
              <w:spacing w:after="0"/>
              <w:rPr>
                <w:sz w:val="1"/>
                <w:szCs w:val="1"/>
                <w:color w:val="auto"/>
              </w:rPr>
            </w:pPr>
          </w:p>
        </w:tc>
      </w:tr>
      <w:tr>
        <w:trPr>
          <w:trHeight w:val="262"/>
        </w:trPr>
        <w:tc>
          <w:tcPr>
            <w:tcW w:w="184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0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right w:val="single" w:sz="8" w:color="auto"/>
            </w:tcBorders>
            <w:shd w:val="clear" w:color="auto" w:fill="CCEEFF"/>
          </w:tcPr>
          <w:p>
            <w:pPr>
              <w:spacing w:after="0"/>
              <w:rPr>
                <w:sz w:val="22"/>
                <w:szCs w:val="22"/>
                <w:color w:val="auto"/>
              </w:rPr>
            </w:pPr>
          </w:p>
        </w:tc>
        <w:tc>
          <w:tcPr>
            <w:tcW w:w="28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1840" w:type="dxa"/>
            <w:vAlign w:val="bottom"/>
            <w:tcBorders>
              <w:top w:val="single" w:sz="8" w:color="auto"/>
              <w:left w:val="single" w:sz="8" w:color="auto"/>
              <w:right w:val="single" w:sz="8" w:color="auto"/>
            </w:tcBorders>
          </w:tcPr>
          <w:p>
            <w:pPr>
              <w:spacing w:after="0"/>
              <w:rPr>
                <w:sz w:val="17"/>
                <w:szCs w:val="17"/>
                <w:color w:val="auto"/>
              </w:rPr>
            </w:pPr>
          </w:p>
        </w:tc>
        <w:tc>
          <w:tcPr>
            <w:tcW w:w="6580" w:type="dxa"/>
            <w:vAlign w:val="bottom"/>
            <w:tcBorders>
              <w:top w:val="single" w:sz="8" w:color="auto"/>
              <w:right w:val="single" w:sz="8" w:color="auto"/>
            </w:tcBorders>
            <w:gridSpan w:val="13"/>
          </w:tcPr>
          <w:p>
            <w:pPr>
              <w:spacing w:after="0" w:line="19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Sixth Amendment to the Fourth Amended and Restated Agreement of Limited Partnership</w:t>
              </w:r>
            </w:hyperlink>
          </w:p>
        </w:tc>
        <w:tc>
          <w:tcPr>
            <w:tcW w:w="2840" w:type="dxa"/>
            <w:vAlign w:val="bottom"/>
            <w:tcBorders>
              <w:top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222"/>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10.2</w:t>
            </w:r>
          </w:p>
        </w:tc>
        <w:tc>
          <w:tcPr>
            <w:tcW w:w="6500" w:type="dxa"/>
            <w:vAlign w:val="bottom"/>
            <w:tcBorders>
              <w:top w:val="single" w:sz="8" w:color="0000FF"/>
            </w:tcBorders>
            <w:gridSpan w:val="12"/>
          </w:tcPr>
          <w:p>
            <w:pPr>
              <w:spacing w:after="0"/>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of Sun Communities Operating Limited Partnership, dated September 30, 2020</w:t>
              </w:r>
            </w:hyperlink>
          </w:p>
        </w:tc>
        <w:tc>
          <w:tcPr>
            <w:tcW w:w="80" w:type="dxa"/>
            <w:vAlign w:val="bottom"/>
            <w:tcBorders>
              <w:right w:val="single" w:sz="8" w:color="auto"/>
            </w:tcBorders>
          </w:tcPr>
          <w:p>
            <w:pPr>
              <w:spacing w:after="0"/>
              <w:rPr>
                <w:sz w:val="19"/>
                <w:szCs w:val="19"/>
                <w:color w:val="auto"/>
              </w:rPr>
            </w:pP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Communities, Inc.’s Current Report</w:t>
            </w:r>
          </w:p>
        </w:tc>
        <w:tc>
          <w:tcPr>
            <w:tcW w:w="0" w:type="dxa"/>
            <w:vAlign w:val="bottom"/>
          </w:tcPr>
          <w:p>
            <w:pPr>
              <w:spacing w:after="0"/>
              <w:rPr>
                <w:sz w:val="1"/>
                <w:szCs w:val="1"/>
                <w:color w:val="auto"/>
              </w:rPr>
            </w:pPr>
          </w:p>
        </w:tc>
      </w:tr>
      <w:tr>
        <w:trPr>
          <w:trHeight w:val="230"/>
        </w:trPr>
        <w:tc>
          <w:tcPr>
            <w:tcW w:w="1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on Form 8-K filed on October 6, 2020</w:t>
            </w:r>
          </w:p>
        </w:tc>
        <w:tc>
          <w:tcPr>
            <w:tcW w:w="0" w:type="dxa"/>
            <w:vAlign w:val="bottom"/>
          </w:tcPr>
          <w:p>
            <w:pPr>
              <w:spacing w:after="0"/>
              <w:rPr>
                <w:sz w:val="1"/>
                <w:szCs w:val="1"/>
                <w:color w:val="auto"/>
              </w:rPr>
            </w:pP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40" w:type="dxa"/>
            <w:vAlign w:val="bottom"/>
            <w:tcBorders>
              <w:left w:val="single" w:sz="8" w:color="auto"/>
              <w:right w:val="single" w:sz="8" w:color="auto"/>
            </w:tcBorders>
            <w:shd w:val="clear" w:color="auto" w:fill="CCEEFF"/>
          </w:tcPr>
          <w:p>
            <w:pPr>
              <w:spacing w:after="0"/>
              <w:rPr>
                <w:sz w:val="15"/>
                <w:szCs w:val="15"/>
                <w:color w:val="auto"/>
              </w:rPr>
            </w:pPr>
          </w:p>
        </w:tc>
        <w:tc>
          <w:tcPr>
            <w:tcW w:w="6580" w:type="dxa"/>
            <w:vAlign w:val="bottom"/>
            <w:tcBorders>
              <w:right w:val="single" w:sz="8" w:color="auto"/>
            </w:tcBorders>
            <w:gridSpan w:val="13"/>
            <w:shd w:val="clear" w:color="auto" w:fill="CCEEFF"/>
          </w:tcPr>
          <w:p>
            <w:pPr>
              <w:spacing w:after="0" w:line="169" w:lineRule="exact"/>
              <w:rPr>
                <w:rFonts w:ascii="Arial" w:cs="Arial" w:eastAsia="Arial" w:hAnsi="Arial"/>
                <w:sz w:val="18"/>
                <w:szCs w:val="18"/>
                <w:color w:val="0000FF"/>
                <w:w w:val="96"/>
              </w:rPr>
            </w:pPr>
            <w:hyperlink r:id="rId97">
              <w:r>
                <w:rPr>
                  <w:rFonts w:ascii="Arial" w:cs="Arial" w:eastAsia="Arial" w:hAnsi="Arial"/>
                  <w:sz w:val="18"/>
                  <w:szCs w:val="18"/>
                  <w:color w:val="0000FF"/>
                  <w:w w:val="96"/>
                </w:rPr>
                <w:t>Form of Seventh Amendment to Agreement of Limited Partnership Agreement of Sun</w:t>
              </w:r>
            </w:hyperlink>
          </w:p>
        </w:tc>
        <w:tc>
          <w:tcPr>
            <w:tcW w:w="2840" w:type="dxa"/>
            <w:vAlign w:val="bottom"/>
            <w:tcBorders>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155"/>
        </w:trPr>
        <w:tc>
          <w:tcPr>
            <w:tcW w:w="1840" w:type="dxa"/>
            <w:vAlign w:val="bottom"/>
            <w:tcBorders>
              <w:top w:val="single" w:sz="8" w:color="CCEEFF"/>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10.3</w:t>
            </w:r>
          </w:p>
        </w:tc>
        <w:tc>
          <w:tcPr>
            <w:tcW w:w="3200" w:type="dxa"/>
            <w:vAlign w:val="bottom"/>
            <w:tcBorders>
              <w:top w:val="single" w:sz="8" w:color="0000FF"/>
              <w:bottom w:val="single" w:sz="8" w:color="0000FF"/>
            </w:tcBorders>
            <w:gridSpan w:val="6"/>
            <w:shd w:val="clear" w:color="auto" w:fill="CCEEFF"/>
          </w:tcPr>
          <w:p>
            <w:pPr>
              <w:spacing w:after="0" w:line="142" w:lineRule="exact"/>
              <w:rPr>
                <w:rFonts w:ascii="Arial" w:cs="Arial" w:eastAsia="Arial" w:hAnsi="Arial"/>
                <w:sz w:val="16"/>
                <w:szCs w:val="16"/>
                <w:color w:val="0000FF"/>
              </w:rPr>
            </w:pPr>
            <w:hyperlink r:id="rId97">
              <w:r>
                <w:rPr>
                  <w:rFonts w:ascii="Arial" w:cs="Arial" w:eastAsia="Arial" w:hAnsi="Arial"/>
                  <w:sz w:val="16"/>
                  <w:szCs w:val="16"/>
                  <w:color w:val="0000FF"/>
                </w:rPr>
                <w:t>Communities Operating Limited Partnership</w:t>
              </w:r>
            </w:hyperlink>
          </w:p>
        </w:tc>
        <w:tc>
          <w:tcPr>
            <w:tcW w:w="3000" w:type="dxa"/>
            <w:vAlign w:val="bottom"/>
            <w:tcBorders>
              <w:top w:val="single" w:sz="8" w:color="0000FF"/>
              <w:bottom w:val="single" w:sz="8" w:color="0000FF"/>
              <w:right w:val="single" w:sz="8" w:color="CCEEFF"/>
            </w:tcBorders>
            <w:vMerge w:val="restart"/>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right w:val="single" w:sz="8" w:color="auto"/>
            </w:tcBorders>
            <w:gridSpan w:val="4"/>
            <w:shd w:val="clear" w:color="auto" w:fill="CCEEFF"/>
          </w:tcPr>
          <w:p>
            <w:pPr>
              <w:spacing w:after="0"/>
              <w:rPr>
                <w:sz w:val="13"/>
                <w:szCs w:val="13"/>
                <w:color w:val="auto"/>
              </w:rPr>
            </w:pPr>
          </w:p>
        </w:tc>
        <w:tc>
          <w:tcPr>
            <w:tcW w:w="2840" w:type="dxa"/>
            <w:vAlign w:val="bottom"/>
            <w:tcBorders>
              <w:top w:val="single" w:sz="8" w:color="CCEEFF"/>
              <w:bottom w:val="single" w:sz="8" w:color="CCEEFF"/>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8"/>
              </w:rPr>
              <w:t>Communities, Inc.’s Current Report</w:t>
            </w:r>
          </w:p>
        </w:tc>
        <w:tc>
          <w:tcPr>
            <w:tcW w:w="0" w:type="dxa"/>
            <w:vAlign w:val="bottom"/>
          </w:tcPr>
          <w:p>
            <w:pPr>
              <w:spacing w:after="0"/>
              <w:rPr>
                <w:sz w:val="1"/>
                <w:szCs w:val="1"/>
                <w:color w:val="auto"/>
              </w:rPr>
            </w:pPr>
          </w:p>
        </w:tc>
      </w:tr>
      <w:tr>
        <w:trPr>
          <w:trHeight w:val="60"/>
        </w:trPr>
        <w:tc>
          <w:tcPr>
            <w:tcW w:w="1840" w:type="dxa"/>
            <w:vAlign w:val="bottom"/>
            <w:tcBorders>
              <w:left w:val="single" w:sz="8" w:color="auto"/>
              <w:right w:val="single" w:sz="8" w:color="auto"/>
            </w:tcBorders>
            <w:vMerge w:val="continue"/>
            <w:shd w:val="clear" w:color="auto" w:fill="CCEEFF"/>
          </w:tcPr>
          <w:p>
            <w:pPr>
              <w:spacing w:after="0"/>
              <w:rPr>
                <w:sz w:val="5"/>
                <w:szCs w:val="5"/>
                <w:color w:val="auto"/>
              </w:rPr>
            </w:pPr>
          </w:p>
        </w:tc>
        <w:tc>
          <w:tcPr>
            <w:tcW w:w="2340" w:type="dxa"/>
            <w:vAlign w:val="bottom"/>
            <w:gridSpan w:val="3"/>
            <w:shd w:val="clear" w:color="auto" w:fill="CCEEFF"/>
          </w:tcPr>
          <w:p>
            <w:pPr>
              <w:spacing w:after="0"/>
              <w:rPr>
                <w:sz w:val="5"/>
                <w:szCs w:val="5"/>
                <w:color w:val="auto"/>
              </w:rPr>
            </w:pPr>
          </w:p>
        </w:tc>
        <w:tc>
          <w:tcPr>
            <w:tcW w:w="860" w:type="dxa"/>
            <w:vAlign w:val="bottom"/>
            <w:gridSpan w:val="3"/>
            <w:shd w:val="clear" w:color="auto" w:fill="CCEEFF"/>
          </w:tcPr>
          <w:p>
            <w:pPr>
              <w:spacing w:after="0"/>
              <w:rPr>
                <w:sz w:val="5"/>
                <w:szCs w:val="5"/>
                <w:color w:val="auto"/>
              </w:rPr>
            </w:pPr>
          </w:p>
        </w:tc>
        <w:tc>
          <w:tcPr>
            <w:tcW w:w="3000" w:type="dxa"/>
            <w:vAlign w:val="bottom"/>
            <w:tcBorders>
              <w:right w:val="single" w:sz="8" w:color="CCEEFF"/>
            </w:tcBorders>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tcBorders>
              <w:right w:val="single" w:sz="8" w:color="auto"/>
            </w:tcBorders>
            <w:shd w:val="clear" w:color="auto" w:fill="CCEEFF"/>
          </w:tcPr>
          <w:p>
            <w:pPr>
              <w:spacing w:after="0"/>
              <w:rPr>
                <w:sz w:val="5"/>
                <w:szCs w:val="5"/>
                <w:color w:val="auto"/>
              </w:rPr>
            </w:pPr>
          </w:p>
        </w:tc>
        <w:tc>
          <w:tcPr>
            <w:tcW w:w="2840" w:type="dxa"/>
            <w:vAlign w:val="bottom"/>
            <w:tcBorders>
              <w:right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84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right w:val="single" w:sz="8" w:color="auto"/>
            </w:tcBorders>
            <w:shd w:val="clear" w:color="auto" w:fill="CCEEFF"/>
          </w:tcPr>
          <w:p>
            <w:pPr>
              <w:spacing w:after="0"/>
              <w:rPr>
                <w:sz w:val="10"/>
                <w:szCs w:val="10"/>
                <w:color w:val="auto"/>
              </w:rPr>
            </w:pPr>
          </w:p>
        </w:tc>
        <w:tc>
          <w:tcPr>
            <w:tcW w:w="284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7"/>
              </w:rPr>
              <w:t>on Form 8-K filed on September 29,</w:t>
            </w:r>
          </w:p>
        </w:tc>
        <w:tc>
          <w:tcPr>
            <w:tcW w:w="0" w:type="dxa"/>
            <w:vAlign w:val="bottom"/>
          </w:tcPr>
          <w:p>
            <w:pPr>
              <w:spacing w:after="0"/>
              <w:rPr>
                <w:sz w:val="1"/>
                <w:szCs w:val="1"/>
                <w:color w:val="auto"/>
              </w:rPr>
            </w:pPr>
          </w:p>
        </w:tc>
      </w:tr>
      <w:tr>
        <w:trPr>
          <w:trHeight w:val="94"/>
        </w:trPr>
        <w:tc>
          <w:tcPr>
            <w:tcW w:w="1840" w:type="dxa"/>
            <w:vAlign w:val="bottom"/>
            <w:tcBorders>
              <w:left w:val="single" w:sz="8" w:color="auto"/>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300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right w:val="single" w:sz="8" w:color="auto"/>
            </w:tcBorders>
            <w:shd w:val="clear" w:color="auto" w:fill="CCEEFF"/>
          </w:tcPr>
          <w:p>
            <w:pPr>
              <w:spacing w:after="0"/>
              <w:rPr>
                <w:sz w:val="8"/>
                <w:szCs w:val="8"/>
                <w:color w:val="auto"/>
              </w:rPr>
            </w:pPr>
          </w:p>
        </w:tc>
        <w:tc>
          <w:tcPr>
            <w:tcW w:w="284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2"/>
        </w:trPr>
        <w:tc>
          <w:tcPr>
            <w:tcW w:w="1840" w:type="dxa"/>
            <w:vAlign w:val="bottom"/>
            <w:tcBorders>
              <w:left w:val="single" w:sz="8" w:color="auto"/>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00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right w:val="single" w:sz="8" w:color="auto"/>
            </w:tcBorders>
            <w:shd w:val="clear" w:color="auto" w:fill="CCEEFF"/>
          </w:tcPr>
          <w:p>
            <w:pPr>
              <w:spacing w:after="0"/>
              <w:rPr>
                <w:sz w:val="22"/>
                <w:szCs w:val="22"/>
                <w:color w:val="auto"/>
              </w:rPr>
            </w:pPr>
          </w:p>
        </w:tc>
        <w:tc>
          <w:tcPr>
            <w:tcW w:w="28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82"/>
        </w:trPr>
        <w:tc>
          <w:tcPr>
            <w:tcW w:w="1840" w:type="dxa"/>
            <w:vAlign w:val="bottom"/>
            <w:tcBorders>
              <w:top w:val="single" w:sz="8" w:color="auto"/>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31.1</w:t>
            </w:r>
          </w:p>
        </w:tc>
        <w:tc>
          <w:tcPr>
            <w:tcW w:w="6340" w:type="dxa"/>
            <w:vAlign w:val="bottom"/>
            <w:tcBorders>
              <w:top w:val="single" w:sz="8" w:color="auto"/>
              <w:bottom w:val="single" w:sz="8" w:color="0000FF"/>
            </w:tcBorders>
            <w:gridSpan w:val="9"/>
          </w:tcPr>
          <w:p>
            <w:pPr>
              <w:spacing w:after="0" w:line="169" w:lineRule="exact"/>
              <w:rPr>
                <w:rFonts w:ascii="Arial" w:cs="Arial" w:eastAsia="Arial" w:hAnsi="Arial"/>
                <w:sz w:val="18"/>
                <w:szCs w:val="18"/>
                <w:color w:val="0000FF"/>
                <w:w w:val="91"/>
              </w:rPr>
            </w:pPr>
            <w:hyperlink w:anchor="page63">
              <w:r>
                <w:rPr>
                  <w:rFonts w:ascii="Arial" w:cs="Arial" w:eastAsia="Arial" w:hAnsi="Arial"/>
                  <w:sz w:val="18"/>
                  <w:szCs w:val="18"/>
                  <w:color w:val="0000FF"/>
                  <w:w w:val="91"/>
                </w:rPr>
                <w:t>Certification of Chief Executive Officer pursuant to Securities Exchange Act Rules 13a-</w:t>
              </w:r>
            </w:hyperlink>
          </w:p>
        </w:tc>
        <w:tc>
          <w:tcPr>
            <w:tcW w:w="240" w:type="dxa"/>
            <w:vAlign w:val="bottom"/>
            <w:tcBorders>
              <w:top w:val="single" w:sz="8" w:color="auto"/>
              <w:right w:val="single" w:sz="8" w:color="auto"/>
            </w:tcBorders>
            <w:gridSpan w:val="4"/>
          </w:tcPr>
          <w:p>
            <w:pPr>
              <w:spacing w:after="0"/>
              <w:rPr>
                <w:sz w:val="15"/>
                <w:szCs w:val="15"/>
                <w:color w:val="auto"/>
              </w:rPr>
            </w:pPr>
          </w:p>
        </w:tc>
        <w:tc>
          <w:tcPr>
            <w:tcW w:w="2840" w:type="dxa"/>
            <w:vAlign w:val="bottom"/>
            <w:tcBorders>
              <w:top w:val="single" w:sz="8" w:color="auto"/>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96"/>
        </w:trPr>
        <w:tc>
          <w:tcPr>
            <w:tcW w:w="1840" w:type="dxa"/>
            <w:vAlign w:val="bottom"/>
            <w:tcBorders>
              <w:left w:val="single" w:sz="8" w:color="auto"/>
              <w:bottom w:val="single" w:sz="8" w:color="auto"/>
              <w:right w:val="single" w:sz="8" w:color="auto"/>
            </w:tcBorders>
          </w:tcPr>
          <w:p>
            <w:pPr>
              <w:spacing w:after="0"/>
              <w:rPr>
                <w:sz w:val="17"/>
                <w:szCs w:val="17"/>
                <w:color w:val="auto"/>
              </w:rPr>
            </w:pPr>
          </w:p>
        </w:tc>
        <w:tc>
          <w:tcPr>
            <w:tcW w:w="6580" w:type="dxa"/>
            <w:vAlign w:val="bottom"/>
            <w:tcBorders>
              <w:bottom w:val="single" w:sz="8" w:color="auto"/>
              <w:right w:val="single" w:sz="8" w:color="auto"/>
            </w:tcBorders>
            <w:gridSpan w:val="13"/>
          </w:tcPr>
          <w:p>
            <w:pPr>
              <w:spacing w:after="0" w:line="196" w:lineRule="exact"/>
              <w:rPr>
                <w:rFonts w:ascii="Arial" w:cs="Arial" w:eastAsia="Arial" w:hAnsi="Arial"/>
                <w:sz w:val="18"/>
                <w:szCs w:val="18"/>
                <w:u w:val="single" w:color="auto"/>
                <w:color w:val="0000FF"/>
                <w:w w:val="91"/>
              </w:rPr>
            </w:pPr>
            <w:hyperlink w:anchor="page63">
              <w:r>
                <w:rPr>
                  <w:rFonts w:ascii="Arial" w:cs="Arial" w:eastAsia="Arial" w:hAnsi="Arial"/>
                  <w:sz w:val="18"/>
                  <w:szCs w:val="18"/>
                  <w:u w:val="single" w:color="auto"/>
                  <w:color w:val="0000FF"/>
                  <w:w w:val="91"/>
                </w:rPr>
                <w:t>14(a)/15(d)-14(a), as adopted pursuant to Section 302 of the Sarbanes-Oxley Act of 2002.</w:t>
              </w:r>
            </w:hyperlink>
          </w:p>
        </w:tc>
        <w:tc>
          <w:tcPr>
            <w:tcW w:w="28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40" w:type="dxa"/>
            <w:vAlign w:val="bottom"/>
            <w:tcBorders>
              <w:left w:val="single" w:sz="8" w:color="auto"/>
              <w:right w:val="single" w:sz="8" w:color="auto"/>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1"/>
              </w:rPr>
              <w:t>31.2</w:t>
            </w:r>
          </w:p>
        </w:tc>
        <w:tc>
          <w:tcPr>
            <w:tcW w:w="6580" w:type="dxa"/>
            <w:vAlign w:val="bottom"/>
            <w:tcBorders>
              <w:right w:val="single" w:sz="8" w:color="auto"/>
            </w:tcBorders>
            <w:gridSpan w:val="13"/>
            <w:shd w:val="clear" w:color="auto" w:fill="CCEEFF"/>
          </w:tcPr>
          <w:p>
            <w:pPr>
              <w:spacing w:after="0" w:line="169" w:lineRule="exact"/>
              <w:rPr>
                <w:rFonts w:ascii="Arial" w:cs="Arial" w:eastAsia="Arial" w:hAnsi="Arial"/>
                <w:sz w:val="18"/>
                <w:szCs w:val="18"/>
                <w:color w:val="0000FF"/>
                <w:w w:val="95"/>
              </w:rPr>
            </w:pPr>
            <w:hyperlink w:anchor="page65">
              <w:r>
                <w:rPr>
                  <w:rFonts w:ascii="Arial" w:cs="Arial" w:eastAsia="Arial" w:hAnsi="Arial"/>
                  <w:sz w:val="18"/>
                  <w:szCs w:val="18"/>
                  <w:color w:val="0000FF"/>
                  <w:w w:val="95"/>
                </w:rPr>
                <w:t>Certification of Chief Financial Officer pursuant to Securities Exchange Act Rules 13a-</w:t>
              </w:r>
            </w:hyperlink>
          </w:p>
        </w:tc>
        <w:tc>
          <w:tcPr>
            <w:tcW w:w="2840" w:type="dxa"/>
            <w:vAlign w:val="bottom"/>
            <w:tcBorders>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18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3940" w:type="dxa"/>
            <w:vAlign w:val="bottom"/>
            <w:gridSpan w:val="5"/>
            <w:shd w:val="clear" w:color="auto" w:fill="0000FF"/>
          </w:tcPr>
          <w:p>
            <w:pPr>
              <w:spacing w:after="0" w:line="20" w:lineRule="exact"/>
              <w:rPr>
                <w:sz w:val="1"/>
                <w:szCs w:val="1"/>
                <w:color w:val="auto"/>
              </w:rPr>
            </w:pPr>
          </w:p>
        </w:tc>
        <w:tc>
          <w:tcPr>
            <w:tcW w:w="300" w:type="dxa"/>
            <w:vAlign w:val="bottom"/>
            <w:tcBorders>
              <w:right w:val="single" w:sz="8" w:color="auto"/>
            </w:tcBorders>
            <w:gridSpan w:val="5"/>
            <w:shd w:val="clear" w:color="auto" w:fill="CCEEFF"/>
          </w:tcPr>
          <w:p>
            <w:pPr>
              <w:spacing w:after="0" w:line="20" w:lineRule="exact"/>
              <w:rPr>
                <w:sz w:val="1"/>
                <w:szCs w:val="1"/>
                <w:color w:val="auto"/>
              </w:rPr>
            </w:pPr>
          </w:p>
        </w:tc>
        <w:tc>
          <w:tcPr>
            <w:tcW w:w="28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4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6580" w:type="dxa"/>
            <w:vAlign w:val="bottom"/>
            <w:tcBorders>
              <w:bottom w:val="single" w:sz="8" w:color="auto"/>
              <w:right w:val="single" w:sz="8" w:color="auto"/>
            </w:tcBorders>
            <w:gridSpan w:val="13"/>
            <w:shd w:val="clear" w:color="auto" w:fill="CCEEFF"/>
          </w:tcPr>
          <w:p>
            <w:pPr>
              <w:spacing w:after="0" w:line="196" w:lineRule="exact"/>
              <w:rPr>
                <w:rFonts w:ascii="Arial" w:cs="Arial" w:eastAsia="Arial" w:hAnsi="Arial"/>
                <w:sz w:val="18"/>
                <w:szCs w:val="18"/>
                <w:u w:val="single" w:color="auto"/>
                <w:color w:val="0000FF"/>
                <w:w w:val="91"/>
              </w:rPr>
            </w:pPr>
            <w:hyperlink w:anchor="page65">
              <w:r>
                <w:rPr>
                  <w:rFonts w:ascii="Arial" w:cs="Arial" w:eastAsia="Arial" w:hAnsi="Arial"/>
                  <w:sz w:val="18"/>
                  <w:szCs w:val="18"/>
                  <w:u w:val="single" w:color="auto"/>
                  <w:color w:val="0000FF"/>
                  <w:w w:val="91"/>
                </w:rPr>
                <w:t>14(a)/15(d)-14(a), as adopted pursuant to Section 302 of the Sarbanes-Oxley Act of 2002.</w:t>
              </w:r>
            </w:hyperlink>
          </w:p>
        </w:tc>
        <w:tc>
          <w:tcPr>
            <w:tcW w:w="284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4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32.1</w:t>
            </w:r>
          </w:p>
        </w:tc>
        <w:tc>
          <w:tcPr>
            <w:tcW w:w="6580" w:type="dxa"/>
            <w:vAlign w:val="bottom"/>
            <w:tcBorders>
              <w:right w:val="single" w:sz="8" w:color="auto"/>
            </w:tcBorders>
            <w:gridSpan w:val="13"/>
          </w:tcPr>
          <w:p>
            <w:pPr>
              <w:spacing w:after="0" w:line="169" w:lineRule="exact"/>
              <w:rPr>
                <w:rFonts w:ascii="Arial" w:cs="Arial" w:eastAsia="Arial" w:hAnsi="Arial"/>
                <w:sz w:val="18"/>
                <w:szCs w:val="18"/>
                <w:color w:val="0000FF"/>
                <w:w w:val="93"/>
              </w:rPr>
            </w:pPr>
            <w:hyperlink w:anchor="page64">
              <w:r>
                <w:rPr>
                  <w:rFonts w:ascii="Arial" w:cs="Arial" w:eastAsia="Arial" w:hAnsi="Arial"/>
                  <w:sz w:val="18"/>
                  <w:szCs w:val="18"/>
                  <w:color w:val="0000FF"/>
                  <w:w w:val="93"/>
                </w:rPr>
                <w:t>Certification pursuant to 18 U.S.C. Section 1350, as adopted pursuant to Section 906 of</w:t>
              </w:r>
            </w:hyperlink>
          </w:p>
        </w:tc>
        <w:tc>
          <w:tcPr>
            <w:tcW w:w="28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5"/>
        </w:trPr>
        <w:tc>
          <w:tcPr>
            <w:tcW w:w="1840" w:type="dxa"/>
            <w:vAlign w:val="bottom"/>
            <w:tcBorders>
              <w:left w:val="single" w:sz="8" w:color="auto"/>
              <w:right w:val="single" w:sz="8" w:color="auto"/>
            </w:tcBorders>
          </w:tcPr>
          <w:p>
            <w:pPr>
              <w:spacing w:after="0"/>
              <w:rPr>
                <w:sz w:val="13"/>
                <w:szCs w:val="13"/>
                <w:color w:val="auto"/>
              </w:rPr>
            </w:pPr>
          </w:p>
        </w:tc>
        <w:tc>
          <w:tcPr>
            <w:tcW w:w="6580" w:type="dxa"/>
            <w:vAlign w:val="bottom"/>
            <w:tcBorders>
              <w:top w:val="single" w:sz="8" w:color="0000FF"/>
              <w:right w:val="single" w:sz="8" w:color="auto"/>
            </w:tcBorders>
            <w:gridSpan w:val="13"/>
          </w:tcPr>
          <w:p>
            <w:pPr>
              <w:spacing w:after="0" w:line="156" w:lineRule="exact"/>
              <w:rPr>
                <w:rFonts w:ascii="Arial" w:cs="Arial" w:eastAsia="Arial" w:hAnsi="Arial"/>
                <w:sz w:val="18"/>
                <w:szCs w:val="18"/>
                <w:color w:val="0000FF"/>
              </w:rPr>
            </w:pPr>
            <w:hyperlink w:anchor="page64">
              <w:r>
                <w:rPr>
                  <w:rFonts w:ascii="Arial" w:cs="Arial" w:eastAsia="Arial" w:hAnsi="Arial"/>
                  <w:sz w:val="18"/>
                  <w:szCs w:val="18"/>
                  <w:color w:val="0000FF"/>
                </w:rPr>
                <w:t>the Sarbanes-Oxley Act of 2002.</w:t>
              </w:r>
            </w:hyperlink>
          </w:p>
        </w:tc>
        <w:tc>
          <w:tcPr>
            <w:tcW w:w="2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194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84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101.INS</w:t>
            </w:r>
          </w:p>
        </w:tc>
        <w:tc>
          <w:tcPr>
            <w:tcW w:w="6580" w:type="dxa"/>
            <w:vAlign w:val="bottom"/>
            <w:tcBorders>
              <w:right w:val="single" w:sz="8" w:color="auto"/>
            </w:tcBorders>
            <w:gridSpan w:val="13"/>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284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The instance document does not</w:t>
            </w:r>
          </w:p>
        </w:tc>
        <w:tc>
          <w:tcPr>
            <w:tcW w:w="0" w:type="dxa"/>
            <w:vAlign w:val="bottom"/>
          </w:tcPr>
          <w:p>
            <w:pPr>
              <w:spacing w:after="0"/>
              <w:rPr>
                <w:sz w:val="1"/>
                <w:szCs w:val="1"/>
                <w:color w:val="auto"/>
              </w:rPr>
            </w:pPr>
          </w:p>
        </w:tc>
      </w:tr>
      <w:tr>
        <w:trPr>
          <w:trHeight w:val="27"/>
        </w:trPr>
        <w:tc>
          <w:tcPr>
            <w:tcW w:w="1840" w:type="dxa"/>
            <w:vAlign w:val="bottom"/>
            <w:tcBorders>
              <w:left w:val="single" w:sz="8" w:color="auto"/>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tcBorders>
              <w:right w:val="single" w:sz="8" w:color="auto"/>
            </w:tcBorders>
            <w:shd w:val="clear" w:color="auto" w:fill="CCEEFF"/>
          </w:tcPr>
          <w:p>
            <w:pPr>
              <w:spacing w:after="0"/>
              <w:rPr>
                <w:sz w:val="2"/>
                <w:szCs w:val="2"/>
                <w:color w:val="auto"/>
              </w:rPr>
            </w:pPr>
          </w:p>
        </w:tc>
        <w:tc>
          <w:tcPr>
            <w:tcW w:w="2840" w:type="dxa"/>
            <w:vAlign w:val="bottom"/>
            <w:tcBorders>
              <w:right w:val="single" w:sz="8" w:color="auto"/>
            </w:tcBorders>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840" w:type="dxa"/>
            <w:vAlign w:val="bottom"/>
            <w:tcBorders>
              <w:left w:val="single" w:sz="8" w:color="auto"/>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2840" w:type="dxa"/>
            <w:vAlign w:val="bottom"/>
            <w:tcBorders>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appear in the Interactive Data File</w:t>
            </w:r>
          </w:p>
        </w:tc>
        <w:tc>
          <w:tcPr>
            <w:tcW w:w="0" w:type="dxa"/>
            <w:vAlign w:val="bottom"/>
          </w:tcPr>
          <w:p>
            <w:pPr>
              <w:spacing w:after="0"/>
              <w:rPr>
                <w:sz w:val="1"/>
                <w:szCs w:val="1"/>
                <w:color w:val="auto"/>
              </w:rPr>
            </w:pPr>
          </w:p>
        </w:tc>
      </w:tr>
      <w:tr>
        <w:trPr>
          <w:trHeight w:val="175"/>
        </w:trPr>
        <w:tc>
          <w:tcPr>
            <w:tcW w:w="1840" w:type="dxa"/>
            <w:vAlign w:val="bottom"/>
            <w:tcBorders>
              <w:left w:val="single" w:sz="8" w:color="auto"/>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2840" w:type="dxa"/>
            <w:vAlign w:val="bottom"/>
            <w:tcBorders>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because its XBRL tags are embedded</w:t>
            </w:r>
          </w:p>
        </w:tc>
        <w:tc>
          <w:tcPr>
            <w:tcW w:w="0" w:type="dxa"/>
            <w:vAlign w:val="bottom"/>
          </w:tcPr>
          <w:p>
            <w:pPr>
              <w:spacing w:after="0"/>
              <w:rPr>
                <w:sz w:val="1"/>
                <w:szCs w:val="1"/>
                <w:color w:val="auto"/>
              </w:rPr>
            </w:pPr>
          </w:p>
        </w:tc>
      </w:tr>
      <w:tr>
        <w:trPr>
          <w:trHeight w:val="230"/>
        </w:trPr>
        <w:tc>
          <w:tcPr>
            <w:tcW w:w="1840" w:type="dxa"/>
            <w:vAlign w:val="bottom"/>
            <w:tcBorders>
              <w:left w:val="single" w:sz="8" w:color="auto"/>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tcBorders>
              <w:right w:val="single" w:sz="8" w:color="auto"/>
            </w:tcBorders>
            <w:shd w:val="clear" w:color="auto" w:fill="CCEEFF"/>
          </w:tcPr>
          <w:p>
            <w:pPr>
              <w:spacing w:after="0"/>
              <w:rPr>
                <w:sz w:val="20"/>
                <w:szCs w:val="20"/>
                <w:color w:val="auto"/>
              </w:rPr>
            </w:pPr>
          </w:p>
        </w:tc>
        <w:tc>
          <w:tcPr>
            <w:tcW w:w="28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80"/>
        </w:trPr>
        <w:tc>
          <w:tcPr>
            <w:tcW w:w="1840" w:type="dxa"/>
            <w:vAlign w:val="bottom"/>
            <w:tcBorders>
              <w:left w:val="single" w:sz="8" w:color="auto"/>
              <w:bottom w:val="single" w:sz="8" w:color="auto"/>
              <w:right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9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3000" w:type="dxa"/>
            <w:vAlign w:val="bottom"/>
            <w:tcBorders>
              <w:bottom w:val="single" w:sz="8" w:color="auto"/>
              <w:right w:val="single" w:sz="8" w:color="CCEEFF"/>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80" w:type="dxa"/>
            <w:vAlign w:val="bottom"/>
            <w:tcBorders>
              <w:bottom w:val="single" w:sz="8" w:color="auto"/>
              <w:right w:val="single" w:sz="8" w:color="auto"/>
            </w:tcBorders>
            <w:shd w:val="clear" w:color="auto" w:fill="CCEEFF"/>
          </w:tcPr>
          <w:p>
            <w:pPr>
              <w:spacing w:after="0"/>
              <w:rPr>
                <w:sz w:val="6"/>
                <w:szCs w:val="6"/>
                <w:color w:val="auto"/>
              </w:rPr>
            </w:pPr>
          </w:p>
        </w:tc>
        <w:tc>
          <w:tcPr>
            <w:tcW w:w="2840" w:type="dxa"/>
            <w:vAlign w:val="bottom"/>
            <w:tcBorders>
              <w:bottom w:val="single" w:sz="8" w:color="auto"/>
              <w:right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101.SCH</w:t>
            </w:r>
          </w:p>
        </w:tc>
        <w:tc>
          <w:tcPr>
            <w:tcW w:w="6580" w:type="dxa"/>
            <w:vAlign w:val="bottom"/>
            <w:tcBorders>
              <w:right w:val="single" w:sz="8" w:color="auto"/>
            </w:tcBorders>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8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101.CAL</w:t>
            </w:r>
          </w:p>
        </w:tc>
        <w:tc>
          <w:tcPr>
            <w:tcW w:w="6580" w:type="dxa"/>
            <w:vAlign w:val="bottom"/>
            <w:tcBorders>
              <w:bottom w:val="single" w:sz="8" w:color="CCEEFF"/>
              <w:right w:val="single" w:sz="8" w:color="auto"/>
            </w:tcBorders>
            <w:gridSpan w:val="13"/>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8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7"/>
        </w:trPr>
        <w:tc>
          <w:tcPr>
            <w:tcW w:w="1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101.LAB</w:t>
            </w:r>
          </w:p>
        </w:tc>
        <w:tc>
          <w:tcPr>
            <w:tcW w:w="6580" w:type="dxa"/>
            <w:vAlign w:val="bottom"/>
            <w:tcBorders>
              <w:top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XBRL Taxonomy Extension Label Linkbase Document</w:t>
            </w:r>
          </w:p>
        </w:tc>
        <w:tc>
          <w:tcPr>
            <w:tcW w:w="2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4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101.PRE</w:t>
            </w:r>
          </w:p>
        </w:tc>
        <w:tc>
          <w:tcPr>
            <w:tcW w:w="6580" w:type="dxa"/>
            <w:vAlign w:val="bottom"/>
            <w:tcBorders>
              <w:bottom w:val="single" w:sz="8" w:color="CCEEFF"/>
              <w:right w:val="single" w:sz="8" w:color="auto"/>
            </w:tcBorders>
            <w:gridSpan w:val="13"/>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8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7"/>
        </w:trPr>
        <w:tc>
          <w:tcPr>
            <w:tcW w:w="1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101.DEF</w:t>
            </w:r>
          </w:p>
        </w:tc>
        <w:tc>
          <w:tcPr>
            <w:tcW w:w="6580" w:type="dxa"/>
            <w:vAlign w:val="bottom"/>
            <w:tcBorders>
              <w:top w:val="single" w:sz="8" w:color="auto"/>
              <w:right w:val="single" w:sz="8" w:color="auto"/>
            </w:tcBorders>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11"/>
        </w:trPr>
        <w:tc>
          <w:tcPr>
            <w:tcW w:w="1840" w:type="dxa"/>
            <w:vAlign w:val="bottom"/>
          </w:tcPr>
          <w:p>
            <w:pPr>
              <w:spacing w:after="0"/>
              <w:rPr>
                <w:sz w:val="24"/>
                <w:szCs w:val="24"/>
                <w:color w:val="auto"/>
              </w:rPr>
            </w:pPr>
          </w:p>
        </w:tc>
        <w:tc>
          <w:tcPr>
            <w:tcW w:w="6200" w:type="dxa"/>
            <w:vAlign w:val="bottom"/>
            <w:gridSpan w:val="7"/>
          </w:tcPr>
          <w:p>
            <w:pPr>
              <w:jc w:val="right"/>
              <w:ind w:right="232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5" w:right="31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20"/>
        <w:spacing w:after="0"/>
        <w:tabs>
          <w:tab w:leader="none" w:pos="4200" w:val="left"/>
          <w:tab w:leader="none" w:pos="4660" w:val="left"/>
        </w:tabs>
        <w:rPr>
          <w:sz w:val="20"/>
          <w:szCs w:val="20"/>
          <w:color w:val="auto"/>
        </w:rPr>
      </w:pPr>
      <w:r>
        <w:rPr>
          <w:rFonts w:ascii="Arial" w:cs="Arial" w:eastAsia="Arial" w:hAnsi="Arial"/>
          <w:sz w:val="18"/>
          <w:szCs w:val="18"/>
          <w:color w:val="auto"/>
        </w:rPr>
        <w:t>Dated: October 22,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31750</wp:posOffset>
            </wp:positionV>
            <wp:extent cx="36175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2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Karen J. Dearing, Chief Financial Officer and Secretary</w:t>
      </w:r>
    </w:p>
    <w:p>
      <w:pPr>
        <w:ind w:left="468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364"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Gary A. Shiffman, certify that:</w:t>
      </w:r>
    </w:p>
    <w:p>
      <w:pPr>
        <w:spacing w:after="0" w:line="252"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Communities, Inc.</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9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4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060" w:right="20" w:hanging="323"/>
        <w:spacing w:after="0" w:line="263" w:lineRule="auto"/>
        <w:tabs>
          <w:tab w:leader="none" w:pos="1083"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323"/>
        <w:spacing w:after="0" w:line="263" w:lineRule="auto"/>
        <w:tabs>
          <w:tab w:leader="none" w:pos="112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hanging="323"/>
        <w:spacing w:after="0" w:line="342" w:lineRule="auto"/>
        <w:tabs>
          <w:tab w:leader="none" w:pos="114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323"/>
        <w:spacing w:after="0" w:line="263" w:lineRule="auto"/>
        <w:tabs>
          <w:tab w:leader="none" w:pos="11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0" w:lineRule="exact"/>
        <w:rPr>
          <w:rFonts w:ascii="Arial" w:cs="Arial" w:eastAsia="Arial" w:hAnsi="Arial"/>
          <w:sz w:val="18"/>
          <w:szCs w:val="18"/>
          <w:color w:val="auto"/>
        </w:rPr>
      </w:pPr>
    </w:p>
    <w:p>
      <w:pPr>
        <w:ind w:left="340" w:hanging="332"/>
        <w:spacing w:after="0" w:line="308" w:lineRule="auto"/>
        <w:tabs>
          <w:tab w:leader="none" w:pos="353"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Arial" w:cs="Arial" w:eastAsia="Arial" w:hAnsi="Arial"/>
          <w:sz w:val="17"/>
          <w:szCs w:val="17"/>
          <w:color w:val="auto"/>
        </w:rPr>
      </w:pPr>
    </w:p>
    <w:p>
      <w:pPr>
        <w:ind w:left="1100" w:hanging="323"/>
        <w:spacing w:after="0" w:line="308" w:lineRule="auto"/>
        <w:tabs>
          <w:tab w:leader="none" w:pos="1206" w:val="left"/>
        </w:tabs>
        <w:numPr>
          <w:ilvl w:val="2"/>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00" w:hanging="323"/>
        <w:spacing w:after="0" w:line="277" w:lineRule="auto"/>
        <w:tabs>
          <w:tab w:leader="none" w:pos="1157" w:val="left"/>
        </w:tabs>
        <w:numPr>
          <w:ilvl w:val="2"/>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4860" w:val="left"/>
        </w:tabs>
        <w:rPr>
          <w:sz w:val="20"/>
          <w:szCs w:val="20"/>
          <w:color w:val="auto"/>
        </w:rPr>
      </w:pPr>
      <w:r>
        <w:rPr>
          <w:rFonts w:ascii="Arial" w:cs="Arial" w:eastAsia="Arial" w:hAnsi="Arial"/>
          <w:sz w:val="18"/>
          <w:szCs w:val="18"/>
          <w:color w:val="auto"/>
        </w:rPr>
        <w:t>Dated: October 22, 2020</w:t>
      </w:r>
      <w:r>
        <w:rPr>
          <w:sz w:val="20"/>
          <w:szCs w:val="20"/>
          <w:color w:val="auto"/>
        </w:rPr>
        <w:tab/>
      </w:r>
      <w:r>
        <w:rPr>
          <w:rFonts w:ascii="Arial" w:cs="Arial" w:eastAsia="Arial" w:hAnsi="Arial"/>
          <w:sz w:val="16"/>
          <w:szCs w:val="16"/>
          <w:color w:val="auto"/>
        </w:rPr>
        <w:t>/s/ Gary A. Shiffman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31750</wp:posOffset>
            </wp:positionV>
            <wp:extent cx="40462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4046220" cy="8890"/>
                    </a:xfrm>
                    <a:prstGeom prst="rect">
                      <a:avLst/>
                    </a:prstGeom>
                    <a:noFill/>
                  </pic:spPr>
                </pic:pic>
              </a:graphicData>
            </a:graphic>
          </wp:anchor>
        </w:drawing>
      </w:r>
    </w:p>
    <w:p>
      <w:pPr>
        <w:spacing w:after="0" w:line="5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Gary A. Shiffman, Chief Executive Officer</w:t>
      </w:r>
    </w:p>
    <w:p>
      <w:pPr>
        <w:sectPr>
          <w:pgSz w:w="11900" w:h="16838" w:orient="portrait"/>
          <w:cols w:equalWidth="0" w:num="1">
            <w:col w:w="11240"/>
          </w:cols>
          <w:pgMar w:left="320" w:top="895"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Under 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officers, Gary A. Shiffman and Karen J. Dearing, hereby certify that to the best of their knowledge: (a) this Quarterly Report on Form 10-Q of Sun Communities, Inc., for the period ended September 30, 2020, fully complies with the requirements of Section 13(a) or 15(d) of the Securities Exchange Act of 1934, as amended; and (b) the information contained in this Form 10-Q fairly presents, in all material respects, the financial condition and results of operations of the Company.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w w:val="89"/>
              </w:rPr>
              <w:t>Signature</w:t>
            </w:r>
          </w:p>
        </w:tc>
        <w:tc>
          <w:tcPr>
            <w:tcW w:w="60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/s/ Gary A. Shiffman</w:t>
            </w:r>
          </w:p>
        </w:tc>
        <w:tc>
          <w:tcPr>
            <w:tcW w:w="2700" w:type="dxa"/>
            <w:vAlign w:val="bottom"/>
            <w:gridSpan w:val="3"/>
          </w:tcPr>
          <w:p>
            <w:pPr>
              <w:jc w:val="center"/>
              <w:ind w:left="1350"/>
              <w:spacing w:after="0"/>
              <w:rPr>
                <w:sz w:val="20"/>
                <w:szCs w:val="20"/>
                <w:color w:val="auto"/>
              </w:rPr>
            </w:pPr>
            <w:r>
              <w:rPr>
                <w:rFonts w:ascii="Arial" w:cs="Arial" w:eastAsia="Arial" w:hAnsi="Arial"/>
                <w:sz w:val="18"/>
                <w:szCs w:val="18"/>
                <w:color w:val="auto"/>
                <w:w w:val="90"/>
              </w:rPr>
              <w:t>October 22, 2020</w:t>
            </w:r>
          </w:p>
        </w:tc>
      </w:tr>
      <w:tr>
        <w:trPr>
          <w:trHeight w:val="27"/>
        </w:trPr>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Gary A. Shiffman, Chief Executive Officer</w:t>
            </w:r>
          </w:p>
        </w:tc>
        <w:tc>
          <w:tcPr>
            <w:tcW w:w="1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/s/ Karen J. Dearing</w:t>
            </w:r>
          </w:p>
        </w:tc>
        <w:tc>
          <w:tcPr>
            <w:tcW w:w="2700" w:type="dxa"/>
            <w:vAlign w:val="bottom"/>
            <w:gridSpan w:val="3"/>
          </w:tcPr>
          <w:p>
            <w:pPr>
              <w:jc w:val="center"/>
              <w:ind w:left="1350"/>
              <w:spacing w:after="0"/>
              <w:rPr>
                <w:sz w:val="20"/>
                <w:szCs w:val="20"/>
                <w:color w:val="auto"/>
              </w:rPr>
            </w:pPr>
            <w:r>
              <w:rPr>
                <w:rFonts w:ascii="Arial" w:cs="Arial" w:eastAsia="Arial" w:hAnsi="Arial"/>
                <w:sz w:val="18"/>
                <w:szCs w:val="18"/>
                <w:color w:val="auto"/>
                <w:w w:val="90"/>
              </w:rPr>
              <w:t>October 22, 2020</w:t>
            </w:r>
          </w:p>
        </w:tc>
      </w:tr>
      <w:tr>
        <w:trPr>
          <w:trHeight w:val="27"/>
        </w:trPr>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c>
          <w:tcPr>
            <w:tcW w:w="1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Karen J. Dearing, Chief Financial Officer</w:t>
            </w:r>
          </w:p>
        </w:tc>
        <w:tc>
          <w:tcPr>
            <w:tcW w:w="1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3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Sun Communities, Inc. and will be retained by Sun Communities, Inc. and furnished to the Securities and Exchange Commission or its staff upon request.</w:t>
      </w:r>
    </w:p>
    <w:p>
      <w:pPr>
        <w:sectPr>
          <w:pgSz w:w="11900" w:h="16838" w:orient="portrait"/>
          <w:cols w:equalWidth="0" w:num="1">
            <w:col w:w="11240"/>
          </w:cols>
          <w:pgMar w:left="320" w:top="652"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Karen J. Dearing, certify that:</w:t>
      </w:r>
    </w:p>
    <w:p>
      <w:pPr>
        <w:spacing w:after="0" w:line="252"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Communities, Inc.</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9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4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060" w:right="20" w:hanging="323"/>
        <w:spacing w:after="0" w:line="263" w:lineRule="auto"/>
        <w:tabs>
          <w:tab w:leader="none" w:pos="1083"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323"/>
        <w:spacing w:after="0" w:line="263" w:lineRule="auto"/>
        <w:tabs>
          <w:tab w:leader="none" w:pos="112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right="20" w:hanging="323"/>
        <w:spacing w:after="0" w:line="342" w:lineRule="auto"/>
        <w:tabs>
          <w:tab w:leader="none" w:pos="1142"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323"/>
        <w:spacing w:after="0" w:line="263" w:lineRule="auto"/>
        <w:tabs>
          <w:tab w:leader="none" w:pos="114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0" w:lineRule="exact"/>
        <w:rPr>
          <w:rFonts w:ascii="Arial" w:cs="Arial" w:eastAsia="Arial" w:hAnsi="Arial"/>
          <w:sz w:val="18"/>
          <w:szCs w:val="18"/>
          <w:color w:val="auto"/>
        </w:rPr>
      </w:pPr>
    </w:p>
    <w:p>
      <w:pPr>
        <w:ind w:left="340" w:hanging="332"/>
        <w:spacing w:after="0" w:line="308" w:lineRule="auto"/>
        <w:tabs>
          <w:tab w:leader="none" w:pos="35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Arial" w:cs="Arial" w:eastAsia="Arial" w:hAnsi="Arial"/>
          <w:sz w:val="17"/>
          <w:szCs w:val="17"/>
          <w:color w:val="auto"/>
        </w:rPr>
      </w:pPr>
    </w:p>
    <w:p>
      <w:pPr>
        <w:ind w:left="1100" w:hanging="323"/>
        <w:spacing w:after="0" w:line="308" w:lineRule="auto"/>
        <w:tabs>
          <w:tab w:leader="none" w:pos="1206" w:val="left"/>
        </w:tabs>
        <w:numPr>
          <w:ilvl w:val="2"/>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00" w:right="20" w:hanging="323"/>
        <w:spacing w:after="0" w:line="277" w:lineRule="auto"/>
        <w:tabs>
          <w:tab w:leader="none" w:pos="1152" w:val="left"/>
        </w:tabs>
        <w:numPr>
          <w:ilvl w:val="2"/>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5300" w:val="left"/>
        </w:tabs>
        <w:rPr>
          <w:sz w:val="20"/>
          <w:szCs w:val="20"/>
          <w:color w:val="auto"/>
        </w:rPr>
      </w:pPr>
      <w:r>
        <w:rPr>
          <w:rFonts w:ascii="Arial" w:cs="Arial" w:eastAsia="Arial" w:hAnsi="Arial"/>
          <w:sz w:val="18"/>
          <w:szCs w:val="18"/>
          <w:color w:val="auto"/>
        </w:rPr>
        <w:t>Dated: October 22, 2020</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31750</wp:posOffset>
            </wp:positionV>
            <wp:extent cx="35833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5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Karen J. Dearing, Chief Financial Officer</w:t>
      </w:r>
    </w:p>
    <w:sectPr>
      <w:pgSz w:w="11900" w:h="16838" w:orient="portrait"/>
      <w:cols w:equalWidth="0" w:num="1">
        <w:col w:w="11240"/>
      </w:cols>
      <w:pgMar w:left="320" w:top="7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decimal"/>
      <w:start w:val="3"/>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4"/>
    </w:lvl>
  </w:abstractNum>
  <w:abstractNum w:abstractNumId="8">
    <w:nsid w:val="6763845E"/>
    <w:multiLevelType w:val="hybridMultilevel"/>
    <w:lvl w:ilvl="0">
      <w:lvlJc w:val="left"/>
      <w:lvlText w:val="%1."/>
      <w:numFmt w:val="decimal"/>
      <w:start w:val="6"/>
    </w:lvl>
  </w:abstractNum>
  <w:abstractNum w:abstractNumId="9">
    <w:nsid w:val="75A2A8D4"/>
    <w:multiLevelType w:val="hybridMultilevel"/>
    <w:lvl w:ilvl="0">
      <w:lvlJc w:val="left"/>
      <w:lvlText w:val="%1."/>
      <w:numFmt w:val="decimal"/>
      <w:start w:val="7"/>
    </w:lvl>
  </w:abstractNum>
  <w:abstractNum w:abstractNumId="10">
    <w:nsid w:val="8EDBDAB"/>
    <w:multiLevelType w:val="hybridMultilevel"/>
    <w:lvl w:ilvl="0">
      <w:lvlJc w:val="left"/>
      <w:lvlText w:val="%1."/>
      <w:numFmt w:val="decimal"/>
      <w:start w:val="8"/>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9"/>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0"/>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1"/>
    </w:lvl>
  </w:abstractNum>
  <w:abstractNum w:abstractNumId="18">
    <w:nsid w:val="836C40E"/>
    <w:multiLevelType w:val="hybridMultilevel"/>
    <w:lvl w:ilvl="0">
      <w:lvlJc w:val="left"/>
      <w:lvlText w:val="%1."/>
      <w:numFmt w:val="decimal"/>
      <w:start w:val="12"/>
    </w:lvl>
  </w:abstractNum>
  <w:abstractNum w:abstractNumId="19">
    <w:nsid w:val="2901D82"/>
    <w:multiLevelType w:val="hybridMultilevel"/>
    <w:lvl w:ilvl="0">
      <w:lvlJc w:val="left"/>
      <w:lvlText w:val="%1."/>
      <w:numFmt w:val="decimal"/>
      <w:start w:val="13"/>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14"/>
    </w:lvl>
  </w:abstractNum>
  <w:abstractNum w:abstractNumId="22">
    <w:nsid w:val="1E7FF521"/>
    <w:multiLevelType w:val="hybridMultilevel"/>
    <w:lvl w:ilvl="0">
      <w:lvlJc w:val="left"/>
      <w:lvlText w:val="%1."/>
      <w:numFmt w:val="decimal"/>
      <w:start w:val="17"/>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91" Type="http://schemas.openxmlformats.org/officeDocument/2006/relationships/hyperlink" Target="https://www.sec.gov/Archives/edgar/data/912593/000119312520257282/d25701dex21.htm" TargetMode="External"/><Relationship Id="rId92" Type="http://schemas.openxmlformats.org/officeDocument/2006/relationships/hyperlink" Target="http://www.sec.gov/Archives/edgar/data/912593/000091259318000049/exhibit31-suncommunitiesin.htm" TargetMode="External"/><Relationship Id="rId93" Type="http://schemas.openxmlformats.org/officeDocument/2006/relationships/hyperlink" Target="http://www.sec.gov/Archives/edgar/data/912593/000091259317000078/exhibit31-thirdamendedandr.htm" TargetMode="External"/><Relationship Id="rId94" Type="http://schemas.openxmlformats.org/officeDocument/2006/relationships/hyperlink" Target="https://www.sec.gov/Archives/edgar/data/912593/000119312520257282/d25701dex41.htm" TargetMode="External"/><Relationship Id="rId95" Type="http://schemas.openxmlformats.org/officeDocument/2006/relationships/hyperlink" Target="https://www.sec.gov/Archives/edgar/data/912593/000119312520257282/d25701dex101.htm" TargetMode="External"/><Relationship Id="rId96" Type="http://schemas.openxmlformats.org/officeDocument/2006/relationships/hyperlink" Target="https://www.sec.gov/Archives/edgar/data/912593/000091259320000154/amendmentno6toscolplpa.htm" TargetMode="External"/><Relationship Id="rId97" Type="http://schemas.openxmlformats.org/officeDocument/2006/relationships/hyperlink" Target="https://www.sec.gov/Archives/edgar/data/912593/000119312520257282/d25701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2020-10-22T10:55:50Z</dcterms:created>
  <dcterms:modified xsi:type="dcterms:W3CDTF">2020-10-22T10:55:50Z</dcterms:modified>
</cp:coreProperties>
</file>