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8" w:lineRule="exact"/>
        <w:rPr>
          <w:sz w:val="24"/>
          <w:szCs w:val="24"/>
          <w:color w:val="auto"/>
        </w:rPr>
      </w:pPr>
    </w:p>
    <w:p>
      <w:pPr>
        <w:jc w:val="center"/>
        <w:ind w:left="3640" w:right="920" w:hanging="2709"/>
        <w:spacing w:after="0" w:line="286" w:lineRule="auto"/>
        <w:tabs>
          <w:tab w:leader="none" w:pos="11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48" w:lineRule="exact"/>
        <w:rPr>
          <w:sz w:val="24"/>
          <w:szCs w:val="24"/>
          <w:color w:val="auto"/>
        </w:rPr>
      </w:pPr>
    </w:p>
    <w:p>
      <w:pPr>
        <w:ind w:left="1140" w:hanging="216"/>
        <w:spacing w:after="0"/>
        <w:tabs>
          <w:tab w:leader="none" w:pos="11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27305</wp:posOffset>
            </wp:positionV>
            <wp:extent cx="197167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167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SUN COMMUNITIES,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350" w:right="339" w:bottom="1440" w:gutter="0" w:footer="0" w:header="0"/>
        </w:sectPr>
      </w:pPr>
    </w:p>
    <w:p>
      <w:pPr>
        <w:spacing w:after="0" w:line="26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1-12616</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38-2730780</w:t>
      </w:r>
    </w:p>
    <w:p>
      <w:pPr>
        <w:spacing w:after="0" w:line="42" w:lineRule="exact"/>
        <w:rPr>
          <w:sz w:val="24"/>
          <w:szCs w:val="24"/>
          <w:color w:val="auto"/>
        </w:rPr>
      </w:pPr>
    </w:p>
    <w:p>
      <w:pPr>
        <w:sectPr>
          <w:pgSz w:w="11900" w:h="16838" w:orient="portrait"/>
          <w:cols w:equalWidth="0" w:num="3">
            <w:col w:w="4600" w:space="720"/>
            <w:col w:w="2700" w:space="720"/>
            <w:col w:w="2500"/>
          </w:cols>
          <w:pgMar w:left="320" w:top="1350"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35" w:lineRule="exact"/>
        <w:rPr>
          <w:sz w:val="24"/>
          <w:szCs w:val="24"/>
          <w:color w:val="auto"/>
        </w:rPr>
      </w:pPr>
    </w:p>
    <w:p>
      <w:pPr>
        <w:sectPr>
          <w:pgSz w:w="11900" w:h="16838" w:orient="portrait"/>
          <w:cols w:equalWidth="0" w:num="3">
            <w:col w:w="4000" w:space="720"/>
            <w:col w:w="2420" w:space="720"/>
            <w:col w:w="3380"/>
          </w:cols>
          <w:pgMar w:left="320" w:top="1350" w:right="339" w:bottom="1440" w:gutter="0" w:footer="0" w:header="0"/>
          <w:type w:val="continuous"/>
        </w:sectPr>
      </w:pPr>
    </w:p>
    <w:p>
      <w:pPr>
        <w:ind w:left="660"/>
        <w:spacing w:after="0"/>
        <w:tabs>
          <w:tab w:leader="none" w:pos="3180" w:val="left"/>
          <w:tab w:leader="none" w:pos="4280" w:val="left"/>
        </w:tabs>
        <w:rPr>
          <w:sz w:val="20"/>
          <w:szCs w:val="20"/>
          <w:color w:val="auto"/>
        </w:rPr>
      </w:pPr>
      <w:r>
        <w:rPr>
          <w:rFonts w:ascii="Times New Roman" w:cs="Times New Roman" w:eastAsia="Times New Roman" w:hAnsi="Times New Roman"/>
          <w:sz w:val="18"/>
          <w:szCs w:val="18"/>
          <w:b w:val="1"/>
          <w:bCs w:val="1"/>
          <w:color w:val="auto"/>
        </w:rPr>
        <w:t>27777 Franklin Rd, Suite 200,</w:t>
        <w:tab/>
        <w:t>Southfield,</w:t>
      </w:r>
      <w:r>
        <w:rPr>
          <w:sz w:val="20"/>
          <w:szCs w:val="20"/>
          <w:color w:val="auto"/>
        </w:rPr>
        <w:tab/>
      </w:r>
      <w:r>
        <w:rPr>
          <w:rFonts w:ascii="Times New Roman" w:cs="Times New Roman" w:eastAsia="Times New Roman" w:hAnsi="Times New Roman"/>
          <w:sz w:val="17"/>
          <w:szCs w:val="17"/>
          <w:b w:val="1"/>
          <w:bCs w:val="1"/>
          <w:color w:val="auto"/>
        </w:rPr>
        <w:t>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48034</w:t>
      </w:r>
    </w:p>
    <w:p>
      <w:pPr>
        <w:spacing w:after="0" w:line="31" w:lineRule="exact"/>
        <w:rPr>
          <w:sz w:val="24"/>
          <w:szCs w:val="24"/>
          <w:color w:val="auto"/>
        </w:rPr>
      </w:pPr>
    </w:p>
    <w:p>
      <w:pPr>
        <w:sectPr>
          <w:pgSz w:w="11900" w:h="16838" w:orient="portrait"/>
          <w:cols w:equalWidth="0" w:num="2">
            <w:col w:w="8220" w:space="720"/>
            <w:col w:w="2300"/>
          </w:cols>
          <w:pgMar w:left="320" w:top="1350" w:right="3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95" w:lineRule="exact"/>
        <w:rPr>
          <w:sz w:val="24"/>
          <w:szCs w:val="24"/>
          <w:color w:val="auto"/>
        </w:rPr>
      </w:pPr>
    </w:p>
    <w:p>
      <w:pPr>
        <w:sectPr>
          <w:pgSz w:w="11900" w:h="16838" w:orient="portrait"/>
          <w:cols w:equalWidth="0" w:num="2">
            <w:col w:w="8060" w:space="720"/>
            <w:col w:w="2460"/>
          </w:cols>
          <w:pgMar w:left="320" w:top="135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 208-2500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1350"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300" w:type="dxa"/>
        <w:tblCellMar>
          <w:top w:w="0" w:type="dxa"/>
          <w:left w:w="0" w:type="dxa"/>
          <w:bottom w:w="0" w:type="dxa"/>
          <w:right w:w="0" w:type="dxa"/>
        </w:tblCellMar>
      </w:tblPr>
      <w:tr>
        <w:trPr>
          <w:trHeight w:val="234"/>
        </w:trPr>
        <w:tc>
          <w:tcPr>
            <w:tcW w:w="4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SUI</w:t>
            </w:r>
          </w:p>
        </w:tc>
        <w:tc>
          <w:tcPr>
            <w:tcW w:w="140" w:type="dxa"/>
            <w:vAlign w:val="bottom"/>
          </w:tcPr>
          <w:p>
            <w:pPr>
              <w:spacing w:after="0"/>
              <w:rPr>
                <w:sz w:val="19"/>
                <w:szCs w:val="19"/>
                <w:color w:val="auto"/>
              </w:rPr>
            </w:pPr>
          </w:p>
        </w:tc>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2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5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38" w:lineRule="exact"/>
        <w:rPr>
          <w:sz w:val="24"/>
          <w:szCs w:val="24"/>
          <w:color w:val="auto"/>
        </w:rPr>
      </w:pPr>
    </w:p>
    <w:p>
      <w:pPr>
        <w:sectPr>
          <w:pgSz w:w="11900" w:h="16838" w:orient="portrait"/>
          <w:cols w:equalWidth="0" w:num="5">
            <w:col w:w="1960" w:space="500"/>
            <w:col w:w="1200" w:space="620"/>
            <w:col w:w="1520" w:space="600"/>
            <w:col w:w="1960" w:space="540"/>
            <w:col w:w="2340"/>
          </w:cols>
          <w:pgMar w:left="320" w:top="1350" w:right="339" w:bottom="1440" w:gutter="0" w:footer="0" w:header="0"/>
          <w:type w:val="continuous"/>
        </w:sectPr>
      </w:pPr>
    </w:p>
    <w:p>
      <w:pPr>
        <w:ind w:left="10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1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62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9" w:lineRule="exact"/>
        <w:rPr>
          <w:sz w:val="24"/>
          <w:szCs w:val="24"/>
          <w:color w:val="auto"/>
        </w:rPr>
      </w:pPr>
    </w:p>
    <w:p>
      <w:pPr>
        <w:sectPr>
          <w:pgSz w:w="11900" w:h="16838" w:orient="portrait"/>
          <w:cols w:equalWidth="0" w:num="5">
            <w:col w:w="2260" w:space="720"/>
            <w:col w:w="1260" w:space="720"/>
            <w:col w:w="1620" w:space="720"/>
            <w:col w:w="1780" w:space="720"/>
            <w:col w:w="1440"/>
          </w:cols>
          <w:pgMar w:left="320" w:top="1350" w:right="339" w:bottom="1440" w:gutter="0" w:footer="0" w:header="0"/>
          <w:type w:val="continuous"/>
        </w:sect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$0.01 par value per share, outstanding as of October 18, 2022: 123,890,230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1032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700" w:type="dxa"/>
            <w:vAlign w:val="bottom"/>
          </w:tcPr>
          <w:p>
            <w:pPr>
              <w:spacing w:after="0"/>
              <w:rPr>
                <w:sz w:val="24"/>
                <w:szCs w:val="24"/>
                <w:color w:val="auto"/>
              </w:rPr>
            </w:pPr>
          </w:p>
        </w:tc>
        <w:tc>
          <w:tcPr>
            <w:tcW w:w="1032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700" w:type="dxa"/>
            <w:vAlign w:val="bottom"/>
          </w:tcPr>
          <w:p>
            <w:pPr>
              <w:spacing w:after="0"/>
              <w:rPr>
                <w:sz w:val="16"/>
                <w:szCs w:val="16"/>
                <w:color w:val="auto"/>
              </w:rPr>
            </w:pPr>
          </w:p>
        </w:tc>
        <w:tc>
          <w:tcPr>
            <w:tcW w:w="103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Consolidated Balance Sheets as of September 30, 2022 (Unaudited) and December 31, 2021</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Operations for the Three and Nine Months Ended September 30, 2022 and 2021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and Nine Months Ended September 30, 2022 and 2021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Equity for the Three and Nine Months Ended September 30, 2022 and 2021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Cash Flows for the Nine Months Ended September 30, 2022 and 2021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r>
      <w:tr>
        <w:trPr>
          <w:trHeight w:val="21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026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24"/>
                <w:szCs w:val="24"/>
                <w:color w:val="auto"/>
              </w:rPr>
            </w:pPr>
          </w:p>
        </w:tc>
      </w:tr>
      <w:tr>
        <w:trPr>
          <w:trHeight w:val="20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18"/>
                <w:szCs w:val="18"/>
                <w:color w:val="auto"/>
              </w:rPr>
            </w:pPr>
          </w:p>
        </w:tc>
      </w:tr>
      <w:tr>
        <w:trPr>
          <w:trHeight w:val="20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18"/>
                <w:szCs w:val="18"/>
                <w:color w:val="auto"/>
              </w:rPr>
            </w:pPr>
          </w:p>
        </w:tc>
      </w:tr>
      <w:tr>
        <w:trPr>
          <w:trHeight w:val="210"/>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18"/>
                <w:szCs w:val="18"/>
                <w:color w:val="auto"/>
              </w:rPr>
            </w:pPr>
          </w:p>
        </w:tc>
      </w:tr>
      <w:tr>
        <w:trPr>
          <w:trHeight w:val="209"/>
        </w:trPr>
        <w:tc>
          <w:tcPr>
            <w:tcW w:w="780" w:type="dxa"/>
            <w:vAlign w:val="bottom"/>
          </w:tcPr>
          <w:p>
            <w:pPr>
              <w:spacing w:after="0"/>
              <w:rPr>
                <w:sz w:val="18"/>
                <w:szCs w:val="18"/>
                <w:color w:val="auto"/>
              </w:rPr>
            </w:pP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Signatures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18"/>
                <w:szCs w:val="18"/>
                <w:color w:val="auto"/>
              </w:rPr>
            </w:pPr>
          </w:p>
        </w:tc>
      </w:tr>
      <w:tr>
        <w:trPr>
          <w:trHeight w:val="1283"/>
        </w:trPr>
        <w:tc>
          <w:tcPr>
            <w:tcW w:w="78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32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for per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7"/>
        </w:trPr>
        <w:tc>
          <w:tcPr>
            <w:tcW w:w="7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40" w:type="dxa"/>
            <w:vAlign w:val="bottom"/>
          </w:tcPr>
          <w:p>
            <w:pPr>
              <w:spacing w:after="0"/>
              <w:rPr>
                <w:sz w:val="17"/>
                <w:szCs w:val="17"/>
                <w:color w:val="auto"/>
              </w:rPr>
            </w:pP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Land</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4,173.1</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2,556.3</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Land improvements and buildings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10,632.6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9,958.3</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Rental homes and improvements</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604.4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591.7</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Furniture, fixtures and equipment</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813.8</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656.4</w:t>
            </w:r>
          </w:p>
        </w:tc>
      </w:tr>
      <w:tr>
        <w:trPr>
          <w:trHeight w:val="194"/>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Investment property</w:t>
            </w:r>
          </w:p>
        </w:tc>
        <w:tc>
          <w:tcPr>
            <w:tcW w:w="140" w:type="dxa"/>
            <w:vAlign w:val="bottom"/>
          </w:tcPr>
          <w:p>
            <w:pPr>
              <w:spacing w:after="0"/>
              <w:rPr>
                <w:sz w:val="16"/>
                <w:szCs w:val="16"/>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16,223.9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13,762.7</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Accumulated depreciation</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(2,611.8)</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(2,337.2)</w:t>
            </w:r>
          </w:p>
        </w:tc>
      </w:tr>
      <w:tr>
        <w:trPr>
          <w:trHeight w:val="194"/>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Investment property, net (see Note 7 at VIEs)</w:t>
            </w:r>
          </w:p>
        </w:tc>
        <w:tc>
          <w:tcPr>
            <w:tcW w:w="140" w:type="dxa"/>
            <w:vAlign w:val="bottom"/>
          </w:tcPr>
          <w:p>
            <w:pPr>
              <w:spacing w:after="0"/>
              <w:rPr>
                <w:sz w:val="16"/>
                <w:szCs w:val="16"/>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13,612.1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11,425.5</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cash equivalents and restricted cash (see Note 7 at VIEs)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112.0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78.2</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Marketable securities (see Note 15)</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186.9</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Inventory of manufactured homes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153.5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51.1</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Notes and other receivables, net</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511.0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469.6</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Goodwill</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981.5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495.4</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intangible assets, net (see Note 7 at VIEs)</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403.2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306.8</w:t>
            </w:r>
          </w:p>
        </w:tc>
      </w:tr>
      <w:tr>
        <w:trPr>
          <w:trHeight w:val="20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assets, net (see Note 7 at VIEs)</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610.9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480.6</w:t>
            </w:r>
          </w:p>
        </w:tc>
      </w:tr>
      <w:tr>
        <w:trPr>
          <w:trHeight w:val="198"/>
        </w:trPr>
        <w:tc>
          <w:tcPr>
            <w:tcW w:w="7820" w:type="dxa"/>
            <w:vAlign w:val="bottom"/>
          </w:tcPr>
          <w:p>
            <w:pPr>
              <w:ind w:left="48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16,484.6</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13,494.1</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Secured debt (see Note 8; Note 7 at VIEs)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3,006.0</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3,380.7</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Unsecured debt (see Note 8; Note 7 at VIEs)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3,705.0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2,291.1</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Distributions payable</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98.4</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Advanced reservation deposits and rent (see Note 7 at VIEs)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294.2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242.8</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Accrued expenses and accounts payable (see Note 7 at VIEs)</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237.5</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liabilities (see Note 7 at VIEs)</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845.4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224.1</w:t>
            </w:r>
          </w:p>
        </w:tc>
      </w:tr>
      <w:tr>
        <w:trPr>
          <w:trHeight w:val="194"/>
        </w:trPr>
        <w:tc>
          <w:tcPr>
            <w:tcW w:w="78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8,354.6</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6,474.6</w:t>
            </w:r>
          </w:p>
        </w:tc>
      </w:tr>
      <w:tr>
        <w:trPr>
          <w:trHeight w:val="18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Commitments and contingencies (see Note 16)</w:t>
            </w: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Temporary equity (see Note 9; Note 7 at VIEs)</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206.8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288.9</w:t>
            </w: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Shareholders' Equity</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58"/>
        </w:trPr>
        <w:tc>
          <w:tcPr>
            <w:tcW w:w="7820" w:type="dxa"/>
            <w:vAlign w:val="bottom"/>
          </w:tcPr>
          <w:p>
            <w:pPr>
              <w:ind w:left="220"/>
              <w:spacing w:after="0" w:line="159" w:lineRule="exact"/>
              <w:rPr>
                <w:sz w:val="20"/>
                <w:szCs w:val="20"/>
                <w:color w:val="auto"/>
              </w:rPr>
            </w:pPr>
            <w:r>
              <w:rPr>
                <w:rFonts w:ascii="Times New Roman" w:cs="Times New Roman" w:eastAsia="Times New Roman" w:hAnsi="Times New Roman"/>
                <w:sz w:val="15"/>
                <w:szCs w:val="15"/>
                <w:color w:val="auto"/>
              </w:rPr>
              <w:t>Common stock, $0.01 par value. Authorized: 180.0 shares; Issued and outstanding: 123.9 at September 30, 2022 and 116.0</w:t>
            </w: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2"/>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at December 31, 2021</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07"/>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9,536.4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8,175.6</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Accumulated other comprehensive income / (loss)</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Distributions in excess of accumulated earnings</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(1,628.9)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(1,556.0)</w:t>
            </w:r>
          </w:p>
        </w:tc>
      </w:tr>
      <w:tr>
        <w:trPr>
          <w:trHeight w:val="194"/>
        </w:trPr>
        <w:tc>
          <w:tcPr>
            <w:tcW w:w="7820" w:type="dxa"/>
            <w:vAlign w:val="bottom"/>
          </w:tcPr>
          <w:p>
            <w:pPr>
              <w:ind w:left="360"/>
              <w:spacing w:after="0"/>
              <w:rPr>
                <w:sz w:val="20"/>
                <w:szCs w:val="20"/>
                <w:color w:val="auto"/>
              </w:rPr>
            </w:pPr>
            <w:r>
              <w:rPr>
                <w:rFonts w:ascii="Times New Roman" w:cs="Times New Roman" w:eastAsia="Times New Roman" w:hAnsi="Times New Roman"/>
                <w:sz w:val="15"/>
                <w:szCs w:val="15"/>
                <w:b w:val="1"/>
                <w:bCs w:val="1"/>
                <w:color w:val="auto"/>
              </w:rPr>
              <w:t>Total SUI shareholders' equity</w:t>
            </w:r>
          </w:p>
        </w:tc>
        <w:tc>
          <w:tcPr>
            <w:tcW w:w="140" w:type="dxa"/>
            <w:vAlign w:val="bottom"/>
          </w:tcPr>
          <w:p>
            <w:pPr>
              <w:spacing w:after="0"/>
              <w:rPr>
                <w:sz w:val="16"/>
                <w:szCs w:val="16"/>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7,838.8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6,623.9</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Noncontrolling interests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0"/>
        </w:trPr>
        <w:tc>
          <w:tcPr>
            <w:tcW w:w="78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Common and preferred OP units</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83.8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86.8</w:t>
            </w:r>
          </w:p>
        </w:tc>
      </w:tr>
      <w:tr>
        <w:trPr>
          <w:trHeight w:val="205"/>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Consolidated entities (see Note 7 at VIEs)</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0.6</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w:t>
            </w:r>
          </w:p>
        </w:tc>
      </w:tr>
      <w:tr>
        <w:trPr>
          <w:trHeight w:val="194"/>
        </w:trPr>
        <w:tc>
          <w:tcPr>
            <w:tcW w:w="7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Total noncontrolling interests</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84.4</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106.7</w:t>
            </w:r>
          </w:p>
        </w:tc>
      </w:tr>
      <w:tr>
        <w:trPr>
          <w:trHeight w:val="196"/>
        </w:trPr>
        <w:tc>
          <w:tcPr>
            <w:tcW w:w="7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7,923.2</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6,730.6</w:t>
            </w:r>
          </w:p>
        </w:tc>
      </w:tr>
      <w:tr>
        <w:trPr>
          <w:trHeight w:val="198"/>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Total Liabilities, Temporary Equity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16,484.6</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13,494.1</w:t>
            </w:r>
          </w:p>
        </w:tc>
      </w:tr>
      <w:tr>
        <w:trPr>
          <w:trHeight w:val="20"/>
        </w:trPr>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for per share amounts)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5"/>
          </w:tcPr>
          <w:p>
            <w:pPr>
              <w:ind w:left="4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7"/>
                <w:szCs w:val="17"/>
                <w:color w:val="auto"/>
              </w:rPr>
            </w:pPr>
          </w:p>
        </w:tc>
        <w:tc>
          <w:tcPr>
            <w:tcW w:w="2360" w:type="dxa"/>
            <w:vAlign w:val="bottom"/>
            <w:gridSpan w:val="4"/>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52"/>
        </w:trPr>
        <w:tc>
          <w:tcPr>
            <w:tcW w:w="60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20"/>
              <w:spacing w:after="0" w:line="15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64"/>
              <w:spacing w:after="0" w:line="15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spacing w:after="0" w:line="15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64"/>
              <w:spacing w:after="0" w:line="152" w:lineRule="exact"/>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206"/>
        </w:trPr>
        <w:tc>
          <w:tcPr>
            <w:tcW w:w="60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2021</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0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0"/>
        </w:trPr>
        <w:tc>
          <w:tcPr>
            <w:tcW w:w="6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property</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585.7</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478.1</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1,461.6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1,213.9</w:t>
            </w:r>
          </w:p>
        </w:tc>
      </w:tr>
      <w:tr>
        <w:trPr>
          <w:trHeight w:val="205"/>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sales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81.1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215.1</w:t>
            </w:r>
          </w:p>
        </w:tc>
      </w:tr>
      <w:tr>
        <w:trPr>
          <w:trHeight w:val="200"/>
        </w:trPr>
        <w:tc>
          <w:tcPr>
            <w:tcW w:w="6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Service, retail, dining and entertainment</w:t>
            </w:r>
          </w:p>
        </w:tc>
        <w:tc>
          <w:tcPr>
            <w:tcW w:w="1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113.7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271.5</w:t>
            </w:r>
          </w:p>
        </w:tc>
      </w:tr>
      <w:tr>
        <w:trPr>
          <w:trHeight w:val="205"/>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200"/>
        </w:trPr>
        <w:tc>
          <w:tcPr>
            <w:tcW w:w="6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Brokerage commissions and other, net</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10.8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w:t>
            </w:r>
          </w:p>
        </w:tc>
      </w:tr>
      <w:tr>
        <w:trPr>
          <w:trHeight w:val="198"/>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932.6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684.3</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2,295.4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1,730.2</w:t>
            </w:r>
          </w:p>
        </w:tc>
      </w:tr>
      <w:tr>
        <w:trPr>
          <w:trHeight w:val="192"/>
        </w:trPr>
        <w:tc>
          <w:tcPr>
            <w:tcW w:w="6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7"/>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Property operating and maintenance</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184.7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375.2</w:t>
            </w:r>
          </w:p>
        </w:tc>
      </w:tr>
      <w:tr>
        <w:trPr>
          <w:trHeight w:val="200"/>
        </w:trPr>
        <w:tc>
          <w:tcPr>
            <w:tcW w:w="6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estate tax</w:t>
            </w:r>
          </w:p>
        </w:tc>
        <w:tc>
          <w:tcPr>
            <w:tcW w:w="1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70.4</w:t>
            </w:r>
          </w:p>
        </w:tc>
      </w:tr>
      <w:tr>
        <w:trPr>
          <w:trHeight w:val="205"/>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costs and selling</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56.5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156.9</w:t>
            </w:r>
          </w:p>
        </w:tc>
      </w:tr>
      <w:tr>
        <w:trPr>
          <w:trHeight w:val="200"/>
        </w:trPr>
        <w:tc>
          <w:tcPr>
            <w:tcW w:w="6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Service, retail, dining and entertainment</w:t>
            </w:r>
          </w:p>
        </w:tc>
        <w:tc>
          <w:tcPr>
            <w:tcW w:w="1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94.5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227.6</w:t>
            </w:r>
          </w:p>
        </w:tc>
      </w:tr>
      <w:tr>
        <w:trPr>
          <w:trHeight w:val="205"/>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126.7</w:t>
            </w:r>
          </w:p>
        </w:tc>
      </w:tr>
      <w:tr>
        <w:trPr>
          <w:trHeight w:val="200"/>
        </w:trPr>
        <w:tc>
          <w:tcPr>
            <w:tcW w:w="6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1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5"/>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Business combinations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0"/>
        </w:trPr>
        <w:tc>
          <w:tcPr>
            <w:tcW w:w="6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127.1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378.1</w:t>
            </w:r>
          </w:p>
        </w:tc>
      </w:tr>
      <w:tr>
        <w:trPr>
          <w:trHeight w:val="205"/>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Loss on extinguishment of debt (see Note 8)</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r>
      <w:tr>
        <w:trPr>
          <w:trHeight w:val="200"/>
        </w:trPr>
        <w:tc>
          <w:tcPr>
            <w:tcW w:w="6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1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116.2</w:t>
            </w:r>
          </w:p>
        </w:tc>
      </w:tr>
      <w:tr>
        <w:trPr>
          <w:trHeight w:val="205"/>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 on mandatorily redeemable preferred OP units / equity</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94"/>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b w:val="1"/>
                <w:bCs w:val="1"/>
                <w:color w:val="auto"/>
              </w:rPr>
              <w:t>Total Expenses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763.1</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537.3</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1,993.8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1,466.4</w:t>
            </w:r>
          </w:p>
        </w:tc>
      </w:tr>
      <w:tr>
        <w:trPr>
          <w:trHeight w:val="19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Income Before Other Items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147.0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263.8</w:t>
            </w:r>
          </w:p>
        </w:tc>
      </w:tr>
      <w:tr>
        <w:trPr>
          <w:trHeight w:val="200"/>
        </w:trPr>
        <w:tc>
          <w:tcPr>
            <w:tcW w:w="6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marketable securities (see Note 15)</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w:t>
            </w:r>
          </w:p>
        </w:tc>
      </w:tr>
      <w:tr>
        <w:trPr>
          <w:trHeight w:val="205"/>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200"/>
        </w:trPr>
        <w:tc>
          <w:tcPr>
            <w:tcW w:w="6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dispositions of properties</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108.1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108.1</w:t>
            </w:r>
          </w:p>
        </w:tc>
      </w:tr>
      <w:tr>
        <w:trPr>
          <w:trHeight w:val="205"/>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6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notes receivable (see Note 4)</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32"/>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Income from nonconsolidated affiliates (see Note 6)</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0.9</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225"/>
        </w:trPr>
        <w:tc>
          <w:tcPr>
            <w:tcW w:w="6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investment in nonconsolidated affiliates (see Note 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33"/>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Current tax expense (see Note 12)</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0"/>
        </w:trPr>
        <w:tc>
          <w:tcPr>
            <w:tcW w:w="6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Deferred tax benefit / (expense) (see Note 12)</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9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250.1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398.9</w:t>
            </w:r>
          </w:p>
        </w:tc>
      </w:tr>
      <w:tr>
        <w:trPr>
          <w:trHeight w:val="200"/>
        </w:trPr>
        <w:tc>
          <w:tcPr>
            <w:tcW w:w="6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Less: Preferred return to preferred OP units / equity interests</w:t>
            </w:r>
          </w:p>
        </w:tc>
        <w:tc>
          <w:tcPr>
            <w:tcW w:w="1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205"/>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Less: Income attributable to noncontrolling interests</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15.3</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w:t>
            </w:r>
          </w:p>
        </w:tc>
      </w:tr>
      <w:tr>
        <w:trPr>
          <w:trHeight w:val="196"/>
        </w:trPr>
        <w:tc>
          <w:tcPr>
            <w:tcW w:w="6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Attributable to SUI Common Shareholders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162.6</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231.7</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237.3</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367.3</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9"/>
        </w:trPr>
        <w:tc>
          <w:tcPr>
            <w:tcW w:w="6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200"/>
        </w:trPr>
        <w:tc>
          <w:tcPr>
            <w:tcW w:w="6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 average common shares outstanding - basic</w:t>
            </w:r>
          </w:p>
        </w:tc>
        <w:tc>
          <w:tcPr>
            <w:tcW w:w="1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115.1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111.7</w:t>
            </w:r>
          </w:p>
        </w:tc>
      </w:tr>
      <w:tr>
        <w:trPr>
          <w:trHeight w:val="20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common shares outstanding - diluted</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118.1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114.3</w:t>
            </w:r>
          </w:p>
        </w:tc>
      </w:tr>
      <w:tr>
        <w:trPr>
          <w:trHeight w:val="162"/>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Basic earnings per share (see Note 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w:t>
            </w:r>
          </w:p>
        </w:tc>
      </w:tr>
      <w:tr>
        <w:trPr>
          <w:trHeight w:val="221"/>
        </w:trPr>
        <w:tc>
          <w:tcPr>
            <w:tcW w:w="6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 earnings per share (see Note 13)</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1.32</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w:t>
            </w:r>
          </w:p>
        </w:tc>
      </w:tr>
    </w:tbl>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ind w:left="5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40" w:type="dxa"/>
            <w:vAlign w:val="bottom"/>
          </w:tcPr>
          <w:p>
            <w:pPr>
              <w:spacing w:after="0"/>
              <w:rPr>
                <w:sz w:val="17"/>
                <w:szCs w:val="17"/>
                <w:color w:val="auto"/>
              </w:rPr>
            </w:pPr>
          </w:p>
        </w:tc>
        <w:tc>
          <w:tcPr>
            <w:tcW w:w="2540" w:type="dxa"/>
            <w:vAlign w:val="bottom"/>
            <w:gridSpan w:val="4"/>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52"/>
        </w:trPr>
        <w:tc>
          <w:tcPr>
            <w:tcW w:w="5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60"/>
              <w:spacing w:after="0" w:line="15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04"/>
              <w:spacing w:after="0" w:line="15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40"/>
              <w:spacing w:after="0" w:line="152"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04"/>
              <w:spacing w:after="0" w:line="152" w:lineRule="exact"/>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206"/>
        </w:trPr>
        <w:tc>
          <w:tcPr>
            <w:tcW w:w="57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2021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0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398.9</w:t>
            </w:r>
          </w:p>
        </w:tc>
      </w:tr>
      <w:tr>
        <w:trPr>
          <w:trHeight w:val="200"/>
        </w:trPr>
        <w:tc>
          <w:tcPr>
            <w:tcW w:w="57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loss adjustment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05"/>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Flow Hedges: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0"/>
        </w:trPr>
        <w:tc>
          <w:tcPr>
            <w:tcW w:w="57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 in unrealized gain on interest rate derivatives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Less: interest rate derivative (gain) / loss reclassified to earnings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Net unrealized gain on interest rate derivatives</w:t>
            </w:r>
          </w:p>
        </w:tc>
        <w:tc>
          <w:tcPr>
            <w:tcW w:w="1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40.9</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Comprehensive Income</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397.4</w:t>
            </w:r>
          </w:p>
        </w:tc>
      </w:tr>
      <w:tr>
        <w:trPr>
          <w:trHeight w:val="200"/>
        </w:trPr>
        <w:tc>
          <w:tcPr>
            <w:tcW w:w="5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Less: Comprehensive income attributable to noncontrolling interests</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w:t>
            </w:r>
          </w:p>
        </w:tc>
      </w:tr>
      <w:tr>
        <w:trPr>
          <w:trHeight w:val="22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Comprehensive Income attributable to SUI</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3"/>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Distributions in</w:t>
            </w: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Temporary</w:t>
            </w:r>
          </w:p>
        </w:tc>
        <w:tc>
          <w:tcPr>
            <w:tcW w:w="100" w:type="dxa"/>
            <w:vAlign w:val="bottom"/>
          </w:tcPr>
          <w:p>
            <w:pPr>
              <w:spacing w:after="0"/>
              <w:rPr>
                <w:sz w:val="12"/>
                <w:szCs w:val="12"/>
                <w:color w:val="auto"/>
              </w:rPr>
            </w:pPr>
          </w:p>
        </w:tc>
        <w:tc>
          <w:tcPr>
            <w:tcW w:w="660" w:type="dxa"/>
            <w:vAlign w:val="bottom"/>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64"/>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960" w:type="dxa"/>
            <w:vAlign w:val="bottom"/>
          </w:tcPr>
          <w:p>
            <w:pPr>
              <w:jc w:val="center"/>
              <w:ind w:right="24"/>
              <w:spacing w:after="0" w:line="14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40" w:type="dxa"/>
            <w:vAlign w:val="bottom"/>
          </w:tcPr>
          <w:p>
            <w:pPr>
              <w:jc w:val="right"/>
              <w:ind w:right="64"/>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7"/>
                <w:szCs w:val="17"/>
                <w:color w:val="auto"/>
              </w:rPr>
            </w:pPr>
          </w:p>
        </w:tc>
        <w:tc>
          <w:tcPr>
            <w:tcW w:w="66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2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9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12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7"/>
                <w:szCs w:val="17"/>
                <w:color w:val="auto"/>
              </w:rPr>
            </w:pPr>
          </w:p>
        </w:tc>
        <w:tc>
          <w:tcPr>
            <w:tcW w:w="76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288.9</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8,175.6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(1,556.0)</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106.7</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6,730.6</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7,019.5</w:t>
            </w:r>
          </w:p>
        </w:tc>
        <w:tc>
          <w:tcPr>
            <w:tcW w:w="0" w:type="dxa"/>
            <w:vAlign w:val="bottom"/>
          </w:tcPr>
          <w:p>
            <w:pPr>
              <w:spacing w:after="0"/>
              <w:rPr>
                <w:sz w:val="1"/>
                <w:szCs w:val="1"/>
                <w:color w:val="auto"/>
              </w:rPr>
            </w:pPr>
          </w:p>
        </w:tc>
      </w:tr>
      <w:tr>
        <w:trPr>
          <w:trHeight w:val="158"/>
        </w:trPr>
        <w:tc>
          <w:tcPr>
            <w:tcW w:w="268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Issuance of common stock and common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 units, net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Common stock withheld to satisfy income</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68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tax obligations related to vesting of</w:t>
            </w: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awards</w:t>
            </w: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Conversion of OP units</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2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6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Share-based compensation - amortization</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and forfeitures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 (loss)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(102.3)</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(107.5)</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 Units accretion</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198"/>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March 31, 2022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283.9</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8,169.4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(1,654.6)</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6,649.6</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6,933.5</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6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Issuance of common stock and common</w:t>
            </w: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 units, net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968.6</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971.3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971.3</w:t>
            </w:r>
          </w:p>
        </w:tc>
        <w:tc>
          <w:tcPr>
            <w:tcW w:w="0" w:type="dxa"/>
            <w:vAlign w:val="bottom"/>
          </w:tcPr>
          <w:p>
            <w:pPr>
              <w:spacing w:after="0"/>
              <w:rPr>
                <w:sz w:val="1"/>
                <w:szCs w:val="1"/>
                <w:color w:val="auto"/>
              </w:rPr>
            </w:pPr>
          </w:p>
        </w:tc>
      </w:tr>
      <w:tr>
        <w:trPr>
          <w:trHeight w:val="158"/>
        </w:trPr>
        <w:tc>
          <w:tcPr>
            <w:tcW w:w="268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Common stock withheld to satisfy income</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80" w:type="dxa"/>
            <w:vAlign w:val="bottom"/>
          </w:tcPr>
          <w:p>
            <w:pPr>
              <w:ind w:left="20"/>
              <w:spacing w:after="0" w:line="152" w:lineRule="exact"/>
              <w:rPr>
                <w:sz w:val="20"/>
                <w:szCs w:val="20"/>
                <w:color w:val="auto"/>
              </w:rPr>
            </w:pPr>
            <w:r>
              <w:rPr>
                <w:rFonts w:ascii="Times New Roman" w:cs="Times New Roman" w:eastAsia="Times New Roman" w:hAnsi="Times New Roman"/>
                <w:sz w:val="15"/>
                <w:szCs w:val="15"/>
                <w:color w:val="auto"/>
              </w:rPr>
              <w:t>tax obligations related to vesting of</w:t>
            </w:r>
          </w:p>
        </w:tc>
        <w:tc>
          <w:tcPr>
            <w:tcW w:w="120" w:type="dxa"/>
            <w:vAlign w:val="bottom"/>
          </w:tcPr>
          <w:p>
            <w:pPr>
              <w:spacing w:after="0"/>
              <w:rPr>
                <w:sz w:val="13"/>
                <w:szCs w:val="13"/>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restricted stock awards</w:t>
            </w: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6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Third party equity interest in consolidated</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entities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redeemable noncontrolling interests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6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Acquisition of third parties equity interest</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 consolidated entities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158"/>
        </w:trPr>
        <w:tc>
          <w:tcPr>
            <w:tcW w:w="268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Share-based compensation - amortization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and forfeitures</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loss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77.1</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81.3</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(107.0)</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(112.2)</w:t>
            </w:r>
          </w:p>
        </w:tc>
        <w:tc>
          <w:tcPr>
            <w:tcW w:w="0" w:type="dxa"/>
            <w:vAlign w:val="bottom"/>
          </w:tcPr>
          <w:p>
            <w:pPr>
              <w:spacing w:after="0"/>
              <w:rPr>
                <w:sz w:val="1"/>
                <w:szCs w:val="1"/>
                <w:color w:val="auto"/>
              </w:rPr>
            </w:pPr>
          </w:p>
        </w:tc>
      </w:tr>
      <w:tr>
        <w:trPr>
          <w:trHeight w:val="200"/>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OP Units accretion</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23"/>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9,159.1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(1,684.7)</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7,538.2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7,831.5</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ind w:left="20"/>
              <w:spacing w:after="0" w:line="146" w:lineRule="exact"/>
              <w:rPr>
                <w:sz w:val="20"/>
                <w:szCs w:val="20"/>
                <w:color w:val="auto"/>
              </w:rPr>
            </w:pPr>
            <w:r>
              <w:rPr>
                <w:rFonts w:ascii="Times New Roman" w:cs="Times New Roman" w:eastAsia="Times New Roman" w:hAnsi="Times New Roman"/>
                <w:sz w:val="15"/>
                <w:szCs w:val="15"/>
                <w:color w:val="auto"/>
              </w:rPr>
              <w:t>Issuance of common stock and common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 units, net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275.3</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275.3</w:t>
            </w: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Common stock withheld to satisfy income</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68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tax obligations related to vesting of</w:t>
            </w: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awards</w:t>
            </w: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Conversion of OP units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26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Acquisition of third party equity interest in</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consolidated entities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0" w:type="dxa"/>
            <w:vAlign w:val="bottom"/>
          </w:tcPr>
          <w:p>
            <w:pPr>
              <w:spacing w:after="0"/>
              <w:rPr>
                <w:sz w:val="1"/>
                <w:szCs w:val="1"/>
                <w:color w:val="auto"/>
              </w:rPr>
            </w:pPr>
          </w:p>
        </w:tc>
      </w:tr>
      <w:tr>
        <w:trPr>
          <w:trHeight w:val="158"/>
        </w:trPr>
        <w:tc>
          <w:tcPr>
            <w:tcW w:w="268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Share-based compensation - amortization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and forfeitures</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loss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165.1</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177.0</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(109.0)</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(113.3)</w:t>
            </w:r>
          </w:p>
        </w:tc>
        <w:tc>
          <w:tcPr>
            <w:tcW w:w="0" w:type="dxa"/>
            <w:vAlign w:val="bottom"/>
          </w:tcPr>
          <w:p>
            <w:pPr>
              <w:spacing w:after="0"/>
              <w:rPr>
                <w:sz w:val="1"/>
                <w:szCs w:val="1"/>
                <w:color w:val="auto"/>
              </w:rPr>
            </w:pPr>
          </w:p>
        </w:tc>
      </w:tr>
      <w:tr>
        <w:trPr>
          <w:trHeight w:val="200"/>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OP Units accretion</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23"/>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September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9,536.4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(1,628.9)</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7,923.2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8,130.0</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3"/>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Distributions in</w:t>
            </w: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Temporary</w:t>
            </w:r>
          </w:p>
        </w:tc>
        <w:tc>
          <w:tcPr>
            <w:tcW w:w="100" w:type="dxa"/>
            <w:vAlign w:val="bottom"/>
          </w:tcPr>
          <w:p>
            <w:pPr>
              <w:spacing w:after="0"/>
              <w:rPr>
                <w:sz w:val="12"/>
                <w:szCs w:val="12"/>
                <w:color w:val="auto"/>
              </w:rPr>
            </w:pPr>
          </w:p>
        </w:tc>
        <w:tc>
          <w:tcPr>
            <w:tcW w:w="660" w:type="dxa"/>
            <w:vAlign w:val="bottom"/>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4"/>
              <w:spacing w:after="0" w:line="146"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96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40" w:type="dxa"/>
            <w:vAlign w:val="bottom"/>
          </w:tcPr>
          <w:p>
            <w:pPr>
              <w:jc w:val="right"/>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94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7"/>
                <w:szCs w:val="17"/>
                <w:color w:val="auto"/>
              </w:rPr>
            </w:pPr>
          </w:p>
        </w:tc>
        <w:tc>
          <w:tcPr>
            <w:tcW w:w="66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2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9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1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108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7,087.6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(1,566.6)</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5,627.3</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5,891.7</w:t>
            </w:r>
          </w:p>
        </w:tc>
        <w:tc>
          <w:tcPr>
            <w:tcW w:w="0" w:type="dxa"/>
            <w:vAlign w:val="bottom"/>
          </w:tcPr>
          <w:p>
            <w:pPr>
              <w:spacing w:after="0"/>
              <w:rPr>
                <w:sz w:val="1"/>
                <w:szCs w:val="1"/>
                <w:color w:val="auto"/>
              </w:rPr>
            </w:pPr>
          </w:p>
        </w:tc>
      </w:tr>
      <w:tr>
        <w:trPr>
          <w:trHeight w:val="148"/>
        </w:trPr>
        <w:tc>
          <w:tcPr>
            <w:tcW w:w="268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Issuance of common stock and common</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 units, net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537.1</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537.1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537.1</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Common stock withheld to satisfy income</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6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tax obligations related to vesting of</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awards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Conversion of OP units</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1"/>
        </w:trPr>
        <w:tc>
          <w:tcPr>
            <w:tcW w:w="26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Third party equity interest in consolidated</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entities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redeemable noncontrolling interests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1"/>
        </w:trPr>
        <w:tc>
          <w:tcPr>
            <w:tcW w:w="26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Share-based compensation - amortization</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and forfeitures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 (loss)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(92.8)</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(97.8)</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198"/>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March 31, 2021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261.1</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7,618.1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(1,631.0)</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6,091.6</w:t>
            </w: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6,352.7</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68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Issuance of common stock and common</w:t>
            </w: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 units, net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539.2</w:t>
            </w:r>
          </w:p>
        </w:tc>
        <w:tc>
          <w:tcPr>
            <w:tcW w:w="0" w:type="dxa"/>
            <w:vAlign w:val="bottom"/>
          </w:tcPr>
          <w:p>
            <w:pPr>
              <w:spacing w:after="0"/>
              <w:rPr>
                <w:sz w:val="1"/>
                <w:szCs w:val="1"/>
                <w:color w:val="auto"/>
              </w:rPr>
            </w:pPr>
          </w:p>
        </w:tc>
      </w:tr>
      <w:tr>
        <w:trPr>
          <w:trHeight w:val="148"/>
        </w:trPr>
        <w:tc>
          <w:tcPr>
            <w:tcW w:w="268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Common stock withheld to satisfy income</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8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tax obligations related to vesting of</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restricted stock awards</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Conversion of OP units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redeemable noncontrolling interests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1"/>
        </w:trPr>
        <w:tc>
          <w:tcPr>
            <w:tcW w:w="26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Share-based compensation - amortization</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and forfeitures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Series J preferred OP units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currency translation</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113.8</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120.8</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(96.2)</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(99.3)</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(101.3)</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223"/>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June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8,163.1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(1,614.2)</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6,655.8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6,941.4</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ind w:left="20"/>
              <w:spacing w:after="0" w:line="136" w:lineRule="exact"/>
              <w:rPr>
                <w:sz w:val="20"/>
                <w:szCs w:val="20"/>
                <w:color w:val="auto"/>
              </w:rPr>
            </w:pPr>
            <w:r>
              <w:rPr>
                <w:rFonts w:ascii="Times New Roman" w:cs="Times New Roman" w:eastAsia="Times New Roman" w:hAnsi="Times New Roman"/>
                <w:sz w:val="15"/>
                <w:szCs w:val="15"/>
                <w:color w:val="auto"/>
              </w:rPr>
              <w:t>Issuance of common stock and common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 units, net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Common stock withheld to satisfy income</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6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tax obligations related to vesting of</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awards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Conversion of OP units</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interest in consolidated entities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redeemable non-controlling interests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1"/>
        </w:trPr>
        <w:tc>
          <w:tcPr>
            <w:tcW w:w="26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Share-based compensation - amortization</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and forfeitures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Foreign currency translation</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0" w:type="dxa"/>
            <w:vAlign w:val="bottom"/>
          </w:tcPr>
          <w:p>
            <w:pPr>
              <w:spacing w:after="0"/>
              <w:rPr>
                <w:sz w:val="1"/>
                <w:szCs w:val="1"/>
                <w:color w:val="auto"/>
              </w:rPr>
            </w:pPr>
          </w:p>
        </w:tc>
      </w:tr>
      <w:tr>
        <w:trPr>
          <w:trHeight w:val="20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234.9</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243.1</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250.1</w:t>
            </w:r>
          </w:p>
        </w:tc>
        <w:tc>
          <w:tcPr>
            <w:tcW w:w="0" w:type="dxa"/>
            <w:vAlign w:val="bottom"/>
          </w:tcPr>
          <w:p>
            <w:pPr>
              <w:spacing w:after="0"/>
              <w:rPr>
                <w:sz w:val="1"/>
                <w:szCs w:val="1"/>
                <w:color w:val="auto"/>
              </w:rPr>
            </w:pPr>
          </w:p>
        </w:tc>
      </w:tr>
      <w:tr>
        <w:trPr>
          <w:trHeight w:val="200"/>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(96.3)</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(99.5)</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(101.5)</w:t>
            </w:r>
          </w:p>
        </w:tc>
        <w:tc>
          <w:tcPr>
            <w:tcW w:w="0" w:type="dxa"/>
            <w:vAlign w:val="bottom"/>
          </w:tcPr>
          <w:p>
            <w:pPr>
              <w:spacing w:after="0"/>
              <w:rPr>
                <w:sz w:val="1"/>
                <w:szCs w:val="1"/>
                <w:color w:val="auto"/>
              </w:rPr>
            </w:pPr>
          </w:p>
        </w:tc>
      </w:tr>
      <w:tr>
        <w:trPr>
          <w:trHeight w:val="223"/>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September 30,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8,170.3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(1,475.6)</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6,802.4</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7,094.8</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984"/>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0"/>
        </w:trPr>
        <w:tc>
          <w:tcPr>
            <w:tcW w:w="7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20" w:type="dxa"/>
            <w:vAlign w:val="bottom"/>
          </w:tcPr>
          <w:p>
            <w:pPr>
              <w:spacing w:after="0"/>
              <w:rPr>
                <w:sz w:val="17"/>
                <w:szCs w:val="17"/>
                <w:color w:val="auto"/>
              </w:rPr>
            </w:pPr>
          </w:p>
        </w:tc>
        <w:tc>
          <w:tcPr>
            <w:tcW w:w="148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September 30, 2021</w:t>
            </w:r>
          </w:p>
        </w:tc>
      </w:tr>
      <w:tr>
        <w:trPr>
          <w:trHeight w:val="196"/>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02"/>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654.5</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656.0</w:t>
            </w:r>
          </w:p>
        </w:tc>
      </w:tr>
      <w:tr>
        <w:trPr>
          <w:trHeight w:val="19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Investment in properties</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(476.5)</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Acquisitions, net of cash acquired</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(2,140.5)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(1,099.8)</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deposit on acquisition</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disposition of assets and depreciated homes, net</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80.2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related to disposition of properties</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43.5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162.1</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notes and other receivables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Repayments of notes and other receivables</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Investments in nonconsolidated affiliates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w:t>
            </w:r>
          </w:p>
        </w:tc>
      </w:tr>
      <w:tr>
        <w:trPr>
          <w:trHeight w:val="200"/>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Distributions of capital from nonconsolidated affiliates</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12.2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w:t>
            </w:r>
          </w:p>
        </w:tc>
      </w:tr>
      <w:tr>
        <w:trPr>
          <w:trHeight w:val="198"/>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Net Cash Used For Investing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(2,740.8)</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(1,363.1)</w:t>
            </w:r>
          </w:p>
        </w:tc>
      </w:tr>
      <w:tr>
        <w:trPr>
          <w:trHeight w:val="192"/>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7"/>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and costs of common stock, OP units and preferred OP units, net</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1,209.8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1,076.0</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Common stock withheld to satisfy income tax obligations related to vesting of restricted stock awards</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Borrowings on lines of credit</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3,093.5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2,405.3</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Payments on lines of credit</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(2,051.7)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(3,014.3)</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issuance of other debt</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600.9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599.0</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Contributions from noncontrolling interest</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Payments on other debt</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Payments on financial liability</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Fees paid in connection with extinguishment of debt</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Distributions</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(289.1)</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Payments for deferred financing costs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gain on derivative settlement</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35.3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Distributions for redemption of 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CC0099"/>
              </w:rPr>
              <w:t>—</w:t>
            </w:r>
          </w:p>
        </w:tc>
      </w:tr>
      <w:tr>
        <w:trPr>
          <w:trHeight w:val="194"/>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Net Cash Provided By Financing Activities</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2,130.8</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700.4</w:t>
            </w:r>
          </w:p>
        </w:tc>
      </w:tr>
      <w:tr>
        <w:trPr>
          <w:trHeight w:val="19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r>
      <w:tr>
        <w:trPr>
          <w:trHeight w:val="194"/>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140" w:type="dxa"/>
            <w:vAlign w:val="bottom"/>
          </w:tcPr>
          <w:p>
            <w:pPr>
              <w:spacing w:after="0"/>
              <w:rPr>
                <w:sz w:val="16"/>
                <w:szCs w:val="16"/>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20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78.2</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92.6</w:t>
            </w:r>
          </w:p>
        </w:tc>
      </w:tr>
      <w:tr>
        <w:trPr>
          <w:trHeight w:val="198"/>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112.0</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85.6</w:t>
            </w:r>
          </w:p>
        </w:tc>
      </w:tr>
      <w:tr>
        <w:trPr>
          <w:trHeight w:val="20"/>
        </w:trPr>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984"/>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0"/>
        </w:trPr>
        <w:tc>
          <w:tcPr>
            <w:tcW w:w="7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20" w:type="dxa"/>
            <w:vAlign w:val="bottom"/>
          </w:tcPr>
          <w:p>
            <w:pPr>
              <w:spacing w:after="0"/>
              <w:rPr>
                <w:sz w:val="17"/>
                <w:szCs w:val="17"/>
                <w:color w:val="auto"/>
              </w:rPr>
            </w:pPr>
          </w:p>
        </w:tc>
        <w:tc>
          <w:tcPr>
            <w:tcW w:w="148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September 30, 2021</w:t>
            </w:r>
          </w:p>
        </w:tc>
      </w:tr>
      <w:tr>
        <w:trPr>
          <w:trHeight w:val="196"/>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Information</w:t>
            </w:r>
          </w:p>
        </w:tc>
        <w:tc>
          <w:tcPr>
            <w:tcW w:w="1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00"/>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interest (net of capitalized interest of $4.1 and $3.5, 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151.9</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113.3</w:t>
            </w: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interest on mandatorily redeemable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0"/>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 in distributions declared and outstanding</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12.7</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Conversion of common and preferred OP units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95.7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Asset held for sale</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Common OP units issued for redemption of noncontrolling interests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Contingent consideration liability related to prior acquisitions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w:t>
            </w: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 at the date of acquisition</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Acquisitions - Common stock and OP units issued</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37.7</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Acquisitions - Series J preferred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r>
      <w:tr>
        <w:trPr>
          <w:trHeight w:val="200"/>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Acquisitions - Finance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13.3</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Acquisitions - Financial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359.8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78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Acquisitions - Deferred tax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313.9</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Sun Communities, Inc., a Maryland corporation, and all wholly-owned or majority-owned and controlled subsidiaries, including Sun Communities Operating Limited Partnership (the "Operating Partnership"), Sun Home Services, Inc. ("SHS"), Safe Harbor Marinas, LLC ("Safe Harbor") and Tiger Topco 1 Limited (together with its subsidiaries, "Park Holidays") are referred to herein as the "Company," "SUI," "us," "we," and "our."</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follow accounting standards set by the Financial Accounting Standards Board ("FASB"). FASB establishes accounting principles generally accepted in the United States of America ("GAAP"), which we follow to ensure that we consistently report our financial condition, results of operations and cash flows. References to GAAP issued by the FASB in these footnotes are to the FASB Accounting Standards Codification ("ASC"). These unaudited Consolidated Financial Statements have been prepared pursuant to the rules and regulations of the Securities and Exchange Commission ("SEC") for interim financial information and in accordance with GAAP. We present interim disclosures and certain information and footnote disclosures as required by SEC rules and regulations.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intercompany transactions have been eliminated in consolidation.</w:t>
      </w:r>
    </w:p>
    <w:p>
      <w:pPr>
        <w:spacing w:after="0" w:line="21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Certain prior period amounts have been revised to conform with current presentation, with no effect on net income. These include reclassification of certain revenues and expenses between Real property and Service, retail, dining and entertainment within our Marina Portfolio. There was no impact to prior period net income, shareholders equity or cash flows for any of the reclassifications. Further, the reclassification had no impact on previously reported total marina net operating income ("NOI").</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2021 as filed with the SEC on February 22, 2022 (our "2021 Annual Report"). These statements have been prepared on a basis that is substantially consistent with the accounting principles applied in our 2021 Annual Report.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three reportable segments are: (i) Manufactured home ("MH") communities, (ii) Recreational vehicle ("RV") communities and (iii) Marinas.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 and segment (in millions):</w:t>
      </w:r>
    </w:p>
    <w:p>
      <w:pPr>
        <w:spacing w:after="0" w:line="29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980" w:type="dxa"/>
            <w:vAlign w:val="bottom"/>
            <w:tcBorders>
              <w:top w:val="single" w:sz="8" w:color="auto"/>
              <w:bottom w:val="single" w:sz="8" w:color="auto"/>
            </w:tcBorders>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000" w:type="dxa"/>
            <w:vAlign w:val="bottom"/>
            <w:tcBorders>
              <w:top w:val="single" w:sz="8" w:color="auto"/>
              <w:bottom w:val="single" w:sz="8" w:color="auto"/>
            </w:tcBorders>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196"/>
        </w:trPr>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MH</w:t>
            </w:r>
          </w:p>
        </w:tc>
        <w:tc>
          <w:tcPr>
            <w:tcW w:w="240" w:type="dxa"/>
            <w:vAlign w:val="bottom"/>
          </w:tcPr>
          <w:p>
            <w:pPr>
              <w:spacing w:after="0"/>
              <w:rPr>
                <w:sz w:val="17"/>
                <w:szCs w:val="17"/>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RV</w:t>
            </w:r>
          </w:p>
        </w:tc>
        <w:tc>
          <w:tcPr>
            <w:tcW w:w="18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MH</w:t>
            </w:r>
          </w:p>
        </w:tc>
        <w:tc>
          <w:tcPr>
            <w:tcW w:w="240" w:type="dxa"/>
            <w:vAlign w:val="bottom"/>
          </w:tcPr>
          <w:p>
            <w:pPr>
              <w:spacing w:after="0"/>
              <w:rPr>
                <w:sz w:val="17"/>
                <w:szCs w:val="17"/>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RV</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0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183"/>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00"/>
        </w:trPr>
        <w:tc>
          <w:tcPr>
            <w:tcW w:w="2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property</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260.3</w:t>
            </w:r>
          </w:p>
        </w:tc>
        <w:tc>
          <w:tcPr>
            <w:tcW w:w="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209.6</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585.7</w:t>
            </w:r>
          </w:p>
        </w:tc>
        <w:tc>
          <w:tcPr>
            <w:tcW w:w="2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203.6</w:t>
            </w:r>
          </w:p>
        </w:tc>
        <w:tc>
          <w:tcPr>
            <w:tcW w:w="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185.8</w:t>
            </w:r>
          </w:p>
        </w:tc>
        <w:tc>
          <w:tcPr>
            <w:tcW w:w="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88.7</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478.1</w:t>
            </w:r>
          </w:p>
        </w:tc>
      </w:tr>
      <w:tr>
        <w:trPr>
          <w:trHeight w:val="205"/>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sales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140.9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70.3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81.1</w:t>
            </w:r>
          </w:p>
        </w:tc>
      </w:tr>
      <w:tr>
        <w:trPr>
          <w:trHeight w:val="148"/>
        </w:trPr>
        <w:tc>
          <w:tcPr>
            <w:tcW w:w="2120" w:type="dxa"/>
            <w:vAlign w:val="bottom"/>
          </w:tcPr>
          <w:p>
            <w:pPr>
              <w:ind w:left="220"/>
              <w:spacing w:after="0" w:line="149" w:lineRule="exact"/>
              <w:rPr>
                <w:sz w:val="20"/>
                <w:szCs w:val="20"/>
                <w:color w:val="auto"/>
              </w:rPr>
            </w:pPr>
            <w:r>
              <w:rPr>
                <w:rFonts w:ascii="Times New Roman" w:cs="Times New Roman" w:eastAsia="Times New Roman" w:hAnsi="Times New Roman"/>
                <w:sz w:val="15"/>
                <w:szCs w:val="15"/>
                <w:color w:val="auto"/>
              </w:rPr>
              <w:t>Service, retail, dining and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2"/>
        </w:trPr>
        <w:tc>
          <w:tcPr>
            <w:tcW w:w="2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entertainment</w:t>
            </w: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113.7</w:t>
            </w:r>
          </w:p>
        </w:tc>
      </w:tr>
      <w:tr>
        <w:trPr>
          <w:trHeight w:val="207"/>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48"/>
        </w:trPr>
        <w:tc>
          <w:tcPr>
            <w:tcW w:w="2120" w:type="dxa"/>
            <w:vAlign w:val="bottom"/>
          </w:tcPr>
          <w:p>
            <w:pPr>
              <w:ind w:left="220"/>
              <w:spacing w:after="0" w:line="149" w:lineRule="exact"/>
              <w:rPr>
                <w:sz w:val="20"/>
                <w:szCs w:val="20"/>
                <w:color w:val="auto"/>
              </w:rPr>
            </w:pPr>
            <w:r>
              <w:rPr>
                <w:rFonts w:ascii="Times New Roman" w:cs="Times New Roman" w:eastAsia="Times New Roman" w:hAnsi="Times New Roman"/>
                <w:sz w:val="15"/>
                <w:szCs w:val="15"/>
                <w:color w:val="auto"/>
              </w:rPr>
              <w:t>Brokerage commissions and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2"/>
        </w:trPr>
        <w:tc>
          <w:tcPr>
            <w:tcW w:w="2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net</w:t>
            </w: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r>
      <w:tr>
        <w:trPr>
          <w:trHeight w:val="225"/>
        </w:trPr>
        <w:tc>
          <w:tcPr>
            <w:tcW w:w="21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684.3</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5"/>
          <w:szCs w:val="15"/>
          <w:b w:val="1"/>
          <w:bCs w:val="1"/>
          <w:color w:val="auto"/>
        </w:rPr>
        <w:t>Nine Months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980" w:type="dxa"/>
            <w:vAlign w:val="bottom"/>
            <w:tcBorders>
              <w:top w:val="single" w:sz="8" w:color="auto"/>
              <w:bottom w:val="single" w:sz="8" w:color="auto"/>
            </w:tcBorders>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000" w:type="dxa"/>
            <w:vAlign w:val="bottom"/>
            <w:tcBorders>
              <w:top w:val="single" w:sz="8" w:color="auto"/>
              <w:bottom w:val="single" w:sz="8" w:color="auto"/>
            </w:tcBorders>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r>
      <w:tr>
        <w:trPr>
          <w:trHeight w:val="196"/>
        </w:trPr>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MH</w:t>
            </w:r>
          </w:p>
        </w:tc>
        <w:tc>
          <w:tcPr>
            <w:tcW w:w="240" w:type="dxa"/>
            <w:vAlign w:val="bottom"/>
          </w:tcPr>
          <w:p>
            <w:pPr>
              <w:spacing w:after="0"/>
              <w:rPr>
                <w:sz w:val="17"/>
                <w:szCs w:val="17"/>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RV</w:t>
            </w:r>
          </w:p>
        </w:tc>
        <w:tc>
          <w:tcPr>
            <w:tcW w:w="18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MH</w:t>
            </w:r>
          </w:p>
        </w:tc>
        <w:tc>
          <w:tcPr>
            <w:tcW w:w="240" w:type="dxa"/>
            <w:vAlign w:val="bottom"/>
          </w:tcPr>
          <w:p>
            <w:pPr>
              <w:spacing w:after="0"/>
              <w:rPr>
                <w:sz w:val="17"/>
                <w:szCs w:val="17"/>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RV</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0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183"/>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00"/>
        </w:trPr>
        <w:tc>
          <w:tcPr>
            <w:tcW w:w="2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Real property</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711.4</w:t>
            </w:r>
          </w:p>
        </w:tc>
        <w:tc>
          <w:tcPr>
            <w:tcW w:w="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461.2</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1,461.6</w:t>
            </w:r>
          </w:p>
        </w:tc>
        <w:tc>
          <w:tcPr>
            <w:tcW w:w="2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602.4</w:t>
            </w:r>
          </w:p>
        </w:tc>
        <w:tc>
          <w:tcPr>
            <w:tcW w:w="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398.8</w:t>
            </w:r>
          </w:p>
        </w:tc>
        <w:tc>
          <w:tcPr>
            <w:tcW w:w="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212.7</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1,213.9</w:t>
            </w:r>
          </w:p>
        </w:tc>
      </w:tr>
      <w:tr>
        <w:trPr>
          <w:trHeight w:val="205"/>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Home sales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328.5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185.5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215.1</w:t>
            </w:r>
          </w:p>
        </w:tc>
      </w:tr>
      <w:tr>
        <w:trPr>
          <w:trHeight w:val="148"/>
        </w:trPr>
        <w:tc>
          <w:tcPr>
            <w:tcW w:w="2120" w:type="dxa"/>
            <w:vAlign w:val="bottom"/>
          </w:tcPr>
          <w:p>
            <w:pPr>
              <w:ind w:left="220"/>
              <w:spacing w:after="0" w:line="149" w:lineRule="exact"/>
              <w:rPr>
                <w:sz w:val="20"/>
                <w:szCs w:val="20"/>
                <w:color w:val="auto"/>
              </w:rPr>
            </w:pPr>
            <w:r>
              <w:rPr>
                <w:rFonts w:ascii="Times New Roman" w:cs="Times New Roman" w:eastAsia="Times New Roman" w:hAnsi="Times New Roman"/>
                <w:sz w:val="15"/>
                <w:szCs w:val="15"/>
                <w:color w:val="auto"/>
              </w:rPr>
              <w:t>Service, retail, dining and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2"/>
        </w:trPr>
        <w:tc>
          <w:tcPr>
            <w:tcW w:w="2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entertainment</w:t>
            </w: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271.5</w:t>
            </w:r>
          </w:p>
        </w:tc>
      </w:tr>
      <w:tr>
        <w:trPr>
          <w:trHeight w:val="207"/>
        </w:trPr>
        <w:tc>
          <w:tcPr>
            <w:tcW w:w="2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148"/>
        </w:trPr>
        <w:tc>
          <w:tcPr>
            <w:tcW w:w="2120" w:type="dxa"/>
            <w:vAlign w:val="bottom"/>
          </w:tcPr>
          <w:p>
            <w:pPr>
              <w:ind w:left="220"/>
              <w:spacing w:after="0" w:line="149" w:lineRule="exact"/>
              <w:rPr>
                <w:sz w:val="20"/>
                <w:szCs w:val="20"/>
                <w:color w:val="auto"/>
              </w:rPr>
            </w:pPr>
            <w:r>
              <w:rPr>
                <w:rFonts w:ascii="Times New Roman" w:cs="Times New Roman" w:eastAsia="Times New Roman" w:hAnsi="Times New Roman"/>
                <w:sz w:val="15"/>
                <w:szCs w:val="15"/>
                <w:color w:val="auto"/>
              </w:rPr>
              <w:t>Brokerage commissions and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2"/>
        </w:trPr>
        <w:tc>
          <w:tcPr>
            <w:tcW w:w="2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other, net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15.6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w:t>
            </w:r>
          </w:p>
        </w:tc>
      </w:tr>
      <w:tr>
        <w:trPr>
          <w:trHeight w:val="225"/>
        </w:trPr>
        <w:tc>
          <w:tcPr>
            <w:tcW w:w="21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1,112.3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2,295.4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809.4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505.2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415.6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1,730.2</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consists of real property revenue at our MH, RV and Marina properties, revenue from Home sales, Service, retail, dining and entertainment revenue, Interest income, and Brokerage commissions and other revenue.</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majority of our revenue is derived from site and home leases, and wet slip and dry storage space leases that are accounted for pursuant to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account for all revenue from contracts with customers following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except for those that are within the scope of other topics in the FASB ASC. For additional information, refer to Note 1, "Significant Accounting Policies," in our 2021 Annual Report.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Real Estate Acquisitions and Dispositions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Acquisitions and Dispositions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2022, we acquired the following MH communities and marinas: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Sites, Wet Slips and</w:t>
            </w: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State, Province or</w:t>
            </w:r>
          </w:p>
        </w:tc>
        <w:tc>
          <w:tcPr>
            <w:tcW w:w="1400" w:type="dxa"/>
            <w:vAlign w:val="bottom"/>
          </w:tcPr>
          <w:p>
            <w:pPr>
              <w:spacing w:after="0"/>
              <w:rPr>
                <w:sz w:val="15"/>
                <w:szCs w:val="15"/>
                <w:color w:val="auto"/>
              </w:rPr>
            </w:pPr>
          </w:p>
        </w:tc>
      </w:tr>
      <w:tr>
        <w:trPr>
          <w:trHeight w:val="212"/>
        </w:trPr>
        <w:tc>
          <w:tcPr>
            <w:tcW w:w="2740" w:type="dxa"/>
            <w:vAlign w:val="bottom"/>
            <w:gridSpan w:val="2"/>
          </w:tcPr>
          <w:p>
            <w:pPr>
              <w:ind w:left="740"/>
              <w:spacing w:after="0"/>
              <w:rPr>
                <w:sz w:val="20"/>
                <w:szCs w:val="20"/>
                <w:color w:val="auto"/>
              </w:rPr>
            </w:pPr>
            <w:r>
              <w:rPr>
                <w:rFonts w:ascii="Times New Roman" w:cs="Times New Roman" w:eastAsia="Times New Roman" w:hAnsi="Times New Roman"/>
                <w:sz w:val="15"/>
                <w:szCs w:val="15"/>
                <w:b w:val="1"/>
                <w:bCs w:val="1"/>
                <w:color w:val="auto"/>
              </w:rPr>
              <w:t>Community Name</w:t>
            </w:r>
          </w:p>
        </w:tc>
        <w:tc>
          <w:tcPr>
            <w:tcW w:w="2380" w:type="dxa"/>
            <w:vAlign w:val="bottom"/>
            <w:gridSpan w:val="2"/>
          </w:tcPr>
          <w:p>
            <w:pPr>
              <w:ind w:left="980"/>
              <w:spacing w:after="0"/>
              <w:rPr>
                <w:sz w:val="20"/>
                <w:szCs w:val="20"/>
                <w:color w:val="auto"/>
              </w:rPr>
            </w:pPr>
            <w:r>
              <w:rPr>
                <w:rFonts w:ascii="Times New Roman" w:cs="Times New Roman" w:eastAsia="Times New Roman" w:hAnsi="Times New Roman"/>
                <w:sz w:val="15"/>
                <w:szCs w:val="15"/>
                <w:b w:val="1"/>
                <w:bCs w:val="1"/>
                <w:color w:val="auto"/>
              </w:rPr>
              <w:t>Type</w:t>
            </w: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Dry Storage Spaces</w:t>
            </w:r>
          </w:p>
        </w:tc>
        <w:tc>
          <w:tcPr>
            <w:tcW w:w="152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Development Sites</w:t>
            </w:r>
          </w:p>
        </w:tc>
        <w:tc>
          <w:tcPr>
            <w:tcW w:w="80" w:type="dxa"/>
            <w:vAlign w:val="bottom"/>
          </w:tcPr>
          <w:p>
            <w:pPr>
              <w:spacing w:after="0"/>
              <w:rPr>
                <w:sz w:val="18"/>
                <w:szCs w:val="18"/>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Country</w:t>
            </w:r>
          </w:p>
        </w:tc>
        <w:tc>
          <w:tcPr>
            <w:tcW w:w="14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Month Acquired</w:t>
            </w:r>
          </w:p>
        </w:tc>
      </w:tr>
      <w:tr>
        <w:trPr>
          <w:trHeight w:val="200"/>
        </w:trPr>
        <w:tc>
          <w:tcPr>
            <w:tcW w:w="2660" w:type="dxa"/>
            <w:vAlign w:val="bottom"/>
            <w:tcBorders>
              <w:top w:val="single" w:sz="8" w:color="auto"/>
            </w:tcBorders>
            <w:shd w:val="clear" w:color="auto" w:fill="CCEEFF"/>
          </w:tcPr>
          <w:p>
            <w:pPr>
              <w:ind w:left="20"/>
              <w:spacing w:after="0" w:line="200" w:lineRule="exact"/>
              <w:rPr>
                <w:sz w:val="20"/>
                <w:szCs w:val="20"/>
                <w:color w:val="auto"/>
              </w:rPr>
            </w:pPr>
            <w:r>
              <w:rPr>
                <w:rFonts w:ascii="Times New Roman" w:cs="Times New Roman" w:eastAsia="Times New Roman" w:hAnsi="Times New Roman"/>
                <w:sz w:val="15"/>
                <w:szCs w:val="15"/>
                <w:color w:val="auto"/>
              </w:rPr>
              <w:t>Harrison Yacht Yard</w:t>
            </w:r>
            <w:r>
              <w:rPr>
                <w:rFonts w:ascii="Times New Roman" w:cs="Times New Roman" w:eastAsia="Times New Roman" w:hAnsi="Times New Roman"/>
                <w:sz w:val="19"/>
                <w:szCs w:val="19"/>
                <w:color w:val="auto"/>
                <w:vertAlign w:val="superscript"/>
              </w:rPr>
              <w:t>(1)</w:t>
            </w:r>
          </w:p>
        </w:tc>
        <w:tc>
          <w:tcPr>
            <w:tcW w:w="8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MD</w:t>
            </w: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January</w:t>
            </w:r>
          </w:p>
        </w:tc>
      </w:tr>
      <w:tr>
        <w:trPr>
          <w:trHeight w:val="20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Outer Banks</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NC</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January</w:t>
            </w:r>
          </w:p>
        </w:tc>
      </w:tr>
      <w:tr>
        <w:trPr>
          <w:trHeight w:val="205"/>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Jarrett Bay Boatworks</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business combination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NC</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February</w:t>
            </w:r>
          </w:p>
        </w:tc>
      </w:tr>
      <w:tr>
        <w:trPr>
          <w:trHeight w:val="20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Tower Marine</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MI</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March</w:t>
            </w:r>
          </w:p>
        </w:tc>
      </w:tr>
      <w:tr>
        <w:trPr>
          <w:trHeight w:val="205"/>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Sandy Bay</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730</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UK</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w:t>
            </w:r>
          </w:p>
        </w:tc>
      </w:tr>
      <w:tr>
        <w:trPr>
          <w:trHeight w:val="203"/>
        </w:trPr>
        <w:tc>
          <w:tcPr>
            <w:tcW w:w="27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5"/>
                <w:szCs w:val="15"/>
                <w:color w:val="auto"/>
              </w:rPr>
              <w:t>Park Holidays</w:t>
            </w:r>
            <w:r>
              <w:rPr>
                <w:rFonts w:ascii="Times New Roman" w:cs="Times New Roman" w:eastAsia="Times New Roman" w:hAnsi="Times New Roman"/>
                <w:sz w:val="18"/>
                <w:szCs w:val="18"/>
                <w:color w:val="auto"/>
                <w:vertAlign w:val="superscript"/>
              </w:rPr>
              <w:t>(2)</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MH: business combination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15,906</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1,140</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UK</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April</w:t>
            </w:r>
          </w:p>
        </w:tc>
      </w:tr>
      <w:tr>
        <w:trPr>
          <w:trHeight w:val="203"/>
        </w:trPr>
        <w:tc>
          <w:tcPr>
            <w:tcW w:w="27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5"/>
                <w:szCs w:val="15"/>
                <w:color w:val="auto"/>
              </w:rPr>
              <w:t>Christies Parks</w:t>
            </w:r>
            <w:r>
              <w:rPr>
                <w:rFonts w:ascii="Times New Roman" w:cs="Times New Roman" w:eastAsia="Times New Roman" w:hAnsi="Times New Roman"/>
                <w:sz w:val="18"/>
                <w:szCs w:val="18"/>
                <w:color w:val="auto"/>
                <w:vertAlign w:val="superscript"/>
              </w:rPr>
              <w:t>(1)</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UK</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April</w:t>
            </w:r>
          </w:p>
        </w:tc>
      </w:tr>
      <w:tr>
        <w:trPr>
          <w:trHeight w:val="20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Bluewater</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Multiple</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April</w:t>
            </w:r>
          </w:p>
        </w:tc>
      </w:tr>
      <w:tr>
        <w:trPr>
          <w:trHeight w:val="205"/>
        </w:trPr>
        <w:tc>
          <w:tcPr>
            <w:tcW w:w="274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5"/>
                <w:szCs w:val="15"/>
                <w:color w:val="auto"/>
              </w:rPr>
              <w:t>Bluewater Yacht Sales</w:t>
            </w:r>
            <w:r>
              <w:rPr>
                <w:rFonts w:ascii="Times New Roman" w:cs="Times New Roman" w:eastAsia="Times New Roman" w:hAnsi="Times New Roman"/>
                <w:sz w:val="18"/>
                <w:szCs w:val="18"/>
                <w:color w:val="auto"/>
                <w:vertAlign w:val="superscript"/>
              </w:rPr>
              <w:t>(1)</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business combination</w:t>
            </w: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Multiple</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April</w:t>
            </w:r>
          </w:p>
        </w:tc>
      </w:tr>
      <w:tr>
        <w:trPr>
          <w:trHeight w:val="20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Bodmin Holiday Park</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UK</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April</w:t>
            </w:r>
          </w:p>
        </w:tc>
      </w:tr>
      <w:tr>
        <w:trPr>
          <w:trHeight w:val="205"/>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Kittery Point</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May</w:t>
            </w:r>
          </w:p>
        </w:tc>
      </w:tr>
      <w:tr>
        <w:trPr>
          <w:trHeight w:val="20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Spanish Trails MHC</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AZ</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June</w:t>
            </w:r>
          </w:p>
        </w:tc>
      </w:tr>
      <w:tr>
        <w:trPr>
          <w:trHeight w:val="205"/>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Pine Acre Trails</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TX</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w:t>
            </w:r>
          </w:p>
        </w:tc>
      </w:tr>
      <w:tr>
        <w:trPr>
          <w:trHeight w:val="203"/>
        </w:trPr>
        <w:tc>
          <w:tcPr>
            <w:tcW w:w="27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Bel Air Estates &amp; Sunrise Estates</w:t>
            </w:r>
            <w:r>
              <w:rPr>
                <w:rFonts w:ascii="Times New Roman" w:cs="Times New Roman" w:eastAsia="Times New Roman" w:hAnsi="Times New Roman"/>
                <w:sz w:val="19"/>
                <w:szCs w:val="19"/>
                <w:color w:val="auto"/>
                <w:vertAlign w:val="superscript"/>
              </w:rPr>
              <w:t>(3)</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June</w:t>
            </w:r>
          </w:p>
        </w:tc>
      </w:tr>
      <w:tr>
        <w:trPr>
          <w:trHeight w:val="203"/>
        </w:trPr>
        <w:tc>
          <w:tcPr>
            <w:tcW w:w="274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Park Leisure</w:t>
            </w:r>
            <w:r>
              <w:rPr>
                <w:rFonts w:ascii="Times New Roman" w:cs="Times New Roman" w:eastAsia="Times New Roman" w:hAnsi="Times New Roman"/>
                <w:sz w:val="19"/>
                <w:szCs w:val="19"/>
                <w:color w:val="auto"/>
                <w:vertAlign w:val="superscript"/>
              </w:rPr>
              <w:t>(4)</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2,914</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UK</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w:t>
            </w:r>
          </w:p>
        </w:tc>
      </w:tr>
      <w:tr>
        <w:trPr>
          <w:trHeight w:val="20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Montauk Yacht Club</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business combination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NY</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July</w:t>
            </w:r>
          </w:p>
        </w:tc>
      </w:tr>
      <w:tr>
        <w:trPr>
          <w:trHeight w:val="205"/>
        </w:trPr>
        <w:tc>
          <w:tcPr>
            <w:tcW w:w="274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5"/>
                <w:szCs w:val="15"/>
                <w:color w:val="auto"/>
              </w:rPr>
              <w:t>Callaly Leisure</w:t>
            </w:r>
            <w:r>
              <w:rPr>
                <w:rFonts w:ascii="Times New Roman" w:cs="Times New Roman" w:eastAsia="Times New Roman" w:hAnsi="Times New Roman"/>
                <w:sz w:val="19"/>
                <w:szCs w:val="19"/>
                <w:color w:val="auto"/>
                <w:vertAlign w:val="superscript"/>
              </w:rPr>
              <w:t>(5)</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8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1,060</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UK</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September</w:t>
            </w:r>
          </w:p>
        </w:tc>
      </w:tr>
      <w:tr>
        <w:trPr>
          <w:trHeight w:val="196"/>
        </w:trPr>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22,242</w:t>
            </w:r>
          </w:p>
        </w:tc>
        <w:tc>
          <w:tcPr>
            <w:tcW w:w="8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3,656</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
        </w:trPr>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Combined with an existing property.</w:t>
      </w:r>
    </w:p>
    <w:p>
      <w:pPr>
        <w:spacing w:after="0" w:line="59" w:lineRule="exact"/>
        <w:rPr>
          <w:rFonts w:ascii="Times New Roman" w:cs="Times New Roman" w:eastAsia="Times New Roman" w:hAnsi="Times New Roman"/>
          <w:sz w:val="16"/>
          <w:szCs w:val="16"/>
          <w:color w:val="auto"/>
          <w:vertAlign w:val="superscript"/>
        </w:rPr>
      </w:pPr>
    </w:p>
    <w:p>
      <w:pPr>
        <w:ind w:left="160" w:hanging="152"/>
        <w:spacing w:after="0" w:line="191" w:lineRule="auto"/>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40 owned and two managed properties.</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two properties.</w:t>
      </w:r>
    </w:p>
    <w:p>
      <w:pPr>
        <w:spacing w:after="0" w:line="44"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11 properties.</w:t>
      </w:r>
    </w:p>
    <w:p>
      <w:pPr>
        <w:spacing w:after="0" w:line="22"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one development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of assets acquired, net of liabilities assumed at the acquisition date and the consideration paid for the acquisitions completed during the nine months ended September 30, 2022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At Acquisition Date</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24"/>
              <w:spacing w:after="0" w:line="146" w:lineRule="exact"/>
              <w:rPr>
                <w:sz w:val="20"/>
                <w:szCs w:val="20"/>
                <w:color w:val="auto"/>
              </w:rPr>
            </w:pPr>
            <w:r>
              <w:rPr>
                <w:rFonts w:ascii="Times New Roman" w:cs="Times New Roman" w:eastAsia="Times New Roman" w:hAnsi="Times New Roman"/>
                <w:sz w:val="15"/>
                <w:szCs w:val="15"/>
                <w:color w:val="auto"/>
              </w:rPr>
              <w:t>Inventory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5"/>
                <w:szCs w:val="15"/>
                <w:color w:val="auto"/>
              </w:rPr>
              <w:t>manufactured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color w:val="auto"/>
              </w:rPr>
              <w:t>In-place leases,</w:t>
            </w: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rPr>
              <w:t>Other assets /</w:t>
            </w:r>
          </w:p>
        </w:tc>
        <w:tc>
          <w:tcPr>
            <w:tcW w:w="1460" w:type="dxa"/>
            <w:vAlign w:val="bottom"/>
            <w:gridSpan w:val="3"/>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Total identifiable</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w w:val="98"/>
              </w:rPr>
              <w:t>Temporary</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5"/>
                <w:szCs w:val="15"/>
                <w:color w:val="auto"/>
              </w:rPr>
              <w:t>homes, boat parts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4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assets acquired net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color w:val="auto"/>
              </w:rPr>
              <w:t>and</w:t>
            </w:r>
          </w:p>
        </w:tc>
        <w:tc>
          <w:tcPr>
            <w:tcW w:w="100" w:type="dxa"/>
            <w:vAlign w:val="bottom"/>
          </w:tcPr>
          <w:p>
            <w:pPr>
              <w:spacing w:after="0"/>
              <w:rPr>
                <w:sz w:val="12"/>
                <w:szCs w:val="12"/>
                <w:color w:val="auto"/>
              </w:rPr>
            </w:pPr>
          </w:p>
        </w:tc>
        <w:tc>
          <w:tcPr>
            <w:tcW w:w="1040" w:type="dxa"/>
            <w:vAlign w:val="bottom"/>
            <w:vMerge w:val="restart"/>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00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w w:val="99"/>
              </w:rPr>
              <w:t>Investment in</w:t>
            </w:r>
          </w:p>
        </w:tc>
        <w:tc>
          <w:tcPr>
            <w:tcW w:w="100" w:type="dxa"/>
            <w:vAlign w:val="bottom"/>
          </w:tcPr>
          <w:p>
            <w:pPr>
              <w:spacing w:after="0"/>
              <w:rPr>
                <w:sz w:val="14"/>
                <w:szCs w:val="14"/>
                <w:color w:val="auto"/>
              </w:rPr>
            </w:pPr>
          </w:p>
        </w:tc>
        <w:tc>
          <w:tcPr>
            <w:tcW w:w="122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5"/>
                <w:szCs w:val="15"/>
                <w:color w:val="auto"/>
                <w:w w:val="99"/>
              </w:rPr>
              <w:t>and retail</w:t>
            </w:r>
          </w:p>
        </w:tc>
        <w:tc>
          <w:tcPr>
            <w:tcW w:w="80" w:type="dxa"/>
            <w:vAlign w:val="bottom"/>
          </w:tcPr>
          <w:p>
            <w:pPr>
              <w:spacing w:after="0"/>
              <w:rPr>
                <w:sz w:val="14"/>
                <w:szCs w:val="14"/>
                <w:color w:val="auto"/>
              </w:rPr>
            </w:pPr>
          </w:p>
        </w:tc>
        <w:tc>
          <w:tcPr>
            <w:tcW w:w="130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5"/>
                <w:szCs w:val="15"/>
                <w:color w:val="auto"/>
              </w:rPr>
              <w:t>goodwill and other</w:t>
            </w:r>
          </w:p>
        </w:tc>
        <w:tc>
          <w:tcPr>
            <w:tcW w:w="100" w:type="dxa"/>
            <w:vAlign w:val="bottom"/>
          </w:tcPr>
          <w:p>
            <w:pPr>
              <w:spacing w:after="0"/>
              <w:rPr>
                <w:sz w:val="14"/>
                <w:szCs w:val="14"/>
                <w:color w:val="auto"/>
              </w:rPr>
            </w:pPr>
          </w:p>
        </w:tc>
        <w:tc>
          <w:tcPr>
            <w:tcW w:w="9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(liabilities),</w:t>
            </w:r>
          </w:p>
        </w:tc>
        <w:tc>
          <w:tcPr>
            <w:tcW w:w="160" w:type="dxa"/>
            <w:vAlign w:val="bottom"/>
          </w:tcPr>
          <w:p>
            <w:pPr>
              <w:spacing w:after="0"/>
              <w:rPr>
                <w:sz w:val="14"/>
                <w:szCs w:val="14"/>
                <w:color w:val="auto"/>
              </w:rPr>
            </w:pPr>
          </w:p>
        </w:tc>
        <w:tc>
          <w:tcPr>
            <w:tcW w:w="130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of liabilities</w:t>
            </w:r>
          </w:p>
        </w:tc>
        <w:tc>
          <w:tcPr>
            <w:tcW w:w="120" w:type="dxa"/>
            <w:vAlign w:val="bottom"/>
          </w:tcPr>
          <w:p>
            <w:pPr>
              <w:spacing w:after="0"/>
              <w:rPr>
                <w:sz w:val="14"/>
                <w:szCs w:val="14"/>
                <w:color w:val="auto"/>
              </w:rPr>
            </w:pPr>
          </w:p>
        </w:tc>
        <w:tc>
          <w:tcPr>
            <w:tcW w:w="8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Cash and</w:t>
            </w:r>
          </w:p>
        </w:tc>
        <w:tc>
          <w:tcPr>
            <w:tcW w:w="120" w:type="dxa"/>
            <w:vAlign w:val="bottom"/>
          </w:tcPr>
          <w:p>
            <w:pPr>
              <w:spacing w:after="0"/>
              <w:rPr>
                <w:sz w:val="14"/>
                <w:szCs w:val="14"/>
                <w:color w:val="auto"/>
              </w:rPr>
            </w:pPr>
          </w:p>
        </w:tc>
        <w:tc>
          <w:tcPr>
            <w:tcW w:w="9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color w:val="auto"/>
              </w:rPr>
              <w:t>permanent</w:t>
            </w: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property</w:t>
            </w:r>
          </w:p>
        </w:tc>
        <w:tc>
          <w:tcPr>
            <w:tcW w:w="100" w:type="dxa"/>
            <w:vAlign w:val="bottom"/>
          </w:tcPr>
          <w:p>
            <w:pPr>
              <w:spacing w:after="0"/>
              <w:rPr>
                <w:sz w:val="17"/>
                <w:szCs w:val="17"/>
                <w:color w:val="auto"/>
              </w:rPr>
            </w:pPr>
          </w:p>
        </w:tc>
        <w:tc>
          <w:tcPr>
            <w:tcW w:w="122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rPr>
              <w:t>related items</w:t>
            </w:r>
          </w:p>
        </w:tc>
        <w:tc>
          <w:tcPr>
            <w:tcW w:w="80" w:type="dxa"/>
            <w:vAlign w:val="bottom"/>
          </w:tcPr>
          <w:p>
            <w:pPr>
              <w:spacing w:after="0"/>
              <w:rPr>
                <w:sz w:val="17"/>
                <w:szCs w:val="17"/>
                <w:color w:val="auto"/>
              </w:rPr>
            </w:pPr>
          </w:p>
        </w:tc>
        <w:tc>
          <w:tcPr>
            <w:tcW w:w="1300" w:type="dxa"/>
            <w:vAlign w:val="bottom"/>
            <w:gridSpan w:val="3"/>
          </w:tcPr>
          <w:p>
            <w:pPr>
              <w:ind w:left="40"/>
              <w:spacing w:after="0" w:line="203" w:lineRule="exact"/>
              <w:rPr>
                <w:sz w:val="20"/>
                <w:szCs w:val="20"/>
                <w:color w:val="auto"/>
              </w:rPr>
            </w:pPr>
            <w:r>
              <w:rPr>
                <w:rFonts w:ascii="Times New Roman" w:cs="Times New Roman" w:eastAsia="Times New Roman" w:hAnsi="Times New Roman"/>
                <w:sz w:val="15"/>
                <w:szCs w:val="15"/>
                <w:color w:val="auto"/>
              </w:rPr>
              <w:t>intangible assets</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w w:val="97"/>
              </w:rPr>
              <w:t>net</w:t>
            </w:r>
          </w:p>
        </w:tc>
        <w:tc>
          <w:tcPr>
            <w:tcW w:w="16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assumed</w:t>
            </w:r>
          </w:p>
        </w:tc>
        <w:tc>
          <w:tcPr>
            <w:tcW w:w="12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escrow</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line="203" w:lineRule="exact"/>
              <w:rPr>
                <w:sz w:val="20"/>
                <w:szCs w:val="20"/>
                <w:color w:val="auto"/>
              </w:rPr>
            </w:pPr>
            <w:r>
              <w:rPr>
                <w:rFonts w:ascii="Times New Roman" w:cs="Times New Roman" w:eastAsia="Times New Roman" w:hAnsi="Times New Roman"/>
                <w:sz w:val="15"/>
                <w:szCs w:val="15"/>
                <w:color w:val="auto"/>
                <w:w w:val="95"/>
              </w:rPr>
              <w:t>equity</w:t>
            </w:r>
            <w:r>
              <w:rPr>
                <w:rFonts w:ascii="Times New Roman" w:cs="Times New Roman" w:eastAsia="Times New Roman" w:hAnsi="Times New Roman"/>
                <w:sz w:val="19"/>
                <w:szCs w:val="19"/>
                <w:color w:val="auto"/>
                <w:w w:val="95"/>
                <w:vertAlign w:val="superscript"/>
              </w:rPr>
              <w:t>(2)</w:t>
            </w:r>
          </w:p>
        </w:tc>
        <w:tc>
          <w:tcPr>
            <w:tcW w:w="10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0" w:type="dxa"/>
            <w:vAlign w:val="bottom"/>
          </w:tcPr>
          <w:p>
            <w:pPr>
              <w:spacing w:after="0"/>
              <w:rPr>
                <w:sz w:val="1"/>
                <w:szCs w:val="1"/>
                <w:color w:val="auto"/>
              </w:rPr>
            </w:pPr>
          </w:p>
        </w:tc>
      </w:tr>
      <w:tr>
        <w:trPr>
          <w:trHeight w:val="183"/>
        </w:trPr>
        <w:tc>
          <w:tcPr>
            <w:tcW w:w="1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 Acquisition</w:t>
            </w: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Harrison Yacht Yard</w:t>
            </w:r>
            <w:r>
              <w:rPr>
                <w:rFonts w:ascii="Times New Roman" w:cs="Times New Roman" w:eastAsia="Times New Roman" w:hAnsi="Times New Roman"/>
                <w:sz w:val="19"/>
                <w:szCs w:val="19"/>
                <w:color w:val="auto"/>
                <w:vertAlign w:val="superscript"/>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Outer Banks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0" w:type="dxa"/>
            <w:vAlign w:val="bottom"/>
          </w:tcPr>
          <w:p>
            <w:pPr>
              <w:spacing w:after="0"/>
              <w:rPr>
                <w:sz w:val="1"/>
                <w:szCs w:val="1"/>
                <w:color w:val="auto"/>
              </w:rPr>
            </w:pPr>
          </w:p>
        </w:tc>
      </w:tr>
      <w:tr>
        <w:trPr>
          <w:trHeight w:val="200"/>
        </w:trPr>
        <w:tc>
          <w:tcPr>
            <w:tcW w:w="1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Tower Marine</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0" w:type="dxa"/>
            <w:vAlign w:val="bottom"/>
          </w:tcPr>
          <w:p>
            <w:pPr>
              <w:spacing w:after="0"/>
              <w:rPr>
                <w:sz w:val="1"/>
                <w:szCs w:val="1"/>
                <w:color w:val="auto"/>
              </w:rPr>
            </w:pPr>
          </w:p>
        </w:tc>
      </w:tr>
      <w:tr>
        <w:trPr>
          <w:trHeight w:val="205"/>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Sandy Bay</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191.1</w:t>
            </w:r>
          </w:p>
        </w:tc>
        <w:tc>
          <w:tcPr>
            <w:tcW w:w="0" w:type="dxa"/>
            <w:vAlign w:val="bottom"/>
          </w:tcPr>
          <w:p>
            <w:pPr>
              <w:spacing w:after="0"/>
              <w:rPr>
                <w:sz w:val="1"/>
                <w:szCs w:val="1"/>
                <w:color w:val="auto"/>
              </w:rPr>
            </w:pPr>
          </w:p>
        </w:tc>
      </w:tr>
      <w:tr>
        <w:trPr>
          <w:trHeight w:val="203"/>
        </w:trPr>
        <w:tc>
          <w:tcPr>
            <w:tcW w:w="196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Christies Parks</w:t>
            </w:r>
            <w:r>
              <w:rPr>
                <w:rFonts w:ascii="Times New Roman" w:cs="Times New Roman" w:eastAsia="Times New Roman" w:hAnsi="Times New Roman"/>
                <w:sz w:val="19"/>
                <w:szCs w:val="19"/>
                <w:color w:val="auto"/>
                <w:vertAlign w:val="superscript"/>
              </w:rPr>
              <w:t>(3)</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Bluewater</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0" w:type="dxa"/>
            <w:vAlign w:val="bottom"/>
          </w:tcPr>
          <w:p>
            <w:pPr>
              <w:spacing w:after="0"/>
              <w:rPr>
                <w:sz w:val="1"/>
                <w:szCs w:val="1"/>
                <w:color w:val="auto"/>
              </w:rPr>
            </w:pPr>
          </w:p>
        </w:tc>
      </w:tr>
      <w:tr>
        <w:trPr>
          <w:trHeight w:val="200"/>
        </w:trPr>
        <w:tc>
          <w:tcPr>
            <w:tcW w:w="1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Bodmin Holiday Park</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0" w:type="dxa"/>
            <w:vAlign w:val="bottom"/>
          </w:tcPr>
          <w:p>
            <w:pPr>
              <w:spacing w:after="0"/>
              <w:rPr>
                <w:sz w:val="1"/>
                <w:szCs w:val="1"/>
                <w:color w:val="auto"/>
              </w:rPr>
            </w:pPr>
          </w:p>
        </w:tc>
      </w:tr>
      <w:tr>
        <w:trPr>
          <w:trHeight w:val="205"/>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Kittery Point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0" w:type="dxa"/>
            <w:vAlign w:val="bottom"/>
          </w:tcPr>
          <w:p>
            <w:pPr>
              <w:spacing w:after="0"/>
              <w:rPr>
                <w:sz w:val="1"/>
                <w:szCs w:val="1"/>
                <w:color w:val="auto"/>
              </w:rPr>
            </w:pPr>
          </w:p>
        </w:tc>
      </w:tr>
      <w:tr>
        <w:trPr>
          <w:trHeight w:val="200"/>
        </w:trPr>
        <w:tc>
          <w:tcPr>
            <w:tcW w:w="1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Spanish Trails MHC</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0" w:type="dxa"/>
            <w:vAlign w:val="bottom"/>
          </w:tcPr>
          <w:p>
            <w:pPr>
              <w:spacing w:after="0"/>
              <w:rPr>
                <w:sz w:val="1"/>
                <w:szCs w:val="1"/>
                <w:color w:val="auto"/>
              </w:rPr>
            </w:pPr>
          </w:p>
        </w:tc>
      </w:tr>
      <w:tr>
        <w:trPr>
          <w:trHeight w:val="205"/>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Pine Acre Trails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Bel Air Estates &amp; Sunrise</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Estates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0" w:type="dxa"/>
            <w:vAlign w:val="bottom"/>
          </w:tcPr>
          <w:p>
            <w:pPr>
              <w:spacing w:after="0"/>
              <w:rPr>
                <w:sz w:val="1"/>
                <w:szCs w:val="1"/>
                <w:color w:val="auto"/>
              </w:rPr>
            </w:pPr>
          </w:p>
        </w:tc>
      </w:tr>
      <w:tr>
        <w:trPr>
          <w:trHeight w:val="207"/>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Park Leisure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225.8</w:t>
            </w:r>
          </w:p>
        </w:tc>
        <w:tc>
          <w:tcPr>
            <w:tcW w:w="0" w:type="dxa"/>
            <w:vAlign w:val="bottom"/>
          </w:tcPr>
          <w:p>
            <w:pPr>
              <w:spacing w:after="0"/>
              <w:rPr>
                <w:sz w:val="1"/>
                <w:szCs w:val="1"/>
                <w:color w:val="auto"/>
              </w:rPr>
            </w:pPr>
          </w:p>
        </w:tc>
      </w:tr>
      <w:tr>
        <w:trPr>
          <w:trHeight w:val="203"/>
        </w:trPr>
        <w:tc>
          <w:tcPr>
            <w:tcW w:w="196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Callaly Leisure</w:t>
            </w:r>
            <w:r>
              <w:rPr>
                <w:rFonts w:ascii="Times New Roman" w:cs="Times New Roman" w:eastAsia="Times New Roman" w:hAnsi="Times New Roman"/>
                <w:sz w:val="19"/>
                <w:szCs w:val="19"/>
                <w:color w:val="auto"/>
                <w:vertAlign w:val="superscript"/>
              </w:rPr>
              <w:t>(4)</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Combination</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 xml:space="preserve">Jarrett Bay Boatworks </w:t>
            </w:r>
            <w:r>
              <w:rPr>
                <w:rFonts w:ascii="Times New Roman" w:cs="Times New Roman" w:eastAsia="Times New Roman" w:hAnsi="Times New Roman"/>
                <w:sz w:val="19"/>
                <w:szCs w:val="19"/>
                <w:color w:val="auto"/>
                <w:vertAlign w:val="superscript"/>
              </w:rPr>
              <w:t>(5)(6)</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71.2</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Park Holidays</w:t>
            </w:r>
            <w:r>
              <w:rPr>
                <w:rFonts w:ascii="Times New Roman" w:cs="Times New Roman" w:eastAsia="Times New Roman" w:hAnsi="Times New Roman"/>
                <w:sz w:val="19"/>
                <w:szCs w:val="19"/>
                <w:color w:val="auto"/>
                <w:vertAlign w:val="superscript"/>
              </w:rPr>
              <w:t>(5)(7)</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1,233.8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1,233.8</w:t>
            </w:r>
          </w:p>
        </w:tc>
        <w:tc>
          <w:tcPr>
            <w:tcW w:w="0" w:type="dxa"/>
            <w:vAlign w:val="bottom"/>
          </w:tcPr>
          <w:p>
            <w:pPr>
              <w:spacing w:after="0"/>
              <w:rPr>
                <w:sz w:val="1"/>
                <w:szCs w:val="1"/>
                <w:color w:val="auto"/>
              </w:rPr>
            </w:pPr>
          </w:p>
        </w:tc>
      </w:tr>
      <w:tr>
        <w:trPr>
          <w:trHeight w:val="203"/>
        </w:trPr>
        <w:tc>
          <w:tcPr>
            <w:tcW w:w="196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Montauk Yacht Club</w:t>
            </w:r>
            <w:r>
              <w:rPr>
                <w:rFonts w:ascii="Times New Roman" w:cs="Times New Roman" w:eastAsia="Times New Roman" w:hAnsi="Times New Roman"/>
                <w:sz w:val="19"/>
                <w:szCs w:val="19"/>
                <w:color w:val="auto"/>
                <w:vertAlign w:val="superscript"/>
              </w:rPr>
              <w:t>(5)</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190.5</w:t>
            </w:r>
          </w:p>
        </w:tc>
        <w:tc>
          <w:tcPr>
            <w:tcW w:w="0" w:type="dxa"/>
            <w:vAlign w:val="bottom"/>
          </w:tcPr>
          <w:p>
            <w:pPr>
              <w:spacing w:after="0"/>
              <w:rPr>
                <w:sz w:val="1"/>
                <w:szCs w:val="1"/>
                <w:color w:val="auto"/>
              </w:rPr>
            </w:pPr>
          </w:p>
        </w:tc>
      </w:tr>
      <w:tr>
        <w:trPr>
          <w:trHeight w:val="219"/>
        </w:trPr>
        <w:tc>
          <w:tcPr>
            <w:tcW w:w="1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2,118.7</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140" w:hanging="132"/>
        <w:spacing w:after="0"/>
        <w:tabs>
          <w:tab w:leader="none" w:pos="1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Refer to Note 5, "Goodwill and Other Intangible Assets," for additional detail on goodwill and other intangible assets.</w:t>
      </w:r>
    </w:p>
    <w:p>
      <w:pPr>
        <w:spacing w:after="0" w:line="48" w:lineRule="exact"/>
        <w:rPr>
          <w:rFonts w:ascii="Times New Roman" w:cs="Times New Roman" w:eastAsia="Times New Roman" w:hAnsi="Times New Roman"/>
          <w:sz w:val="16"/>
          <w:szCs w:val="16"/>
          <w:color w:val="auto"/>
          <w:vertAlign w:val="superscript"/>
        </w:rPr>
      </w:pPr>
    </w:p>
    <w:p>
      <w:pPr>
        <w:ind w:left="140" w:hanging="132"/>
        <w:spacing w:after="0"/>
        <w:tabs>
          <w:tab w:leader="none" w:pos="14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Refer to Note 9, "Equity and Temporary Equity," for additional detail.</w:t>
      </w:r>
    </w:p>
    <w:p>
      <w:pPr>
        <w:spacing w:after="0" w:line="52"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Combined with an existing property.</w:t>
      </w:r>
    </w:p>
    <w:p>
      <w:pPr>
        <w:spacing w:after="0" w:line="68"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above allocations are estimates pending purchase price allocations.</w:t>
      </w:r>
    </w:p>
    <w:p>
      <w:pPr>
        <w:spacing w:after="0" w:line="59" w:lineRule="exact"/>
        <w:rPr>
          <w:rFonts w:ascii="Times New Roman" w:cs="Times New Roman" w:eastAsia="Times New Roman" w:hAnsi="Times New Roman"/>
          <w:sz w:val="16"/>
          <w:szCs w:val="16"/>
          <w:color w:val="auto"/>
          <w:vertAlign w:val="superscript"/>
        </w:rPr>
      </w:pPr>
    </w:p>
    <w:p>
      <w:pPr>
        <w:ind w:left="140" w:hanging="132"/>
        <w:spacing w:after="0" w:line="227" w:lineRule="auto"/>
        <w:tabs>
          <w:tab w:leader="none" w:pos="1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Purchase price allocation is preliminary as of September 30, 2022, subject to revision based on the final purchase price allocations to be finalized one year from the acquisition date.</w:t>
      </w:r>
    </w:p>
    <w:p>
      <w:pPr>
        <w:spacing w:after="0" w:line="55" w:lineRule="exact"/>
        <w:rPr>
          <w:rFonts w:ascii="Times New Roman" w:cs="Times New Roman" w:eastAsia="Times New Roman" w:hAnsi="Times New Roman"/>
          <w:sz w:val="16"/>
          <w:szCs w:val="16"/>
          <w:color w:val="auto"/>
          <w:vertAlign w:val="superscript"/>
        </w:rPr>
      </w:pPr>
    </w:p>
    <w:p>
      <w:pPr>
        <w:ind w:left="180" w:hanging="172"/>
        <w:spacing w:after="0" w:line="219" w:lineRule="auto"/>
        <w:tabs>
          <w:tab w:leader="none" w:pos="15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balance includes the marina acquired in February and the yacht sales business acquired in April of which $0.1 million was recorded in Investment property, $17.6 million in In-place leases, goodwill and other intangible assets, and $0.4 million in Other assets / (liabilities), net.</w:t>
      </w:r>
    </w:p>
    <w:p>
      <w:pPr>
        <w:spacing w:after="0" w:line="41" w:lineRule="exact"/>
        <w:rPr>
          <w:rFonts w:ascii="Times New Roman" w:cs="Times New Roman" w:eastAsia="Times New Roman" w:hAnsi="Times New Roman"/>
          <w:sz w:val="18"/>
          <w:szCs w:val="18"/>
          <w:color w:val="auto"/>
          <w:vertAlign w:val="superscript"/>
        </w:rPr>
      </w:pPr>
    </w:p>
    <w:p>
      <w:pPr>
        <w:ind w:left="180" w:hanging="172"/>
        <w:spacing w:after="0" w:line="302" w:lineRule="auto"/>
        <w:tabs>
          <w:tab w:leader="none" w:pos="15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acquired intangible assets subject to amortization of $70.2 million with a weighted average amortization period of 14.6 years, consisting of trademarks and trade names, customer relationships, and other intangible assets.</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we have incurred and capitalized $15.5 million of transaction costs, which have been allocated among various fixed asset categories for purchases that meet the asset acquisition criteria. As of September 30, 2022, we also incurred $23.9 million of business combination expenses, which are expensed for acquisitions deemed to be business combinations.</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amount of Revenues and Net income included in the Consolidated Statements of Operations for the three and nine months ended September 30, 2022 related to business combinations completed in 2022 are set forth in the following table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80" w:type="dxa"/>
            <w:vAlign w:val="bottom"/>
          </w:tcPr>
          <w:p>
            <w:pPr>
              <w:spacing w:after="0"/>
              <w:rPr>
                <w:sz w:val="17"/>
                <w:szCs w:val="17"/>
                <w:color w:val="auto"/>
              </w:rPr>
            </w:pPr>
          </w:p>
        </w:tc>
        <w:tc>
          <w:tcPr>
            <w:tcW w:w="162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7"/>
        </w:trPr>
        <w:tc>
          <w:tcPr>
            <w:tcW w:w="7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80" w:type="dxa"/>
            <w:vAlign w:val="bottom"/>
          </w:tcPr>
          <w:p>
            <w:pPr>
              <w:spacing w:after="0"/>
              <w:rPr>
                <w:sz w:val="17"/>
                <w:szCs w:val="17"/>
                <w:color w:val="auto"/>
              </w:rPr>
            </w:pPr>
          </w:p>
        </w:tc>
        <w:tc>
          <w:tcPr>
            <w:tcW w:w="162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September 30, 2022</w:t>
            </w:r>
          </w:p>
        </w:tc>
      </w:tr>
      <w:tr>
        <w:trPr>
          <w:trHeight w:val="200"/>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245.0</w:t>
            </w:r>
          </w:p>
        </w:tc>
      </w:tr>
      <w:tr>
        <w:trPr>
          <w:trHeight w:val="198"/>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the results of our operations for the three and nine months ended September 30, 2022 and 2021, as if the properties combined through business combinations in 2022 had been acquired on January 1, 2021. The unaudited pro forma results reflect certain adjustments for items that are not expected to have a continuing impact, such as adjustments for transaction costs incurred, management fees and acquisition accounting.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presented below has been prepared for comparative purposes only and does not purport to be indicative of either future results of operations or the results of operations that would have actually occurred had the acquisition been consummated on January 1, 2021 (in millions, except for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gridSpan w:val="5"/>
          </w:tcPr>
          <w:p>
            <w:pPr>
              <w:ind w:left="100"/>
              <w:spacing w:after="0"/>
              <w:rPr>
                <w:sz w:val="20"/>
                <w:szCs w:val="20"/>
                <w:color w:val="auto"/>
              </w:rPr>
            </w:pPr>
            <w:r>
              <w:rPr>
                <w:rFonts w:ascii="Times New Roman" w:cs="Times New Roman" w:eastAsia="Times New Roman" w:hAnsi="Times New Roman"/>
                <w:sz w:val="15"/>
                <w:szCs w:val="15"/>
                <w:b w:val="1"/>
                <w:bCs w:val="1"/>
                <w:color w:val="auto"/>
              </w:rPr>
              <w:t>Three Months Ended (unaudited)</w:t>
            </w:r>
          </w:p>
        </w:tc>
        <w:tc>
          <w:tcPr>
            <w:tcW w:w="220" w:type="dxa"/>
            <w:vAlign w:val="bottom"/>
          </w:tcPr>
          <w:p>
            <w:pPr>
              <w:spacing w:after="0"/>
              <w:rPr>
                <w:sz w:val="17"/>
                <w:szCs w:val="17"/>
                <w:color w:val="auto"/>
              </w:rPr>
            </w:pPr>
          </w:p>
        </w:tc>
        <w:tc>
          <w:tcPr>
            <w:tcW w:w="2580" w:type="dxa"/>
            <w:vAlign w:val="bottom"/>
            <w:gridSpan w:val="4"/>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Nine Months Ended (unaudited)</w:t>
            </w:r>
          </w:p>
        </w:tc>
      </w:tr>
      <w:tr>
        <w:trPr>
          <w:trHeight w:val="200"/>
        </w:trPr>
        <w:tc>
          <w:tcPr>
            <w:tcW w:w="5420" w:type="dxa"/>
            <w:vAlign w:val="bottom"/>
          </w:tcPr>
          <w:p>
            <w:pPr>
              <w:spacing w:after="0"/>
              <w:rPr>
                <w:sz w:val="17"/>
                <w:szCs w:val="17"/>
                <w:color w:val="auto"/>
              </w:rPr>
            </w:pPr>
          </w:p>
        </w:tc>
        <w:tc>
          <w:tcPr>
            <w:tcW w:w="14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220" w:type="dxa"/>
            <w:vAlign w:val="bottom"/>
          </w:tcPr>
          <w:p>
            <w:pPr>
              <w:spacing w:after="0"/>
              <w:rPr>
                <w:sz w:val="17"/>
                <w:szCs w:val="17"/>
                <w:color w:val="auto"/>
              </w:rPr>
            </w:pPr>
          </w:p>
        </w:tc>
        <w:tc>
          <w:tcPr>
            <w:tcW w:w="14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 2021</w:t>
            </w:r>
          </w:p>
        </w:tc>
      </w:tr>
      <w:tr>
        <w:trPr>
          <w:trHeight w:val="196"/>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revenues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932.6</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869.3</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2,380.3</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2,057.9</w:t>
            </w:r>
          </w:p>
        </w:tc>
      </w:tr>
      <w:tr>
        <w:trPr>
          <w:trHeight w:val="200"/>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attributable to SUI common shareholders</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162.6</w:t>
            </w:r>
          </w:p>
        </w:tc>
        <w:tc>
          <w:tcPr>
            <w:tcW w:w="80" w:type="dxa"/>
            <w:vAlign w:val="bottom"/>
          </w:tcPr>
          <w:p>
            <w:pPr>
              <w:spacing w:after="0"/>
              <w:rPr>
                <w:sz w:val="17"/>
                <w:szCs w:val="17"/>
                <w:color w:val="auto"/>
              </w:rPr>
            </w:pPr>
          </w:p>
        </w:tc>
        <w:tc>
          <w:tcPr>
            <w:tcW w:w="540" w:type="dxa"/>
            <w:vAlign w:val="bottom"/>
          </w:tcPr>
          <w:p>
            <w:pPr>
              <w:jc w:val="right"/>
              <w:ind w:right="36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259.3</w:t>
            </w:r>
          </w:p>
        </w:tc>
        <w:tc>
          <w:tcPr>
            <w:tcW w:w="2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226.8</w:t>
            </w:r>
          </w:p>
        </w:tc>
        <w:tc>
          <w:tcPr>
            <w:tcW w:w="80" w:type="dxa"/>
            <w:vAlign w:val="bottom"/>
          </w:tcPr>
          <w:p>
            <w:pPr>
              <w:spacing w:after="0"/>
              <w:rPr>
                <w:sz w:val="17"/>
                <w:szCs w:val="17"/>
                <w:color w:val="auto"/>
              </w:rPr>
            </w:pPr>
          </w:p>
        </w:tc>
        <w:tc>
          <w:tcPr>
            <w:tcW w:w="46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403.7</w:t>
            </w:r>
          </w:p>
        </w:tc>
      </w:tr>
      <w:tr>
        <w:trPr>
          <w:trHeight w:val="20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per share attributable to SUI common shareholders - basic</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w:t>
            </w:r>
          </w:p>
        </w:tc>
      </w:tr>
      <w:tr>
        <w:trPr>
          <w:trHeight w:val="198"/>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per share attributable to SUI common shareholders - diluted</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80" w:type="dxa"/>
            <w:vAlign w:val="bottom"/>
          </w:tcPr>
          <w:p>
            <w:pPr>
              <w:spacing w:after="0"/>
              <w:rPr>
                <w:sz w:val="17"/>
                <w:szCs w:val="17"/>
                <w:color w:val="auto"/>
              </w:rPr>
            </w:pPr>
          </w:p>
        </w:tc>
        <w:tc>
          <w:tcPr>
            <w:tcW w:w="540" w:type="dxa"/>
            <w:vAlign w:val="bottom"/>
          </w:tcPr>
          <w:p>
            <w:pPr>
              <w:jc w:val="right"/>
              <w:ind w:right="36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w:t>
            </w:r>
          </w:p>
        </w:tc>
        <w:tc>
          <w:tcPr>
            <w:tcW w:w="2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80" w:type="dxa"/>
            <w:vAlign w:val="bottom"/>
          </w:tcPr>
          <w:p>
            <w:pPr>
              <w:spacing w:after="0"/>
              <w:rPr>
                <w:sz w:val="17"/>
                <w:szCs w:val="17"/>
                <w:color w:val="auto"/>
              </w:rPr>
            </w:pPr>
          </w:p>
        </w:tc>
        <w:tc>
          <w:tcPr>
            <w:tcW w:w="46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and Expansion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2022, we acquired three land parcels located in the United States for an aggregate purchase price of $18.9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we acquired four land parcels located in the United States for an aggregate purchase price of $23.9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we acquired two buildings and land parcels related to our marinas located in the United States for an aggregate purchase price of $13.9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continually evaluates properties within the portfolio for potential disposition opportunities. When a given property no longer fits our desired growth profile, we seek to redeploy capital to properties and geographies fit to provide greater future returns. From time to time, strategic reductions to the portfolio are deemed necessary to reduce exposure to less desirable locations, and support long-term positioning of the Company.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2022, we sold an RV community containing 514 sites located in California for $15.0 million. The disposition resulted in a loss on sale of $0.8 million, inclusive of selling costs. This property, together with a second property, was intended to be part of a combined sale as the properties originally qualified as held for sale in July 2022. However, the sale of the second property was not completed, and as such, the properties no longer qualified as held for sale as of September 30, 2022. Accordingly, the second property was classified as held for investment at September 30, 2022 on our Consolidated Balance Sheets.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we sold two MH communities and one community containing MH and RV sites, each located in Florida, with a total of 323 sites for $29.5 million. The gain from the sale of the properties was $13.3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Acquisitions and Dispositions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2021, we acquired the following MH and RV communities and marinas: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Sites, Wet Slips and Dry</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State, Province or</w:t>
            </w:r>
          </w:p>
        </w:tc>
        <w:tc>
          <w:tcPr>
            <w:tcW w:w="1400" w:type="dxa"/>
            <w:vAlign w:val="bottom"/>
          </w:tcPr>
          <w:p>
            <w:pPr>
              <w:spacing w:after="0"/>
              <w:rPr>
                <w:sz w:val="15"/>
                <w:szCs w:val="15"/>
                <w:color w:val="auto"/>
              </w:rPr>
            </w:pPr>
          </w:p>
        </w:tc>
      </w:tr>
      <w:tr>
        <w:trPr>
          <w:trHeight w:val="212"/>
        </w:trPr>
        <w:tc>
          <w:tcPr>
            <w:tcW w:w="3140" w:type="dxa"/>
            <w:vAlign w:val="bottom"/>
            <w:gridSpan w:val="2"/>
          </w:tcPr>
          <w:p>
            <w:pPr>
              <w:ind w:left="940"/>
              <w:spacing w:after="0"/>
              <w:rPr>
                <w:sz w:val="20"/>
                <w:szCs w:val="20"/>
                <w:color w:val="auto"/>
              </w:rPr>
            </w:pPr>
            <w:r>
              <w:rPr>
                <w:rFonts w:ascii="Times New Roman" w:cs="Times New Roman" w:eastAsia="Times New Roman" w:hAnsi="Times New Roman"/>
                <w:sz w:val="15"/>
                <w:szCs w:val="15"/>
                <w:b w:val="1"/>
                <w:bCs w:val="1"/>
                <w:color w:val="auto"/>
              </w:rPr>
              <w:t>Community Name</w:t>
            </w:r>
          </w:p>
        </w:tc>
        <w:tc>
          <w:tcPr>
            <w:tcW w:w="2060" w:type="dxa"/>
            <w:vAlign w:val="bottom"/>
            <w:gridSpan w:val="2"/>
          </w:tcPr>
          <w:p>
            <w:pPr>
              <w:ind w:left="820"/>
              <w:spacing w:after="0"/>
              <w:rPr>
                <w:sz w:val="20"/>
                <w:szCs w:val="20"/>
                <w:color w:val="auto"/>
              </w:rPr>
            </w:pPr>
            <w:r>
              <w:rPr>
                <w:rFonts w:ascii="Times New Roman" w:cs="Times New Roman" w:eastAsia="Times New Roman" w:hAnsi="Times New Roman"/>
                <w:sz w:val="15"/>
                <w:szCs w:val="15"/>
                <w:b w:val="1"/>
                <w:bCs w:val="1"/>
                <w:color w:val="auto"/>
              </w:rPr>
              <w:t>Type</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Storage Spaces</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Development Sites</w:t>
            </w: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Country</w:t>
            </w:r>
          </w:p>
        </w:tc>
        <w:tc>
          <w:tcPr>
            <w:tcW w:w="14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Month Acquired</w:t>
            </w:r>
          </w:p>
        </w:tc>
      </w:tr>
      <w:tr>
        <w:trPr>
          <w:trHeight w:val="200"/>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Sun Outdoors Association Island</w:t>
            </w:r>
          </w:p>
        </w:tc>
        <w:tc>
          <w:tcPr>
            <w:tcW w:w="8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8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NY</w:t>
            </w: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January</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Blue Water Beach Resort</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80" w:type="dxa"/>
            <w:vAlign w:val="bottom"/>
          </w:tcPr>
          <w:p>
            <w:pPr>
              <w:spacing w:after="0"/>
              <w:rPr>
                <w:sz w:val="17"/>
                <w:szCs w:val="17"/>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UT</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February</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Tranquility MHC</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FL</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February</w:t>
            </w:r>
          </w:p>
        </w:tc>
      </w:tr>
      <w:tr>
        <w:trPr>
          <w:trHeight w:val="203"/>
        </w:trPr>
        <w:tc>
          <w:tcPr>
            <w:tcW w:w="31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Islamorada and Angler House</w:t>
            </w:r>
            <w:r>
              <w:rPr>
                <w:rFonts w:ascii="Times New Roman" w:cs="Times New Roman" w:eastAsia="Times New Roman" w:hAnsi="Times New Roman"/>
                <w:sz w:val="19"/>
                <w:szCs w:val="19"/>
                <w:color w:val="auto"/>
                <w:vertAlign w:val="superscript"/>
              </w:rPr>
              <w:t>(1)</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w:t>
            </w:r>
          </w:p>
        </w:tc>
        <w:tc>
          <w:tcPr>
            <w:tcW w:w="80" w:type="dxa"/>
            <w:vAlign w:val="bottom"/>
          </w:tcPr>
          <w:p>
            <w:pPr>
              <w:spacing w:after="0"/>
              <w:rPr>
                <w:sz w:val="17"/>
                <w:szCs w:val="17"/>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FL</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February</w:t>
            </w:r>
          </w:p>
        </w:tc>
      </w:tr>
      <w:tr>
        <w:trPr>
          <w:trHeight w:val="203"/>
        </w:trPr>
        <w:tc>
          <w:tcPr>
            <w:tcW w:w="314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Prime Martha's Vineyard</w:t>
            </w:r>
            <w:r>
              <w:rPr>
                <w:rFonts w:ascii="Times New Roman" w:cs="Times New Roman" w:eastAsia="Times New Roman" w:hAnsi="Times New Roman"/>
                <w:sz w:val="19"/>
                <w:szCs w:val="19"/>
                <w:color w:val="auto"/>
                <w:vertAlign w:val="superscript"/>
              </w:rPr>
              <w:t>(1)</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w:t>
            </w: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Sites, Wet Slips and Dry</w:t>
            </w: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State, Province or</w:t>
            </w:r>
          </w:p>
        </w:tc>
        <w:tc>
          <w:tcPr>
            <w:tcW w:w="1400" w:type="dxa"/>
            <w:vAlign w:val="bottom"/>
          </w:tcPr>
          <w:p>
            <w:pPr>
              <w:spacing w:after="0"/>
              <w:rPr>
                <w:sz w:val="15"/>
                <w:szCs w:val="15"/>
                <w:color w:val="auto"/>
              </w:rPr>
            </w:pPr>
          </w:p>
        </w:tc>
      </w:tr>
      <w:tr>
        <w:trPr>
          <w:trHeight w:val="212"/>
        </w:trPr>
        <w:tc>
          <w:tcPr>
            <w:tcW w:w="3140" w:type="dxa"/>
            <w:vAlign w:val="bottom"/>
            <w:gridSpan w:val="2"/>
          </w:tcPr>
          <w:p>
            <w:pPr>
              <w:ind w:left="940"/>
              <w:spacing w:after="0"/>
              <w:rPr>
                <w:sz w:val="20"/>
                <w:szCs w:val="20"/>
                <w:color w:val="auto"/>
              </w:rPr>
            </w:pPr>
            <w:r>
              <w:rPr>
                <w:rFonts w:ascii="Times New Roman" w:cs="Times New Roman" w:eastAsia="Times New Roman" w:hAnsi="Times New Roman"/>
                <w:sz w:val="15"/>
                <w:szCs w:val="15"/>
                <w:b w:val="1"/>
                <w:bCs w:val="1"/>
                <w:color w:val="auto"/>
              </w:rPr>
              <w:t>Community Name</w:t>
            </w:r>
          </w:p>
        </w:tc>
        <w:tc>
          <w:tcPr>
            <w:tcW w:w="2060" w:type="dxa"/>
            <w:vAlign w:val="bottom"/>
            <w:gridSpan w:val="2"/>
          </w:tcPr>
          <w:p>
            <w:pPr>
              <w:ind w:left="820"/>
              <w:spacing w:after="0"/>
              <w:rPr>
                <w:sz w:val="20"/>
                <w:szCs w:val="20"/>
                <w:color w:val="auto"/>
              </w:rPr>
            </w:pPr>
            <w:r>
              <w:rPr>
                <w:rFonts w:ascii="Times New Roman" w:cs="Times New Roman" w:eastAsia="Times New Roman" w:hAnsi="Times New Roman"/>
                <w:sz w:val="15"/>
                <w:szCs w:val="15"/>
                <w:b w:val="1"/>
                <w:bCs w:val="1"/>
                <w:color w:val="auto"/>
              </w:rPr>
              <w:t>Type</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Storage Spaces</w:t>
            </w:r>
          </w:p>
        </w:tc>
        <w:tc>
          <w:tcPr>
            <w:tcW w:w="146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Development Sites</w:t>
            </w:r>
          </w:p>
        </w:tc>
        <w:tc>
          <w:tcPr>
            <w:tcW w:w="80" w:type="dxa"/>
            <w:vAlign w:val="bottom"/>
          </w:tcPr>
          <w:p>
            <w:pPr>
              <w:spacing w:after="0"/>
              <w:rPr>
                <w:sz w:val="18"/>
                <w:szCs w:val="18"/>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Country</w:t>
            </w:r>
          </w:p>
        </w:tc>
        <w:tc>
          <w:tcPr>
            <w:tcW w:w="14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Month Acquired</w:t>
            </w:r>
          </w:p>
        </w:tc>
      </w:tr>
      <w:tr>
        <w:trPr>
          <w:trHeight w:val="198"/>
        </w:trPr>
        <w:tc>
          <w:tcPr>
            <w:tcW w:w="3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Pleasant Beach Campground</w:t>
            </w:r>
          </w:p>
        </w:tc>
        <w:tc>
          <w:tcPr>
            <w:tcW w:w="80" w:type="dxa"/>
            <w:vAlign w:val="bottom"/>
          </w:tcPr>
          <w:p>
            <w:pPr>
              <w:spacing w:after="0"/>
              <w:rPr>
                <w:sz w:val="17"/>
                <w:szCs w:val="17"/>
                <w:color w:val="auto"/>
              </w:rPr>
            </w:pPr>
          </w:p>
        </w:tc>
        <w:tc>
          <w:tcPr>
            <w:tcW w:w="1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80" w:type="dxa"/>
            <w:vAlign w:val="bottom"/>
          </w:tcPr>
          <w:p>
            <w:pPr>
              <w:spacing w:after="0"/>
              <w:rPr>
                <w:sz w:val="17"/>
                <w:szCs w:val="17"/>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8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ON, Canada</w:t>
            </w:r>
          </w:p>
        </w:tc>
        <w:tc>
          <w:tcPr>
            <w:tcW w:w="80" w:type="dxa"/>
            <w:vAlign w:val="bottom"/>
          </w:tcPr>
          <w:p>
            <w:pPr>
              <w:spacing w:after="0"/>
              <w:rPr>
                <w:sz w:val="17"/>
                <w:szCs w:val="17"/>
                <w:color w:val="auto"/>
              </w:rPr>
            </w:pPr>
          </w:p>
        </w:tc>
        <w:tc>
          <w:tcPr>
            <w:tcW w:w="1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March</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Sun Outdoors Cape Charles</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669</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VA</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Beachwood Resort</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672</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WA</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March</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ThemeWorld RV Resort</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FL</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April</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Sylvan Glen Estates</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MI</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April</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Shelter Island Boatyard</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May</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Lauderdale Marine Center</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FL</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May</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Apponaug Harbor</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RI</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Cabrillo Isle</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business combination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June</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Marathon</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FL</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Allen Harbor</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RI</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July</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Cisco Grove Campground &amp; RV</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July</w:t>
            </w:r>
          </w:p>
        </w:tc>
      </w:tr>
      <w:tr>
        <w:trPr>
          <w:trHeight w:val="203"/>
        </w:trPr>
        <w:tc>
          <w:tcPr>
            <w:tcW w:w="31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Four Leaf Portfolio</w:t>
            </w:r>
            <w:r>
              <w:rPr>
                <w:rFonts w:ascii="Times New Roman" w:cs="Times New Roman" w:eastAsia="Times New Roman" w:hAnsi="Times New Roman"/>
                <w:sz w:val="19"/>
                <w:szCs w:val="19"/>
                <w:color w:val="auto"/>
                <w:vertAlign w:val="superscript"/>
              </w:rPr>
              <w:t>(2)</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MH: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2,545</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MI / IN</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July</w:t>
            </w:r>
          </w:p>
        </w:tc>
      </w:tr>
      <w:tr>
        <w:trPr>
          <w:trHeight w:val="20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Harborage Yacht Club</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FL</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July</w:t>
            </w:r>
          </w:p>
        </w:tc>
      </w:tr>
      <w:tr>
        <w:trPr>
          <w:trHeight w:val="203"/>
        </w:trPr>
        <w:tc>
          <w:tcPr>
            <w:tcW w:w="31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Zeman Portfolio</w:t>
            </w:r>
            <w:r>
              <w:rPr>
                <w:rFonts w:ascii="Times New Roman" w:cs="Times New Roman" w:eastAsia="Times New Roman" w:hAnsi="Times New Roman"/>
                <w:sz w:val="19"/>
                <w:szCs w:val="19"/>
                <w:color w:val="auto"/>
                <w:vertAlign w:val="superscript"/>
              </w:rPr>
              <w:t>(3)</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IL / NJ</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July</w:t>
            </w:r>
          </w:p>
        </w:tc>
      </w:tr>
      <w:tr>
        <w:trPr>
          <w:trHeight w:val="20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Southern Leisure RV Resort</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FL</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August</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Sunroad Marina</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August</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Lazy Lakes RV Resort</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FL</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August</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Puerto del Rey</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1,746</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Puerto Rico</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September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Stingray Point</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VA</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September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Detroit River</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MI</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September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Jetstream RV Resort at NASA</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TX</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September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Beaver Brook Campground</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ME</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October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Emerald Coast</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business combination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FL</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November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Tall Pines Harbor Campground</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VA</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November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Wells Beach Resort Campground</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November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Port Royal</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SC</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November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Podickory Point</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MD</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Sunroad Marina (restaurant)</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Jellystone Park at Mammoth Cave</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KY</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South Bay</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Wentworth by the Sea</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NH</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Rocky Mountain RV Park</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MT</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Haas Lake RV Park Campground</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MI</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Pearwood RV Resort</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TX</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Holly Shores Camping Resort</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NJ</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Pheasant Ridge RV Park</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OR</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Coyote Ranch Resort</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TX</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Jellystone Park at Whispering Pines</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TX</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20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Hospitality Creek Campground</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RV: asset acquisition</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8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NJ</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w:t>
            </w:r>
          </w:p>
        </w:tc>
      </w:tr>
      <w:tr>
        <w:trPr>
          <w:trHeight w:val="196"/>
        </w:trPr>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15,816</w:t>
            </w:r>
          </w:p>
        </w:tc>
        <w:tc>
          <w:tcPr>
            <w:tcW w:w="8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1,062</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two marinas.</w:t>
      </w:r>
    </w:p>
    <w:p>
      <w:pPr>
        <w:spacing w:after="0" w:line="43"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nine MH communities.</w:t>
      </w:r>
    </w:p>
    <w:p>
      <w:pPr>
        <w:spacing w:after="0" w:line="52"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two RV Resorts.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of assets acquired, net of liabilities assumed at the acquisition date and the consideration paid for the acquisitions completed in 2021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At Acquisition Date</w:t>
            </w: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color w:val="auto"/>
              </w:rPr>
              <w:t>Inventory of</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manufactured</w:t>
            </w:r>
          </w:p>
        </w:tc>
        <w:tc>
          <w:tcPr>
            <w:tcW w:w="100" w:type="dxa"/>
            <w:vAlign w:val="bottom"/>
          </w:tcPr>
          <w:p>
            <w:pPr>
              <w:spacing w:after="0"/>
              <w:rPr>
                <w:sz w:val="14"/>
                <w:szCs w:val="14"/>
                <w:color w:val="auto"/>
              </w:rPr>
            </w:pPr>
          </w:p>
        </w:tc>
        <w:tc>
          <w:tcPr>
            <w:tcW w:w="1260" w:type="dxa"/>
            <w:vAlign w:val="bottom"/>
            <w:gridSpan w:val="3"/>
          </w:tcPr>
          <w:p>
            <w:pPr>
              <w:jc w:val="center"/>
              <w:ind w:right="300"/>
              <w:spacing w:after="0" w:line="162" w:lineRule="exact"/>
              <w:rPr>
                <w:sz w:val="20"/>
                <w:szCs w:val="20"/>
                <w:color w:val="auto"/>
              </w:rPr>
            </w:pPr>
            <w:r>
              <w:rPr>
                <w:rFonts w:ascii="Times New Roman" w:cs="Times New Roman" w:eastAsia="Times New Roman" w:hAnsi="Times New Roman"/>
                <w:sz w:val="15"/>
                <w:szCs w:val="15"/>
                <w:color w:val="auto"/>
              </w:rPr>
              <w:t>In-place leases,</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w w:val="99"/>
              </w:rPr>
              <w:t>Total identifiable</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300"/>
              <w:spacing w:after="0" w:line="162" w:lineRule="exact"/>
              <w:rPr>
                <w:sz w:val="20"/>
                <w:szCs w:val="20"/>
                <w:color w:val="auto"/>
              </w:rPr>
            </w:pPr>
            <w:r>
              <w:rPr>
                <w:rFonts w:ascii="Times New Roman" w:cs="Times New Roman" w:eastAsia="Times New Roman" w:hAnsi="Times New Roman"/>
                <w:sz w:val="15"/>
                <w:szCs w:val="15"/>
                <w:color w:val="auto"/>
                <w:w w:val="98"/>
              </w:rPr>
              <w:t>Temporary</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color w:val="auto"/>
              </w:rPr>
              <w:t>homes, boat parts</w:t>
            </w:r>
          </w:p>
        </w:tc>
        <w:tc>
          <w:tcPr>
            <w:tcW w:w="10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5"/>
                <w:szCs w:val="15"/>
                <w:color w:val="auto"/>
              </w:rPr>
              <w:t>goodwill and</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assets acquired net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5"/>
                <w:szCs w:val="15"/>
                <w:color w:val="auto"/>
              </w:rPr>
              <w:t>and</w:t>
            </w:r>
          </w:p>
        </w:tc>
        <w:tc>
          <w:tcPr>
            <w:tcW w:w="1040" w:type="dxa"/>
            <w:vAlign w:val="bottom"/>
            <w:vMerge w:val="restart"/>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0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color w:val="auto"/>
              </w:rPr>
              <w:t>Investment in</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w w:val="99"/>
              </w:rPr>
              <w:t>and retail</w:t>
            </w:r>
          </w:p>
        </w:tc>
        <w:tc>
          <w:tcPr>
            <w:tcW w:w="100" w:type="dxa"/>
            <w:vAlign w:val="bottom"/>
          </w:tcPr>
          <w:p>
            <w:pPr>
              <w:spacing w:after="0"/>
              <w:rPr>
                <w:sz w:val="14"/>
                <w:szCs w:val="14"/>
                <w:color w:val="auto"/>
              </w:rPr>
            </w:pPr>
          </w:p>
        </w:tc>
        <w:tc>
          <w:tcPr>
            <w:tcW w:w="1260" w:type="dxa"/>
            <w:vAlign w:val="bottom"/>
            <w:gridSpan w:val="3"/>
          </w:tcPr>
          <w:p>
            <w:pPr>
              <w:jc w:val="center"/>
              <w:ind w:right="300"/>
              <w:spacing w:after="0" w:line="162" w:lineRule="exact"/>
              <w:rPr>
                <w:sz w:val="20"/>
                <w:szCs w:val="20"/>
                <w:color w:val="auto"/>
              </w:rPr>
            </w:pPr>
            <w:r>
              <w:rPr>
                <w:rFonts w:ascii="Times New Roman" w:cs="Times New Roman" w:eastAsia="Times New Roman" w:hAnsi="Times New Roman"/>
                <w:sz w:val="15"/>
                <w:szCs w:val="15"/>
                <w:color w:val="auto"/>
              </w:rPr>
              <w:t>other intangible</w:t>
            </w:r>
          </w:p>
        </w:tc>
        <w:tc>
          <w:tcPr>
            <w:tcW w:w="1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color w:val="auto"/>
              </w:rPr>
              <w:t>Other assets /</w:t>
            </w:r>
          </w:p>
        </w:tc>
        <w:tc>
          <w:tcPr>
            <w:tcW w:w="180" w:type="dxa"/>
            <w:vAlign w:val="bottom"/>
          </w:tcPr>
          <w:p>
            <w:pPr>
              <w:spacing w:after="0"/>
              <w:rPr>
                <w:sz w:val="14"/>
                <w:szCs w:val="14"/>
                <w:color w:val="auto"/>
              </w:rPr>
            </w:pPr>
          </w:p>
        </w:tc>
        <w:tc>
          <w:tcPr>
            <w:tcW w:w="132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5"/>
                <w:szCs w:val="15"/>
                <w:b w:val="1"/>
                <w:bCs w:val="1"/>
                <w:color w:val="auto"/>
              </w:rPr>
              <w:t>of liabilities</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Cash and</w:t>
            </w:r>
          </w:p>
        </w:tc>
        <w:tc>
          <w:tcPr>
            <w:tcW w:w="100" w:type="dxa"/>
            <w:vAlign w:val="bottom"/>
          </w:tcPr>
          <w:p>
            <w:pPr>
              <w:spacing w:after="0"/>
              <w:rPr>
                <w:sz w:val="14"/>
                <w:szCs w:val="14"/>
                <w:color w:val="auto"/>
              </w:rPr>
            </w:pPr>
          </w:p>
        </w:tc>
        <w:tc>
          <w:tcPr>
            <w:tcW w:w="1000" w:type="dxa"/>
            <w:vAlign w:val="bottom"/>
            <w:gridSpan w:val="3"/>
          </w:tcPr>
          <w:p>
            <w:pPr>
              <w:jc w:val="center"/>
              <w:ind w:right="300"/>
              <w:spacing w:after="0" w:line="162" w:lineRule="exact"/>
              <w:rPr>
                <w:sz w:val="20"/>
                <w:szCs w:val="20"/>
                <w:color w:val="auto"/>
              </w:rPr>
            </w:pPr>
            <w:r>
              <w:rPr>
                <w:rFonts w:ascii="Times New Roman" w:cs="Times New Roman" w:eastAsia="Times New Roman" w:hAnsi="Times New Roman"/>
                <w:sz w:val="15"/>
                <w:szCs w:val="15"/>
                <w:color w:val="auto"/>
              </w:rPr>
              <w:t>permanent</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property</w:t>
            </w:r>
          </w:p>
        </w:tc>
        <w:tc>
          <w:tcPr>
            <w:tcW w:w="10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related items</w:t>
            </w:r>
          </w:p>
        </w:tc>
        <w:tc>
          <w:tcPr>
            <w:tcW w:w="100" w:type="dxa"/>
            <w:vAlign w:val="bottom"/>
          </w:tcPr>
          <w:p>
            <w:pPr>
              <w:spacing w:after="0"/>
              <w:rPr>
                <w:sz w:val="17"/>
                <w:szCs w:val="17"/>
                <w:color w:val="auto"/>
              </w:rPr>
            </w:pPr>
          </w:p>
        </w:tc>
        <w:tc>
          <w:tcPr>
            <w:tcW w:w="1260" w:type="dxa"/>
            <w:vAlign w:val="bottom"/>
            <w:gridSpan w:val="3"/>
          </w:tcPr>
          <w:p>
            <w:pPr>
              <w:jc w:val="center"/>
              <w:ind w:right="300"/>
              <w:spacing w:after="0" w:line="203" w:lineRule="exact"/>
              <w:rPr>
                <w:sz w:val="20"/>
                <w:szCs w:val="20"/>
                <w:color w:val="auto"/>
              </w:rPr>
            </w:pPr>
            <w:r>
              <w:rPr>
                <w:rFonts w:ascii="Times New Roman" w:cs="Times New Roman" w:eastAsia="Times New Roman" w:hAnsi="Times New Roman"/>
                <w:sz w:val="15"/>
                <w:szCs w:val="15"/>
                <w:color w:val="auto"/>
                <w:w w:val="96"/>
              </w:rPr>
              <w:t>assets</w:t>
            </w:r>
            <w:r>
              <w:rPr>
                <w:rFonts w:ascii="Times New Roman" w:cs="Times New Roman" w:eastAsia="Times New Roman" w:hAnsi="Times New Roman"/>
                <w:sz w:val="19"/>
                <w:szCs w:val="19"/>
                <w:color w:val="auto"/>
                <w:w w:val="96"/>
                <w:vertAlign w:val="superscript"/>
              </w:rPr>
              <w:t>(1)</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(liabilities), net</w:t>
            </w:r>
          </w:p>
        </w:tc>
        <w:tc>
          <w:tcPr>
            <w:tcW w:w="18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assumed</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8"/>
              </w:rPr>
              <w:t>escrow</w:t>
            </w:r>
          </w:p>
        </w:tc>
        <w:tc>
          <w:tcPr>
            <w:tcW w:w="100" w:type="dxa"/>
            <w:vAlign w:val="bottom"/>
          </w:tcPr>
          <w:p>
            <w:pPr>
              <w:spacing w:after="0"/>
              <w:rPr>
                <w:sz w:val="17"/>
                <w:szCs w:val="17"/>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5"/>
                <w:szCs w:val="15"/>
                <w:color w:val="auto"/>
              </w:rPr>
              <w:t>equity</w:t>
            </w: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0" w:type="dxa"/>
            <w:vAlign w:val="bottom"/>
          </w:tcPr>
          <w:p>
            <w:pPr>
              <w:spacing w:after="0"/>
              <w:rPr>
                <w:sz w:val="1"/>
                <w:szCs w:val="1"/>
                <w:color w:val="auto"/>
              </w:rPr>
            </w:pPr>
          </w:p>
        </w:tc>
      </w:tr>
      <w:tr>
        <w:trPr>
          <w:trHeight w:val="183"/>
        </w:trPr>
        <w:tc>
          <w:tcPr>
            <w:tcW w:w="1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 Acquisition</w:t>
            </w: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Sun Outdoors Association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Island</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5"/>
                <w:szCs w:val="15"/>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3"/>
          </w:tcPr>
          <w:p>
            <w:pPr>
              <w:ind w:left="600"/>
              <w:spacing w:after="0"/>
              <w:rPr>
                <w:sz w:val="20"/>
                <w:szCs w:val="20"/>
                <w:color w:val="auto"/>
              </w:rPr>
            </w:pPr>
            <w:r>
              <w:rPr>
                <w:rFonts w:ascii="Times New Roman" w:cs="Times New Roman" w:eastAsia="Times New Roman" w:hAnsi="Times New Roman"/>
                <w:sz w:val="15"/>
                <w:szCs w:val="15"/>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Blue Water Beach Resort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Tranquility MHC</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Islamorada and Angler</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House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Prime Martha's Vineyard</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Pleasant Beach</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Campground</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Sun Outdoors Cape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Charles</w:t>
            </w:r>
          </w:p>
        </w:tc>
        <w:tc>
          <w:tcPr>
            <w:tcW w:w="14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57.9</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Beachwood Resort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ThemeWorld RV Resort</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Sylvan Glen Estates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Shelter Island Boatyard</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Lauderdale Marine Center</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336.9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341.2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341.2</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Apponaug Harbor</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Marathon</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Allen Harbor</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Cisco Grove Campground</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&amp; RV</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Four Leaf Portfolio</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214.5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214.5</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Harborage Yacht Club</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Zeman Portfolio</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Southern Leisure RV</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Resort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Sunroad Marina</w:t>
            </w:r>
            <w:r>
              <w:rPr>
                <w:rFonts w:ascii="Times New Roman" w:cs="Times New Roman" w:eastAsia="Times New Roman" w:hAnsi="Times New Roman"/>
                <w:sz w:val="19"/>
                <w:szCs w:val="19"/>
                <w:color w:val="auto"/>
                <w:vertAlign w:val="superscript"/>
              </w:rPr>
              <w:t>(2)</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113.3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113.3</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Lazy Lakes RV Resort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Puerto del Rey</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91.9</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Stingray Point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Detroit River</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Jetstream RV Resort at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NASA</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Beaver Brook</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Campground</w:t>
            </w:r>
          </w:p>
        </w:tc>
        <w:tc>
          <w:tcPr>
            <w:tcW w:w="14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153"/>
        </w:trPr>
        <w:tc>
          <w:tcPr>
            <w:tcW w:w="17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Tall Pines Harbor</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Campground</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Wells Beach Resort</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Campground</w:t>
            </w:r>
          </w:p>
        </w:tc>
        <w:tc>
          <w:tcPr>
            <w:tcW w:w="14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Port Royal</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Podickory Point</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Jellystone Park at</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Mammoth Cave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South Bay</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Wentworth by the Sea</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Rocky Mountain RV Park</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At Acquisition Date</w:t>
            </w: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color w:val="auto"/>
              </w:rPr>
              <w:t>Inventory of</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manufactured</w:t>
            </w: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color w:val="auto"/>
              </w:rPr>
              <w:t>In-place leases,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w w:val="99"/>
              </w:rPr>
              <w:t>Total identifiable</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w w:val="98"/>
              </w:rPr>
              <w:t>Temporary</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color w:val="auto"/>
              </w:rPr>
              <w:t>homes, boat parts</w:t>
            </w: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color w:val="auto"/>
              </w:rPr>
              <w:t>goodwill and</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assets acquired net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color w:val="auto"/>
              </w:rPr>
              <w:t>and</w:t>
            </w:r>
          </w:p>
        </w:tc>
        <w:tc>
          <w:tcPr>
            <w:tcW w:w="100" w:type="dxa"/>
            <w:vAlign w:val="bottom"/>
          </w:tcPr>
          <w:p>
            <w:pPr>
              <w:spacing w:after="0"/>
              <w:rPr>
                <w:sz w:val="12"/>
                <w:szCs w:val="12"/>
                <w:color w:val="auto"/>
              </w:rPr>
            </w:pPr>
          </w:p>
        </w:tc>
        <w:tc>
          <w:tcPr>
            <w:tcW w:w="1040" w:type="dxa"/>
            <w:vAlign w:val="bottom"/>
            <w:vMerge w:val="restart"/>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00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5"/>
                <w:szCs w:val="15"/>
                <w:color w:val="auto"/>
              </w:rPr>
              <w:t>Investment in</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w w:val="99"/>
              </w:rPr>
              <w:t>and retail</w:t>
            </w: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color w:val="auto"/>
              </w:rPr>
              <w:t>other intangible</w:t>
            </w:r>
          </w:p>
        </w:tc>
        <w:tc>
          <w:tcPr>
            <w:tcW w:w="12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color w:val="auto"/>
              </w:rPr>
              <w:t>Other assets /</w:t>
            </w:r>
          </w:p>
        </w:tc>
        <w:tc>
          <w:tcPr>
            <w:tcW w:w="180" w:type="dxa"/>
            <w:vAlign w:val="bottom"/>
          </w:tcPr>
          <w:p>
            <w:pPr>
              <w:spacing w:after="0"/>
              <w:rPr>
                <w:sz w:val="14"/>
                <w:szCs w:val="14"/>
                <w:color w:val="auto"/>
              </w:rPr>
            </w:pPr>
          </w:p>
        </w:tc>
        <w:tc>
          <w:tcPr>
            <w:tcW w:w="132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5"/>
                <w:szCs w:val="15"/>
                <w:b w:val="1"/>
                <w:bCs w:val="1"/>
                <w:color w:val="auto"/>
              </w:rPr>
              <w:t>of liabilities</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Cash and</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permanent</w:t>
            </w: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property</w:t>
            </w:r>
          </w:p>
        </w:tc>
        <w:tc>
          <w:tcPr>
            <w:tcW w:w="10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related items</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line="203" w:lineRule="exact"/>
              <w:rPr>
                <w:sz w:val="20"/>
                <w:szCs w:val="20"/>
                <w:color w:val="auto"/>
              </w:rPr>
            </w:pPr>
            <w:r>
              <w:rPr>
                <w:rFonts w:ascii="Times New Roman" w:cs="Times New Roman" w:eastAsia="Times New Roman" w:hAnsi="Times New Roman"/>
                <w:sz w:val="15"/>
                <w:szCs w:val="15"/>
                <w:color w:val="auto"/>
                <w:w w:val="96"/>
              </w:rPr>
              <w:t>assets</w:t>
            </w:r>
            <w:r>
              <w:rPr>
                <w:rFonts w:ascii="Times New Roman" w:cs="Times New Roman" w:eastAsia="Times New Roman" w:hAnsi="Times New Roman"/>
                <w:sz w:val="19"/>
                <w:szCs w:val="19"/>
                <w:color w:val="auto"/>
                <w:w w:val="96"/>
                <w:vertAlign w:val="superscript"/>
              </w:rPr>
              <w:t>(1)</w:t>
            </w: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(liabilities), net</w:t>
            </w:r>
          </w:p>
        </w:tc>
        <w:tc>
          <w:tcPr>
            <w:tcW w:w="18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assumed</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8"/>
              </w:rPr>
              <w:t>escrow</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equity</w:t>
            </w:r>
          </w:p>
        </w:tc>
        <w:tc>
          <w:tcPr>
            <w:tcW w:w="10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0" w:type="dxa"/>
            <w:vAlign w:val="bottom"/>
          </w:tcPr>
          <w:p>
            <w:pPr>
              <w:spacing w:after="0"/>
              <w:rPr>
                <w:sz w:val="1"/>
                <w:szCs w:val="1"/>
                <w:color w:val="auto"/>
              </w:rPr>
            </w:pPr>
          </w:p>
        </w:tc>
      </w:tr>
      <w:tr>
        <w:trPr>
          <w:trHeight w:val="128"/>
        </w:trPr>
        <w:tc>
          <w:tcPr>
            <w:tcW w:w="170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Haas Lake RV Park</w:t>
            </w: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Campground</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Pearwood RV Resort</w:t>
            </w: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0" w:type="dxa"/>
            <w:vAlign w:val="bottom"/>
          </w:tcPr>
          <w:p>
            <w:pPr>
              <w:spacing w:after="0"/>
              <w:rPr>
                <w:sz w:val="1"/>
                <w:szCs w:val="1"/>
                <w:color w:val="auto"/>
              </w:rPr>
            </w:pPr>
          </w:p>
        </w:tc>
      </w:tr>
      <w:tr>
        <w:trPr>
          <w:trHeight w:val="151"/>
        </w:trPr>
        <w:tc>
          <w:tcPr>
            <w:tcW w:w="17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Holly Shores Camping</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Resort</w:t>
            </w:r>
            <w:r>
              <w:rPr>
                <w:rFonts w:ascii="Times New Roman" w:cs="Times New Roman" w:eastAsia="Times New Roman" w:hAnsi="Times New Roman"/>
                <w:sz w:val="19"/>
                <w:szCs w:val="19"/>
                <w:color w:val="auto"/>
                <w:vertAlign w:val="superscript"/>
              </w:rPr>
              <w:t>(3)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Pheasant Ridge RV Park</w:t>
            </w: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Coyote Ranch Resort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0" w:type="dxa"/>
            <w:vAlign w:val="bottom"/>
          </w:tcPr>
          <w:p>
            <w:pPr>
              <w:spacing w:after="0"/>
              <w:rPr>
                <w:sz w:val="1"/>
                <w:szCs w:val="1"/>
                <w:color w:val="auto"/>
              </w:rPr>
            </w:pPr>
          </w:p>
        </w:tc>
      </w:tr>
      <w:tr>
        <w:trPr>
          <w:trHeight w:val="148"/>
        </w:trPr>
        <w:tc>
          <w:tcPr>
            <w:tcW w:w="17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Jellystone Park at</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Whispering Pines</w:t>
            </w:r>
          </w:p>
        </w:tc>
        <w:tc>
          <w:tcPr>
            <w:tcW w:w="16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0" w:type="dxa"/>
            <w:vAlign w:val="bottom"/>
          </w:tcPr>
          <w:p>
            <w:pPr>
              <w:spacing w:after="0"/>
              <w:rPr>
                <w:sz w:val="1"/>
                <w:szCs w:val="1"/>
                <w:color w:val="auto"/>
              </w:rPr>
            </w:pPr>
          </w:p>
        </w:tc>
      </w:tr>
      <w:tr>
        <w:trPr>
          <w:trHeight w:val="153"/>
        </w:trPr>
        <w:tc>
          <w:tcPr>
            <w:tcW w:w="17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Hospitality Creek</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Campground</w:t>
            </w:r>
            <w:r>
              <w:rPr>
                <w:rFonts w:ascii="Times New Roman" w:cs="Times New Roman" w:eastAsia="Times New Roman" w:hAnsi="Times New Roman"/>
                <w:sz w:val="19"/>
                <w:szCs w:val="19"/>
                <w:color w:val="auto"/>
                <w:vertAlign w:val="superscript"/>
              </w:rPr>
              <w:t>(3)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0" w:type="dxa"/>
            <w:vAlign w:val="bottom"/>
          </w:tcPr>
          <w:p>
            <w:pPr>
              <w:spacing w:after="0"/>
              <w:rPr>
                <w:sz w:val="1"/>
                <w:szCs w:val="1"/>
                <w:color w:val="auto"/>
              </w:rPr>
            </w:pPr>
          </w:p>
        </w:tc>
      </w:tr>
      <w:tr>
        <w:trPr>
          <w:trHeight w:val="202"/>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Combination</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Cabrillo Isle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47.0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Emerald Coast</w:t>
            </w: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53.0</w:t>
            </w:r>
          </w:p>
        </w:tc>
        <w:tc>
          <w:tcPr>
            <w:tcW w:w="0" w:type="dxa"/>
            <w:vAlign w:val="bottom"/>
          </w:tcPr>
          <w:p>
            <w:pPr>
              <w:spacing w:after="0"/>
              <w:rPr>
                <w:sz w:val="1"/>
                <w:szCs w:val="1"/>
                <w:color w:val="auto"/>
              </w:rPr>
            </w:pPr>
          </w:p>
        </w:tc>
      </w:tr>
      <w:tr>
        <w:trPr>
          <w:trHeight w:val="223"/>
        </w:trPr>
        <w:tc>
          <w:tcPr>
            <w:tcW w:w="1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1,302.1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1,415.9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1,388.3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1,415.9</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Refer to Note 5, "Goodwill and Other Intangible Assets," for additional detail on goodwill and other intangible assets.</w:t>
      </w:r>
    </w:p>
    <w:p>
      <w:pPr>
        <w:spacing w:after="0" w:line="55" w:lineRule="exact"/>
        <w:rPr>
          <w:rFonts w:ascii="Times New Roman" w:cs="Times New Roman" w:eastAsia="Times New Roman" w:hAnsi="Times New Roman"/>
          <w:sz w:val="19"/>
          <w:szCs w:val="19"/>
          <w:color w:val="auto"/>
          <w:vertAlign w:val="superscript"/>
        </w:rPr>
      </w:pPr>
    </w:p>
    <w:p>
      <w:pPr>
        <w:ind w:left="180" w:hanging="172"/>
        <w:spacing w:after="0" w:line="228" w:lineRule="auto"/>
        <w:tabs>
          <w:tab w:leader="none" w:pos="15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balance includes the marina acquired in August and the restaurant acquired in December of which $9.2 million was recorded in Investment property and $21.0 million in Other assets / (liabilities), net.</w:t>
      </w:r>
    </w:p>
    <w:p>
      <w:pPr>
        <w:spacing w:after="0" w:line="28" w:lineRule="exact"/>
        <w:rPr>
          <w:rFonts w:ascii="Times New Roman" w:cs="Times New Roman" w:eastAsia="Times New Roman" w:hAnsi="Times New Roman"/>
          <w:sz w:val="18"/>
          <w:szCs w:val="18"/>
          <w:color w:val="auto"/>
          <w:vertAlign w:val="superscript"/>
        </w:rPr>
      </w:pPr>
    </w:p>
    <w:p>
      <w:pPr>
        <w:ind w:left="140" w:hanging="132"/>
        <w:spacing w:after="0"/>
        <w:tabs>
          <w:tab w:leader="none" w:pos="1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allocation was estimated as of December 2021 and was adjusted as of March 2022, based on final purchase price allocation.</w:t>
      </w:r>
    </w:p>
    <w:p>
      <w:pPr>
        <w:spacing w:after="0" w:line="2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2021, we incurred $18.0 million of transaction costs, which were capitalized and allocated among the various fixed asset categories for purchases that meet the asset acquisition criteria. As of December 31, 2021, we also incurred $1.4 million of business combination expenses, which were expensed for acquisitions deemed to be business combinations.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revenues and Net income included in the Consolidated Statements of Operations for the year ended December 31, 2021 related to business combinations completed in 2021 are set forth in the following table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7"/>
        </w:trPr>
        <w:tc>
          <w:tcPr>
            <w:tcW w:w="94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revenues</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198"/>
        </w:trPr>
        <w:tc>
          <w:tcPr>
            <w:tcW w:w="9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r>
    </w:tbl>
    <w:p>
      <w:pPr>
        <w:spacing w:after="0" w:line="3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the results of our operations for the years ended December 31, 2021 and 2020, as if the properties combined through business combinations in 2021 had been acquired on January 1, 2020. The unaudited pro forma results reflect certain adjustments for items that are not expected to have a continuing impact, such as adjustments for transaction costs incurred, management fees and acquisition accounting.</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presented below has been prepared for comparative purposes only and does not purport to be indicative of either future results of operations or the results of operations that would have actually occurred had the acquisitions been consummated on January 1, 2020 (in millions, except for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Year Ended (unaudited)</w:t>
            </w:r>
          </w:p>
        </w:tc>
      </w:tr>
      <w:tr>
        <w:trPr>
          <w:trHeight w:val="200"/>
        </w:trPr>
        <w:tc>
          <w:tcPr>
            <w:tcW w:w="94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196"/>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2,330.0</w:t>
            </w:r>
          </w:p>
        </w:tc>
      </w:tr>
      <w:tr>
        <w:trPr>
          <w:trHeight w:val="200"/>
        </w:trPr>
        <w:tc>
          <w:tcPr>
            <w:tcW w:w="9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attributable to SUI common shareholders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390.9</w:t>
            </w:r>
          </w:p>
        </w:tc>
      </w:tr>
      <w:tr>
        <w:trPr>
          <w:trHeight w:val="205"/>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per share attributable to SUI common shareholders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w:t>
            </w:r>
          </w:p>
        </w:tc>
      </w:tr>
      <w:tr>
        <w:trPr>
          <w:trHeight w:val="198"/>
        </w:trPr>
        <w:tc>
          <w:tcPr>
            <w:tcW w:w="9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per share attributable to SUI common shareholders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w:t>
            </w: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Land for Expansion / Development</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we acquired 11 land parcels, which are located across the United States and the United Kingdom for a total purchase price of $172.8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2021, we acquired Leisure Systems, Inc., the franchisor of the Jellystone Park™ system, and accounted for the transaction as a business combination. The following table summarizes the amounts of assets acquired, net of liabilities assumed at the acquisition date and the consideration paid for the acquisition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At Acquisition Date</w:t>
            </w: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color w:val="auto"/>
              </w:rPr>
              <w:t>Inventory of</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manufactured</w:t>
            </w:r>
          </w:p>
        </w:tc>
        <w:tc>
          <w:tcPr>
            <w:tcW w:w="10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In-place leases,</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Total identifiable</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224"/>
              <w:spacing w:after="0" w:line="162" w:lineRule="exact"/>
              <w:rPr>
                <w:sz w:val="20"/>
                <w:szCs w:val="20"/>
                <w:color w:val="auto"/>
              </w:rPr>
            </w:pPr>
            <w:r>
              <w:rPr>
                <w:rFonts w:ascii="Times New Roman" w:cs="Times New Roman" w:eastAsia="Times New Roman" w:hAnsi="Times New Roman"/>
                <w:sz w:val="15"/>
                <w:szCs w:val="15"/>
                <w:color w:val="auto"/>
                <w:w w:val="98"/>
              </w:rPr>
              <w:t>Temporary</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color w:val="auto"/>
              </w:rPr>
              <w:t>homes, boat parts</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assets acquired net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24"/>
              <w:spacing w:after="0" w:line="149" w:lineRule="exact"/>
              <w:rPr>
                <w:sz w:val="20"/>
                <w:szCs w:val="20"/>
                <w:color w:val="auto"/>
              </w:rPr>
            </w:pPr>
            <w:r>
              <w:rPr>
                <w:rFonts w:ascii="Times New Roman" w:cs="Times New Roman" w:eastAsia="Times New Roman" w:hAnsi="Times New Roman"/>
                <w:sz w:val="15"/>
                <w:szCs w:val="15"/>
                <w:color w:val="auto"/>
              </w:rPr>
              <w:t>and</w:t>
            </w:r>
          </w:p>
        </w:tc>
        <w:tc>
          <w:tcPr>
            <w:tcW w:w="1040" w:type="dxa"/>
            <w:vAlign w:val="bottom"/>
            <w:vMerge w:val="restart"/>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120" w:type="dxa"/>
            <w:vAlign w:val="bottom"/>
            <w:gridSpan w:val="4"/>
          </w:tcPr>
          <w:p>
            <w:pPr>
              <w:jc w:val="center"/>
              <w:ind w:right="124"/>
              <w:spacing w:after="0" w:line="162" w:lineRule="exact"/>
              <w:rPr>
                <w:sz w:val="20"/>
                <w:szCs w:val="20"/>
                <w:color w:val="auto"/>
              </w:rPr>
            </w:pPr>
            <w:r>
              <w:rPr>
                <w:rFonts w:ascii="Times New Roman" w:cs="Times New Roman" w:eastAsia="Times New Roman" w:hAnsi="Times New Roman"/>
                <w:sz w:val="15"/>
                <w:szCs w:val="15"/>
                <w:color w:val="auto"/>
              </w:rPr>
              <w:t>Investment in</w:t>
            </w: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w w:val="99"/>
              </w:rPr>
              <w:t>and retail</w:t>
            </w:r>
          </w:p>
        </w:tc>
        <w:tc>
          <w:tcPr>
            <w:tcW w:w="128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color w:val="auto"/>
              </w:rPr>
              <w:t>goodwill and other</w:t>
            </w:r>
          </w:p>
        </w:tc>
        <w:tc>
          <w:tcPr>
            <w:tcW w:w="12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color w:val="auto"/>
              </w:rPr>
              <w:t>Other liabilities,</w:t>
            </w:r>
          </w:p>
        </w:tc>
        <w:tc>
          <w:tcPr>
            <w:tcW w:w="180" w:type="dxa"/>
            <w:vAlign w:val="bottom"/>
          </w:tcPr>
          <w:p>
            <w:pPr>
              <w:spacing w:after="0"/>
              <w:rPr>
                <w:sz w:val="14"/>
                <w:szCs w:val="14"/>
                <w:color w:val="auto"/>
              </w:rPr>
            </w:pPr>
          </w:p>
        </w:tc>
        <w:tc>
          <w:tcPr>
            <w:tcW w:w="130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of liabilities</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color w:val="auto"/>
              </w:rPr>
              <w:t>Cash and</w:t>
            </w:r>
          </w:p>
        </w:tc>
        <w:tc>
          <w:tcPr>
            <w:tcW w:w="120" w:type="dxa"/>
            <w:vAlign w:val="bottom"/>
          </w:tcPr>
          <w:p>
            <w:pPr>
              <w:spacing w:after="0"/>
              <w:rPr>
                <w:sz w:val="14"/>
                <w:szCs w:val="14"/>
                <w:color w:val="auto"/>
              </w:rPr>
            </w:pPr>
          </w:p>
        </w:tc>
        <w:tc>
          <w:tcPr>
            <w:tcW w:w="1000" w:type="dxa"/>
            <w:vAlign w:val="bottom"/>
            <w:gridSpan w:val="3"/>
          </w:tcPr>
          <w:p>
            <w:pPr>
              <w:jc w:val="center"/>
              <w:ind w:right="244"/>
              <w:spacing w:after="0" w:line="162" w:lineRule="exact"/>
              <w:rPr>
                <w:sz w:val="20"/>
                <w:szCs w:val="20"/>
                <w:color w:val="auto"/>
              </w:rPr>
            </w:pPr>
            <w:r>
              <w:rPr>
                <w:rFonts w:ascii="Times New Roman" w:cs="Times New Roman" w:eastAsia="Times New Roman" w:hAnsi="Times New Roman"/>
                <w:sz w:val="15"/>
                <w:szCs w:val="15"/>
                <w:color w:val="auto"/>
              </w:rPr>
              <w:t>permanent</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center"/>
              <w:ind w:right="284"/>
              <w:spacing w:after="0"/>
              <w:rPr>
                <w:sz w:val="20"/>
                <w:szCs w:val="20"/>
                <w:color w:val="auto"/>
              </w:rPr>
            </w:pPr>
            <w:r>
              <w:rPr>
                <w:rFonts w:ascii="Times New Roman" w:cs="Times New Roman" w:eastAsia="Times New Roman" w:hAnsi="Times New Roman"/>
                <w:sz w:val="15"/>
                <w:szCs w:val="15"/>
                <w:color w:val="auto"/>
              </w:rPr>
              <w:t>property</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related items</w:t>
            </w:r>
          </w:p>
        </w:tc>
        <w:tc>
          <w:tcPr>
            <w:tcW w:w="1280" w:type="dxa"/>
            <w:vAlign w:val="bottom"/>
            <w:gridSpan w:val="3"/>
          </w:tcPr>
          <w:p>
            <w:pPr>
              <w:ind w:left="40"/>
              <w:spacing w:after="0" w:line="203" w:lineRule="exact"/>
              <w:rPr>
                <w:sz w:val="20"/>
                <w:szCs w:val="20"/>
                <w:color w:val="auto"/>
              </w:rPr>
            </w:pPr>
            <w:r>
              <w:rPr>
                <w:rFonts w:ascii="Times New Roman" w:cs="Times New Roman" w:eastAsia="Times New Roman" w:hAnsi="Times New Roman"/>
                <w:sz w:val="15"/>
                <w:szCs w:val="15"/>
                <w:color w:val="auto"/>
              </w:rPr>
              <w:t>intangible assets</w:t>
            </w:r>
            <w:r>
              <w:rPr>
                <w:rFonts w:ascii="Times New Roman" w:cs="Times New Roman" w:eastAsia="Times New Roman" w:hAnsi="Times New Roman"/>
                <w:sz w:val="19"/>
                <w:szCs w:val="19"/>
                <w:color w:val="auto"/>
                <w:vertAlign w:val="superscript"/>
              </w:rPr>
              <w:t>(1)</w:t>
            </w:r>
          </w:p>
        </w:tc>
        <w:tc>
          <w:tcPr>
            <w:tcW w:w="300" w:type="dxa"/>
            <w:vAlign w:val="bottom"/>
          </w:tcPr>
          <w:p>
            <w:pPr>
              <w:spacing w:after="0"/>
              <w:rPr>
                <w:sz w:val="17"/>
                <w:szCs w:val="17"/>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color w:val="auto"/>
              </w:rPr>
              <w:t>net</w:t>
            </w:r>
          </w:p>
        </w:tc>
        <w:tc>
          <w:tcPr>
            <w:tcW w:w="1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assumed</w:t>
            </w:r>
          </w:p>
        </w:tc>
        <w:tc>
          <w:tcPr>
            <w:tcW w:w="1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escrow</w:t>
            </w:r>
          </w:p>
        </w:tc>
        <w:tc>
          <w:tcPr>
            <w:tcW w:w="120" w:type="dxa"/>
            <w:vAlign w:val="bottom"/>
          </w:tcPr>
          <w:p>
            <w:pPr>
              <w:spacing w:after="0"/>
              <w:rPr>
                <w:sz w:val="17"/>
                <w:szCs w:val="17"/>
                <w:color w:val="auto"/>
              </w:rPr>
            </w:pPr>
          </w:p>
        </w:tc>
        <w:tc>
          <w:tcPr>
            <w:tcW w:w="1000" w:type="dxa"/>
            <w:vAlign w:val="bottom"/>
            <w:gridSpan w:val="3"/>
          </w:tcPr>
          <w:p>
            <w:pPr>
              <w:jc w:val="center"/>
              <w:ind w:right="224"/>
              <w:spacing w:after="0"/>
              <w:rPr>
                <w:sz w:val="20"/>
                <w:szCs w:val="20"/>
                <w:color w:val="auto"/>
              </w:rPr>
            </w:pPr>
            <w:r>
              <w:rPr>
                <w:rFonts w:ascii="Times New Roman" w:cs="Times New Roman" w:eastAsia="Times New Roman" w:hAnsi="Times New Roman"/>
                <w:sz w:val="15"/>
                <w:szCs w:val="15"/>
                <w:color w:val="auto"/>
              </w:rPr>
              <w:t>equity</w:t>
            </w:r>
          </w:p>
        </w:tc>
        <w:tc>
          <w:tcPr>
            <w:tcW w:w="104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0" w:type="dxa"/>
            <w:vAlign w:val="bottom"/>
          </w:tcPr>
          <w:p>
            <w:pPr>
              <w:spacing w:after="0"/>
              <w:rPr>
                <w:sz w:val="1"/>
                <w:szCs w:val="1"/>
                <w:color w:val="auto"/>
              </w:rPr>
            </w:pPr>
          </w:p>
        </w:tc>
      </w:tr>
      <w:tr>
        <w:trPr>
          <w:trHeight w:val="196"/>
        </w:trPr>
        <w:tc>
          <w:tcPr>
            <w:tcW w:w="168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5"/>
                <w:szCs w:val="15"/>
                <w:color w:val="auto"/>
              </w:rPr>
              <w:t>Leisure Systems, Inc</w:t>
            </w:r>
            <w:r>
              <w:rPr>
                <w:rFonts w:ascii="Times New Roman" w:cs="Times New Roman" w:eastAsia="Times New Roman" w:hAnsi="Times New Roman"/>
                <w:sz w:val="19"/>
                <w:szCs w:val="19"/>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allocation was preliminary as of December 31, 2021, and was adjusted as of March 2022 based on the final purchase price allocation.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2021, we sold two MH communities located in Indiana and Missouri containing a combined 677 sites, for $67.5 million. The gain from the sale of the property was $49.4 million.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August 2021, we sold four MH communities located in Arizona, Illinois and Missouri, containing a combined 1,137 sites, for $94.6 million. The gain from the sale of the properties was $58.7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19, "Subsequent Events," for information regarding acquisitions and dispositions completed after September 30,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Notes and Other Receivables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notes and other receivables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Installment notes receivable on manufactured homes, net</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69.4</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79.1</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receivable from real estate developers and operators</w:t>
            </w:r>
          </w:p>
        </w:tc>
        <w:tc>
          <w:tcPr>
            <w:tcW w:w="18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288.3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284.0</w:t>
            </w: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receivables, net</w:t>
            </w: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153.3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106.5</w:t>
            </w:r>
          </w:p>
        </w:tc>
      </w:tr>
      <w:tr>
        <w:trPr>
          <w:trHeight w:val="198"/>
        </w:trPr>
        <w:tc>
          <w:tcPr>
            <w:tcW w:w="732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 Notes and Other Receivables, net</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511.0</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469.6</w:t>
            </w: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Installment Notes Receivable on Manufactured Homes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Installment notes receivable are measured at fair value, using indicative pricing models from third party valuation specialists, in accordance with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The balances of installment notes receivable of $69.4 million (net of fair value adjustment of $0.5 million) and $79.1 million (net of fair value adjustment of $0.6 million) as of September 30, 2022 and December 31, 2021, respectively, are secured by manufactured homes. The notes represent financing to purchasers of manufactured homes located in our communities and require monthly principal and interest payments. The notes had a net weighted average interest rate (net of servicing costs) and maturity of 7.6 percent and 14.0 years as of September 30, 2022, and 7.6 percent and 14.7 years as of December 31, 2021, respectively. Refer to Note 15, "Fair Value of Financial Instruments," for additional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aggregate balance of the installment notes receivable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200" w:type="dxa"/>
            <w:vAlign w:val="bottom"/>
          </w:tcPr>
          <w:p>
            <w:pPr>
              <w:spacing w:after="0"/>
              <w:rPr>
                <w:sz w:val="17"/>
                <w:szCs w:val="17"/>
                <w:color w:val="auto"/>
              </w:rPr>
            </w:pPr>
          </w:p>
        </w:tc>
        <w:tc>
          <w:tcPr>
            <w:tcW w:w="1660" w:type="dxa"/>
            <w:vAlign w:val="bottom"/>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7"/>
        </w:trPr>
        <w:tc>
          <w:tcPr>
            <w:tcW w:w="7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 of gross installment notes receivable</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79.7</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87.2</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Financed sale of manufactured homes</w:t>
            </w:r>
          </w:p>
        </w:tc>
        <w:tc>
          <w:tcPr>
            <w:tcW w:w="18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r>
      <w:tr>
        <w:trPr>
          <w:trHeight w:val="20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 for notes receivable related to assets held for sale</w:t>
            </w:r>
          </w:p>
        </w:tc>
        <w:tc>
          <w:tcPr>
            <w:tcW w:w="18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payments and payoffs from our customers</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r>
      <w:tr>
        <w:trPr>
          <w:trHeight w:val="20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Principal reduction from repossessed homes</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Dispositions of properties</w:t>
            </w:r>
          </w:p>
        </w:tc>
        <w:tc>
          <w:tcPr>
            <w:tcW w:w="180" w:type="dxa"/>
            <w:vAlign w:val="bottom"/>
          </w:tcPr>
          <w:p>
            <w:pPr>
              <w:spacing w:after="0"/>
              <w:rPr>
                <w:sz w:val="17"/>
                <w:szCs w:val="17"/>
                <w:color w:val="auto"/>
              </w:rPr>
            </w:pPr>
          </w:p>
        </w:tc>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98"/>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Ending balance of gross installment notes receivable</w:t>
            </w: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69.9</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79.7</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 of fair value adjustments on gross installment notes receivable</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0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Fair value adjustment</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0.7</w:t>
            </w:r>
          </w:p>
        </w:tc>
      </w:tr>
      <w:tr>
        <w:trPr>
          <w:trHeight w:val="19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adjustments on gross installment notes receivable</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16"/>
        </w:trPr>
        <w:tc>
          <w:tcPr>
            <w:tcW w:w="7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r>
      <w:tr>
        <w:trPr>
          <w:trHeight w:val="221"/>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Ending balance of installment notes receivable, net</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69.4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79.1</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 from Real Estate Developers and Operators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Notes receivable from real estate developers and operators are measured at fair value, using indicative pricing models from third party valuation specialists, in accordance with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 of September 30, 2022 and December 31, 2021, the notes receivable balances are comprised primarily of a loan provided to a real estate operator to finance its acquisition and development costs, and construction loans provided to real estate developers. The notes receivable from real estate developers and operators had a net weighted average interest rate and maturity of 8.1 percent and 0.9 years as of September 30, 2022, and 7.2 percent and 0.9 years as of December 31, 2021, respectively. As of September 30, 2022, real estate developers and operators collectively have $53.5 million of undrawn funds on their loans. There were no adjustments to the fair value of notes receivable from real estate developers and operators for the nine months ended September 30, 2022 and 2021. Refer to Note 15, "Fair Value of Financial Instruments," for additional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aggregate balance of notes receivable from real estate developers and operators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200" w:type="dxa"/>
            <w:vAlign w:val="bottom"/>
          </w:tcPr>
          <w:p>
            <w:pPr>
              <w:spacing w:after="0"/>
              <w:rPr>
                <w:sz w:val="17"/>
                <w:szCs w:val="17"/>
                <w:color w:val="auto"/>
              </w:rPr>
            </w:pPr>
          </w:p>
        </w:tc>
        <w:tc>
          <w:tcPr>
            <w:tcW w:w="1660" w:type="dxa"/>
            <w:vAlign w:val="bottom"/>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6"/>
        </w:trPr>
        <w:tc>
          <w:tcPr>
            <w:tcW w:w="7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284.0</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Additions</w:t>
            </w:r>
          </w:p>
        </w:tc>
        <w:tc>
          <w:tcPr>
            <w:tcW w:w="18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239.7</w:t>
            </w:r>
          </w:p>
        </w:tc>
      </w:tr>
      <w:tr>
        <w:trPr>
          <w:trHeight w:val="20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Payments</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Foreign currency exchange gain / (loss)</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adjustments</w:t>
            </w:r>
          </w:p>
        </w:tc>
        <w:tc>
          <w:tcPr>
            <w:tcW w:w="18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98"/>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Ending balance</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288.3</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284.0</w:t>
            </w: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Receivables,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receivables, net were comprised of amounts due from the following categories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Home sale proceeds</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34.4</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w:t>
            </w:r>
          </w:p>
        </w:tc>
      </w:tr>
      <w:tr>
        <w:trPr>
          <w:trHeight w:val="203"/>
        </w:trPr>
        <w:tc>
          <w:tcPr>
            <w:tcW w:w="7320" w:type="dxa"/>
            <w:vAlign w:val="bottom"/>
          </w:tcPr>
          <w:p>
            <w:pPr>
              <w:ind w:left="20"/>
              <w:spacing w:after="0" w:line="203" w:lineRule="exact"/>
              <w:rPr>
                <w:sz w:val="20"/>
                <w:szCs w:val="20"/>
                <w:color w:val="auto"/>
              </w:rPr>
            </w:pPr>
            <w:r>
              <w:rPr>
                <w:rFonts w:ascii="Times New Roman" w:cs="Times New Roman" w:eastAsia="Times New Roman" w:hAnsi="Times New Roman"/>
                <w:sz w:val="15"/>
                <w:szCs w:val="15"/>
                <w:color w:val="auto"/>
              </w:rPr>
              <w:t>Marina customers for storage, service and lease payments, net</w:t>
            </w:r>
            <w:r>
              <w:rPr>
                <w:rFonts w:ascii="Times New Roman" w:cs="Times New Roman" w:eastAsia="Times New Roman" w:hAnsi="Times New Roman"/>
                <w:sz w:val="19"/>
                <w:szCs w:val="19"/>
                <w:color w:val="auto"/>
                <w:vertAlign w:val="superscript"/>
              </w:rPr>
              <w:t>(1)</w:t>
            </w:r>
          </w:p>
        </w:tc>
        <w:tc>
          <w:tcPr>
            <w:tcW w:w="18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w:t>
            </w:r>
          </w:p>
        </w:tc>
      </w:tr>
      <w:tr>
        <w:trPr>
          <w:trHeight w:val="203"/>
        </w:trPr>
        <w:tc>
          <w:tcPr>
            <w:tcW w:w="73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MH and annual RV residents for rent, utility charges, fees and other pass-through charges, net</w:t>
            </w:r>
            <w:r>
              <w:rPr>
                <w:rFonts w:ascii="Times New Roman" w:cs="Times New Roman" w:eastAsia="Times New Roman" w:hAnsi="Times New Roman"/>
                <w:sz w:val="19"/>
                <w:szCs w:val="19"/>
                <w:color w:val="auto"/>
                <w:vertAlign w:val="superscript"/>
              </w:rPr>
              <w:t>(2)</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Insurance receivables</w:t>
            </w:r>
          </w:p>
        </w:tc>
        <w:tc>
          <w:tcPr>
            <w:tcW w:w="18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205"/>
        </w:trPr>
        <w:tc>
          <w:tcPr>
            <w:tcW w:w="73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5"/>
                <w:szCs w:val="15"/>
                <w:color w:val="auto"/>
              </w:rPr>
              <w:t>Other receivables</w:t>
            </w:r>
            <w:r>
              <w:rPr>
                <w:rFonts w:ascii="Times New Roman" w:cs="Times New Roman" w:eastAsia="Times New Roman" w:hAnsi="Times New Roman"/>
                <w:sz w:val="19"/>
                <w:szCs w:val="19"/>
                <w:color w:val="auto"/>
                <w:vertAlign w:val="superscript"/>
              </w:rPr>
              <w:t>(3)</w:t>
            </w: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w:t>
            </w:r>
          </w:p>
        </w:tc>
      </w:tr>
      <w:tr>
        <w:trPr>
          <w:trHeight w:val="196"/>
        </w:trPr>
        <w:tc>
          <w:tcPr>
            <w:tcW w:w="732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Total Other Receivables, net</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153.3</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106.5</w:t>
            </w: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of allowance of $1.9 million and $1.5 million as of September 30, 2022 and December 31, 2021, respectively.</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of allowance of $5.2 million and $5.5 million as of September 30, 2022 and December 31, 2021, respectively.</w:t>
      </w:r>
    </w:p>
    <w:p>
      <w:pPr>
        <w:spacing w:after="0" w:line="55" w:lineRule="exact"/>
        <w:rPr>
          <w:rFonts w:ascii="Times New Roman" w:cs="Times New Roman" w:eastAsia="Times New Roman" w:hAnsi="Times New Roman"/>
          <w:sz w:val="19"/>
          <w:szCs w:val="19"/>
          <w:color w:val="auto"/>
          <w:vertAlign w:val="superscript"/>
        </w:rPr>
      </w:pPr>
    </w:p>
    <w:p>
      <w:pPr>
        <w:jc w:val="both"/>
        <w:ind w:left="180" w:hanging="172"/>
        <w:spacing w:after="0"/>
        <w:tabs>
          <w:tab w:leader="none" w:pos="167"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receivable from Rezplot Systems LLC, a nonconsolidated affiliate, in which we had 48.9 percent and 49.2 percent ownership interest as of September 30, 2022 and December 31, 2021, respectively. In June 2020, we made a convertible secured loan to Rezplot Systems LLC. The note allows for a principal amount of up to $10.0 million to be drawn down over a period of three years, bears an interest rate of 3.0 percent and is secured by all the assets of Rezplot Systems LLC. In January 2022, we made an additional loan to Rezplot Systems LLC that allows for a principal amount of up to $5.0 million to be drawn over a period of three years and bears an interest rate of 3.0 percent. The outstanding balances were $12.1 million and $10.2 million as of September 30, 2022 and December 31, 2021, respectively. Refer to Note 6, "Investments in Nonconsolidated Affiliates," for additional information on Rezplot Systems LLC.</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intangible assets include goodwill, in-place leases, non-competition agreements, trademarks and trade names, customer relationships, franchise agreements and other intangible assets. These intangible assets are recorded in Goodwill and Other intangible assets, net on the Consolidated Balance Sheets.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carrying amount of goodwill during the nine months ended September 30, 2022 is as follows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Currency Translation</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16"/>
        </w:trPr>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200" w:type="dxa"/>
            <w:vAlign w:val="bottom"/>
          </w:tcPr>
          <w:p>
            <w:pPr>
              <w:spacing w:after="0"/>
              <w:rPr>
                <w:sz w:val="18"/>
                <w:szCs w:val="18"/>
                <w:color w:val="auto"/>
              </w:rPr>
            </w:pPr>
          </w:p>
        </w:tc>
        <w:tc>
          <w:tcPr>
            <w:tcW w:w="158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5"/>
                <w:szCs w:val="15"/>
                <w:b w:val="1"/>
                <w:bCs w:val="1"/>
                <w:color w:val="auto"/>
              </w:rPr>
              <w:t>Acquisitions</w:t>
            </w:r>
            <w:r>
              <w:rPr>
                <w:rFonts w:ascii="Times New Roman" w:cs="Times New Roman" w:eastAsia="Times New Roman" w:hAnsi="Times New Roman"/>
                <w:sz w:val="19"/>
                <w:szCs w:val="19"/>
                <w:color w:val="auto"/>
                <w:vertAlign w:val="superscript"/>
              </w:rPr>
              <w:t>(1)</w:t>
            </w:r>
          </w:p>
        </w:tc>
        <w:tc>
          <w:tcPr>
            <w:tcW w:w="26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Adjustment</w:t>
            </w:r>
          </w:p>
        </w:tc>
        <w:tc>
          <w:tcPr>
            <w:tcW w:w="320" w:type="dxa"/>
            <w:vAlign w:val="bottom"/>
          </w:tcPr>
          <w:p>
            <w:pPr>
              <w:spacing w:after="0"/>
              <w:rPr>
                <w:sz w:val="18"/>
                <w:szCs w:val="18"/>
                <w:color w:val="auto"/>
              </w:rPr>
            </w:pPr>
          </w:p>
        </w:tc>
        <w:tc>
          <w:tcPr>
            <w:tcW w:w="148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5"/>
                <w:szCs w:val="15"/>
                <w:b w:val="1"/>
                <w:bCs w:val="1"/>
                <w:color w:val="auto"/>
              </w:rPr>
              <w:t>Other</w:t>
            </w:r>
            <w:r>
              <w:rPr>
                <w:rFonts w:ascii="Times New Roman" w:cs="Times New Roman" w:eastAsia="Times New Roman" w:hAnsi="Times New Roman"/>
                <w:sz w:val="19"/>
                <w:szCs w:val="19"/>
                <w:color w:val="auto"/>
                <w:vertAlign w:val="superscript"/>
              </w:rPr>
              <w:t>(2)</w:t>
            </w:r>
          </w:p>
        </w:tc>
        <w:tc>
          <w:tcPr>
            <w:tcW w:w="120" w:type="dxa"/>
            <w:vAlign w:val="bottom"/>
          </w:tcPr>
          <w:p>
            <w:pPr>
              <w:spacing w:after="0"/>
              <w:rPr>
                <w:sz w:val="18"/>
                <w:szCs w:val="18"/>
                <w:color w:val="auto"/>
              </w:rPr>
            </w:pPr>
          </w:p>
        </w:tc>
        <w:tc>
          <w:tcPr>
            <w:tcW w:w="146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280" w:type="dxa"/>
            <w:vAlign w:val="bottom"/>
          </w:tcPr>
          <w:p>
            <w:pPr>
              <w:spacing w:after="0"/>
              <w:rPr>
                <w:sz w:val="18"/>
                <w:szCs w:val="18"/>
                <w:color w:val="auto"/>
              </w:rPr>
            </w:pPr>
          </w:p>
        </w:tc>
      </w:tr>
      <w:tr>
        <w:trPr>
          <w:trHeight w:val="18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Segment</w:t>
            </w:r>
          </w:p>
        </w:tc>
        <w:tc>
          <w:tcPr>
            <w:tcW w:w="14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r>
      <w:tr>
        <w:trPr>
          <w:trHeight w:val="200"/>
        </w:trPr>
        <w:tc>
          <w:tcPr>
            <w:tcW w:w="2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MH</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465.0</w:t>
            </w:r>
          </w:p>
        </w:tc>
        <w:tc>
          <w:tcPr>
            <w:tcW w:w="2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(73.8)</w:t>
            </w:r>
          </w:p>
        </w:tc>
        <w:tc>
          <w:tcPr>
            <w:tcW w:w="2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39.3</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430.5</w:t>
            </w:r>
          </w:p>
        </w:tc>
        <w:tc>
          <w:tcPr>
            <w:tcW w:w="280" w:type="dxa"/>
            <w:vAlign w:val="bottom"/>
          </w:tcPr>
          <w:p>
            <w:pPr>
              <w:spacing w:after="0"/>
              <w:rPr>
                <w:sz w:val="17"/>
                <w:szCs w:val="17"/>
                <w:color w:val="auto"/>
              </w:rPr>
            </w:pPr>
          </w:p>
        </w:tc>
      </w:tr>
      <w:tr>
        <w:trPr>
          <w:trHeight w:val="205"/>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RV</w:t>
            </w: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280" w:type="dxa"/>
            <w:vAlign w:val="bottom"/>
            <w:shd w:val="clear" w:color="auto" w:fill="CCEEFF"/>
          </w:tcPr>
          <w:p>
            <w:pPr>
              <w:spacing w:after="0"/>
              <w:rPr>
                <w:sz w:val="17"/>
                <w:szCs w:val="17"/>
                <w:color w:val="auto"/>
              </w:rPr>
            </w:pPr>
          </w:p>
        </w:tc>
      </w:tr>
      <w:tr>
        <w:trPr>
          <w:trHeight w:val="200"/>
        </w:trPr>
        <w:tc>
          <w:tcPr>
            <w:tcW w:w="2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Marina</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541.5</w:t>
            </w:r>
          </w:p>
        </w:tc>
        <w:tc>
          <w:tcPr>
            <w:tcW w:w="280" w:type="dxa"/>
            <w:vAlign w:val="bottom"/>
          </w:tcPr>
          <w:p>
            <w:pPr>
              <w:spacing w:after="0"/>
              <w:rPr>
                <w:sz w:val="17"/>
                <w:szCs w:val="17"/>
                <w:color w:val="auto"/>
              </w:rPr>
            </w:pPr>
          </w:p>
        </w:tc>
      </w:tr>
      <w:tr>
        <w:trPr>
          <w:trHeight w:val="223"/>
        </w:trPr>
        <w:tc>
          <w:tcPr>
            <w:tcW w:w="22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981.5</w:t>
            </w:r>
          </w:p>
        </w:tc>
        <w:tc>
          <w:tcPr>
            <w:tcW w:w="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jc w:val="both"/>
        <w:ind w:left="180" w:hanging="172"/>
        <w:spacing w:after="0" w:line="244" w:lineRule="auto"/>
        <w:tabs>
          <w:tab w:leader="none" w:pos="166"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nine months ended September 30, 2022, we recorded goodwill of $465.0 million in the MH segment related to the acquisition of Park Holidays, primarily attributed to the acquired platform and assembled workforce value associated with the scale of Park Holidays' existing operations in the United Kingdom. Additionally, we recorded goodwill of $41.5 million in the Marina segment related to the acquisition of Jarrett Bay Boatworks and Montauk Yacht Club, primarily attributed to enterprise value and the assembled workforce value associated with existing operations, and $9.5 million in the RV segment related to the acquisition of Leisure Systems, Inc, primarily attributed to its licensing arrangements, ability to obtain new franchise relationships and assembled workforce.</w:t>
      </w:r>
    </w:p>
    <w:p>
      <w:pPr>
        <w:spacing w:after="0" w:line="41" w:lineRule="exact"/>
        <w:rPr>
          <w:rFonts w:ascii="Times New Roman" w:cs="Times New Roman" w:eastAsia="Times New Roman" w:hAnsi="Times New Roman"/>
          <w:sz w:val="19"/>
          <w:szCs w:val="19"/>
          <w:color w:val="auto"/>
          <w:vertAlign w:val="superscript"/>
        </w:rPr>
      </w:pPr>
    </w:p>
    <w:p>
      <w:pPr>
        <w:jc w:val="both"/>
        <w:ind w:left="180" w:hanging="172"/>
        <w:spacing w:after="0" w:line="239" w:lineRule="auto"/>
        <w:tabs>
          <w:tab w:leader="none" w:pos="165"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measurement periods for the valuation of assets acquired and liabilities assumed in a business combination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 These purchase accounting adjustments are presented under Other in the table above. During the nine months ended September 30, 2022, the goodwill in the MH segment increased by $39.3 million related to the acquisition of Park Holidays.</w:t>
      </w:r>
    </w:p>
    <w:p>
      <w:pPr>
        <w:spacing w:after="0" w:line="13"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Recognized goodwill from current year acquisitions of $516.0 million is expected to be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of our intangible assets were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ind w:left="58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20" w:type="dxa"/>
            <w:vAlign w:val="bottom"/>
          </w:tcPr>
          <w:p>
            <w:pPr>
              <w:spacing w:after="0"/>
              <w:rPr>
                <w:sz w:val="17"/>
                <w:szCs w:val="17"/>
                <w:color w:val="auto"/>
              </w:rPr>
            </w:pPr>
          </w:p>
        </w:tc>
        <w:tc>
          <w:tcPr>
            <w:tcW w:w="2560" w:type="dxa"/>
            <w:vAlign w:val="bottom"/>
            <w:gridSpan w:val="4"/>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146"/>
        </w:trPr>
        <w:tc>
          <w:tcPr>
            <w:tcW w:w="4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180"/>
              <w:spacing w:after="0" w:line="146" w:lineRule="exact"/>
              <w:rPr>
                <w:sz w:val="20"/>
                <w:szCs w:val="20"/>
                <w:color w:val="auto"/>
              </w:rPr>
            </w:pPr>
            <w:r>
              <w:rPr>
                <w:rFonts w:ascii="Times New Roman" w:cs="Times New Roman" w:eastAsia="Times New Roman" w:hAnsi="Times New Roman"/>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Times New Roman" w:cs="Times New Roman" w:eastAsia="Times New Roman" w:hAnsi="Times New Roman"/>
                <w:sz w:val="15"/>
                <w:szCs w:val="15"/>
                <w:b w:val="1"/>
                <w:bCs w:val="1"/>
                <w:color w:val="auto"/>
              </w:rPr>
              <w:t>Accumulated</w:t>
            </w:r>
          </w:p>
        </w:tc>
      </w:tr>
      <w:tr>
        <w:trPr>
          <w:trHeight w:val="212"/>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Other Intangible Asset</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Useful Life</w:t>
            </w: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1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Pr>
          <w:p>
            <w:pPr>
              <w:spacing w:after="0"/>
              <w:rPr>
                <w:sz w:val="18"/>
                <w:szCs w:val="18"/>
                <w:color w:val="auto"/>
              </w:rPr>
            </w:pP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Amortization</w:t>
            </w:r>
          </w:p>
        </w:tc>
      </w:tr>
      <w:tr>
        <w:trPr>
          <w:trHeight w:val="200"/>
        </w:trPr>
        <w:tc>
          <w:tcPr>
            <w:tcW w:w="40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In-place leases</w:t>
            </w: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 months - 13 years</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(131.8)</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(120.8)</w:t>
            </w:r>
          </w:p>
        </w:tc>
      </w:tr>
      <w:tr>
        <w:trPr>
          <w:trHeight w:val="200"/>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Non-competition agreements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5 years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05"/>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Trademarks and trade names</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3 - 15 years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r>
      <w:tr>
        <w:trPr>
          <w:trHeight w:val="200"/>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Customer relationships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4 - 17 years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r>
      <w:tr>
        <w:trPr>
          <w:trHeight w:val="205"/>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Franchise agreements and other intangible assets</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3 - 27 years</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194"/>
        </w:trPr>
        <w:tc>
          <w:tcPr>
            <w:tcW w:w="408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Total finite-lived assets</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(168.6)</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331.9</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(141.8)</w:t>
            </w:r>
          </w:p>
        </w:tc>
      </w:tr>
      <w:tr>
        <w:trPr>
          <w:trHeight w:val="205"/>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Indefinite-lived assets - Trademarks and trade names</w:t>
            </w: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N/A</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Indefinite-lived assets - Other</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N/A</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0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Total indefinite-lived assets</w:t>
            </w:r>
          </w:p>
        </w:tc>
        <w:tc>
          <w:tcPr>
            <w:tcW w:w="1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408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571.8</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(168.6)</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448.6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(141.8)</w:t>
            </w:r>
          </w:p>
        </w:tc>
      </w:tr>
      <w:tr>
        <w:trPr>
          <w:trHeight w:val="21"/>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expenses related to our Other intangible assets were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gridSpan w:val="5"/>
          </w:tcPr>
          <w:p>
            <w:pPr>
              <w:ind w:left="8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40" w:type="dxa"/>
            <w:vAlign w:val="bottom"/>
          </w:tcPr>
          <w:p>
            <w:pPr>
              <w:spacing w:after="0"/>
              <w:rPr>
                <w:sz w:val="17"/>
                <w:szCs w:val="17"/>
                <w:color w:val="auto"/>
              </w:rPr>
            </w:pPr>
          </w:p>
        </w:tc>
        <w:tc>
          <w:tcPr>
            <w:tcW w:w="3260" w:type="dxa"/>
            <w:vAlign w:val="bottom"/>
            <w:gridSpan w:val="4"/>
          </w:tcPr>
          <w:p>
            <w:pPr>
              <w:jc w:val="right"/>
              <w:ind w:right="964"/>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2"/>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Other Intangible Asset Amortization Expense</w:t>
            </w: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September 30, 2021</w:t>
            </w:r>
          </w:p>
        </w:tc>
      </w:tr>
      <w:tr>
        <w:trPr>
          <w:trHeight w:val="196"/>
        </w:trPr>
        <w:tc>
          <w:tcPr>
            <w:tcW w:w="41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In-place leases</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w:t>
            </w:r>
          </w:p>
        </w:tc>
      </w:tr>
      <w:tr>
        <w:trPr>
          <w:trHeight w:val="200"/>
        </w:trPr>
        <w:tc>
          <w:tcPr>
            <w:tcW w:w="42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Non-competition agreements</w:t>
            </w:r>
          </w:p>
        </w:tc>
        <w:tc>
          <w:tcPr>
            <w:tcW w:w="1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05"/>
        </w:trPr>
        <w:tc>
          <w:tcPr>
            <w:tcW w:w="4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Trademarks and trade names</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00"/>
        </w:trPr>
        <w:tc>
          <w:tcPr>
            <w:tcW w:w="42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Customer relationships</w:t>
            </w:r>
          </w:p>
        </w:tc>
        <w:tc>
          <w:tcPr>
            <w:tcW w:w="1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203"/>
        </w:trPr>
        <w:tc>
          <w:tcPr>
            <w:tcW w:w="4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Franchise fees and other intangible assets</w:t>
            </w: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98"/>
        </w:trPr>
        <w:tc>
          <w:tcPr>
            <w:tcW w:w="424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33.3</w:t>
            </w:r>
          </w:p>
        </w:tc>
      </w:tr>
      <w:tr>
        <w:trPr>
          <w:trHeight w:val="20"/>
        </w:trPr>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amortization expense for Other intangible assets to be as follows for the next five years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Remainder 2022</w:t>
            </w: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2023</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2026</w:t>
            </w:r>
          </w:p>
        </w:tc>
      </w:tr>
      <w:tr>
        <w:trPr>
          <w:trHeight w:val="20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In-place leases</w:t>
            </w:r>
          </w:p>
        </w:tc>
        <w:tc>
          <w:tcPr>
            <w:tcW w:w="1380" w:type="dxa"/>
            <w:vAlign w:val="bottom"/>
            <w:shd w:val="clear" w:color="auto" w:fill="CCEEFF"/>
          </w:tcPr>
          <w:p>
            <w:pPr>
              <w:jc w:val="right"/>
              <w:ind w:right="1224"/>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95"/>
              </w:rPr>
              <w:t>3.4</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04"/>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84"/>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200"/>
        </w:trPr>
        <w:tc>
          <w:tcPr>
            <w:tcW w:w="2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Non-competition agreements</w:t>
            </w:r>
          </w:p>
        </w:tc>
        <w:tc>
          <w:tcPr>
            <w:tcW w:w="1380" w:type="dxa"/>
            <w:vAlign w:val="bottom"/>
          </w:tcPr>
          <w:p>
            <w:pPr>
              <w:spacing w:after="0"/>
              <w:rPr>
                <w:sz w:val="17"/>
                <w:szCs w:val="17"/>
                <w:color w:val="auto"/>
              </w:rPr>
            </w:pPr>
          </w:p>
        </w:tc>
        <w:tc>
          <w:tcPr>
            <w:tcW w:w="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95"/>
              </w:rPr>
              <w:t>0.5</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Trademarks and trade names</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95"/>
              </w:rPr>
              <w:t>1.4</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200"/>
        </w:trPr>
        <w:tc>
          <w:tcPr>
            <w:tcW w:w="2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1380" w:type="dxa"/>
            <w:vAlign w:val="bottom"/>
          </w:tcPr>
          <w:p>
            <w:pPr>
              <w:spacing w:after="0"/>
              <w:rPr>
                <w:sz w:val="17"/>
                <w:szCs w:val="17"/>
                <w:color w:val="auto"/>
              </w:rPr>
            </w:pPr>
          </w:p>
        </w:tc>
        <w:tc>
          <w:tcPr>
            <w:tcW w:w="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95"/>
              </w:rPr>
              <w:t>3.2</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r>
      <w:tr>
        <w:trPr>
          <w:trHeight w:val="160"/>
        </w:trPr>
        <w:tc>
          <w:tcPr>
            <w:tcW w:w="26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Franchise agreements and other</w:t>
            </w:r>
          </w:p>
        </w:tc>
        <w:tc>
          <w:tcPr>
            <w:tcW w:w="1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202"/>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w:t>
            </w:r>
          </w:p>
        </w:tc>
        <w:tc>
          <w:tcPr>
            <w:tcW w:w="13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95"/>
              </w:rPr>
              <w:t>0.8</w:t>
            </w:r>
          </w:p>
        </w:tc>
        <w:tc>
          <w:tcPr>
            <w:tcW w:w="8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200"/>
        </w:trPr>
        <w:tc>
          <w:tcPr>
            <w:tcW w:w="26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380" w:type="dxa"/>
            <w:vAlign w:val="bottom"/>
            <w:tcBorders>
              <w:bottom w:val="single" w:sz="8" w:color="auto"/>
            </w:tcBorders>
          </w:tcPr>
          <w:p>
            <w:pPr>
              <w:jc w:val="right"/>
              <w:ind w:right="1224"/>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95"/>
              </w:rPr>
              <w:t>9.3</w:t>
            </w:r>
          </w:p>
        </w:tc>
        <w:tc>
          <w:tcPr>
            <w:tcW w:w="80" w:type="dxa"/>
            <w:vAlign w:val="bottom"/>
          </w:tcPr>
          <w:p>
            <w:pPr>
              <w:spacing w:after="0"/>
              <w:rPr>
                <w:sz w:val="17"/>
                <w:szCs w:val="17"/>
                <w:color w:val="auto"/>
              </w:rPr>
            </w:pPr>
          </w:p>
        </w:tc>
        <w:tc>
          <w:tcPr>
            <w:tcW w:w="1160" w:type="dxa"/>
            <w:vAlign w:val="bottom"/>
            <w:tcBorders>
              <w:bottom w:val="single" w:sz="8" w:color="auto"/>
            </w:tcBorders>
          </w:tcPr>
          <w:p>
            <w:pPr>
              <w:jc w:val="right"/>
              <w:ind w:right="1004"/>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33.9</w:t>
            </w:r>
          </w:p>
        </w:tc>
        <w:tc>
          <w:tcPr>
            <w:tcW w:w="80" w:type="dxa"/>
            <w:vAlign w:val="bottom"/>
          </w:tcPr>
          <w:p>
            <w:pPr>
              <w:spacing w:after="0"/>
              <w:rPr>
                <w:sz w:val="17"/>
                <w:szCs w:val="17"/>
                <w:color w:val="auto"/>
              </w:rPr>
            </w:pPr>
          </w:p>
        </w:tc>
        <w:tc>
          <w:tcPr>
            <w:tcW w:w="1160" w:type="dxa"/>
            <w:vAlign w:val="bottom"/>
            <w:tcBorders>
              <w:bottom w:val="single" w:sz="8" w:color="auto"/>
            </w:tcBorders>
          </w:tcPr>
          <w:p>
            <w:pPr>
              <w:jc w:val="right"/>
              <w:ind w:right="984"/>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29.0</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w:t>
            </w:r>
          </w:p>
        </w:tc>
      </w:tr>
      <w:tr>
        <w:trPr>
          <w:trHeight w:val="21"/>
        </w:trPr>
        <w:tc>
          <w:tcPr>
            <w:tcW w:w="2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Nonconsolidated Affiliates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in joint ventures that are not consolidated, nor recorded at cost, are accounted for using the equity method of accounting as prescribed in ASC Topic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Investments in nonconsolidated affiliates are recorded within Other assets, net on the Consolidated Balance Sheets. Equity income and loss are recorded in the Income from nonconsolidated affiliates line item on the Consolidated Statements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RezPlot Systems LLC ("Rezplot")</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September 30, 2022 and December 31, 2021, we had a 48.9 percent and 49.2 percent ownership interest, respectively, in RezPlot, a RV reservation software technology company, which interest we acquired in January 2019.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Sungenia Joint Venture ("Sungenia JV")</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September 30, 2022 and December 31, 2021, we had a 50.0 percent ownership interest in Sungenia JV, a joint venture formed between us and Ingenia Communities Group in November 2018, to establish and grow a manufactured housing community development program in Australia.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GTSC LLC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"GTSC"</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At September 30, 2022 and December 31, 2021, we had a 40.0 percent ownership interest in GTSC, which engages in acquiring, holding and selling loans secured, directly or indirectly, by manufactured homes located in our communities.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Origen Financial Services, LLC ("OFS")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September 30, 2022 and December 31, 2021, we had no ownership interest and a 22.9 percent ownership interest, respectively, in OFS, an end-to-end online resident screening and document management suite. During the three months ended June 30, 2022, we sold our ownership interest in OFS for $0.6 million. The gain from the sale was $0.3 million, which was recorded within Income from nonconsolidated affiliates on the Consolidated Statements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SV Lift, LLC ("SV Lift")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and December 31, 2021, we had a 50 percent ownership interest in SV Lift, which owns, operates and leases an aircraft.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balance in each nonconsolidated affiliate was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80" w:type="dxa"/>
            <w:vAlign w:val="bottom"/>
          </w:tcPr>
          <w:p>
            <w:pPr>
              <w:spacing w:after="0"/>
              <w:rPr>
                <w:sz w:val="17"/>
                <w:szCs w:val="17"/>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80" w:type="dxa"/>
            <w:vAlign w:val="bottom"/>
          </w:tcPr>
          <w:p>
            <w:pPr>
              <w:spacing w:after="0"/>
              <w:rPr>
                <w:sz w:val="17"/>
                <w:szCs w:val="17"/>
                <w:color w:val="auto"/>
              </w:rPr>
            </w:pPr>
          </w:p>
        </w:tc>
        <w:tc>
          <w:tcPr>
            <w:tcW w:w="158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 in RezPlot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0"/>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Investment in Sungenia JV</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w:t>
            </w:r>
          </w:p>
        </w:tc>
      </w:tr>
      <w:tr>
        <w:trPr>
          <w:trHeight w:val="205"/>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 in GTSC</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w:t>
            </w:r>
          </w:p>
        </w:tc>
      </w:tr>
      <w:tr>
        <w:trPr>
          <w:trHeight w:val="200"/>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Investment in OFS</w:t>
            </w:r>
          </w:p>
        </w:tc>
        <w:tc>
          <w:tcPr>
            <w:tcW w:w="180" w:type="dxa"/>
            <w:vAlign w:val="bottom"/>
          </w:tcPr>
          <w:p>
            <w:pPr>
              <w:spacing w:after="0"/>
              <w:rPr>
                <w:sz w:val="17"/>
                <w:szCs w:val="17"/>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03"/>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 in SV Lift</w:t>
            </w: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98"/>
        </w:trPr>
        <w:tc>
          <w:tcPr>
            <w:tcW w:w="75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98.1</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75.1</w:t>
            </w:r>
          </w:p>
        </w:tc>
      </w:tr>
      <w:tr>
        <w:trPr>
          <w:trHeight w:val="20"/>
        </w:trPr>
        <w:tc>
          <w:tcPr>
            <w:tcW w:w="7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 (loss) from each nonconsolidated affiliate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gridSpan w:val="5"/>
          </w:tcPr>
          <w:p>
            <w:pPr>
              <w:ind w:left="9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7"/>
                <w:szCs w:val="17"/>
                <w:color w:val="auto"/>
              </w:rPr>
            </w:pPr>
          </w:p>
        </w:tc>
        <w:tc>
          <w:tcPr>
            <w:tcW w:w="3160" w:type="dxa"/>
            <w:vAlign w:val="bottom"/>
            <w:gridSpan w:val="4"/>
          </w:tcPr>
          <w:p>
            <w:pPr>
              <w:ind w:left="860"/>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Income / (Loss) from Nonconsolidated Affiliates</w:t>
            </w:r>
          </w:p>
        </w:tc>
        <w:tc>
          <w:tcPr>
            <w:tcW w:w="1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2021</w:t>
            </w:r>
          </w:p>
        </w:tc>
      </w:tr>
      <w:tr>
        <w:trPr>
          <w:trHeight w:val="196"/>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RezPlot equity loss</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tcBorders>
            <w:shd w:val="clear" w:color="auto" w:fill="CCEEFF"/>
          </w:tcPr>
          <w:p>
            <w:pPr>
              <w:jc w:val="center"/>
              <w:ind w:left="1044"/>
              <w:spacing w:after="0"/>
              <w:rPr>
                <w:sz w:val="20"/>
                <w:szCs w:val="20"/>
                <w:color w:val="auto"/>
              </w:rPr>
            </w:pPr>
            <w:r>
              <w:rPr>
                <w:rFonts w:ascii="Times New Roman" w:cs="Times New Roman" w:eastAsia="Times New Roman" w:hAnsi="Times New Roman"/>
                <w:sz w:val="15"/>
                <w:szCs w:val="15"/>
                <w:color w:val="auto"/>
                <w:w w:val="97"/>
              </w:rPr>
              <w:t>(3.0)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tcBorders>
            <w:shd w:val="clear" w:color="auto" w:fill="CCEEFF"/>
          </w:tcPr>
          <w:p>
            <w:pPr>
              <w:jc w:val="center"/>
              <w:ind w:left="1064"/>
              <w:spacing w:after="0"/>
              <w:rPr>
                <w:sz w:val="20"/>
                <w:szCs w:val="20"/>
                <w:color w:val="auto"/>
              </w:rPr>
            </w:pPr>
            <w:r>
              <w:rPr>
                <w:rFonts w:ascii="Times New Roman" w:cs="Times New Roman" w:eastAsia="Times New Roman" w:hAnsi="Times New Roman"/>
                <w:sz w:val="15"/>
                <w:szCs w:val="15"/>
                <w:color w:val="auto"/>
              </w:rPr>
              <w:t>(1.7)</w:t>
            </w:r>
          </w:p>
        </w:tc>
      </w:tr>
      <w:tr>
        <w:trPr>
          <w:trHeight w:val="20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Sungenia JV equity income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ind w:left="1064"/>
              <w:spacing w:after="0"/>
              <w:rPr>
                <w:sz w:val="20"/>
                <w:szCs w:val="20"/>
                <w:color w:val="auto"/>
              </w:rPr>
            </w:pPr>
            <w:r>
              <w:rPr>
                <w:rFonts w:ascii="Times New Roman" w:cs="Times New Roman" w:eastAsia="Times New Roman" w:hAnsi="Times New Roman"/>
                <w:sz w:val="15"/>
                <w:szCs w:val="15"/>
                <w:color w:val="auto"/>
                <w:w w:val="95"/>
              </w:rPr>
              <w:t>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ind w:left="1084"/>
              <w:spacing w:after="0"/>
              <w:rPr>
                <w:sz w:val="20"/>
                <w:szCs w:val="20"/>
                <w:color w:val="auto"/>
              </w:rPr>
            </w:pPr>
            <w:r>
              <w:rPr>
                <w:rFonts w:ascii="Times New Roman" w:cs="Times New Roman" w:eastAsia="Times New Roman" w:hAnsi="Times New Roman"/>
                <w:sz w:val="15"/>
                <w:szCs w:val="15"/>
                <w:color w:val="auto"/>
              </w:rPr>
              <w:t>1.2</w:t>
            </w:r>
          </w:p>
        </w:tc>
      </w:tr>
      <w:tr>
        <w:trPr>
          <w:trHeight w:val="20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GTSC equity income</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ind w:left="1064"/>
              <w:spacing w:after="0"/>
              <w:rPr>
                <w:sz w:val="20"/>
                <w:szCs w:val="20"/>
                <w:color w:val="auto"/>
              </w:rPr>
            </w:pPr>
            <w:r>
              <w:rPr>
                <w:rFonts w:ascii="Times New Roman" w:cs="Times New Roman" w:eastAsia="Times New Roman" w:hAnsi="Times New Roman"/>
                <w:sz w:val="15"/>
                <w:szCs w:val="15"/>
                <w:color w:val="auto"/>
                <w:w w:val="95"/>
              </w:rPr>
              <w:t>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ind w:left="1084"/>
              <w:spacing w:after="0"/>
              <w:rPr>
                <w:sz w:val="20"/>
                <w:szCs w:val="20"/>
                <w:color w:val="auto"/>
              </w:rPr>
            </w:pPr>
            <w:r>
              <w:rPr>
                <w:rFonts w:ascii="Times New Roman" w:cs="Times New Roman" w:eastAsia="Times New Roman" w:hAnsi="Times New Roman"/>
                <w:sz w:val="15"/>
                <w:szCs w:val="15"/>
                <w:color w:val="auto"/>
              </w:rPr>
              <w:t>4.2</w:t>
            </w:r>
          </w:p>
        </w:tc>
      </w:tr>
      <w:tr>
        <w:trPr>
          <w:trHeight w:val="20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OFS equity income</w:t>
            </w:r>
          </w:p>
        </w:tc>
        <w:tc>
          <w:tcPr>
            <w:tcW w:w="180" w:type="dxa"/>
            <w:vAlign w:val="bottom"/>
          </w:tcPr>
          <w:p>
            <w:pPr>
              <w:spacing w:after="0"/>
              <w:rPr>
                <w:sz w:val="17"/>
                <w:szCs w:val="17"/>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480" w:type="dxa"/>
            <w:vAlign w:val="bottom"/>
          </w:tcPr>
          <w:p>
            <w:pPr>
              <w:jc w:val="center"/>
              <w:ind w:left="1064"/>
              <w:spacing w:after="0"/>
              <w:rPr>
                <w:sz w:val="20"/>
                <w:szCs w:val="20"/>
                <w:color w:val="auto"/>
              </w:rPr>
            </w:pPr>
            <w:r>
              <w:rPr>
                <w:rFonts w:ascii="Times New Roman" w:cs="Times New Roman" w:eastAsia="Times New Roman" w:hAnsi="Times New Roman"/>
                <w:sz w:val="15"/>
                <w:szCs w:val="15"/>
                <w:color w:val="auto"/>
                <w:w w:val="95"/>
              </w:rPr>
              <w:t>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ind w:left="1084"/>
              <w:spacing w:after="0"/>
              <w:rPr>
                <w:sz w:val="20"/>
                <w:szCs w:val="20"/>
                <w:color w:val="auto"/>
              </w:rPr>
            </w:pPr>
            <w:r>
              <w:rPr>
                <w:rFonts w:ascii="Times New Roman" w:cs="Times New Roman" w:eastAsia="Times New Roman" w:hAnsi="Times New Roman"/>
                <w:sz w:val="15"/>
                <w:szCs w:val="15"/>
                <w:color w:val="auto"/>
              </w:rPr>
              <w:t>0.2</w:t>
            </w:r>
          </w:p>
        </w:tc>
      </w:tr>
      <w:tr>
        <w:trPr>
          <w:trHeight w:val="20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SV Lift equity loss</w:t>
            </w: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center"/>
              <w:ind w:left="1044"/>
              <w:spacing w:after="0"/>
              <w:rPr>
                <w:sz w:val="20"/>
                <w:szCs w:val="20"/>
                <w:color w:val="auto"/>
              </w:rPr>
            </w:pPr>
            <w:r>
              <w:rPr>
                <w:rFonts w:ascii="Times New Roman" w:cs="Times New Roman" w:eastAsia="Times New Roman" w:hAnsi="Times New Roman"/>
                <w:sz w:val="15"/>
                <w:szCs w:val="15"/>
                <w:color w:val="auto"/>
                <w:w w:val="97"/>
              </w:rPr>
              <w:t>(0.7)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center"/>
              <w:ind w:left="1064"/>
              <w:spacing w:after="0"/>
              <w:rPr>
                <w:sz w:val="20"/>
                <w:szCs w:val="20"/>
                <w:color w:val="auto"/>
              </w:rPr>
            </w:pPr>
            <w:r>
              <w:rPr>
                <w:rFonts w:ascii="Times New Roman" w:cs="Times New Roman" w:eastAsia="Times New Roman" w:hAnsi="Times New Roman"/>
                <w:sz w:val="15"/>
                <w:szCs w:val="15"/>
                <w:color w:val="auto"/>
              </w:rPr>
              <w:t>(1.0)</w:t>
            </w:r>
          </w:p>
        </w:tc>
      </w:tr>
      <w:tr>
        <w:trPr>
          <w:trHeight w:val="198"/>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Total Income from Nonconsolidated Affiliates</w:t>
            </w: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tcPr>
          <w:p>
            <w:pPr>
              <w:jc w:val="center"/>
              <w:ind w:left="1064"/>
              <w:spacing w:after="0"/>
              <w:rPr>
                <w:sz w:val="20"/>
                <w:szCs w:val="20"/>
                <w:color w:val="auto"/>
              </w:rPr>
            </w:pPr>
            <w:r>
              <w:rPr>
                <w:rFonts w:ascii="Times New Roman" w:cs="Times New Roman" w:eastAsia="Times New Roman" w:hAnsi="Times New Roman"/>
                <w:sz w:val="15"/>
                <w:szCs w:val="15"/>
                <w:color w:val="auto"/>
                <w:w w:val="95"/>
              </w:rPr>
              <w:t>3.8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tcPr>
          <w:p>
            <w:pPr>
              <w:jc w:val="center"/>
              <w:ind w:left="1084"/>
              <w:spacing w:after="0"/>
              <w:rPr>
                <w:sz w:val="20"/>
                <w:szCs w:val="20"/>
                <w:color w:val="auto"/>
              </w:rPr>
            </w:pPr>
            <w:r>
              <w:rPr>
                <w:rFonts w:ascii="Times New Roman" w:cs="Times New Roman" w:eastAsia="Times New Roman" w:hAnsi="Times New Roman"/>
                <w:sz w:val="15"/>
                <w:szCs w:val="15"/>
                <w:color w:val="auto"/>
              </w:rPr>
              <w:t>2.9</w:t>
            </w:r>
          </w:p>
        </w:tc>
      </w:tr>
      <w:tr>
        <w:trPr>
          <w:trHeight w:val="21"/>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GTSC investment balance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2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ind w:right="684"/>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7"/>
        </w:trPr>
        <w:tc>
          <w:tcPr>
            <w:tcW w:w="642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1860" w:type="dxa"/>
            <w:vAlign w:val="bottom"/>
            <w:shd w:val="clear" w:color="auto" w:fill="CCEEFF"/>
          </w:tcPr>
          <w:p>
            <w:pPr>
              <w:jc w:val="right"/>
              <w:ind w:right="1684"/>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w:t>
            </w:r>
          </w:p>
        </w:tc>
      </w:tr>
      <w:tr>
        <w:trPr>
          <w:trHeight w:val="200"/>
        </w:trPr>
        <w:tc>
          <w:tcPr>
            <w:tcW w:w="6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Contributions</w:t>
            </w:r>
          </w:p>
        </w:tc>
        <w:tc>
          <w:tcPr>
            <w:tcW w:w="1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w:t>
            </w:r>
          </w:p>
        </w:tc>
      </w:tr>
      <w:tr>
        <w:trPr>
          <w:trHeight w:val="205"/>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Distributions</w:t>
            </w:r>
          </w:p>
        </w:tc>
        <w:tc>
          <w:tcPr>
            <w:tcW w:w="18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r>
      <w:tr>
        <w:trPr>
          <w:trHeight w:val="200"/>
        </w:trPr>
        <w:tc>
          <w:tcPr>
            <w:tcW w:w="6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earnings</w:t>
            </w:r>
          </w:p>
        </w:tc>
        <w:tc>
          <w:tcPr>
            <w:tcW w:w="1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r>
      <w:tr>
        <w:trPr>
          <w:trHeight w:val="20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Fair value adjustment</w:t>
            </w:r>
          </w:p>
        </w:tc>
        <w:tc>
          <w:tcPr>
            <w:tcW w:w="18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198"/>
        </w:trPr>
        <w:tc>
          <w:tcPr>
            <w:tcW w:w="642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Ending Balance</w:t>
            </w:r>
          </w:p>
        </w:tc>
        <w:tc>
          <w:tcPr>
            <w:tcW w:w="1860" w:type="dxa"/>
            <w:vAlign w:val="bottom"/>
            <w:tcBorders>
              <w:top w:val="single" w:sz="8" w:color="auto"/>
              <w:bottom w:val="single" w:sz="8" w:color="auto"/>
            </w:tcBorders>
          </w:tcPr>
          <w:p>
            <w:pPr>
              <w:jc w:val="right"/>
              <w:ind w:right="1684"/>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49.9</w:t>
            </w:r>
          </w:p>
        </w:tc>
        <w:tc>
          <w:tcPr>
            <w:tcW w:w="2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35.7</w:t>
            </w:r>
          </w:p>
        </w:tc>
      </w:tr>
      <w:tr>
        <w:trPr>
          <w:trHeight w:val="21"/>
        </w:trPr>
        <w:tc>
          <w:tcPr>
            <w:tcW w:w="64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Sungenia JV investment balance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20" w:type="dxa"/>
            <w:vAlign w:val="bottom"/>
          </w:tcPr>
          <w:p>
            <w:pPr>
              <w:spacing w:after="0"/>
              <w:rPr>
                <w:sz w:val="17"/>
                <w:szCs w:val="17"/>
                <w:color w:val="auto"/>
              </w:rPr>
            </w:pPr>
          </w:p>
        </w:tc>
        <w:tc>
          <w:tcPr>
            <w:tcW w:w="190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ind w:right="684"/>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7"/>
        </w:trPr>
        <w:tc>
          <w:tcPr>
            <w:tcW w:w="642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40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1900" w:type="dxa"/>
            <w:vAlign w:val="bottom"/>
            <w:shd w:val="clear" w:color="auto" w:fill="CCEEFF"/>
          </w:tcPr>
          <w:p>
            <w:pPr>
              <w:jc w:val="right"/>
              <w:ind w:right="1724"/>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w:t>
            </w:r>
          </w:p>
        </w:tc>
      </w:tr>
      <w:tr>
        <w:trPr>
          <w:trHeight w:val="200"/>
        </w:trPr>
        <w:tc>
          <w:tcPr>
            <w:tcW w:w="6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Cumulative translation adjustment</w:t>
            </w:r>
          </w:p>
        </w:tc>
        <w:tc>
          <w:tcPr>
            <w:tcW w:w="19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05"/>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Contributions</w:t>
            </w:r>
          </w:p>
        </w:tc>
        <w:tc>
          <w:tcPr>
            <w:tcW w:w="19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200"/>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Equity earnings</w:t>
            </w:r>
          </w:p>
        </w:tc>
        <w:tc>
          <w:tcPr>
            <w:tcW w:w="19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23"/>
        </w:trPr>
        <w:tc>
          <w:tcPr>
            <w:tcW w:w="6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Ending Balance</w:t>
            </w:r>
          </w:p>
        </w:tc>
        <w:tc>
          <w:tcPr>
            <w:tcW w:w="1900" w:type="dxa"/>
            <w:vAlign w:val="bottom"/>
            <w:tcBorders>
              <w:bottom w:val="single" w:sz="8" w:color="auto"/>
            </w:tcBorders>
            <w:shd w:val="clear" w:color="auto" w:fill="CCEEFF"/>
          </w:tcPr>
          <w:p>
            <w:pPr>
              <w:jc w:val="right"/>
              <w:ind w:right="1724"/>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Consolidated Variable Interest Entities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Operating Partnership</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consolidate the Operating Partnership under the guidance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We evaluated whether the Operating Partnership met the criteria for classification as a variable interest entity ("VIE") or, alternatively, as a voting interest entity and concluded that the Operating Partnership met the criteria of a VIE. Our significant asset is our investment in the Operating Partnership, and consequently, substantially all of our assets and liabilities represent those assets and liabilities of the Operating Partnership. We are the sole general partner and generally have the power to manage and have complete control over the Operating Partnership and the obligation to absorb its losses or the right to receive its benefits.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Consolidated VIEs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consolidate Sun NG RV Resorts LLC ("Sun NG Resorts"), Sun NG Whitewater RV Resorts LLC, Sun NG Beaver Brook LLC, FPG Sun Menifee 80 LLC, Sun Solar Energy Project LLC, Sun Solar Energy Project CA II, and FPG Sun Moreno Valley 66 LLC under the guidance set forth in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We concluded that each entity is a VIE where we are the primary beneficiary, as we have the power to direct the significant activities of and absorb the significant losses and receive the significant benefits from each entity. Refer to Note 8, "Debt and Line of Credit," for additional information on Sun NG Resorts.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2022, we acquired the noncontrolling equity interest held by third parties in a joint venture created for the purpose of acquiring land and constructing a marina in Fort Lauderdale, Florida ("SHM South Fork JV, LLC"). The transaction resulted in the Company owning a 100 percent ownership interest in the joint venture and we concluded that SHM South Fork JV, LLC was no longer a VIE. The acquisition was accounted for as an equity transaction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with the difference between the purchase price and the noncontrolling interest of $1.9 million recorded as a decrease to Additional Paid-in Capital on the Consolidated Balance Sheets.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the three months ended June 30, 2022, we acquired the noncontrolling equity interest held by third parties in Rudgate Village SPE LLC, Rudgate Clinton SPE LLC and Rudgate Clinton Estates, LLC (collectively, "Rudgate"), an MH community, which resulted in the Company owning a 100 percent ownership interest in Rudgate. We concluded that Rudgate was no longer a VIE. </w:t>
      </w:r>
      <w:r>
        <w:rPr>
          <w:rFonts w:ascii="Times New Roman" w:cs="Times New Roman" w:eastAsia="Times New Roman" w:hAnsi="Times New Roman"/>
          <w:sz w:val="18"/>
          <w:szCs w:val="18"/>
          <w:color w:val="242424"/>
        </w:rPr>
        <w:t>The acquisition was accounted for as an equity transaction in accordance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with ASC Topic 810, "</w:t>
      </w:r>
      <w:r>
        <w:rPr>
          <w:rFonts w:ascii="Times New Roman" w:cs="Times New Roman" w:eastAsia="Times New Roman" w:hAnsi="Times New Roman"/>
          <w:sz w:val="18"/>
          <w:szCs w:val="18"/>
          <w:i w:val="1"/>
          <w:iCs w:val="1"/>
          <w:color w:val="242424"/>
        </w:rPr>
        <w:t>Consolidation</w:t>
      </w:r>
      <w:r>
        <w:rPr>
          <w:rFonts w:ascii="Times New Roman" w:cs="Times New Roman" w:eastAsia="Times New Roman" w:hAnsi="Times New Roman"/>
          <w:sz w:val="18"/>
          <w:szCs w:val="18"/>
          <w:color w:val="242424"/>
        </w:rPr>
        <w:t xml:space="preserve">," with the difference between the purchase price and the acquired noncontrolling interest of $13.2 million recorded as an increase to Additional Paid-in Capital on the Consolidated Balance Sheets. </w:t>
      </w:r>
      <w:r>
        <w:rPr>
          <w:rFonts w:ascii="Times New Roman" w:cs="Times New Roman" w:eastAsia="Times New Roman" w:hAnsi="Times New Roman"/>
          <w:sz w:val="18"/>
          <w:szCs w:val="18"/>
          <w:color w:val="000000"/>
        </w:rPr>
        <w:t>Refer to Note 9, "Equity and Temporary Equity," for additional information.</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of our consolidated VIEs, with the exception of the Operating Partnership, included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after eliminations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22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186"/>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0" w:type="dxa"/>
            <w:vAlign w:val="bottom"/>
            <w:tcBorders>
              <w:top w:val="single" w:sz="8" w:color="auto"/>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r>
      <w:tr>
        <w:trPr>
          <w:trHeight w:val="200"/>
        </w:trPr>
        <w:tc>
          <w:tcPr>
            <w:tcW w:w="7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 property, net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704.8</w:t>
            </w:r>
          </w:p>
        </w:tc>
        <w:tc>
          <w:tcPr>
            <w:tcW w:w="2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623.5</w:t>
            </w:r>
          </w:p>
        </w:tc>
      </w:tr>
      <w:tr>
        <w:trPr>
          <w:trHeight w:val="20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r>
      <w:tr>
        <w:trPr>
          <w:trHeight w:val="200"/>
        </w:trPr>
        <w:tc>
          <w:tcPr>
            <w:tcW w:w="7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w:t>
            </w:r>
          </w:p>
        </w:tc>
      </w:tr>
      <w:tr>
        <w:trPr>
          <w:trHeight w:val="20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 net</w:t>
            </w: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198"/>
        </w:trPr>
        <w:tc>
          <w:tcPr>
            <w:tcW w:w="72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746.0</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655.8</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3"/>
        </w:trPr>
        <w:tc>
          <w:tcPr>
            <w:tcW w:w="7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02"/>
        </w:trPr>
        <w:tc>
          <w:tcPr>
            <w:tcW w:w="72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Other Equity</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Secured debt</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w:t>
            </w:r>
          </w:p>
        </w:tc>
      </w:tr>
      <w:tr>
        <w:trPr>
          <w:trHeight w:val="200"/>
        </w:trPr>
        <w:tc>
          <w:tcPr>
            <w:tcW w:w="7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Unsecured debt</w:t>
            </w: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w:t>
            </w:r>
          </w:p>
        </w:tc>
      </w:tr>
      <w:tr>
        <w:trPr>
          <w:trHeight w:val="20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Advanced reservation deposits and rent</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r>
      <w:tr>
        <w:trPr>
          <w:trHeight w:val="200"/>
        </w:trPr>
        <w:tc>
          <w:tcPr>
            <w:tcW w:w="7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expenses and accounts payable</w:t>
            </w: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78.3</w:t>
            </w:r>
          </w:p>
        </w:tc>
      </w:tr>
      <w:tr>
        <w:trPr>
          <w:trHeight w:val="20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94"/>
        </w:trPr>
        <w:tc>
          <w:tcPr>
            <w:tcW w:w="72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181.8</w:t>
            </w:r>
          </w:p>
        </w:tc>
      </w:tr>
      <w:tr>
        <w:trPr>
          <w:trHeight w:val="20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Temporary equity</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w:t>
            </w:r>
          </w:p>
        </w:tc>
      </w:tr>
      <w:tr>
        <w:trPr>
          <w:trHeight w:val="200"/>
        </w:trPr>
        <w:tc>
          <w:tcPr>
            <w:tcW w:w="7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Noncontrolling interests</w:t>
            </w:r>
          </w:p>
        </w:tc>
        <w:tc>
          <w:tcPr>
            <w:tcW w:w="200" w:type="dxa"/>
            <w:vAlign w:val="bottom"/>
          </w:tcPr>
          <w:p>
            <w:pPr>
              <w:spacing w:after="0"/>
              <w:rPr>
                <w:sz w:val="17"/>
                <w:szCs w:val="17"/>
                <w:color w:val="auto"/>
              </w:rPr>
            </w:pP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w:t>
            </w:r>
          </w:p>
        </w:tc>
      </w:tr>
      <w:tr>
        <w:trPr>
          <w:trHeight w:val="223"/>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Other Equity</w:t>
            </w: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assets related to the consolidated VIEs, with the exception of the Operating Partnership, comprised 4.5 percent and 4.9 percent of our consolidated total assets at September 30, 2022 and December 31, 2021, respectively. Total liabilities comprised 1.4 percent and 2.8 percent of our consolidated total liabilities at September 30, 2022 and December 31, 2021, respectively. Equity Interests and Noncontrolling interests related to the consolidated VIEs, on an absolute basis, comprised less than 1.0 percent of our consolidated total equity at September 30, 2022 and December 31, 2021,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 and Line of Credit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debt including premiums, discounts and deferred financing costs (in millions, except for statistical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4"/>
          </w:tcPr>
          <w:p>
            <w:pPr>
              <w:ind w:left="620"/>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2680" w:type="dxa"/>
            <w:vAlign w:val="bottom"/>
            <w:gridSpan w:val="3"/>
          </w:tcPr>
          <w:p>
            <w:pPr>
              <w:jc w:val="right"/>
              <w:ind w:right="664"/>
              <w:spacing w:after="0"/>
              <w:rPr>
                <w:sz w:val="20"/>
                <w:szCs w:val="20"/>
                <w:color w:val="auto"/>
              </w:rPr>
            </w:pPr>
            <w:r>
              <w:rPr>
                <w:rFonts w:ascii="Times New Roman" w:cs="Times New Roman" w:eastAsia="Times New Roman" w:hAnsi="Times New Roman"/>
                <w:sz w:val="15"/>
                <w:szCs w:val="15"/>
                <w:b w:val="1"/>
                <w:bCs w:val="1"/>
                <w:color w:val="auto"/>
              </w:rPr>
              <w:t>Weighted Average</w:t>
            </w:r>
          </w:p>
        </w:tc>
      </w:tr>
      <w:tr>
        <w:trPr>
          <w:trHeight w:val="212"/>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4"/>
          </w:tcPr>
          <w:p>
            <w:pPr>
              <w:jc w:val="right"/>
              <w:ind w:right="544"/>
              <w:spacing w:after="0"/>
              <w:rPr>
                <w:sz w:val="20"/>
                <w:szCs w:val="20"/>
                <w:color w:val="auto"/>
              </w:rPr>
            </w:pPr>
            <w:r>
              <w:rPr>
                <w:rFonts w:ascii="Times New Roman" w:cs="Times New Roman" w:eastAsia="Times New Roman" w:hAnsi="Times New Roman"/>
                <w:sz w:val="15"/>
                <w:szCs w:val="15"/>
                <w:b w:val="1"/>
                <w:bCs w:val="1"/>
                <w:color w:val="auto"/>
              </w:rPr>
              <w:t>Carrying Amount</w:t>
            </w:r>
          </w:p>
        </w:tc>
        <w:tc>
          <w:tcPr>
            <w:tcW w:w="200" w:type="dxa"/>
            <w:vAlign w:val="bottom"/>
          </w:tcPr>
          <w:p>
            <w:pPr>
              <w:spacing w:after="0"/>
              <w:rPr>
                <w:sz w:val="18"/>
                <w:szCs w:val="18"/>
                <w:color w:val="auto"/>
              </w:rPr>
            </w:pPr>
          </w:p>
        </w:tc>
        <w:tc>
          <w:tcPr>
            <w:tcW w:w="2640" w:type="dxa"/>
            <w:vAlign w:val="bottom"/>
            <w:gridSpan w:val="4"/>
          </w:tcPr>
          <w:p>
            <w:pPr>
              <w:ind w:left="640"/>
              <w:spacing w:after="0"/>
              <w:rPr>
                <w:sz w:val="20"/>
                <w:szCs w:val="20"/>
                <w:color w:val="auto"/>
              </w:rPr>
            </w:pPr>
            <w:r>
              <w:rPr>
                <w:rFonts w:ascii="Times New Roman" w:cs="Times New Roman" w:eastAsia="Times New Roman" w:hAnsi="Times New Roman"/>
                <w:sz w:val="15"/>
                <w:szCs w:val="15"/>
                <w:b w:val="1"/>
                <w:bCs w:val="1"/>
                <w:color w:val="auto"/>
              </w:rPr>
              <w:t>Years to Maturity</w:t>
            </w:r>
          </w:p>
        </w:tc>
        <w:tc>
          <w:tcPr>
            <w:tcW w:w="2680" w:type="dxa"/>
            <w:vAlign w:val="bottom"/>
            <w:gridSpan w:val="3"/>
          </w:tcPr>
          <w:p>
            <w:pPr>
              <w:jc w:val="right"/>
              <w:ind w:right="804"/>
              <w:spacing w:after="0"/>
              <w:rPr>
                <w:sz w:val="20"/>
                <w:szCs w:val="20"/>
                <w:color w:val="auto"/>
              </w:rPr>
            </w:pPr>
            <w:r>
              <w:rPr>
                <w:rFonts w:ascii="Times New Roman" w:cs="Times New Roman" w:eastAsia="Times New Roman" w:hAnsi="Times New Roman"/>
                <w:sz w:val="15"/>
                <w:szCs w:val="15"/>
                <w:b w:val="1"/>
                <w:bCs w:val="1"/>
                <w:color w:val="auto"/>
              </w:rPr>
              <w:t>Interest Rates</w:t>
            </w:r>
          </w:p>
        </w:tc>
      </w:tr>
      <w:tr>
        <w:trPr>
          <w:trHeight w:val="146"/>
        </w:trPr>
        <w:tc>
          <w:tcPr>
            <w:tcW w:w="3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64"/>
              <w:spacing w:after="0" w:line="146"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200" w:type="dxa"/>
            <w:vAlign w:val="bottom"/>
          </w:tcPr>
          <w:p>
            <w:pPr>
              <w:spacing w:after="0"/>
              <w:rPr>
                <w:sz w:val="12"/>
                <w:szCs w:val="12"/>
                <w:color w:val="auto"/>
              </w:rPr>
            </w:pPr>
          </w:p>
        </w:tc>
        <w:tc>
          <w:tcPr>
            <w:tcW w:w="1260" w:type="dxa"/>
            <w:vAlign w:val="bottom"/>
            <w:tcBorders>
              <w:top w:val="single" w:sz="8" w:color="auto"/>
            </w:tcBorders>
            <w:gridSpan w:val="2"/>
          </w:tcPr>
          <w:p>
            <w:pPr>
              <w:ind w:left="120"/>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180" w:type="dxa"/>
            <w:vAlign w:val="bottom"/>
            <w:tcBorders>
              <w:top w:val="single" w:sz="8" w:color="auto"/>
            </w:tcBorders>
          </w:tcPr>
          <w:p>
            <w:pPr>
              <w:jc w:val="right"/>
              <w:ind w:right="84"/>
              <w:spacing w:after="0" w:line="146"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200" w:type="dxa"/>
            <w:vAlign w:val="bottom"/>
          </w:tcPr>
          <w:p>
            <w:pPr>
              <w:spacing w:after="0"/>
              <w:rPr>
                <w:sz w:val="12"/>
                <w:szCs w:val="12"/>
                <w:color w:val="auto"/>
              </w:rPr>
            </w:pPr>
          </w:p>
        </w:tc>
        <w:tc>
          <w:tcPr>
            <w:tcW w:w="1380" w:type="dxa"/>
            <w:vAlign w:val="bottom"/>
            <w:tcBorders>
              <w:top w:val="single" w:sz="8" w:color="auto"/>
            </w:tcBorders>
            <w:gridSpan w:val="2"/>
          </w:tcPr>
          <w:p>
            <w:pPr>
              <w:ind w:left="180"/>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300" w:type="dxa"/>
            <w:vAlign w:val="bottom"/>
            <w:tcBorders>
              <w:top w:val="single" w:sz="8" w:color="auto"/>
            </w:tcBorders>
          </w:tcPr>
          <w:p>
            <w:pPr>
              <w:spacing w:after="0"/>
              <w:rPr>
                <w:sz w:val="12"/>
                <w:szCs w:val="12"/>
                <w:color w:val="auto"/>
              </w:rPr>
            </w:pPr>
          </w:p>
        </w:tc>
      </w:tr>
      <w:tr>
        <w:trPr>
          <w:trHeight w:val="212"/>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2021</w:t>
            </w:r>
          </w:p>
        </w:tc>
        <w:tc>
          <w:tcPr>
            <w:tcW w:w="1380" w:type="dxa"/>
            <w:vAlign w:val="bottom"/>
            <w:gridSpan w:val="2"/>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8"/>
                <w:szCs w:val="18"/>
                <w:color w:val="auto"/>
              </w:rPr>
            </w:pPr>
          </w:p>
        </w:tc>
        <w:tc>
          <w:tcPr>
            <w:tcW w:w="118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2021</w:t>
            </w:r>
          </w:p>
        </w:tc>
        <w:tc>
          <w:tcPr>
            <w:tcW w:w="200" w:type="dxa"/>
            <w:vAlign w:val="bottom"/>
          </w:tcPr>
          <w:p>
            <w:pPr>
              <w:spacing w:after="0"/>
              <w:rPr>
                <w:sz w:val="18"/>
                <w:szCs w:val="18"/>
                <w:color w:val="auto"/>
              </w:rPr>
            </w:pPr>
          </w:p>
        </w:tc>
        <w:tc>
          <w:tcPr>
            <w:tcW w:w="1300" w:type="dxa"/>
            <w:vAlign w:val="bottom"/>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3280" w:type="dxa"/>
            <w:vAlign w:val="bottom"/>
            <w:tcBorders>
              <w:top w:val="single" w:sz="8" w:color="CCEEFF"/>
            </w:tcBorders>
            <w:shd w:val="clear" w:color="auto" w:fill="CCEEFF"/>
          </w:tcPr>
          <w:p>
            <w:pPr>
              <w:ind w:left="20"/>
              <w:spacing w:after="0" w:line="200" w:lineRule="exact"/>
              <w:rPr>
                <w:sz w:val="20"/>
                <w:szCs w:val="20"/>
                <w:color w:val="auto"/>
              </w:rPr>
            </w:pPr>
            <w:r>
              <w:rPr>
                <w:rFonts w:ascii="Times New Roman" w:cs="Times New Roman" w:eastAsia="Times New Roman" w:hAnsi="Times New Roman"/>
                <w:sz w:val="15"/>
                <w:szCs w:val="15"/>
                <w:color w:val="auto"/>
              </w:rPr>
              <w:t>Secured Debt</w:t>
            </w:r>
            <w:r>
              <w:rPr>
                <w:rFonts w:ascii="Times New Roman" w:cs="Times New Roman" w:eastAsia="Times New Roman" w:hAnsi="Times New Roman"/>
                <w:sz w:val="19"/>
                <w:szCs w:val="19"/>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3,006.0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3,380.7</w:t>
            </w:r>
          </w:p>
        </w:tc>
        <w:tc>
          <w:tcPr>
            <w:tcW w:w="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2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3.665 %</w:t>
            </w: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3.779 %</w:t>
            </w:r>
          </w:p>
        </w:tc>
      </w:tr>
      <w:tr>
        <w:trPr>
          <w:trHeight w:val="200"/>
        </w:trPr>
        <w:tc>
          <w:tcPr>
            <w:tcW w:w="3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Unsecured Debt</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5"/>
        </w:trPr>
        <w:tc>
          <w:tcPr>
            <w:tcW w:w="328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5"/>
                <w:szCs w:val="15"/>
                <w:color w:val="auto"/>
              </w:rPr>
              <w:t>Senior unsecured notes</w:t>
            </w:r>
            <w:r>
              <w:rPr>
                <w:rFonts w:ascii="Times New Roman" w:cs="Times New Roman" w:eastAsia="Times New Roman" w:hAnsi="Times New Roman"/>
                <w:sz w:val="19"/>
                <w:szCs w:val="19"/>
                <w:color w:val="auto"/>
                <w:vertAlign w:val="superscript"/>
              </w:rPr>
              <w:t>(2)</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1,779.1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1,186.4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2.9 %</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2.55 %</w:t>
            </w:r>
          </w:p>
        </w:tc>
      </w:tr>
      <w:tr>
        <w:trPr>
          <w:trHeight w:val="203"/>
        </w:trPr>
        <w:tc>
          <w:tcPr>
            <w:tcW w:w="3280" w:type="dxa"/>
            <w:vAlign w:val="bottom"/>
          </w:tcPr>
          <w:p>
            <w:pPr>
              <w:ind w:left="140"/>
              <w:spacing w:after="0" w:line="203" w:lineRule="exact"/>
              <w:rPr>
                <w:sz w:val="20"/>
                <w:szCs w:val="20"/>
                <w:color w:val="auto"/>
              </w:rPr>
            </w:pPr>
            <w:r>
              <w:rPr>
                <w:rFonts w:ascii="Times New Roman" w:cs="Times New Roman" w:eastAsia="Times New Roman" w:hAnsi="Times New Roman"/>
                <w:sz w:val="15"/>
                <w:szCs w:val="15"/>
                <w:color w:val="auto"/>
              </w:rPr>
              <w:t>Line of credit and other debt</w:t>
            </w:r>
            <w:r>
              <w:rPr>
                <w:rFonts w:ascii="Times New Roman" w:cs="Times New Roman" w:eastAsia="Times New Roman" w:hAnsi="Times New Roman"/>
                <w:sz w:val="19"/>
                <w:szCs w:val="19"/>
                <w:color w:val="auto"/>
                <w:vertAlign w:val="superscript"/>
              </w:rPr>
              <w:t>(3)</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3.261 %</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0.978 %</w:t>
            </w:r>
          </w:p>
        </w:tc>
      </w:tr>
      <w:tr>
        <w:trPr>
          <w:trHeight w:val="148"/>
        </w:trPr>
        <w:tc>
          <w:tcPr>
            <w:tcW w:w="32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5"/>
                <w:szCs w:val="15"/>
                <w:color w:val="auto"/>
              </w:rPr>
              <w:t>Preferred equity - Sun NG Resorts - mandatorily</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redeemable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6.0 %</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6.0 %</w:t>
            </w:r>
          </w:p>
        </w:tc>
      </w:tr>
      <w:tr>
        <w:trPr>
          <w:trHeight w:val="200"/>
        </w:trPr>
        <w:tc>
          <w:tcPr>
            <w:tcW w:w="3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Preferred OP units - mandatorily redeemable</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0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5.932 %</w:t>
            </w: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5.932 %</w:t>
            </w:r>
          </w:p>
        </w:tc>
      </w:tr>
      <w:tr>
        <w:trPr>
          <w:trHeight w:val="196"/>
        </w:trPr>
        <w:tc>
          <w:tcPr>
            <w:tcW w:w="3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Unsecured Debt</w:t>
            </w: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3,705.0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2,291.1</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8"/>
        </w:trPr>
        <w:tc>
          <w:tcPr>
            <w:tcW w:w="3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Debt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6,711.0</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5,671.8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3.374 %</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3.038 %</w:t>
            </w:r>
          </w:p>
        </w:tc>
      </w:tr>
      <w:tr>
        <w:trPr>
          <w:trHeight w:val="21"/>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85" w:lineRule="exact"/>
        <w:rPr>
          <w:sz w:val="20"/>
          <w:szCs w:val="20"/>
          <w:color w:val="auto"/>
        </w:rPr>
      </w:pPr>
    </w:p>
    <w:p>
      <w:pPr>
        <w:ind w:left="180" w:hanging="172"/>
        <w:spacing w:after="0" w:line="230" w:lineRule="auto"/>
        <w:tabs>
          <w:tab w:leader="none" w:pos="173"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Balances at September 30, 2022 and December 31, 2021 include $0.1 million and $1.7 million of net debt premium, respectively, and $13.1 million and $14.7 million of deferred financing costs, respectively.</w:t>
      </w:r>
    </w:p>
    <w:p>
      <w:pPr>
        <w:spacing w:after="0" w:line="27" w:lineRule="exact"/>
        <w:rPr>
          <w:rFonts w:ascii="Times New Roman" w:cs="Times New Roman" w:eastAsia="Times New Roman" w:hAnsi="Times New Roman"/>
          <w:sz w:val="19"/>
          <w:szCs w:val="19"/>
          <w:color w:val="auto"/>
          <w:vertAlign w:val="superscript"/>
        </w:rPr>
      </w:pPr>
    </w:p>
    <w:p>
      <w:pPr>
        <w:ind w:left="180" w:hanging="172"/>
        <w:spacing w:after="0" w:line="299" w:lineRule="auto"/>
        <w:tabs>
          <w:tab w:leader="none" w:pos="174"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Balances at September 30, 2022 and December 31, 2021 include $6.3 million and $3.3 million of net debt discount, respectively, and $14.6 million and $10.3 million of deferred financing costs, respectively. Weighted average interest rates include the impact of hedge activity.</w:t>
      </w:r>
    </w:p>
    <w:p>
      <w:pPr>
        <w:spacing w:after="0" w:line="3" w:lineRule="exact"/>
        <w:rPr>
          <w:rFonts w:ascii="Times New Roman" w:cs="Times New Roman" w:eastAsia="Times New Roman" w:hAnsi="Times New Roman"/>
          <w:sz w:val="9"/>
          <w:szCs w:val="9"/>
          <w:color w:val="auto"/>
        </w:rPr>
      </w:pPr>
    </w:p>
    <w:p>
      <w:pPr>
        <w:ind w:left="180" w:hanging="172"/>
        <w:spacing w:after="0"/>
        <w:tabs>
          <w:tab w:leader="none" w:pos="176"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Balance at September 30, 2022 and December 31, 2021 includes $3.3 million and $0 of deferred financing costs, respectively. Weighted average interest rates include the impact of hedge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Debt</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Secured debt consists of mortgage term loans. During the nine months ended September 30, 2022 and the year ended December 31, 2021, we paid off the following mortgage term loans during the quarters presented below (in millions, except for statistical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Loss on</w:t>
            </w:r>
          </w:p>
        </w:tc>
        <w:tc>
          <w:tcPr>
            <w:tcW w:w="0" w:type="dxa"/>
            <w:vAlign w:val="bottom"/>
          </w:tcPr>
          <w:p>
            <w:pPr>
              <w:spacing w:after="0"/>
              <w:rPr>
                <w:sz w:val="1"/>
                <w:szCs w:val="1"/>
                <w:color w:val="auto"/>
              </w:rPr>
            </w:pPr>
          </w:p>
        </w:tc>
      </w:tr>
      <w:tr>
        <w:trPr>
          <w:trHeight w:val="156"/>
        </w:trPr>
        <w:tc>
          <w:tcPr>
            <w:tcW w:w="4460" w:type="dxa"/>
            <w:vAlign w:val="bottom"/>
            <w:vMerge w:val="restart"/>
          </w:tcPr>
          <w:p>
            <w:pPr>
              <w:ind w:left="202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Repayment Amount</w:t>
            </w:r>
          </w:p>
        </w:tc>
        <w:tc>
          <w:tcPr>
            <w:tcW w:w="260" w:type="dxa"/>
            <w:vAlign w:val="bottom"/>
          </w:tcPr>
          <w:p>
            <w:pPr>
              <w:spacing w:after="0"/>
              <w:rPr>
                <w:sz w:val="13"/>
                <w:szCs w:val="13"/>
                <w:color w:val="auto"/>
              </w:rPr>
            </w:pPr>
          </w:p>
        </w:tc>
        <w:tc>
          <w:tcPr>
            <w:tcW w:w="1660" w:type="dxa"/>
            <w:vAlign w:val="bottom"/>
            <w:vMerge w:val="restart"/>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Fixed Interest Rate</w:t>
            </w:r>
          </w:p>
        </w:tc>
        <w:tc>
          <w:tcPr>
            <w:tcW w:w="80" w:type="dxa"/>
            <w:vAlign w:val="bottom"/>
            <w:vMerge w:val="restart"/>
          </w:tcPr>
          <w:p>
            <w:pPr>
              <w:spacing w:after="0"/>
              <w:rPr>
                <w:sz w:val="13"/>
                <w:szCs w:val="13"/>
                <w:color w:val="auto"/>
              </w:rPr>
            </w:pPr>
          </w:p>
        </w:tc>
        <w:tc>
          <w:tcPr>
            <w:tcW w:w="1560" w:type="dxa"/>
            <w:vAlign w:val="bottom"/>
            <w:vMerge w:val="restart"/>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Extinguishment of</w:t>
            </w:r>
          </w:p>
        </w:tc>
        <w:tc>
          <w:tcPr>
            <w:tcW w:w="0" w:type="dxa"/>
            <w:vAlign w:val="bottom"/>
          </w:tcPr>
          <w:p>
            <w:pPr>
              <w:spacing w:after="0"/>
              <w:rPr>
                <w:sz w:val="1"/>
                <w:szCs w:val="1"/>
                <w:color w:val="auto"/>
              </w:rPr>
            </w:pPr>
          </w:p>
        </w:tc>
      </w:tr>
      <w:tr>
        <w:trPr>
          <w:trHeight w:val="202"/>
        </w:trPr>
        <w:tc>
          <w:tcPr>
            <w:tcW w:w="44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7"/>
              </w:rPr>
              <w:t>Debt</w:t>
            </w:r>
          </w:p>
        </w:tc>
        <w:tc>
          <w:tcPr>
            <w:tcW w:w="0" w:type="dxa"/>
            <w:vAlign w:val="bottom"/>
          </w:tcPr>
          <w:p>
            <w:pPr>
              <w:spacing w:after="0"/>
              <w:rPr>
                <w:sz w:val="1"/>
                <w:szCs w:val="1"/>
                <w:color w:val="auto"/>
              </w:rPr>
            </w:pPr>
          </w:p>
        </w:tc>
      </w:tr>
      <w:tr>
        <w:trPr>
          <w:trHeight w:val="169"/>
        </w:trPr>
        <w:tc>
          <w:tcPr>
            <w:tcW w:w="4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September 30, 2022</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318.0</w:t>
            </w:r>
          </w:p>
        </w:tc>
        <w:tc>
          <w:tcPr>
            <w:tcW w:w="26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4.81 %</w:t>
            </w:r>
          </w:p>
        </w:tc>
        <w:tc>
          <w:tcPr>
            <w:tcW w:w="8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00"/>
              <w:spacing w:after="0" w:line="169" w:lineRule="exact"/>
              <w:rPr>
                <w:sz w:val="20"/>
                <w:szCs w:val="20"/>
                <w:color w:val="auto"/>
              </w:rPr>
            </w:pPr>
            <w:r>
              <w:rPr>
                <w:rFonts w:ascii="Times New Roman" w:cs="Times New Roman" w:eastAsia="Times New Roman" w:hAnsi="Times New Roman"/>
                <w:sz w:val="15"/>
                <w:szCs w:val="15"/>
                <w:color w:val="auto"/>
              </w:rPr>
              <w:t>December 6, 2022 -</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203"/>
        </w:trPr>
        <w:tc>
          <w:tcPr>
            <w:tcW w:w="454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0"/>
                <w:szCs w:val="10"/>
                <w:color w:val="auto"/>
              </w:rPr>
              <w:t>(1)</w:t>
            </w:r>
          </w:p>
        </w:tc>
        <w:tc>
          <w:tcPr>
            <w:tcW w:w="1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September 6, 2024</w:t>
            </w:r>
          </w:p>
        </w:tc>
        <w:tc>
          <w:tcPr>
            <w:tcW w:w="120" w:type="dxa"/>
            <w:vAlign w:val="bottom"/>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Three months ended June 30,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3.89 %</w:t>
            </w:r>
          </w:p>
        </w:tc>
        <w:tc>
          <w:tcPr>
            <w:tcW w:w="80" w:type="dxa"/>
            <w:vAlign w:val="bottom"/>
          </w:tcPr>
          <w:p>
            <w:pPr>
              <w:spacing w:after="0"/>
              <w:rPr>
                <w:sz w:val="17"/>
                <w:szCs w:val="17"/>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October 1,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December 31,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0"/>
                <w:szCs w:val="10"/>
                <w:color w:val="auto"/>
              </w:rPr>
              <w:t>(2)</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4.3 %</w:t>
            </w:r>
          </w:p>
        </w:tc>
        <w:tc>
          <w:tcPr>
            <w:tcW w:w="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February 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17 mortgage term loans which were scheduled to mature from December 6, 2022 to September 6, 2024 that are secured by 35 properties.</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two mortgage term loans which were scheduled to mature on February 1, 2022.</w:t>
      </w:r>
    </w:p>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2022, we entered into a new $20.6 million construction loan, which was undrawn as of September 30, 2022 and a $3.4 million mortgage term loan that are jointly secured by one property. Both loans mature August 10, 2047 and have a fixed interest rate of 3.65 percent</w:t>
      </w:r>
      <w:r>
        <w:rPr>
          <w:rFonts w:ascii="Times New Roman" w:cs="Times New Roman" w:eastAsia="Times New Roman" w:hAnsi="Times New Roman"/>
          <w:sz w:val="18"/>
          <w:szCs w:val="18"/>
          <w:color w:val="CC0099"/>
        </w:rPr>
        <w:t>.</w:t>
      </w:r>
      <w:r>
        <w:rPr>
          <w:rFonts w:ascii="Times New Roman" w:cs="Times New Roman" w:eastAsia="Times New Roman" w:hAnsi="Times New Roman"/>
          <w:sz w:val="18"/>
          <w:szCs w:val="18"/>
          <w:color w:val="auto"/>
        </w:rPr>
        <w:t xml:space="preserve"> During the year ended December 31, 2021, we did not enter into any new mortgage term loans. The mortgage term loans, which total $3.0 billion as of September 30, 2022, are secured by 155 properties comprised of 61,993 sites representing approximately $2.7 billion of net book value.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Unsecured Debt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2022, the Operating Partnership issued $600.0 million of senior unsecured notes with an interest rate of 4.2 percent and a ten-year term, due April 15, 2032 (the "2032 Notes"). Interest on the 2032 Notes is payable semi-annually in arrears on April 15 and October 15 of each year, beginning on October 15, 2022. The net proceeds from the offering were $592.3 million after deducting underwriters' discounts and estimated offering expenses. We used the net proceeds from the offering to repay borrowings outstanding under our Senior Credit Facility (as defined below).</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2021, the Operating Partnership issued $450.0 million of senior unsecured notes with an interest rate of 2.3 percent and a seven-year term, due November 1, 2028 (the "2028 Notes"). Interest on the 2028 Notes is payable semi-annually in arrears on May 1 and November 1 of each year, beginning on May 1, 2022. The Operating Partnership also issued an additional $150.0 million of its 2031 Notes (as defined below). The net proceeds from both offerings were approximately $595.5 million after deducting underwriters' discounts and estimated offering expenses. The proceeds were used to pay down borrowings under our Senior Credit Facility.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2021, the Operating Partnership issued $600.0 million of senior unsecured notes with an interest rate of 2.7 percent and a ten-year term, due July 15, 2031 (the "2031 Notes"). Interest on the 2031 Notes is payable semi-annually in arrears on January 15 and July 15 of each year, beginning on January 15, 2022. The net proceeds from the offering were approximately $592.4 million, after deducting underwriters' discounts and estimated offering expenses. The proceeds were used to pay down borrowings under our Senior Credit Facility.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outstanding principal balance of senior unsecured notes was $1.8 billion at September 30, 2022. This balance is recorded in the Unsecured debt line item on the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 of Credit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2022, in connection with the closing of the Park Holidays acquisition, the Operating Partnership as borrower, and SUI, as guarantor, and certain lenders entered into Amendment No. 1 to the Fourth Amended and Restated Credit Agreement and Other Loan Documents (the "Credit Facility Amendment"), which amended our senior credit facility (the "Senior Credit Facility").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Facility Amendment increased the aggregate amount of our Senior Credit Facility to $4.2 billion with the ability to upsize the total borrowings by an additional $800.0 million, subject to certain conditions. The increased aggregate amount under the Senior Credit Facility consists of the following:</w:t>
      </w:r>
    </w:p>
    <w:p>
      <w:pPr>
        <w:jc w:val="both"/>
        <w:ind w:firstLine="8"/>
        <w:spacing w:after="0" w:line="253" w:lineRule="auto"/>
        <w:tabs>
          <w:tab w:leader="none" w:pos="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loan in an amount up to $3.05 billion and (b) a term loan facility of $1.15 billion, with the ability to draw funds from the combined facilities in United States ("U.S.") U.S. dollars, Pounds sterling, Euros, Canadian dollars and Australian dollars, subject to certain limitations. The Credit Facility Amendment extended the maturity date of the revolving loan facility to April 7, 2026. At our option that maturity date may be extended two additional six-month periods. In addition, the Credit Facility Amendment established the maturity date of the term loan facility under the Credit Facility Amendment as April 7, 2025, which may not be further extended.</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Credit Facility Amendment, the Senior Credit Facility permitted aggregate borrowings of up to $2.0 billion, with an accordion feature that allowed for additional commitments of up to $1.0 billion, subject to the satisfaction of certain conditions. Prior to the amendment, $500.0 million of available borrowings under the Senior Credit Facility were scheduled to mature on October 11, 2024, with the remainder scheduled to mature on June 14, 2025. We had no loss on extinguishment of debt during the three months ended September 30, 2022 and 2021. During the nine months ended September 30, 2021, we recognized losses on extinguishment of debt in our Consolidated Statements of Operations of $0.1 million related to the amendment of the Senior Credit Facility, and $0.2 million and $7.9 million, related to the termination of our $750.0 million credit facility and the $1.8 billion credit facility between Safe Harbor and certain lenders, respectively.</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Senior Credit Facility bears interest at a floating rate based on Adjusted Term Secured Overnight Financing Rate ("SOFR"), the Adjusted Eurocurrency Rate, the Daily Risk Free Rate ("RFR"), the Australian Bank Bill Swap Bid Rate ("BBSY"), the Daily Sterling Overnight Index Average ("SONIA") Rate or the Canadian Dollar Offered Rate, as applicable, plus a margin, in all cases, which can range from 0.725 percent to 1.6 percent, subject to certain adjustments. As of September 30, 2022, the margins based on our credit ratings were 0.85 percent on the revolving loan facility and 0.95 percent on the term loan facility. During the quarter ended September 30, 2022, we achieved sustainability related requirements resulting in a favorable 0.01 percent adjustment to both margins.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lenders' option, the Senior Credit Facility will become immediately due and payable upon an event of default under the Credit Facility Amendment. We had $862.1 million of borrowings outstanding under the revolving loan and $974.9 million of borrowings outstanding under the term loan on the Senior Credit Facility as of September 30, 2022. We had $1.0 billion of revolving borrowings on our prior Senior Credit Facility as of December 31, 2021. These balances are recorded in Unsecured debt on the Consolidated Balance Sheets.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Credit Facility provides us with the ability to issue letters of credit. Our issuance of letters of credit does not increase our borrowings outstanding under the Senior Credit Facility, but does reduce the borrowing amount available. We had $21.6 million and $2.2 million of outstanding letters of credit at September 30, 2022 and December 31, 2021,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Loan Termination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2022, we terminated our commitment letter with Citigroup Global Markets, Inc. ("Citigroup"), pursuant to which, Citigroup (on behalf of its affiliates), previously committed to lend us up to £950.0 million, or approximately $1.2 billion converted at the March 31, 2022 exchange rate (the "Bridge Loan"). As of the date of termination, we did not have any borrowings outstanding under the Bridge Loan. During the three months ended March 31, 2022, we recognized a Loss on extinguishment of debt in our Consolidated Statement of Operations of $0.3 million related to the termination of the Bridge Loan.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Unsecured Term Loan</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2019, we assumed a $58.0 million secured term loan facility related to an acquisition. The term loan has a four-year term ending October 29, 2023, and bears interest at a floating rate based on the Eurodollar rate or Prime rate plus a margin ranging from 1.20 percent to 2.05 percent. Effective July 1, 2021, the agreement was amended to release the associated collateral. The amendment extended the term loan facility maturity date to October 29, 2025 and adjusted the interest rate margin to a range from 0.8 percent to 1.6 percent. In August 2022, we amended the secured term loan facility to transition from the Eurodollar rate to SOFR. As of September 30, 2022, the margin based on our credit rating was 0.95 percent. The outstanding balance was $22.3 million at September 30, 2022 and $31.6 million at December 31, 2021, respectively. These balances are recorded in Unsecured debt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Equity - Sun NG Resorts - Mandatorily Redeemable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investment in Sun NG Resorts in June 2018, $35.3 million of mandatorily redeemable Preferred Equity ("Preferred Equity - Sun NG Resorts") was purchased by unrelated third parties. The Preferred Equity - Sun NG Resorts carries a preferred rate of return of 6.0 percent per annum. The Preferred Equity - Sun NG Resorts has a seven-year term ending June 1, 2025 and can be redeemed in the fourth quarter of 2024 at the holders' option. The Preferred Equity - Sun NG Resorts as of September 30, 2022 was $35.2 million. This balance is recorded within the Unsecured debt line item on the Consolidated Balance Sheets. Refer to Note 7, "Consolidated Variable Interest Entities," for additional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OP Units - Mandatorily Redeemable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OP units at September 30, 2022 and December 31, 2021 include $34.7 million of Aspen preferred OP units issued by the Operating Partnership.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these units are convertible indirectly into 403,262 shares of our common stock.</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2020, we amended the Operating Partnership's partnership agreement. The amendment extended the automatic redemption date and reduced the annual distribution rate for 270,000 of the Aspen preferred OP units (the "Extended Units"). Subject to certain limitations, at any time prior to January 1, 2024 (or prior to January 1, 2034 with respect to the Extended Units), the holder of each Aspen preferred OP unit at its option may convert such Aspen preferred OP unit into: (a) if the average closing price of our common stock for the preceding ten trading days is $68.00 per share or less, 0.397 common OP units; or (b) if the ten-day average closing price is greater than $68.00 per share, the number of common OP units is determined by dividing (i) the sum of (A) $27.00 plus (B) 25.0 percent of the amount by which the ten-day average closing price exceeds $68.00 per share, by (ii) the ten-day average closing price. The current preferred distribution rate is 3.8 percent on the Extended Units and 6.5 percent on all other Aspen preferred OP units. On January 2, 2024 (or January 2, 2034 with respect to the Extended Units), we are required to redeem for cash all Aspen preferred OP units that have not been converted to common OP units. As of September 30, 2022, 270,000 of the Extended Units and 1,013,819 other Aspen preferred units were outstanding. These balances are recorded within the Unsecured debt line item on the Consolidated Balance Sheets.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mortgage term loans, senior unsecured notes and Senior Credit Facility are subject to various financial and other covenants. The most restrictive covenants are pursuant to (a) the terms of the Senior Credit Facility, which contains a minimum fixed charge coverage ratio, maximum leverage ratio, distribution ratio and variable rate indebtedness, and (b) the terms of the senior unsecured notes, which contain a total debt to total assets ratio, secured debt to total assets ratio, consolidated income available for debt service to debt service ratio and unencumbered total asset value to unsecured debt covenants ratio. At September 30, 2022, we were in compliance with all covenants.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certain of our subsidiary borrowers own properties that secure loans. These subsidiaries are consolidated within our accompanying Consolidated Financial Statements, however, each of these subsidiaries' assets and credit are not available to satisfy our debts and other obligations, and any of our other subsidiaries or any other person or entity.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 and Temporary Equity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Preferred OP Units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Temporary equity includes preferred securities that are redeemable for cash at the holder's option or upon the occurrence of an event that is not solely within our control based on a fixed or determinable price. These securities are not mandatorily redeemable for cash nor do they contain a fixed maturity date. The following table sets forth the various series of redeemable preferred OP units that were outstanding as of September 30, 2022 and the related terms, and summarizes the balance included on our Consolidated Balance Sheets (in millions, except for statistical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vMerge w:val="restart"/>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OP Units</w:t>
            </w:r>
          </w:p>
        </w:tc>
        <w:tc>
          <w:tcPr>
            <w:tcW w:w="80" w:type="dxa"/>
            <w:vAlign w:val="bottom"/>
          </w:tcPr>
          <w:p>
            <w:pPr>
              <w:spacing w:after="0"/>
              <w:rPr>
                <w:sz w:val="15"/>
                <w:szCs w:val="15"/>
                <w:color w:val="auto"/>
              </w:rPr>
            </w:pP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Exchange</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Annual</w:t>
            </w:r>
          </w:p>
        </w:tc>
        <w:tc>
          <w:tcPr>
            <w:tcW w:w="1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5"/>
                <w:szCs w:val="15"/>
                <w:b w:val="1"/>
                <w:bCs w:val="1"/>
                <w:color w:val="auto"/>
              </w:rPr>
              <w:t>Cash</w:t>
            </w: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5"/>
                <w:szCs w:val="15"/>
                <w:color w:val="auto"/>
              </w:rPr>
            </w:pPr>
          </w:p>
        </w:tc>
        <w:tc>
          <w:tcPr>
            <w:tcW w:w="1040" w:type="dxa"/>
            <w:vAlign w:val="bottom"/>
            <w:vMerge w:val="restart"/>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56"/>
        </w:trPr>
        <w:tc>
          <w:tcPr>
            <w:tcW w:w="20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4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Distribution</w:t>
            </w:r>
          </w:p>
        </w:tc>
        <w:tc>
          <w:tcPr>
            <w:tcW w:w="1240" w:type="dxa"/>
            <w:vAlign w:val="bottom"/>
            <w:gridSpan w:val="2"/>
            <w:vMerge w:val="continue"/>
          </w:tcPr>
          <w:p>
            <w:pPr>
              <w:spacing w:after="0"/>
              <w:rPr>
                <w:sz w:val="13"/>
                <w:szCs w:val="13"/>
                <w:color w:val="auto"/>
              </w:rPr>
            </w:pPr>
          </w:p>
        </w:tc>
        <w:tc>
          <w:tcPr>
            <w:tcW w:w="22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5"/>
                <w:szCs w:val="15"/>
                <w:b w:val="1"/>
                <w:bCs w:val="1"/>
                <w:color w:val="auto"/>
              </w:rPr>
              <w:t>Redemption Period</w:t>
            </w: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40" w:type="dxa"/>
            <w:vAlign w:val="bottom"/>
            <w:gridSpan w:val="2"/>
            <w:vMerge w:val="continue"/>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80" w:type="dxa"/>
            <w:vAlign w:val="bottom"/>
          </w:tcPr>
          <w:p>
            <w:pPr>
              <w:spacing w:after="0"/>
              <w:rPr>
                <w:sz w:val="17"/>
                <w:szCs w:val="17"/>
                <w:color w:val="auto"/>
              </w:rPr>
            </w:pPr>
          </w:p>
        </w:tc>
        <w:tc>
          <w:tcPr>
            <w:tcW w:w="94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5"/>
                <w:szCs w:val="15"/>
                <w:b w:val="1"/>
                <w:bCs w:val="1"/>
                <w:color w:val="auto"/>
                <w:w w:val="93"/>
              </w:rPr>
              <w:t>Rate</w:t>
            </w:r>
            <w:r>
              <w:rPr>
                <w:rFonts w:ascii="Times New Roman" w:cs="Times New Roman" w:eastAsia="Times New Roman" w:hAnsi="Times New Roman"/>
                <w:sz w:val="19"/>
                <w:szCs w:val="19"/>
                <w:color w:val="auto"/>
                <w:w w:val="93"/>
                <w:vertAlign w:val="superscript"/>
              </w:rPr>
              <w:t>(1)</w:t>
            </w:r>
          </w:p>
        </w:tc>
        <w:tc>
          <w:tcPr>
            <w:tcW w:w="1240" w:type="dxa"/>
            <w:vAlign w:val="bottom"/>
            <w:gridSpan w:val="2"/>
          </w:tcPr>
          <w:p>
            <w:pPr>
              <w:jc w:val="center"/>
              <w:ind w:right="60"/>
              <w:spacing w:after="0" w:line="203" w:lineRule="exact"/>
              <w:rPr>
                <w:sz w:val="20"/>
                <w:szCs w:val="20"/>
                <w:color w:val="auto"/>
              </w:rPr>
            </w:pPr>
            <w:r>
              <w:rPr>
                <w:rFonts w:ascii="Times New Roman" w:cs="Times New Roman" w:eastAsia="Times New Roman" w:hAnsi="Times New Roman"/>
                <w:sz w:val="15"/>
                <w:szCs w:val="15"/>
                <w:b w:val="1"/>
                <w:bCs w:val="1"/>
                <w:color w:val="auto"/>
                <w:w w:val="93"/>
              </w:rPr>
              <w:t>Rate</w:t>
            </w:r>
            <w:r>
              <w:rPr>
                <w:rFonts w:ascii="Times New Roman" w:cs="Times New Roman" w:eastAsia="Times New Roman" w:hAnsi="Times New Roman"/>
                <w:sz w:val="19"/>
                <w:szCs w:val="19"/>
                <w:color w:val="auto"/>
                <w:w w:val="93"/>
                <w:vertAlign w:val="superscript"/>
              </w:rPr>
              <w:t>(2)</w:t>
            </w:r>
          </w:p>
        </w:tc>
        <w:tc>
          <w:tcPr>
            <w:tcW w:w="1240" w:type="dxa"/>
            <w:vAlign w:val="bottom"/>
            <w:gridSpan w:val="2"/>
          </w:tcPr>
          <w:p>
            <w:pPr>
              <w:ind w:left="140"/>
              <w:spacing w:after="0" w:line="203" w:lineRule="exact"/>
              <w:rPr>
                <w:sz w:val="20"/>
                <w:szCs w:val="20"/>
                <w:color w:val="auto"/>
              </w:rPr>
            </w:pPr>
            <w:r>
              <w:rPr>
                <w:rFonts w:ascii="Times New Roman" w:cs="Times New Roman" w:eastAsia="Times New Roman" w:hAnsi="Times New Roman"/>
                <w:sz w:val="15"/>
                <w:szCs w:val="15"/>
                <w:b w:val="1"/>
                <w:bCs w:val="1"/>
                <w:color w:val="auto"/>
              </w:rPr>
              <w:t>Redemption</w:t>
            </w:r>
            <w:r>
              <w:rPr>
                <w:rFonts w:ascii="Times New Roman" w:cs="Times New Roman" w:eastAsia="Times New Roman" w:hAnsi="Times New Roman"/>
                <w:sz w:val="19"/>
                <w:szCs w:val="19"/>
                <w:color w:val="auto"/>
                <w:vertAlign w:val="superscript"/>
              </w:rPr>
              <w:t>(3)</w:t>
            </w:r>
          </w:p>
        </w:tc>
        <w:tc>
          <w:tcPr>
            <w:tcW w:w="2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152"/>
        </w:trPr>
        <w:tc>
          <w:tcPr>
            <w:tcW w:w="1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120" w:type="dxa"/>
            <w:vAlign w:val="bottom"/>
            <w:tcBorders>
              <w:top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Any time after earlier of January</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D preferred OP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488,958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0.8000</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31, 2024 or death of holder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w:t>
            </w: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Any time after earlier of May 14,</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F preferred OP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0.6250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2025 or death of holder</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Any time after earlier of</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G preferred OP units</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240,710</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0.6452</w:t>
            </w:r>
          </w:p>
        </w:tc>
        <w:tc>
          <w:tcPr>
            <w:tcW w:w="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3.2 %</w:t>
            </w:r>
          </w:p>
        </w:tc>
        <w:tc>
          <w:tcPr>
            <w:tcW w:w="8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220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September 30, 2025 or death of</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w:t>
            </w:r>
          </w:p>
        </w:tc>
        <w:tc>
          <w:tcPr>
            <w:tcW w:w="0" w:type="dxa"/>
            <w:vAlign w:val="bottom"/>
          </w:tcPr>
          <w:p>
            <w:pPr>
              <w:spacing w:after="0"/>
              <w:rPr>
                <w:sz w:val="1"/>
                <w:szCs w:val="1"/>
                <w:color w:val="auto"/>
              </w:rPr>
            </w:pPr>
          </w:p>
        </w:tc>
      </w:tr>
      <w:tr>
        <w:trPr>
          <w:trHeight w:val="203"/>
        </w:trPr>
        <w:tc>
          <w:tcPr>
            <w:tcW w:w="2040" w:type="dxa"/>
            <w:vAlign w:val="bottom"/>
            <w:gridSpan w:val="2"/>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holder</w:t>
            </w: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Any time after earlier of October</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H preferred OP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581,407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0.6098</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30, 2025 or death of holder</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57.4</w:t>
            </w: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Any time after earlier of</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I preferred OP units</w:t>
            </w:r>
            <w:r>
              <w:rPr>
                <w:rFonts w:ascii="Times New Roman" w:cs="Times New Roman" w:eastAsia="Times New Roman" w:hAnsi="Times New Roman"/>
                <w:sz w:val="19"/>
                <w:szCs w:val="19"/>
                <w:color w:val="auto"/>
                <w:vertAlign w:val="superscript"/>
              </w:rPr>
              <w:t>(4)</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0.6098</w:t>
            </w:r>
          </w:p>
        </w:tc>
        <w:tc>
          <w:tcPr>
            <w:tcW w:w="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8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220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December 31, 2025 or death of</w:t>
            </w:r>
          </w:p>
        </w:tc>
        <w:tc>
          <w:tcPr>
            <w:tcW w:w="12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93.7</w:t>
            </w:r>
          </w:p>
        </w:tc>
        <w:tc>
          <w:tcPr>
            <w:tcW w:w="0" w:type="dxa"/>
            <w:vAlign w:val="bottom"/>
          </w:tcPr>
          <w:p>
            <w:pPr>
              <w:spacing w:after="0"/>
              <w:rPr>
                <w:sz w:val="1"/>
                <w:szCs w:val="1"/>
                <w:color w:val="auto"/>
              </w:rPr>
            </w:pPr>
          </w:p>
        </w:tc>
      </w:tr>
      <w:tr>
        <w:trPr>
          <w:trHeight w:val="203"/>
        </w:trPr>
        <w:tc>
          <w:tcPr>
            <w:tcW w:w="2040" w:type="dxa"/>
            <w:vAlign w:val="bottom"/>
            <w:gridSpan w:val="2"/>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holder</w:t>
            </w:r>
          </w:p>
        </w:tc>
        <w:tc>
          <w:tcPr>
            <w:tcW w:w="12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During the 30-day period</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5"/>
                <w:szCs w:val="15"/>
                <w:color w:val="auto"/>
              </w:rPr>
              <w:t>following a change of control of</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Series J preferred OP units</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240,000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0.6061</w:t>
            </w:r>
          </w:p>
        </w:tc>
        <w:tc>
          <w:tcPr>
            <w:tcW w:w="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2.85 %</w:t>
            </w:r>
          </w:p>
        </w:tc>
        <w:tc>
          <w:tcPr>
            <w:tcW w:w="8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Holder's Option</w:t>
            </w:r>
          </w:p>
        </w:tc>
        <w:tc>
          <w:tcPr>
            <w:tcW w:w="2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5"/>
                <w:szCs w:val="15"/>
                <w:color w:val="auto"/>
              </w:rPr>
              <w:t>the Company or any time after</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0" w:type="dxa"/>
            <w:vAlign w:val="bottom"/>
          </w:tcPr>
          <w:p>
            <w:pPr>
              <w:spacing w:after="0"/>
              <w:rPr>
                <w:sz w:val="1"/>
                <w:szCs w:val="1"/>
                <w:color w:val="auto"/>
              </w:rPr>
            </w:pPr>
          </w:p>
        </w:tc>
      </w:tr>
      <w:tr>
        <w:trPr>
          <w:trHeight w:val="200"/>
        </w:trPr>
        <w:tc>
          <w:tcPr>
            <w:tcW w:w="2040" w:type="dxa"/>
            <w:vAlign w:val="bottom"/>
            <w:tcBorders>
              <w:bottom w:val="single" w:sz="8" w:color="CCEEFF"/>
            </w:tcBorders>
            <w:gridSpan w:val="2"/>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CCEEFF"/>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gridSpan w:val="2"/>
            <w:vMerge w:val="continue"/>
          </w:tcPr>
          <w:p>
            <w:pPr>
              <w:spacing w:after="0"/>
              <w:rPr>
                <w:sz w:val="17"/>
                <w:szCs w:val="17"/>
                <w:color w:val="auto"/>
              </w:rPr>
            </w:pPr>
          </w:p>
        </w:tc>
        <w:tc>
          <w:tcPr>
            <w:tcW w:w="2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April 21, 2026</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1,641,075</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257.6</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Exchange rates are subject to adjustment upon stock splits, recapitalizations and similar events. The exchange rates of certain series of OP units are approximated to four decimal places.</w:t>
      </w:r>
    </w:p>
    <w:p>
      <w:pPr>
        <w:spacing w:after="0" w:line="55" w:lineRule="exact"/>
        <w:rPr>
          <w:rFonts w:ascii="Times New Roman" w:cs="Times New Roman" w:eastAsia="Times New Roman" w:hAnsi="Times New Roman"/>
          <w:sz w:val="19"/>
          <w:szCs w:val="19"/>
          <w:color w:val="auto"/>
          <w:vertAlign w:val="superscript"/>
        </w:rPr>
      </w:pPr>
    </w:p>
    <w:p>
      <w:pPr>
        <w:ind w:left="140" w:hanging="132"/>
        <w:spacing w:after="0" w:line="227" w:lineRule="auto"/>
        <w:tabs>
          <w:tab w:leader="none" w:pos="14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Distributions are payable on the issue price of each OP unit which is $100.00 per unit for all these preferred OP units.</w:t>
      </w:r>
    </w:p>
    <w:p>
      <w:pPr>
        <w:spacing w:after="0" w:line="55" w:lineRule="exact"/>
        <w:rPr>
          <w:rFonts w:ascii="Times New Roman" w:cs="Times New Roman" w:eastAsia="Times New Roman" w:hAnsi="Times New Roman"/>
          <w:sz w:val="16"/>
          <w:szCs w:val="16"/>
          <w:color w:val="auto"/>
          <w:vertAlign w:val="superscript"/>
        </w:rPr>
      </w:pPr>
    </w:p>
    <w:p>
      <w:pPr>
        <w:ind w:left="140" w:hanging="132"/>
        <w:spacing w:after="0" w:line="227" w:lineRule="auto"/>
        <w:tabs>
          <w:tab w:leader="none" w:pos="14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redemption price for each preferred OP unit redeemed will be equal to its issue price plus all accrued but unpaid distributions.</w:t>
      </w:r>
    </w:p>
    <w:p>
      <w:pPr>
        <w:spacing w:after="0" w:line="55" w:lineRule="exact"/>
        <w:rPr>
          <w:rFonts w:ascii="Times New Roman" w:cs="Times New Roman" w:eastAsia="Times New Roman" w:hAnsi="Times New Roman"/>
          <w:sz w:val="16"/>
          <w:szCs w:val="16"/>
          <w:color w:val="auto"/>
          <w:vertAlign w:val="superscript"/>
        </w:rPr>
      </w:pPr>
    </w:p>
    <w:p>
      <w:pPr>
        <w:ind w:left="140" w:hanging="132"/>
        <w:spacing w:after="0" w:line="227" w:lineRule="auto"/>
        <w:tabs>
          <w:tab w:leader="none" w:pos="14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All of our outstanding series I preferred OP units converted during the three months ended September 30, 2022.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Equity Interests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redeemable equity interests included in Temporary Equity on our Consolidated Balance Sheets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5"/>
                <w:szCs w:val="15"/>
                <w:color w:val="auto"/>
              </w:rPr>
            </w:pPr>
          </w:p>
        </w:tc>
        <w:tc>
          <w:tcPr>
            <w:tcW w:w="108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6"/>
        </w:trPr>
        <w:tc>
          <w:tcPr>
            <w:tcW w:w="2160" w:type="dxa"/>
            <w:vAlign w:val="bottom"/>
            <w:gridSpan w:val="2"/>
          </w:tcPr>
          <w:p>
            <w:pPr>
              <w:ind w:left="540"/>
              <w:spacing w:after="0"/>
              <w:rPr>
                <w:sz w:val="20"/>
                <w:szCs w:val="20"/>
                <w:color w:val="auto"/>
              </w:rPr>
            </w:pPr>
            <w:r>
              <w:rPr>
                <w:rFonts w:ascii="Times New Roman" w:cs="Times New Roman" w:eastAsia="Times New Roman" w:hAnsi="Times New Roman"/>
                <w:sz w:val="15"/>
                <w:szCs w:val="15"/>
                <w:b w:val="1"/>
                <w:bCs w:val="1"/>
                <w:color w:val="auto"/>
              </w:rPr>
              <w:t>Equity Interest</w:t>
            </w:r>
          </w:p>
        </w:tc>
        <w:tc>
          <w:tcPr>
            <w:tcW w:w="6600" w:type="dxa"/>
            <w:vAlign w:val="bottom"/>
            <w:gridSpan w:val="2"/>
          </w:tcPr>
          <w:p>
            <w:pPr>
              <w:ind w:left="288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20" w:type="dxa"/>
            <w:vAlign w:val="bottom"/>
          </w:tcPr>
          <w:p>
            <w:pPr>
              <w:spacing w:after="0"/>
              <w:rPr>
                <w:sz w:val="17"/>
                <w:szCs w:val="17"/>
                <w:color w:val="auto"/>
              </w:rPr>
            </w:pPr>
          </w:p>
        </w:tc>
        <w:tc>
          <w:tcPr>
            <w:tcW w:w="1080" w:type="dxa"/>
            <w:vAlign w:val="bottom"/>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56"/>
        </w:trPr>
        <w:tc>
          <w:tcPr>
            <w:tcW w:w="2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52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In connection with the investment in land for future development in the city of Moreno Valley, California,</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20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FPG Sun Moreno Valley 66 LLC</w:t>
            </w:r>
          </w:p>
        </w:tc>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at the property known as FPG Sun Moreno Valley 66 LLC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0"/>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Sun Solar Energy Project CA II</w:t>
            </w: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 joint venture that operates and maintains solar energy equipment in select California communities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r>
      <w:tr>
        <w:trPr>
          <w:trHeight w:val="20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Sun Solar JV</w:t>
            </w:r>
          </w:p>
        </w:tc>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 joint venture that operates and maintains solar energy equipment in select California communities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58"/>
        </w:trPr>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In connection with the investment in land for future development in the city of Menifee in California, at</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2"/>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FPG Sun Menifee 80 LLC</w:t>
            </w: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the property known as FPG Sun Menifee 80 LLC</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NG Sun Whitewater LLC</w:t>
            </w:r>
          </w:p>
        </w:tc>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 connection with the investment in land at the property known as Whitewater</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58"/>
        </w:trPr>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In connection with the investment in Sun NG Resorts, a joint venture that operates a portfolio of RV</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2"/>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NG Sun LLC</w:t>
            </w: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communities in the United States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w:t>
            </w:r>
          </w:p>
        </w:tc>
      </w:tr>
      <w:tr>
        <w:trPr>
          <w:trHeight w:val="162"/>
        </w:trPr>
        <w:tc>
          <w:tcPr>
            <w:tcW w:w="2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In connection with the investment in Sun NG Beaver Brook LLC, a joint venture that operates one RV</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02"/>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NG Sun Beaver Brook LLC</w:t>
            </w:r>
          </w:p>
        </w:tc>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communities in the United States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6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44.2</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31.3</w:t>
            </w:r>
          </w:p>
        </w:tc>
      </w:tr>
      <w:tr>
        <w:trPr>
          <w:trHeight w:val="21"/>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Equity Interest - NG Sun LLC </w:t>
      </w:r>
      <w:r>
        <w:rPr>
          <w:rFonts w:ascii="Times New Roman" w:cs="Times New Roman" w:eastAsia="Times New Roman" w:hAnsi="Times New Roman"/>
          <w:sz w:val="18"/>
          <w:szCs w:val="18"/>
          <w:color w:val="auto"/>
        </w:rPr>
        <w:t>- In June 2018, in connection with the investment in Sun NG Resorts, unrelated third parties purchased $6.5 million of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preferred equity interests and $15.4 million of common equity interests in Sun NG Resorts (herein jointly referred to as "Equity Interest - NG Sun LLC"). In April and September 2020, in connection with certain acquisitions, $3.0 million of Series B preferred equity interests were converted to common equity interests. The Series B preferred equity interests carry a preferred return at a rate that, at any time, is equal to the interest rate on Sun NG Resorts' indebtedness at such time. The current rate of return is 5.0 percent. The Equity Interest - NG Sun LLC does not have a fixed maturity date and can be redeemed in the fourth quarters of 2024, 2025 or 2026 at the holders' option. Sun NG LLC, our subsidiary, has the right during certain periods each year, with or without cause, or for cause at any time, to elect to buy NG Sun LLC's interest. During a limited period in 2024, NG Sun LLC has the right to put its interest to Sun NG LLC. If either party exercises its option, the property management agreement will be terminated, and we are required to purchase the remaining interests of NG Sun LLC and the property management agreement at fair value. In December 2021, the operating agreement was amended and we paid Sun NG Resorts a contingent consideration earnout in the amount of $38.3 million. The contingent consideration payment was recognized as an additional purchase price payment within Land improvements and buildings in the Consolidated Balance Sheets, and within Acquisition of properties, net of cash acquired in the Consolidated Statement of Cash Flows. The Equity Interest - NG Sun LLC balance was $33.6 million and $24.7 million as of September 30, 2022 and December 31, 2021, respectively. Refer to Note 7, "Consolidated Variable Interest Entities," and Note 8, "Debt and Line of Credit," for additional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Permanent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Universal Shelf Registration Statement</w:t>
      </w:r>
    </w:p>
    <w:p>
      <w:pPr>
        <w:spacing w:after="0" w:line="2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April 2021, we filed a new universal shelf registration statement on Form S-3 with the SEC. The shelf registration statement was deemed automatically effective and provides for the registration of unspecified amounts of equity and debt securities. We have the authority to issue 200,000,000 shares of capital stock, of which 180,000,000 shares are common stock and 20,000,000 are shares of preferred stock, par value $0.01 per share. As of September 30, 2022, we had 123,880,434 shares of common stock issued and outstanding and no shares of preferred stock were issued and outstanding.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Equity Offerings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2021, we entered into two forward sale agreements relating to an underwritten registered public offering of 4,025,000 shares of our common stock at a public offering price of $185.00 per share and completed the offering on November 18, 2021 (the "November 2021 Forward Sale Agreements"). We did not initially receive any proceeds from the sale of shares of our common stock by the forward purchaser or its affiliates. In April 2022, we completed the physical settlement of the 4,025,000 shares of common stock and received aggregate net proceeds of $705.4 million. We used the net proceeds to repay borrowings outstanding under our Senior Credit Facility, and for working capital and general corporate purposes.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 the Market Offering Sales Agreement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2021, we entered into an At the Market Offering Sales Agreement with certain sales agents and forward sellers pursuant to which we may sell, from time to time, up to an aggregate gross sales price of $1.25 billion of our common stock (the "Sales Agreement"), through the sales agents, acting as our sales agents or, if applicable, as forward sellers, or directly to the sales agents as principals for their own accounts. The sales agents and forward sellers are entitled to compensation in an agreed amount not to exceed 2.0 percent of the gross price per share for any shares sold under the Sales Agreement. We simultaneously terminated our prior sales agreement upon entering into the Sales Agreement. Through September 30, 2022, we had entered into forward sales agreements under our Sales Agreement for an aggregate gross sales price of $160.6 million.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2022, we entered into forward sale agreements with respect to 15,000 shares of common stock under our Sales Agreement for $2.6 million. Additionally, we settled all of our outstanding forward sale agreements with respect to 1,526,212 shares of common stock which includes 620,109; 600,503; 290,600; and 15,000 shares of common stock from the three months ended December 31, 2021, March 31, June 30 and September 30, 2022 forward sale agreements, respectively. The net proceeds of $275.5 million from the settlement of these forward sale agreements were used to repay borrowings outstanding under our senior credit facility.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2022, we completed the physical settlement of 1,200,000 shares of common stock under our prior at the market offering program and received net proceeds of $229.5 million. Additionally, we entered into forward sales agreements with respect 290,600 shares of common stock for $50.1 million, under our Sales Agreement. These forward sale agreements were settled during the three months ended September 30,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we entered into forward sales agreements with respect to 600,503 shares of common stock for $107.9 million, under our Sales Agreement. These forward sale agreements were settled during the three months ended September 30,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we entered into forward sale agreements with respect to 1,820,109 shares of common stock under our prior at the market offering program for $356.5 million. We completed the physical settlement of 1,200,000 and 620,109 shares of common stock during the three months ended June 30, 2022 and September 30, 2022,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Issuances of Common Stock and OP Units in Connection with the Acquisition of Certain Properties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Common Stock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2022, we issued an aggregate of 186,044 shares of our common stock in connection with the acquisition of Park Holidays.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Issuances of Common OP Units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20" w:type="dxa"/>
            <w:vAlign w:val="bottom"/>
            <w:gridSpan w:val="2"/>
          </w:tcPr>
          <w:p>
            <w:pPr>
              <w:ind w:left="1300"/>
              <w:spacing w:after="0"/>
              <w:rPr>
                <w:sz w:val="20"/>
                <w:szCs w:val="20"/>
                <w:color w:val="auto"/>
              </w:rPr>
            </w:pPr>
            <w:r>
              <w:rPr>
                <w:rFonts w:ascii="Times New Roman" w:cs="Times New Roman" w:eastAsia="Times New Roman" w:hAnsi="Times New Roman"/>
                <w:sz w:val="15"/>
                <w:szCs w:val="15"/>
                <w:b w:val="1"/>
                <w:bCs w:val="1"/>
                <w:color w:val="auto"/>
              </w:rPr>
              <w:t>Nine Months Ended September 30, 2022 and 2021</w:t>
            </w:r>
          </w:p>
        </w:tc>
        <w:tc>
          <w:tcPr>
            <w:tcW w:w="2480" w:type="dxa"/>
            <w:vAlign w:val="bottom"/>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Common OP Units Issued</w:t>
            </w:r>
          </w:p>
        </w:tc>
        <w:tc>
          <w:tcPr>
            <w:tcW w:w="340" w:type="dxa"/>
            <w:vAlign w:val="bottom"/>
          </w:tcPr>
          <w:p>
            <w:pPr>
              <w:spacing w:after="0"/>
              <w:rPr>
                <w:sz w:val="17"/>
                <w:szCs w:val="17"/>
                <w:color w:val="auto"/>
              </w:rPr>
            </w:pPr>
          </w:p>
        </w:tc>
        <w:tc>
          <w:tcPr>
            <w:tcW w:w="2500" w:type="dxa"/>
            <w:vAlign w:val="bottom"/>
          </w:tcPr>
          <w:p>
            <w:pPr>
              <w:ind w:left="600"/>
              <w:spacing w:after="0"/>
              <w:rPr>
                <w:sz w:val="20"/>
                <w:szCs w:val="20"/>
                <w:color w:val="auto"/>
              </w:rPr>
            </w:pPr>
            <w:r>
              <w:rPr>
                <w:rFonts w:ascii="Times New Roman" w:cs="Times New Roman" w:eastAsia="Times New Roman" w:hAnsi="Times New Roman"/>
                <w:sz w:val="15"/>
                <w:szCs w:val="15"/>
                <w:b w:val="1"/>
                <w:bCs w:val="1"/>
                <w:color w:val="auto"/>
              </w:rPr>
              <w:t>Related Acquisition</w:t>
            </w:r>
          </w:p>
        </w:tc>
      </w:tr>
      <w:tr>
        <w:trPr>
          <w:trHeight w:val="200"/>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May 2022</w:t>
            </w:r>
          </w:p>
        </w:tc>
        <w:tc>
          <w:tcPr>
            <w:tcW w:w="8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10,854</w:t>
            </w:r>
          </w:p>
        </w:tc>
        <w:tc>
          <w:tcPr>
            <w:tcW w:w="340" w:type="dxa"/>
            <w:vAlign w:val="bottom"/>
            <w:tcBorders>
              <w:top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9"/>
                <w:szCs w:val="9"/>
                <w:color w:val="auto"/>
              </w:rPr>
              <w:t>(1)</w:t>
            </w:r>
          </w:p>
        </w:tc>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Rudgate</w:t>
            </w:r>
          </w:p>
        </w:tc>
      </w:tr>
      <w:tr>
        <w:trPr>
          <w:trHeight w:val="20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May 2022</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5,605</w:t>
            </w:r>
          </w:p>
        </w:tc>
        <w:tc>
          <w:tcPr>
            <w:tcW w:w="340" w:type="dxa"/>
            <w:vAlign w:val="bottom"/>
          </w:tcPr>
          <w:p>
            <w:pPr>
              <w:spacing w:after="0"/>
              <w:rPr>
                <w:sz w:val="17"/>
                <w:szCs w:val="17"/>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Kittery Point</w:t>
            </w:r>
          </w:p>
        </w:tc>
      </w:tr>
      <w:tr>
        <w:trPr>
          <w:trHeight w:val="205"/>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February 2022</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14,683</w:t>
            </w:r>
          </w:p>
        </w:tc>
        <w:tc>
          <w:tcPr>
            <w:tcW w:w="340" w:type="dxa"/>
            <w:vAlign w:val="bottom"/>
            <w:shd w:val="clear" w:color="auto" w:fill="CCEEFF"/>
          </w:tcPr>
          <w:p>
            <w:pPr>
              <w:spacing w:after="0"/>
              <w:rPr>
                <w:sz w:val="17"/>
                <w:szCs w:val="17"/>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Jarrett Bay Boatworks</w:t>
            </w:r>
          </w:p>
        </w:tc>
      </w:tr>
    </w:tbl>
    <w:p>
      <w:pPr>
        <w:spacing w:after="0" w:line="72" w:lineRule="exact"/>
        <w:rPr>
          <w:sz w:val="20"/>
          <w:szCs w:val="20"/>
          <w:color w:val="auto"/>
        </w:rPr>
      </w:pPr>
    </w:p>
    <w:p>
      <w:pPr>
        <w:jc w:val="both"/>
        <w:ind w:left="180" w:hanging="172"/>
        <w:spacing w:after="0" w:line="238" w:lineRule="auto"/>
        <w:tabs>
          <w:tab w:leader="none" w:pos="15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the three months ended June 30, 2022, we acquired the noncontrolling equity interest held by third parties in Rudgate for a total purchase price of $3.1 million. As consideration, we issued 10,854 common OP units and paid the remainder of the purchase price in cash. The acquisition resulted in the Company owning a 100 percent controlling interest in Rudgate. Refer to Note 7, "Consolidated Variable Interest Entities," for additional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Issuances of Preferred OP Units</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Issuance of Series E Preferred OP Units </w:t>
      </w:r>
      <w:r>
        <w:rPr>
          <w:rFonts w:ascii="Times New Roman" w:cs="Times New Roman" w:eastAsia="Times New Roman" w:hAnsi="Times New Roman"/>
          <w:sz w:val="18"/>
          <w:szCs w:val="18"/>
          <w:color w:val="auto"/>
        </w:rPr>
        <w:t>- In January 2020, we issued 90,000 Series E preferred OP units in connection with the acquisition of Sun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Outdoors Cape Cod. The Series E preferred OP units have a stated issuance price of $100.00 per OP unit and carry a preferred return of 5.25 percent until the second anniversary of the issuance date. Commencing with the second anniversary of the issuance date, the Series E preferred OP units carry a preferred return of 5.5 percent. Commencing with the first anniversary of the issuance date, subject to certain limitations, each Series E preferred OP unit can be exchanged for our common stock equal to the quotient obtained by dividing $100.00 by $145.00 (as such ratio is subject to adjustments for certain capital events). As of September 30, 2022, 80,000 Series E preferred OP units were outstanding.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Conversions to Common Stock </w:t>
      </w:r>
      <w:r>
        <w:rPr>
          <w:rFonts w:ascii="Times New Roman" w:cs="Times New Roman" w:eastAsia="Times New Roman" w:hAnsi="Times New Roman"/>
          <w:sz w:val="18"/>
          <w:szCs w:val="18"/>
          <w:color w:val="auto"/>
        </w:rPr>
        <w:t>- Subject to certain limitations, holders can convert certain series of OP units to shares of our common stock at any time.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the activity of conversions during the nine months ended September 30, 2022 and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320" w:type="dxa"/>
            <w:vAlign w:val="bottom"/>
            <w:tcBorders>
              <w:bottom w:val="single" w:sz="8" w:color="auto"/>
            </w:tcBorders>
          </w:tcPr>
          <w:p>
            <w:pPr>
              <w:spacing w:after="0"/>
              <w:rPr>
                <w:sz w:val="17"/>
                <w:szCs w:val="17"/>
                <w:color w:val="auto"/>
              </w:rPr>
            </w:pPr>
          </w:p>
        </w:tc>
      </w:tr>
      <w:tr>
        <w:trPr>
          <w:trHeight w:val="200"/>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gridSpan w:val="4"/>
          </w:tcPr>
          <w:p>
            <w:pPr>
              <w:ind w:left="74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2740" w:type="dxa"/>
            <w:vAlign w:val="bottom"/>
            <w:gridSpan w:val="3"/>
          </w:tcPr>
          <w:p>
            <w:pPr>
              <w:jc w:val="right"/>
              <w:ind w:right="664"/>
              <w:spacing w:after="0"/>
              <w:rPr>
                <w:sz w:val="20"/>
                <w:szCs w:val="20"/>
                <w:color w:val="auto"/>
              </w:rPr>
            </w:pPr>
            <w:r>
              <w:rPr>
                <w:rFonts w:ascii="Times New Roman" w:cs="Times New Roman" w:eastAsia="Times New Roman" w:hAnsi="Times New Roman"/>
                <w:sz w:val="15"/>
                <w:szCs w:val="15"/>
                <w:b w:val="1"/>
                <w:bCs w:val="1"/>
                <w:color w:val="auto"/>
              </w:rPr>
              <w:t>September 30, 2021</w:t>
            </w:r>
          </w:p>
        </w:tc>
      </w:tr>
      <w:tr>
        <w:trPr>
          <w:trHeight w:val="148"/>
        </w:trPr>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Borders>
              <w:top w:val="single" w:sz="8" w:color="auto"/>
            </w:tcBorders>
            <w:gridSpan w:val="2"/>
          </w:tcPr>
          <w:p>
            <w:pPr>
              <w:jc w:val="center"/>
              <w:ind w:right="80"/>
              <w:spacing w:after="0" w:line="148" w:lineRule="exact"/>
              <w:rPr>
                <w:sz w:val="20"/>
                <w:szCs w:val="20"/>
                <w:color w:val="auto"/>
              </w:rPr>
            </w:pPr>
            <w:r>
              <w:rPr>
                <w:rFonts w:ascii="Times New Roman" w:cs="Times New Roman" w:eastAsia="Times New Roman" w:hAnsi="Times New Roman"/>
                <w:sz w:val="15"/>
                <w:szCs w:val="15"/>
                <w:b w:val="1"/>
                <w:bCs w:val="1"/>
                <w:color w:val="auto"/>
              </w:rPr>
              <w:t>Units / Shares</w:t>
            </w:r>
          </w:p>
        </w:tc>
        <w:tc>
          <w:tcPr>
            <w:tcW w:w="1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top w:val="single" w:sz="8" w:color="auto"/>
            </w:tcBorders>
            <w:gridSpan w:val="2"/>
          </w:tcPr>
          <w:p>
            <w:pPr>
              <w:jc w:val="center"/>
              <w:ind w:right="80"/>
              <w:spacing w:after="0" w:line="148" w:lineRule="exact"/>
              <w:rPr>
                <w:sz w:val="20"/>
                <w:szCs w:val="20"/>
                <w:color w:val="auto"/>
              </w:rPr>
            </w:pPr>
            <w:r>
              <w:rPr>
                <w:rFonts w:ascii="Times New Roman" w:cs="Times New Roman" w:eastAsia="Times New Roman" w:hAnsi="Times New Roman"/>
                <w:sz w:val="15"/>
                <w:szCs w:val="15"/>
                <w:b w:val="1"/>
                <w:bCs w:val="1"/>
                <w:color w:val="auto"/>
              </w:rPr>
              <w:t>Units / Shares</w:t>
            </w:r>
          </w:p>
        </w:tc>
        <w:tc>
          <w:tcPr>
            <w:tcW w:w="1320" w:type="dxa"/>
            <w:vAlign w:val="bottom"/>
            <w:tcBorders>
              <w:top w:val="single" w:sz="8" w:color="auto"/>
            </w:tcBorders>
          </w:tcPr>
          <w:p>
            <w:pPr>
              <w:spacing w:after="0"/>
              <w:rPr>
                <w:sz w:val="12"/>
                <w:szCs w:val="12"/>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Series</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Conversion Rate</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Converted</w:t>
            </w:r>
          </w:p>
        </w:tc>
        <w:tc>
          <w:tcPr>
            <w:tcW w:w="1520" w:type="dxa"/>
            <w:vAlign w:val="bottom"/>
            <w:gridSpan w:val="2"/>
          </w:tcPr>
          <w:p>
            <w:pPr>
              <w:ind w:left="100"/>
              <w:spacing w:after="0" w:line="210" w:lineRule="exact"/>
              <w:rPr>
                <w:sz w:val="20"/>
                <w:szCs w:val="20"/>
                <w:color w:val="auto"/>
              </w:rPr>
            </w:pP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9"/>
                <w:szCs w:val="19"/>
                <w:color w:val="auto"/>
                <w:vertAlign w:val="superscript"/>
              </w:rPr>
              <w:t>(1)</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Converted</w:t>
            </w:r>
          </w:p>
        </w:tc>
        <w:tc>
          <w:tcPr>
            <w:tcW w:w="1320" w:type="dxa"/>
            <w:vAlign w:val="bottom"/>
          </w:tcPr>
          <w:p>
            <w:pPr>
              <w:jc w:val="right"/>
              <w:ind w:right="24"/>
              <w:spacing w:after="0" w:line="210" w:lineRule="exact"/>
              <w:rPr>
                <w:sz w:val="20"/>
                <w:szCs w:val="20"/>
                <w:color w:val="auto"/>
              </w:rPr>
            </w:pP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9"/>
                <w:szCs w:val="19"/>
                <w:color w:val="auto"/>
                <w:vertAlign w:val="superscript"/>
              </w:rPr>
              <w:t>(1)</w:t>
            </w:r>
          </w:p>
        </w:tc>
      </w:tr>
      <w:tr>
        <w:trPr>
          <w:trHeight w:val="196"/>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OP units</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139,841</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139,841</w:t>
            </w:r>
          </w:p>
        </w:tc>
        <w:tc>
          <w:tcPr>
            <w:tcW w:w="2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78,724</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78,724</w:t>
            </w:r>
          </w:p>
        </w:tc>
      </w:tr>
      <w:tr>
        <w:trPr>
          <w:trHeight w:val="20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A-1 preferred OP units</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2.4390</w:t>
            </w:r>
          </w:p>
        </w:tc>
        <w:tc>
          <w:tcPr>
            <w:tcW w:w="8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4,695</w:t>
            </w: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11,444</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19,296</w:t>
            </w: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47,058</w:t>
            </w:r>
          </w:p>
        </w:tc>
      </w:tr>
      <w:tr>
        <w:trPr>
          <w:trHeight w:val="20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C preferred OP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1.1100</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E preferred OP units</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0.6897</w:t>
            </w:r>
          </w:p>
        </w:tc>
        <w:tc>
          <w:tcPr>
            <w:tcW w:w="80" w:type="dxa"/>
            <w:vAlign w:val="bottom"/>
          </w:tcPr>
          <w:p>
            <w:pPr>
              <w:spacing w:after="0"/>
              <w:rPr>
                <w:sz w:val="17"/>
                <w:szCs w:val="17"/>
                <w:color w:val="auto"/>
              </w:rPr>
            </w:pP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6,896</w:t>
            </w:r>
          </w:p>
        </w:tc>
        <w:tc>
          <w:tcPr>
            <w:tcW w:w="20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I preferred OP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0.6098</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922,000</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562,195</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42"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Calculation may yield minor differences due to rounding incorporated in the above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declared for the three months ended September 30, 2022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Total Distribution (in</w:t>
            </w:r>
          </w:p>
        </w:tc>
      </w:tr>
      <w:tr>
        <w:trPr>
          <w:trHeight w:val="206"/>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Common Stock, Common OP units and Restricted Stock Distributions</w:t>
            </w: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Record Date</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Payment Date</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Distribution Per Share</w:t>
            </w:r>
          </w:p>
        </w:tc>
        <w:tc>
          <w:tcPr>
            <w:tcW w:w="260" w:type="dxa"/>
            <w:vAlign w:val="bottom"/>
          </w:tcPr>
          <w:p>
            <w:pPr>
              <w:spacing w:after="0"/>
              <w:rPr>
                <w:sz w:val="17"/>
                <w:szCs w:val="17"/>
                <w:color w:val="auto"/>
              </w:rPr>
            </w:pPr>
          </w:p>
        </w:tc>
        <w:tc>
          <w:tcPr>
            <w:tcW w:w="1220" w:type="dxa"/>
            <w:vAlign w:val="bottom"/>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Millions)</w:t>
            </w:r>
          </w:p>
        </w:tc>
      </w:tr>
      <w:tr>
        <w:trPr>
          <w:trHeight w:val="200"/>
        </w:trPr>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September 30, 2022</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9/30/2022</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10/14/2022</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0.88</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111.2</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2022, we had two share-based compensation plans: the Sun Communities, Inc. 2015 Equity Incentive Plan (as amended, the "2015 Equity Incentive Plan") and the First Amended and Restated 2004 Non-Employee Director Option Plan (as amended, the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 Time based awards for directors generally vest over three years. Time based awards for key employees and executives generally vest over five years. Market condition awards for executives generally vest after three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Amendment to the 2015 Equity Incentive Plan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our 2022 Annual Meeting on May 17, 2022, our shareholders approved the First Amendment to the 2015 Equity Incentive Plan. The First Amendment increased the number of shares of common stock that may be issued under the 2015 Equity Incentive Plan to 4,750,000. As of September 30, 2022, there were 3,123,980 shares available for future issuance.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 Sub-Plan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2022, the Board of Directors adopted the UK Sub-Plan under the 2015 Equity Incentive Plan, which is solely applicable to employee participants located in the UK, and establishes certain rules and limitations for participation in the 2015 Equity Incentive Plan by UK employees for the purpose of complying with applicable UK 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2022 and 2021, shares were granted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Grant Date Fair</w:t>
            </w: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Grant Period</w:t>
            </w:r>
          </w:p>
        </w:tc>
        <w:tc>
          <w:tcPr>
            <w:tcW w:w="1740" w:type="dxa"/>
            <w:vAlign w:val="bottom"/>
            <w:gridSpan w:val="2"/>
          </w:tcPr>
          <w:p>
            <w:pPr>
              <w:ind w:left="660"/>
              <w:spacing w:after="0"/>
              <w:rPr>
                <w:sz w:val="20"/>
                <w:szCs w:val="20"/>
                <w:color w:val="auto"/>
              </w:rPr>
            </w:pPr>
            <w:r>
              <w:rPr>
                <w:rFonts w:ascii="Times New Roman" w:cs="Times New Roman" w:eastAsia="Times New Roman" w:hAnsi="Times New Roman"/>
                <w:sz w:val="15"/>
                <w:szCs w:val="15"/>
                <w:b w:val="1"/>
                <w:bCs w:val="1"/>
                <w:color w:val="auto"/>
              </w:rPr>
              <w:t>Type</w:t>
            </w:r>
          </w:p>
        </w:tc>
        <w:tc>
          <w:tcPr>
            <w:tcW w:w="340" w:type="dxa"/>
            <w:vAlign w:val="bottom"/>
          </w:tcPr>
          <w:p>
            <w:pPr>
              <w:spacing w:after="0"/>
              <w:rPr>
                <w:sz w:val="18"/>
                <w:szCs w:val="18"/>
                <w:color w:val="auto"/>
              </w:rPr>
            </w:pPr>
          </w:p>
        </w:tc>
        <w:tc>
          <w:tcPr>
            <w:tcW w:w="3080" w:type="dxa"/>
            <w:vAlign w:val="bottom"/>
            <w:gridSpan w:val="2"/>
          </w:tcPr>
          <w:p>
            <w:pPr>
              <w:ind w:left="1180"/>
              <w:spacing w:after="0"/>
              <w:rPr>
                <w:sz w:val="20"/>
                <w:szCs w:val="20"/>
                <w:color w:val="auto"/>
              </w:rPr>
            </w:pPr>
            <w:r>
              <w:rPr>
                <w:rFonts w:ascii="Times New Roman" w:cs="Times New Roman" w:eastAsia="Times New Roman" w:hAnsi="Times New Roman"/>
                <w:sz w:val="15"/>
                <w:szCs w:val="15"/>
                <w:b w:val="1"/>
                <w:bCs w:val="1"/>
                <w:color w:val="auto"/>
              </w:rPr>
              <w:t>Plan</w:t>
            </w: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Shares Granted</w:t>
            </w:r>
          </w:p>
        </w:tc>
        <w:tc>
          <w:tcPr>
            <w:tcW w:w="120" w:type="dxa"/>
            <w:vAlign w:val="bottom"/>
          </w:tcPr>
          <w:p>
            <w:pPr>
              <w:spacing w:after="0"/>
              <w:rPr>
                <w:sz w:val="18"/>
                <w:szCs w:val="18"/>
                <w:color w:val="auto"/>
              </w:rPr>
            </w:pPr>
          </w:p>
        </w:tc>
        <w:tc>
          <w:tcPr>
            <w:tcW w:w="124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Value Per Share</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Vesting Type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color w:val="auto"/>
                <w:w w:val="99"/>
              </w:rPr>
              <w:t>2022</w:t>
            </w:r>
          </w:p>
        </w:tc>
        <w:tc>
          <w:tcPr>
            <w:tcW w:w="80" w:type="dxa"/>
            <w:vAlign w:val="bottom"/>
          </w:tcPr>
          <w:p>
            <w:pPr>
              <w:spacing w:after="0"/>
              <w:rPr>
                <w:sz w:val="13"/>
                <w:szCs w:val="13"/>
                <w:color w:val="auto"/>
              </w:rPr>
            </w:pPr>
          </w:p>
        </w:tc>
        <w:tc>
          <w:tcPr>
            <w:tcW w:w="166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rPr>
              <w:t>Key Employees</w:t>
            </w:r>
          </w:p>
        </w:tc>
        <w:tc>
          <w:tcPr>
            <w:tcW w:w="80" w:type="dxa"/>
            <w:vAlign w:val="bottom"/>
          </w:tcPr>
          <w:p>
            <w:pPr>
              <w:spacing w:after="0"/>
              <w:rPr>
                <w:sz w:val="13"/>
                <w:szCs w:val="13"/>
                <w:color w:val="auto"/>
              </w:rPr>
            </w:pPr>
          </w:p>
        </w:tc>
        <w:tc>
          <w:tcPr>
            <w:tcW w:w="3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99"/>
              </w:rPr>
              <w:t>2015</w:t>
            </w:r>
          </w:p>
        </w:tc>
        <w:tc>
          <w:tcPr>
            <w:tcW w:w="300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rPr>
              <w:t>Equity Incentive Plan</w:t>
            </w:r>
          </w:p>
        </w:tc>
        <w:tc>
          <w:tcPr>
            <w:tcW w:w="80" w:type="dxa"/>
            <w:vAlign w:val="bottom"/>
          </w:tcPr>
          <w:p>
            <w:pPr>
              <w:spacing w:after="0"/>
              <w:rPr>
                <w:sz w:val="13"/>
                <w:szCs w:val="13"/>
                <w:color w:val="auto"/>
              </w:rPr>
            </w:pPr>
          </w:p>
        </w:tc>
        <w:tc>
          <w:tcPr>
            <w:tcW w:w="13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203,210</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179.23</w:t>
            </w:r>
          </w:p>
        </w:tc>
        <w:tc>
          <w:tcPr>
            <w:tcW w:w="340" w:type="dxa"/>
            <w:vAlign w:val="bottom"/>
            <w:vMerge w:val="continue"/>
          </w:tcPr>
          <w:p>
            <w:pPr>
              <w:spacing w:after="0"/>
              <w:rPr>
                <w:sz w:val="13"/>
                <w:szCs w:val="13"/>
                <w:color w:val="auto"/>
              </w:rPr>
            </w:pPr>
          </w:p>
        </w:tc>
        <w:tc>
          <w:tcPr>
            <w:tcW w:w="136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2022</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66,000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178.20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2022</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91,500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124.88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(2)</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Market Condition</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w w:val="85"/>
              </w:rPr>
              <w:t>(3)</w:t>
            </w: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2022</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Directors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2004</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Non-Employee Director Option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197.00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2021</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Key Employees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90,406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146.03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2021</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72,400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151.67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2021</w:t>
            </w:r>
          </w:p>
        </w:tc>
        <w:tc>
          <w:tcPr>
            <w:tcW w:w="8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Executive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2015</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Equity Incentive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101,100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93.41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(2)</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Market Condition</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w w:val="85"/>
              </w:rPr>
              <w:t>(3)</w:t>
            </w:r>
          </w:p>
        </w:tc>
        <w:tc>
          <w:tcPr>
            <w:tcW w:w="0" w:type="dxa"/>
            <w:vAlign w:val="bottom"/>
          </w:tcPr>
          <w:p>
            <w:pPr>
              <w:spacing w:after="0"/>
              <w:rPr>
                <w:sz w:val="1"/>
                <w:szCs w:val="1"/>
                <w:color w:val="auto"/>
              </w:rPr>
            </w:pPr>
          </w:p>
        </w:tc>
      </w:tr>
      <w:tr>
        <w:trPr>
          <w:trHeight w:val="239"/>
        </w:trPr>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2021</w:t>
            </w:r>
          </w:p>
        </w:tc>
        <w:tc>
          <w:tcPr>
            <w:tcW w:w="8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Directors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2004</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Non-Employee Director Option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11,709</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148.28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0"/>
                <w:szCs w:val="10"/>
                <w:color w:val="auto"/>
              </w:rPr>
              <w:t>(1)</w:t>
            </w:r>
          </w:p>
        </w:tc>
        <w:tc>
          <w:tcPr>
            <w:tcW w:w="1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Based</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-1031240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-765810</wp:posOffset>
            </wp:positionV>
            <wp:extent cx="713232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-508635</wp:posOffset>
            </wp:positionV>
            <wp:extent cx="713232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43" w:lineRule="exact"/>
        <w:rPr>
          <w:sz w:val="20"/>
          <w:szCs w:val="20"/>
          <w:color w:val="auto"/>
        </w:rPr>
      </w:pPr>
    </w:p>
    <w:p>
      <w:pPr>
        <w:ind w:left="160" w:hanging="152"/>
        <w:spacing w:after="0"/>
        <w:tabs>
          <w:tab w:leader="none" w:pos="1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weighted average fair value per share of the closing price of our common stock on the dates the shares were awarded.</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weighted average fair value per share of the Monte Carlo simulation fair value price of our market condition awards on the dates the shares were awarded.</w:t>
      </w:r>
    </w:p>
    <w:p>
      <w:pPr>
        <w:spacing w:after="0" w:line="44"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Share-based compensation for restricted stock awards with market conditions is measured based on shares expected to vest using a Monte Carlo simulation to determine fair value.</w:t>
      </w: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vesting requirements for 257,663 and 288,024 restricted shares granted to our executives, directors and employees were satisfied during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2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establishes standards for the way that business enterprises report information about operating segments in its financial statements. As described in Note 1, "Basis of Presentation," we analyze our operating results through the following segments: (i) Manufactured home ("MH") communities, (ii) Recreational vehicle ("RV") communities and (iii) Marina.</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MH segment owns, operates, develops, or has an interest in, a portfolio of MH communities throughout the U.S. and a portfolio of holiday parks throughout the UK, and is in the business of acquiring, operating and developing ground-up MH communities to provide affordable housing solutions to residents. The MH segment also provides manufactured home sales and leasing services to tenants and prospective tenants of our communities.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RV segment owns, operates, develops, or has an interest in, a portfolio of RV communities and is in the business of acquiring, operating and developing ground-up RV communities throughout the U.S. and in Canada. It also provides leasing services for vacation rentals within the RV communities.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Properties containing both MH and RV sites are classified to a segment based on the predominant site counts at the properties.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Marina segment owns, operates, and develops marinas, and is in the business of acquiring and operating marinas throughout the U.S., with the majority of such marinas concentrated in coastal regions, and others located in various inland regions and Puerto Rico.</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presentation of segment financial information is summarized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MH</w:t>
            </w:r>
          </w:p>
        </w:tc>
        <w:tc>
          <w:tcPr>
            <w:tcW w:w="20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RV</w:t>
            </w:r>
          </w:p>
        </w:tc>
        <w:tc>
          <w:tcPr>
            <w:tcW w:w="14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MH</w:t>
            </w:r>
          </w:p>
        </w:tc>
        <w:tc>
          <w:tcPr>
            <w:tcW w:w="220" w:type="dxa"/>
            <w:vAlign w:val="bottom"/>
          </w:tcPr>
          <w:p>
            <w:pPr>
              <w:spacing w:after="0"/>
              <w:rPr>
                <w:sz w:val="17"/>
                <w:szCs w:val="17"/>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RV</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0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revenues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910.6</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275.6</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163.4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672.9</w:t>
            </w:r>
          </w:p>
        </w:tc>
        <w:tc>
          <w:tcPr>
            <w:tcW w:w="0" w:type="dxa"/>
            <w:vAlign w:val="bottom"/>
          </w:tcPr>
          <w:p>
            <w:pPr>
              <w:spacing w:after="0"/>
              <w:rPr>
                <w:sz w:val="1"/>
                <w:szCs w:val="1"/>
                <w:color w:val="auto"/>
              </w:rPr>
            </w:pPr>
          </w:p>
        </w:tc>
      </w:tr>
      <w:tr>
        <w:trPr>
          <w:trHeight w:val="200"/>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Operating expenses / Cost of sales</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455.4</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98.9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326.6</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NOI</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346.3</w:t>
            </w:r>
          </w:p>
        </w:tc>
        <w:tc>
          <w:tcPr>
            <w:tcW w:w="0" w:type="dxa"/>
            <w:vAlign w:val="bottom"/>
          </w:tcPr>
          <w:p>
            <w:pPr>
              <w:spacing w:after="0"/>
              <w:rPr>
                <w:sz w:val="1"/>
                <w:szCs w:val="1"/>
                <w:color w:val="auto"/>
              </w:rPr>
            </w:pPr>
          </w:p>
        </w:tc>
      </w:tr>
      <w:tr>
        <w:trPr>
          <w:trHeight w:val="200"/>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arrive at net income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income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Brokerage commissions and other revenues, net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Business combination expense, net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(127.1)</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on extinguishment of debt (see Note 8)</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expense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Interest on mandatorily redeemable preferred OP</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units / equity</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58"/>
        </w:trPr>
        <w:tc>
          <w:tcPr>
            <w:tcW w:w="332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Gain / (loss) on remeasurement of marketable</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securities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Gain / (loss) on dispositions of properties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108.1</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Gain / (loss) on remeasurement of notes receivable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Income from nonconsolidated affiliates (see</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 6)</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0" w:type="dxa"/>
            <w:vAlign w:val="bottom"/>
          </w:tcPr>
          <w:p>
            <w:pPr>
              <w:spacing w:after="0"/>
              <w:rPr>
                <w:sz w:val="1"/>
                <w:szCs w:val="1"/>
                <w:color w:val="auto"/>
              </w:rPr>
            </w:pPr>
          </w:p>
        </w:tc>
      </w:tr>
      <w:tr>
        <w:trPr>
          <w:trHeight w:val="158"/>
        </w:trPr>
        <w:tc>
          <w:tcPr>
            <w:tcW w:w="332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Loss on remeasurement of investment in</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nonconsolidated affiliates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tax expense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0" w:type="dxa"/>
            <w:vAlign w:val="bottom"/>
          </w:tcPr>
          <w:p>
            <w:pPr>
              <w:spacing w:after="0"/>
              <w:rPr>
                <w:sz w:val="1"/>
                <w:szCs w:val="1"/>
                <w:color w:val="auto"/>
              </w:rPr>
            </w:pPr>
          </w:p>
        </w:tc>
      </w:tr>
      <w:tr>
        <w:trPr>
          <w:trHeight w:val="200"/>
        </w:trPr>
        <w:tc>
          <w:tcPr>
            <w:tcW w:w="3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Deferred tax benefit / (expense)</w:t>
            </w:r>
          </w:p>
        </w:tc>
        <w:tc>
          <w:tcPr>
            <w:tcW w:w="18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250.1</w:t>
            </w:r>
          </w:p>
        </w:tc>
        <w:tc>
          <w:tcPr>
            <w:tcW w:w="0" w:type="dxa"/>
            <w:vAlign w:val="bottom"/>
          </w:tcPr>
          <w:p>
            <w:pPr>
              <w:spacing w:after="0"/>
              <w:rPr>
                <w:sz w:val="1"/>
                <w:szCs w:val="1"/>
                <w:color w:val="auto"/>
              </w:rPr>
            </w:pPr>
          </w:p>
        </w:tc>
      </w:tr>
      <w:tr>
        <w:trPr>
          <w:trHeight w:val="158"/>
        </w:trPr>
        <w:tc>
          <w:tcPr>
            <w:tcW w:w="3320" w:type="dxa"/>
            <w:vAlign w:val="bottom"/>
          </w:tcPr>
          <w:p>
            <w:pPr>
              <w:ind w:left="360"/>
              <w:spacing w:after="0" w:line="159" w:lineRule="exact"/>
              <w:rPr>
                <w:sz w:val="20"/>
                <w:szCs w:val="20"/>
                <w:color w:val="auto"/>
              </w:rPr>
            </w:pPr>
            <w:r>
              <w:rPr>
                <w:rFonts w:ascii="Times New Roman" w:cs="Times New Roman" w:eastAsia="Times New Roman" w:hAnsi="Times New Roman"/>
                <w:sz w:val="15"/>
                <w:szCs w:val="15"/>
                <w:color w:val="auto"/>
              </w:rPr>
              <w:t>Less: Preferred return to preferred OP units /</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equity interests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Less: Income attributable to noncontrolling</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interests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0" w:type="dxa"/>
            <w:vAlign w:val="bottom"/>
          </w:tcPr>
          <w:p>
            <w:pPr>
              <w:spacing w:after="0"/>
              <w:rPr>
                <w:sz w:val="1"/>
                <w:szCs w:val="1"/>
                <w:color w:val="auto"/>
              </w:rPr>
            </w:pPr>
          </w:p>
        </w:tc>
      </w:tr>
      <w:tr>
        <w:trPr>
          <w:trHeight w:val="134"/>
        </w:trPr>
        <w:tc>
          <w:tcPr>
            <w:tcW w:w="3320" w:type="dxa"/>
            <w:vAlign w:val="bottom"/>
          </w:tcPr>
          <w:p>
            <w:pPr>
              <w:ind w:left="140"/>
              <w:spacing w:after="0" w:line="134" w:lineRule="exact"/>
              <w:rPr>
                <w:sz w:val="20"/>
                <w:szCs w:val="20"/>
                <w:color w:val="auto"/>
              </w:rPr>
            </w:pPr>
            <w:r>
              <w:rPr>
                <w:rFonts w:ascii="Times New Roman" w:cs="Times New Roman" w:eastAsia="Times New Roman" w:hAnsi="Times New Roman"/>
                <w:sz w:val="15"/>
                <w:szCs w:val="15"/>
                <w:b w:val="1"/>
                <w:bCs w:val="1"/>
                <w:color w:val="auto"/>
              </w:rPr>
              <w:t>Net Income Attributable to SUI Common</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162.6</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231.7</w:t>
            </w:r>
          </w:p>
        </w:tc>
        <w:tc>
          <w:tcPr>
            <w:tcW w:w="0" w:type="dxa"/>
            <w:vAlign w:val="bottom"/>
          </w:tcPr>
          <w:p>
            <w:pPr>
              <w:spacing w:after="0"/>
              <w:rPr>
                <w:sz w:val="1"/>
                <w:szCs w:val="1"/>
                <w:color w:val="auto"/>
              </w:rPr>
            </w:pPr>
          </w:p>
        </w:tc>
      </w:tr>
      <w:tr>
        <w:trPr>
          <w:trHeight w:val="188"/>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Shareholders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MH</w:t>
            </w:r>
          </w:p>
        </w:tc>
        <w:tc>
          <w:tcPr>
            <w:tcW w:w="180" w:type="dxa"/>
            <w:vAlign w:val="bottom"/>
          </w:tcPr>
          <w:p>
            <w:pPr>
              <w:spacing w:after="0"/>
              <w:rPr>
                <w:sz w:val="17"/>
                <w:szCs w:val="17"/>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RV</w:t>
            </w:r>
          </w:p>
        </w:tc>
        <w:tc>
          <w:tcPr>
            <w:tcW w:w="14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0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MH</w:t>
            </w:r>
          </w:p>
        </w:tc>
        <w:tc>
          <w:tcPr>
            <w:tcW w:w="20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RV</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revenues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1,073.4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599.8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2,242.7</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793.3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1,700.5</w:t>
            </w:r>
          </w:p>
        </w:tc>
        <w:tc>
          <w:tcPr>
            <w:tcW w:w="0" w:type="dxa"/>
            <w:vAlign w:val="bottom"/>
          </w:tcPr>
          <w:p>
            <w:pPr>
              <w:spacing w:after="0"/>
              <w:rPr>
                <w:sz w:val="1"/>
                <w:szCs w:val="1"/>
                <w:color w:val="auto"/>
              </w:rPr>
            </w:pPr>
          </w:p>
        </w:tc>
      </w:tr>
      <w:tr>
        <w:trPr>
          <w:trHeight w:val="200"/>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Operating expenses / Cost of sales</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489.9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284.8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376.2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1,150.9</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326.8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256.0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830.1</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Net Operating Income / Gross Profit</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583.5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1,091.8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870.4</w:t>
            </w:r>
          </w:p>
        </w:tc>
        <w:tc>
          <w:tcPr>
            <w:tcW w:w="0" w:type="dxa"/>
            <w:vAlign w:val="bottom"/>
          </w:tcPr>
          <w:p>
            <w:pPr>
              <w:spacing w:after="0"/>
              <w:rPr>
                <w:sz w:val="1"/>
                <w:szCs w:val="1"/>
                <w:color w:val="auto"/>
              </w:rPr>
            </w:pPr>
          </w:p>
        </w:tc>
      </w:tr>
      <w:tr>
        <w:trPr>
          <w:trHeight w:val="200"/>
        </w:trPr>
        <w:tc>
          <w:tcPr>
            <w:tcW w:w="3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arrive at net income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income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Brokerage commissions and other revenues, net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(126.7)</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Business combination expense, net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(378.1)</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on extinguishment of debt (see Note 8)</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expense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(116.2)</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Interest on mandatorily redeemable preferred OP</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units / equity</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158"/>
        </w:trPr>
        <w:tc>
          <w:tcPr>
            <w:tcW w:w="332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Gain / (loss) on remeasurement of marketable</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securities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Gain on dispositions of properties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108.1</w:t>
            </w:r>
          </w:p>
        </w:tc>
        <w:tc>
          <w:tcPr>
            <w:tcW w:w="0" w:type="dxa"/>
            <w:vAlign w:val="bottom"/>
          </w:tcPr>
          <w:p>
            <w:pPr>
              <w:spacing w:after="0"/>
              <w:rPr>
                <w:sz w:val="1"/>
                <w:szCs w:val="1"/>
                <w:color w:val="auto"/>
              </w:rPr>
            </w:pPr>
          </w:p>
        </w:tc>
      </w:tr>
      <w:tr>
        <w:trPr>
          <w:trHeight w:val="205"/>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0"/>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Gain on remeasurement of notes receivable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Income from nonconsolidated affiliates (see</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 6)</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158"/>
        </w:trPr>
        <w:tc>
          <w:tcPr>
            <w:tcW w:w="332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Gain / (loss) on remeasurement of investment in</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nonconsolidated affiliates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tax expense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00"/>
        </w:trPr>
        <w:tc>
          <w:tcPr>
            <w:tcW w:w="3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Deferred tax benefit / (expense)</w:t>
            </w:r>
          </w:p>
        </w:tc>
        <w:tc>
          <w:tcPr>
            <w:tcW w:w="2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398.9</w:t>
            </w:r>
          </w:p>
        </w:tc>
        <w:tc>
          <w:tcPr>
            <w:tcW w:w="0" w:type="dxa"/>
            <w:vAlign w:val="bottom"/>
          </w:tcPr>
          <w:p>
            <w:pPr>
              <w:spacing w:after="0"/>
              <w:rPr>
                <w:sz w:val="1"/>
                <w:szCs w:val="1"/>
                <w:color w:val="auto"/>
              </w:rPr>
            </w:pPr>
          </w:p>
        </w:tc>
      </w:tr>
      <w:tr>
        <w:trPr>
          <w:trHeight w:val="158"/>
        </w:trPr>
        <w:tc>
          <w:tcPr>
            <w:tcW w:w="3320" w:type="dxa"/>
            <w:vAlign w:val="bottom"/>
          </w:tcPr>
          <w:p>
            <w:pPr>
              <w:ind w:left="360"/>
              <w:spacing w:after="0" w:line="159" w:lineRule="exact"/>
              <w:rPr>
                <w:sz w:val="20"/>
                <w:szCs w:val="20"/>
                <w:color w:val="auto"/>
              </w:rPr>
            </w:pPr>
            <w:r>
              <w:rPr>
                <w:rFonts w:ascii="Times New Roman" w:cs="Times New Roman" w:eastAsia="Times New Roman" w:hAnsi="Times New Roman"/>
                <w:sz w:val="15"/>
                <w:szCs w:val="15"/>
                <w:color w:val="auto"/>
              </w:rPr>
              <w:t>Less: Preferred return to preferred OP units /</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equity interests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color w:val="auto"/>
              </w:rPr>
              <w:t>Less: Income attributable to noncontrolling</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interests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0" w:type="dxa"/>
            <w:vAlign w:val="bottom"/>
          </w:tcPr>
          <w:p>
            <w:pPr>
              <w:spacing w:after="0"/>
              <w:rPr>
                <w:sz w:val="1"/>
                <w:szCs w:val="1"/>
                <w:color w:val="auto"/>
              </w:rPr>
            </w:pPr>
          </w:p>
        </w:tc>
      </w:tr>
      <w:tr>
        <w:trPr>
          <w:trHeight w:val="134"/>
        </w:trPr>
        <w:tc>
          <w:tcPr>
            <w:tcW w:w="3320" w:type="dxa"/>
            <w:vAlign w:val="bottom"/>
          </w:tcPr>
          <w:p>
            <w:pPr>
              <w:ind w:left="140"/>
              <w:spacing w:after="0" w:line="134" w:lineRule="exact"/>
              <w:rPr>
                <w:sz w:val="20"/>
                <w:szCs w:val="20"/>
                <w:color w:val="auto"/>
              </w:rPr>
            </w:pPr>
            <w:r>
              <w:rPr>
                <w:rFonts w:ascii="Times New Roman" w:cs="Times New Roman" w:eastAsia="Times New Roman" w:hAnsi="Times New Roman"/>
                <w:sz w:val="15"/>
                <w:szCs w:val="15"/>
                <w:b w:val="1"/>
                <w:bCs w:val="1"/>
                <w:color w:val="auto"/>
              </w:rPr>
              <w:t>Net Income Attributable to SUI Common</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237.3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367.3</w:t>
            </w:r>
          </w:p>
        </w:tc>
        <w:tc>
          <w:tcPr>
            <w:tcW w:w="0" w:type="dxa"/>
            <w:vAlign w:val="bottom"/>
          </w:tcPr>
          <w:p>
            <w:pPr>
              <w:spacing w:after="0"/>
              <w:rPr>
                <w:sz w:val="1"/>
                <w:szCs w:val="1"/>
                <w:color w:val="auto"/>
              </w:rPr>
            </w:pPr>
          </w:p>
        </w:tc>
      </w:tr>
      <w:tr>
        <w:trPr>
          <w:trHeight w:val="188"/>
        </w:trPr>
        <w:tc>
          <w:tcPr>
            <w:tcW w:w="3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Shareholders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00"/>
        </w:trPr>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MH</w:t>
            </w:r>
          </w:p>
        </w:tc>
        <w:tc>
          <w:tcPr>
            <w:tcW w:w="240" w:type="dxa"/>
            <w:vAlign w:val="bottom"/>
          </w:tcPr>
          <w:p>
            <w:pPr>
              <w:spacing w:after="0"/>
              <w:rPr>
                <w:sz w:val="17"/>
                <w:szCs w:val="17"/>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RV</w:t>
            </w:r>
          </w:p>
        </w:tc>
        <w:tc>
          <w:tcPr>
            <w:tcW w:w="20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0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MH</w:t>
            </w:r>
          </w:p>
        </w:tc>
        <w:tc>
          <w:tcPr>
            <w:tcW w:w="240" w:type="dxa"/>
            <w:vAlign w:val="bottom"/>
          </w:tcPr>
          <w:p>
            <w:pPr>
              <w:spacing w:after="0"/>
              <w:rPr>
                <w:sz w:val="17"/>
                <w:szCs w:val="17"/>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RV</w:t>
            </w:r>
          </w:p>
        </w:tc>
        <w:tc>
          <w:tcPr>
            <w:tcW w:w="16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Marina</w:t>
            </w:r>
          </w:p>
        </w:tc>
        <w:tc>
          <w:tcPr>
            <w:tcW w:w="120" w:type="dxa"/>
            <w:vAlign w:val="bottom"/>
          </w:tcPr>
          <w:p>
            <w:pPr>
              <w:spacing w:after="0"/>
              <w:rPr>
                <w:sz w:val="17"/>
                <w:szCs w:val="17"/>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r>
      <w:tr>
        <w:trPr>
          <w:trHeight w:val="183"/>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Identifiable Assets</w:t>
            </w: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200"/>
        </w:trPr>
        <w:tc>
          <w:tcPr>
            <w:tcW w:w="2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Investment property, net</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6,920.1</w:t>
            </w: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3,695.9</w:t>
            </w:r>
          </w:p>
        </w:tc>
        <w:tc>
          <w:tcPr>
            <w:tcW w:w="80" w:type="dxa"/>
            <w:vAlign w:val="bottom"/>
          </w:tcPr>
          <w:p>
            <w:pPr>
              <w:spacing w:after="0"/>
              <w:rPr>
                <w:sz w:val="17"/>
                <w:szCs w:val="17"/>
                <w:color w:val="auto"/>
              </w:rPr>
            </w:pPr>
          </w:p>
        </w:tc>
        <w:tc>
          <w:tcPr>
            <w:tcW w:w="200" w:type="dxa"/>
            <w:vAlign w:val="bottom"/>
          </w:tcPr>
          <w:p>
            <w:pPr>
              <w:jc w:val="center"/>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2,996.1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13,612.1</w:t>
            </w:r>
          </w:p>
        </w:tc>
        <w:tc>
          <w:tcPr>
            <w:tcW w:w="18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5,172.2</w:t>
            </w: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3,639.0</w:t>
            </w:r>
          </w:p>
        </w:tc>
        <w:tc>
          <w:tcPr>
            <w:tcW w:w="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2,614.3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11,425.5</w:t>
            </w:r>
          </w:p>
        </w:tc>
      </w:tr>
      <w:tr>
        <w:trPr>
          <w:trHeight w:val="151"/>
        </w:trPr>
        <w:tc>
          <w:tcPr>
            <w:tcW w:w="2340" w:type="dxa"/>
            <w:vAlign w:val="bottom"/>
            <w:shd w:val="clear" w:color="auto" w:fill="CCEEFF"/>
          </w:tcPr>
          <w:p>
            <w:pPr>
              <w:ind w:left="140"/>
              <w:spacing w:after="0" w:line="151" w:lineRule="exact"/>
              <w:rPr>
                <w:sz w:val="20"/>
                <w:szCs w:val="20"/>
                <w:color w:val="auto"/>
              </w:rPr>
            </w:pPr>
            <w:r>
              <w:rPr>
                <w:rFonts w:ascii="Times New Roman" w:cs="Times New Roman" w:eastAsia="Times New Roman" w:hAnsi="Times New Roman"/>
                <w:sz w:val="15"/>
                <w:szCs w:val="15"/>
                <w:color w:val="auto"/>
              </w:rPr>
              <w:t>Cash, cash equivalents and</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16"/>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restricted cash</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78.2</w:t>
            </w:r>
          </w:p>
        </w:tc>
      </w:tr>
      <w:tr>
        <w:trPr>
          <w:trHeight w:val="200"/>
        </w:trPr>
        <w:tc>
          <w:tcPr>
            <w:tcW w:w="2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Marketable securities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186.9</w:t>
            </w:r>
          </w:p>
        </w:tc>
      </w:tr>
      <w:tr>
        <w:trPr>
          <w:trHeight w:val="205"/>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Inventory of manufactured homes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51.1</w:t>
            </w:r>
          </w:p>
        </w:tc>
      </w:tr>
      <w:tr>
        <w:trPr>
          <w:trHeight w:val="200"/>
        </w:trPr>
        <w:tc>
          <w:tcPr>
            <w:tcW w:w="2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Notes and other receivables, net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511.0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55.5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469.6</w:t>
            </w:r>
          </w:p>
        </w:tc>
      </w:tr>
      <w:tr>
        <w:trPr>
          <w:trHeight w:val="205"/>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Goodwill</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430.5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495.4</w:t>
            </w:r>
          </w:p>
        </w:tc>
      </w:tr>
      <w:tr>
        <w:trPr>
          <w:trHeight w:val="200"/>
        </w:trPr>
        <w:tc>
          <w:tcPr>
            <w:tcW w:w="2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306.8</w:t>
            </w:r>
          </w:p>
        </w:tc>
      </w:tr>
      <w:tr>
        <w:trPr>
          <w:trHeight w:val="203"/>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assets, net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327.2</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610.9</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198.0</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63.6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480.6</w:t>
            </w:r>
          </w:p>
        </w:tc>
      </w:tr>
      <w:tr>
        <w:trPr>
          <w:trHeight w:val="198"/>
        </w:trPr>
        <w:tc>
          <w:tcPr>
            <w:tcW w:w="23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8,424.8</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3,960.3</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4,099.5</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16,484.6</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5,973.8</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3,873.4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3,646.9</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13,494.1</w:t>
            </w:r>
          </w:p>
        </w:tc>
      </w:tr>
      <w:tr>
        <w:trPr>
          <w:trHeight w:val="20"/>
        </w:trPr>
        <w:tc>
          <w:tcPr>
            <w:tcW w:w="2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4" w:right="49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elected to be taxed as a real estate investment trust ("REIT") pursuant to Section 856(c) of the Internal Revenue Code of 1986, as amended ("Code"). In order for us to qualify as a REIT, at least 95 percent of our gross income in any year must be derived from qualifying sources. In addition, a REIT must distribute annually at least 90 percent of its REIT taxable income (calculated without any deduction for dividends paid and excluding capital gain) to its shareholders and meet other tests.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for the nine months ended September 30, 2022.</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REIT, we generally will not be subject to U.S. federal income taxes at the corporate level on the ordinary taxable income we distribute to our shareholders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We are also subject to local income taxes in Canada, Puerto Rico and the United Kingdom due to certain properties located in those jurisdictions. We do not provide for withholding taxes on our undistributed earnings from our Canadian subsidiaries as they are reinvested and will continue to be reinvested indefinitely outside of the U.S. However, we are subject to Australian withholding taxes on distributions from our investment in Ingenia Communities Group. As currently structured, we are not subject to UK withholding taxes on distributions from our United Kingdom properties.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Deferred tax assets and liabilities reflect the impact of temporary differences between the amounts of assets and liabilities for financial reporting purposes and the basis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depreciation and basis differences between tax and GAAP. Our deferred tax assets that have a full valuation allowance relate to our taxable REIT subsidiaries. As of September 30, 2022, we had $287.1 million of net deferred tax liabilities, comprised of deferred tax assets, net of valuation allowance of $2.3 million, and deferred tax liabilities of $289.4 million. The deferred tax liability balance is comprised primarily of basis differences in our foreign investment in properties in the United Kingdom and Canada. As of December 31, 2021, we had $20.7 million of net deferred tax liabilities, comprised of deferred tax assets, net of valuation allowance of $3.0 million, and deferred tax liabilities of $23.7 million. These balances include a net deferred tax asset, net of valuation allowance, in the United States of $1.2 million as of September 30, 2022 and December 31, 2021. The net deferred tax assets and deferred tax liabilities are recorded within Other Assets and Other Liabilities, respectively, on our Consolidated Balance Sheets as of September 30, 2022 and December 31, 2021.</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no unrecognized tax benefits as of September 30, 2022 and 2021. We do not expect significant changes in tax positions that would result in unrecognized tax benefits within one year of September 30,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2022, we recorded current tax expense for federal, state, Canadian, Puerto Rican, and UK income taxes and Australian withholding taxes totaling $7.3 million and $12.5 million, respectively. For the three and nine months ended September 30, 2021, we recorded current tax expense for federal, state, Canadian income taxes and Australian withholding taxes totaling $0.4 million and $1.4 million,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2022, we recorded a deferred tax benefit of $3.6 million and $3.9 million, respectively. For the three and nine months ended September 30, 2021, we recorded deferred tax expense of $1.2 million and $1.1 million,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per share ("EPS") is computed by dividing net income by the weighted average number of common shares outstanding during the period on a basic and diluted basis. We calculate diluted EPS using the more dilutive of the treasury stock method and the two-class method for stock option and restricted common shares, the treasury stock method for forward equity sales and the if converted method for convertible units.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enter into forward equity sales agreements, which are discussed in Note 9, "Equity and Temporary Equity." We considered the potential dilution resulting from the forward equity sales agreements on the EPS calculations. At inception, the agreements do not have an effect on the computation of basic EPS as no shares are delivered unless there is a physical settlement. Common shares issued upon the physical settlement of the forward equity sales agreements, weighted for the period these common shares are outstanding, are included in the denominator of basic EPS. To determine the dilution resulting from the forward equity sales agreements during the period of time prior to settlement, we calculate the number of weighted-average shares outstanding - diluted in accordance with the treasury stock method.</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potentially dilutive securities include our potential common shares related to our forward equity offerings, our unvested restricted common shares, and our Operating Partnership outstanding common OP units, Series A-1 preferred OP units, Series A-3 preferred OP units, Series C preferred OP units, Series D preferred OP units, Series E preferred OP units, Series F preferred OP units, Series G preferred OP units, Series H preferred OP units, Series J preferred OP units and Aspen preferred OP Units, which, if converted or exercised, may impact dilution.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Diluted EPS considers the impact of potentially dilutive securities except when the potential common shares have an anti-dilutive effect. Our unvested restricted stock common shares contain rights to receive non-forfeitable distributions and participate equally with common stock with respect to distributions issued or declared, and thus, are participating securities, requiring the two-class method of computing EPS. In calculating the two-class method, undistributed earnings are allocated to both common shares and participating securities based on the weighted average number of shares outstanding during the period. The two-class method determines EPS by (1) dividing the sum of distributed earnings allocated to common shareholders and undistributed earnings allocated to common shareholders by the weighted average number of shares of common stock outstanding for the period; and (2) dividing the sum of distributed earnings allocated to participating securities and undistributed earnings allocated to participating securities by the weighted average number of shares of participating securities for the period. The remaining potentially dilutive common shares do not contain rights to distributions and are included in the computation of diluted EPS.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Computations of basic and diluted EPS were as follows (in millions, except for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220" w:type="dxa"/>
            <w:vAlign w:val="bottom"/>
          </w:tcPr>
          <w:p>
            <w:pPr>
              <w:spacing w:after="0"/>
              <w:rPr>
                <w:sz w:val="17"/>
                <w:szCs w:val="17"/>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44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0" w:type="dxa"/>
            <w:vAlign w:val="bottom"/>
          </w:tcPr>
          <w:p>
            <w:pPr>
              <w:spacing w:after="0"/>
              <w:rPr>
                <w:sz w:val="1"/>
                <w:szCs w:val="1"/>
                <w:color w:val="auto"/>
              </w:rPr>
            </w:pPr>
          </w:p>
        </w:tc>
      </w:tr>
      <w:tr>
        <w:trPr>
          <w:trHeight w:val="18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Numerator</w:t>
            </w:r>
          </w:p>
        </w:tc>
        <w:tc>
          <w:tcPr>
            <w:tcW w:w="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Attributable to SUI Common Shareholders</w:t>
            </w:r>
          </w:p>
        </w:tc>
        <w:tc>
          <w:tcPr>
            <w:tcW w:w="440" w:type="dxa"/>
            <w:vAlign w:val="bottom"/>
            <w:gridSpan w:val="2"/>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231.7</w:t>
            </w:r>
          </w:p>
        </w:tc>
        <w:tc>
          <w:tcPr>
            <w:tcW w:w="220" w:type="dxa"/>
            <w:vAlign w:val="bottom"/>
          </w:tcPr>
          <w:p>
            <w:pPr>
              <w:spacing w:after="0"/>
              <w:rPr>
                <w:sz w:val="17"/>
                <w:szCs w:val="17"/>
                <w:color w:val="auto"/>
              </w:rPr>
            </w:pP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237.3</w:t>
            </w:r>
          </w:p>
        </w:tc>
        <w:tc>
          <w:tcPr>
            <w:tcW w:w="80" w:type="dxa"/>
            <w:vAlign w:val="bottom"/>
          </w:tcPr>
          <w:p>
            <w:pPr>
              <w:spacing w:after="0"/>
              <w:rPr>
                <w:sz w:val="17"/>
                <w:szCs w:val="17"/>
                <w:color w:val="auto"/>
              </w:rPr>
            </w:pPr>
          </w:p>
        </w:tc>
        <w:tc>
          <w:tcPr>
            <w:tcW w:w="84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367.3</w:t>
            </w: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Less: allocation to restricted stock awards</w:t>
            </w:r>
          </w:p>
        </w:tc>
        <w:tc>
          <w:tcPr>
            <w:tcW w:w="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138"/>
        </w:trPr>
        <w:tc>
          <w:tcPr>
            <w:tcW w:w="5200" w:type="dxa"/>
            <w:vAlign w:val="bottom"/>
          </w:tcPr>
          <w:p>
            <w:pPr>
              <w:ind w:left="140"/>
              <w:spacing w:after="0" w:line="138" w:lineRule="exact"/>
              <w:rPr>
                <w:sz w:val="20"/>
                <w:szCs w:val="20"/>
                <w:color w:val="auto"/>
              </w:rPr>
            </w:pPr>
            <w:r>
              <w:rPr>
                <w:rFonts w:ascii="Times New Roman" w:cs="Times New Roman" w:eastAsia="Times New Roman" w:hAnsi="Times New Roman"/>
                <w:sz w:val="15"/>
                <w:szCs w:val="15"/>
                <w:color w:val="auto"/>
              </w:rPr>
              <w:t>Basic earnings - Net Income attributable to common shareholders after</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allocation to restricted stock awards</w:t>
            </w:r>
          </w:p>
        </w:tc>
        <w:tc>
          <w:tcPr>
            <w:tcW w:w="440" w:type="dxa"/>
            <w:vAlign w:val="bottom"/>
            <w:gridSpan w:val="2"/>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230.2</w:t>
            </w:r>
          </w:p>
        </w:tc>
        <w:tc>
          <w:tcPr>
            <w:tcW w:w="220" w:type="dxa"/>
            <w:vAlign w:val="bottom"/>
          </w:tcPr>
          <w:p>
            <w:pPr>
              <w:spacing w:after="0"/>
              <w:rPr>
                <w:sz w:val="17"/>
                <w:szCs w:val="17"/>
                <w:color w:val="auto"/>
              </w:rPr>
            </w:pP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235.8</w:t>
            </w:r>
          </w:p>
        </w:tc>
        <w:tc>
          <w:tcPr>
            <w:tcW w:w="80" w:type="dxa"/>
            <w:vAlign w:val="bottom"/>
          </w:tcPr>
          <w:p>
            <w:pPr>
              <w:spacing w:after="0"/>
              <w:rPr>
                <w:sz w:val="17"/>
                <w:szCs w:val="17"/>
                <w:color w:val="auto"/>
              </w:rPr>
            </w:pPr>
          </w:p>
        </w:tc>
        <w:tc>
          <w:tcPr>
            <w:tcW w:w="84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364.9</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Add: allocation to common and preferred OP units dilutive effect</w:t>
            </w:r>
          </w:p>
        </w:tc>
        <w:tc>
          <w:tcPr>
            <w:tcW w:w="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2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0" w:type="dxa"/>
            <w:vAlign w:val="bottom"/>
          </w:tcPr>
          <w:p>
            <w:pPr>
              <w:spacing w:after="0"/>
              <w:rPr>
                <w:sz w:val="1"/>
                <w:szCs w:val="1"/>
                <w:color w:val="auto"/>
              </w:rPr>
            </w:pPr>
          </w:p>
        </w:tc>
      </w:tr>
      <w:tr>
        <w:trPr>
          <w:trHeight w:val="138"/>
        </w:trPr>
        <w:tc>
          <w:tcPr>
            <w:tcW w:w="5200" w:type="dxa"/>
            <w:vAlign w:val="bottom"/>
          </w:tcPr>
          <w:p>
            <w:pPr>
              <w:ind w:left="140"/>
              <w:spacing w:after="0" w:line="138" w:lineRule="exact"/>
              <w:rPr>
                <w:sz w:val="20"/>
                <w:szCs w:val="20"/>
                <w:color w:val="auto"/>
              </w:rPr>
            </w:pPr>
            <w:r>
              <w:rPr>
                <w:rFonts w:ascii="Times New Roman" w:cs="Times New Roman" w:eastAsia="Times New Roman" w:hAnsi="Times New Roman"/>
                <w:sz w:val="15"/>
                <w:szCs w:val="15"/>
                <w:color w:val="auto"/>
              </w:rPr>
              <w:t>Diluted earnings - Net income attributable to common shareholders after</w:t>
            </w:r>
          </w:p>
        </w:tc>
        <w:tc>
          <w:tcPr>
            <w:tcW w:w="440" w:type="dxa"/>
            <w:vAlign w:val="bottom"/>
            <w:gridSpan w:val="2"/>
            <w:vMerge w:val="restart"/>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66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235.9</w:t>
            </w:r>
          </w:p>
        </w:tc>
        <w:tc>
          <w:tcPr>
            <w:tcW w:w="220" w:type="dxa"/>
            <w:vAlign w:val="bottom"/>
          </w:tcPr>
          <w:p>
            <w:pPr>
              <w:spacing w:after="0"/>
              <w:rPr>
                <w:sz w:val="12"/>
                <w:szCs w:val="12"/>
                <w:color w:val="auto"/>
              </w:rPr>
            </w:pPr>
          </w:p>
        </w:tc>
        <w:tc>
          <w:tcPr>
            <w:tcW w:w="440" w:type="dxa"/>
            <w:vAlign w:val="bottom"/>
            <w:vMerge w:val="restart"/>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240.7</w:t>
            </w:r>
          </w:p>
        </w:tc>
        <w:tc>
          <w:tcPr>
            <w:tcW w:w="80" w:type="dxa"/>
            <w:vAlign w:val="bottom"/>
          </w:tcPr>
          <w:p>
            <w:pPr>
              <w:spacing w:after="0"/>
              <w:rPr>
                <w:sz w:val="12"/>
                <w:szCs w:val="12"/>
                <w:color w:val="auto"/>
              </w:rPr>
            </w:pPr>
          </w:p>
        </w:tc>
        <w:tc>
          <w:tcPr>
            <w:tcW w:w="840" w:type="dxa"/>
            <w:vAlign w:val="bottom"/>
            <w:vMerge w:val="restart"/>
          </w:tcPr>
          <w:p>
            <w:pPr>
              <w:jc w:val="right"/>
              <w:ind w:right="66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373.2</w:t>
            </w:r>
          </w:p>
        </w:tc>
        <w:tc>
          <w:tcPr>
            <w:tcW w:w="0" w:type="dxa"/>
            <w:vAlign w:val="bottom"/>
          </w:tcPr>
          <w:p>
            <w:pPr>
              <w:spacing w:after="0"/>
              <w:rPr>
                <w:sz w:val="1"/>
                <w:szCs w:val="1"/>
                <w:color w:val="auto"/>
              </w:rPr>
            </w:pPr>
          </w:p>
        </w:tc>
      </w:tr>
      <w:tr>
        <w:trPr>
          <w:trHeight w:val="184"/>
        </w:trPr>
        <w:tc>
          <w:tcPr>
            <w:tcW w:w="5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allocation to common and preferred OP units</w:t>
            </w:r>
          </w:p>
        </w:tc>
        <w:tc>
          <w:tcPr>
            <w:tcW w:w="440" w:type="dxa"/>
            <w:vAlign w:val="bottom"/>
            <w:tcBorders>
              <w:bottom w:val="single" w:sz="8" w:color="auto"/>
            </w:tcBorders>
            <w:gridSpan w:val="2"/>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Weighted average common shares outstanding</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115.1</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119.2</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111.7</w:t>
            </w: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Add: common shares dilutive effect: Forward Equity Offering</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5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Add: dilutive restricted stock</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Add: common and preferred OP units dilutive effect</w:t>
            </w:r>
          </w:p>
        </w:tc>
        <w:tc>
          <w:tcPr>
            <w:tcW w:w="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2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line="198" w:lineRule="exact"/>
              <w:rPr>
                <w:sz w:val="20"/>
                <w:szCs w:val="20"/>
                <w:color w:val="auto"/>
              </w:rPr>
            </w:pPr>
            <w:r>
              <w:rPr>
                <w:rFonts w:ascii="Times New Roman" w:cs="Times New Roman" w:eastAsia="Times New Roman" w:hAnsi="Times New Roman"/>
                <w:sz w:val="15"/>
                <w:szCs w:val="15"/>
                <w:color w:val="auto"/>
              </w:rPr>
              <w:t>Diluted weighted average common shares and securities</w:t>
            </w:r>
            <w:r>
              <w:rPr>
                <w:rFonts w:ascii="Times New Roman" w:cs="Times New Roman" w:eastAsia="Times New Roman" w:hAnsi="Times New Roman"/>
                <w:sz w:val="19"/>
                <w:szCs w:val="19"/>
                <w:color w:val="auto"/>
                <w:vertAlign w:val="superscript"/>
              </w:rPr>
              <w:t>(1)</w:t>
            </w:r>
          </w:p>
        </w:tc>
        <w:tc>
          <w:tcPr>
            <w:tcW w:w="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118.1</w:t>
            </w: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121.9</w:t>
            </w:r>
          </w:p>
        </w:tc>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114.3</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EPS Available to Common Shareholders After Allocation</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Basic EPS</w:t>
            </w:r>
          </w:p>
        </w:tc>
        <w:tc>
          <w:tcPr>
            <w:tcW w:w="440" w:type="dxa"/>
            <w:vAlign w:val="bottom"/>
            <w:gridSpan w:val="2"/>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220" w:type="dxa"/>
            <w:vAlign w:val="bottom"/>
          </w:tcPr>
          <w:p>
            <w:pPr>
              <w:spacing w:after="0"/>
              <w:rPr>
                <w:sz w:val="17"/>
                <w:szCs w:val="17"/>
                <w:color w:val="auto"/>
              </w:rPr>
            </w:pP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80" w:type="dxa"/>
            <w:vAlign w:val="bottom"/>
          </w:tcPr>
          <w:p>
            <w:pPr>
              <w:spacing w:after="0"/>
              <w:rPr>
                <w:sz w:val="17"/>
                <w:szCs w:val="17"/>
                <w:color w:val="auto"/>
              </w:rPr>
            </w:pPr>
          </w:p>
        </w:tc>
        <w:tc>
          <w:tcPr>
            <w:tcW w:w="84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5"/>
                <w:szCs w:val="15"/>
                <w:color w:val="auto"/>
              </w:rPr>
              <w:t>Diluted EPS</w:t>
            </w:r>
            <w:r>
              <w:rPr>
                <w:rFonts w:ascii="Times New Roman" w:cs="Times New Roman" w:eastAsia="Times New Roman" w:hAnsi="Times New Roman"/>
                <w:sz w:val="19"/>
                <w:szCs w:val="19"/>
                <w:color w:val="auto"/>
                <w:vertAlign w:val="superscript"/>
              </w:rPr>
              <w:t>(1)</w:t>
            </w:r>
          </w:p>
        </w:tc>
        <w:tc>
          <w:tcPr>
            <w:tcW w:w="440" w:type="dxa"/>
            <w:vAlign w:val="bottom"/>
            <w:gridSpan w:val="2"/>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hanging="172"/>
        <w:spacing w:after="0" w:line="230" w:lineRule="auto"/>
        <w:tabs>
          <w:tab w:leader="none" w:pos="167"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and nine months ended September 30, 2022 and 2021, diluted earnings per share was calculated using the two-class method for restricted stock awards as the application of this method resulted in a more diluted earnings per share during those periods.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excluded certain convertible securities from the computation of diluted EPS because the inclusion of those securities would have been anti-dilutive for the periods presented. The following table presents the outstanding securities that were excluded from the computation of diluted EPS as of September 30, 2022 and 2021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2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4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200"/>
        </w:trPr>
        <w:tc>
          <w:tcPr>
            <w:tcW w:w="77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280" w:type="dxa"/>
            <w:vAlign w:val="bottom"/>
            <w:tcBorders>
              <w:bottom w:val="single" w:sz="8" w:color="CCEEFF"/>
            </w:tcBorders>
          </w:tcPr>
          <w:p>
            <w:pPr>
              <w:spacing w:after="0"/>
              <w:rPr>
                <w:sz w:val="17"/>
                <w:szCs w:val="17"/>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OP units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2,429</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(1)</w:t>
            </w: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9"/>
                <w:szCs w:val="19"/>
                <w:color w:val="auto"/>
              </w:rPr>
            </w:pPr>
          </w:p>
        </w:tc>
      </w:tr>
      <w:tr>
        <w:trPr>
          <w:trHeight w:val="200"/>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A-1 preferred OP units</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280" w:type="dxa"/>
            <w:vAlign w:val="bottom"/>
          </w:tcPr>
          <w:p>
            <w:pPr>
              <w:spacing w:after="0"/>
              <w:rPr>
                <w:sz w:val="17"/>
                <w:szCs w:val="17"/>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A-3 preferred OP units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280" w:type="dxa"/>
            <w:vAlign w:val="bottom"/>
            <w:shd w:val="clear" w:color="auto" w:fill="CCEEFF"/>
          </w:tcPr>
          <w:p>
            <w:pPr>
              <w:spacing w:after="0"/>
              <w:rPr>
                <w:sz w:val="17"/>
                <w:szCs w:val="17"/>
                <w:color w:val="auto"/>
              </w:rPr>
            </w:pPr>
          </w:p>
        </w:tc>
      </w:tr>
      <w:tr>
        <w:trPr>
          <w:trHeight w:val="200"/>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Aspen preferred OP units</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1,284</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w:t>
            </w:r>
          </w:p>
        </w:tc>
        <w:tc>
          <w:tcPr>
            <w:tcW w:w="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(2)</w:t>
            </w: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C preferred OP units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280" w:type="dxa"/>
            <w:vAlign w:val="bottom"/>
            <w:shd w:val="clear" w:color="auto" w:fill="CCEEFF"/>
          </w:tcPr>
          <w:p>
            <w:pPr>
              <w:spacing w:after="0"/>
              <w:rPr>
                <w:sz w:val="17"/>
                <w:szCs w:val="17"/>
                <w:color w:val="auto"/>
              </w:rPr>
            </w:pPr>
          </w:p>
        </w:tc>
      </w:tr>
      <w:tr>
        <w:trPr>
          <w:trHeight w:val="200"/>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 D preferred OP units</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w:t>
            </w:r>
          </w:p>
        </w:tc>
        <w:tc>
          <w:tcPr>
            <w:tcW w:w="280" w:type="dxa"/>
            <w:vAlign w:val="bottom"/>
          </w:tcPr>
          <w:p>
            <w:pPr>
              <w:spacing w:after="0"/>
              <w:rPr>
                <w:sz w:val="17"/>
                <w:szCs w:val="17"/>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E preferred OP units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280" w:type="dxa"/>
            <w:vAlign w:val="bottom"/>
            <w:shd w:val="clear" w:color="auto" w:fill="CCEEFF"/>
          </w:tcPr>
          <w:p>
            <w:pPr>
              <w:spacing w:after="0"/>
              <w:rPr>
                <w:sz w:val="17"/>
                <w:szCs w:val="17"/>
                <w:color w:val="auto"/>
              </w:rPr>
            </w:pPr>
          </w:p>
        </w:tc>
      </w:tr>
      <w:tr>
        <w:trPr>
          <w:trHeight w:val="200"/>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 F preferred OP units</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280" w:type="dxa"/>
            <w:vAlign w:val="bottom"/>
          </w:tcPr>
          <w:p>
            <w:pPr>
              <w:spacing w:after="0"/>
              <w:rPr>
                <w:sz w:val="17"/>
                <w:szCs w:val="17"/>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G preferred OP units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280" w:type="dxa"/>
            <w:vAlign w:val="bottom"/>
            <w:shd w:val="clear" w:color="auto" w:fill="CCEEFF"/>
          </w:tcPr>
          <w:p>
            <w:pPr>
              <w:spacing w:after="0"/>
              <w:rPr>
                <w:sz w:val="17"/>
                <w:szCs w:val="17"/>
                <w:color w:val="auto"/>
              </w:rPr>
            </w:pPr>
          </w:p>
        </w:tc>
      </w:tr>
      <w:tr>
        <w:trPr>
          <w:trHeight w:val="200"/>
        </w:trPr>
        <w:tc>
          <w:tcPr>
            <w:tcW w:w="7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Series H preferred OP units</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w:t>
            </w:r>
          </w:p>
        </w:tc>
        <w:tc>
          <w:tcPr>
            <w:tcW w:w="280" w:type="dxa"/>
            <w:vAlign w:val="bottom"/>
          </w:tcPr>
          <w:p>
            <w:pPr>
              <w:spacing w:after="0"/>
              <w:rPr>
                <w:sz w:val="17"/>
                <w:szCs w:val="17"/>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I preferred OP units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922</w:t>
            </w:r>
          </w:p>
        </w:tc>
        <w:tc>
          <w:tcPr>
            <w:tcW w:w="280" w:type="dxa"/>
            <w:vAlign w:val="bottom"/>
            <w:shd w:val="clear" w:color="auto" w:fill="CCEEFF"/>
          </w:tcPr>
          <w:p>
            <w:pPr>
              <w:spacing w:after="0"/>
              <w:rPr>
                <w:sz w:val="17"/>
                <w:szCs w:val="17"/>
                <w:color w:val="auto"/>
              </w:rPr>
            </w:pPr>
          </w:p>
        </w:tc>
      </w:tr>
      <w:tr>
        <w:trPr>
          <w:trHeight w:val="20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Series J preferred OP units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280" w:type="dxa"/>
            <w:vAlign w:val="bottom"/>
            <w:tcBorders>
              <w:bottom w:val="single" w:sz="8" w:color="CCEEFF"/>
            </w:tcBorders>
          </w:tcPr>
          <w:p>
            <w:pPr>
              <w:spacing w:after="0"/>
              <w:rPr>
                <w:sz w:val="17"/>
                <w:szCs w:val="17"/>
                <w:color w:val="auto"/>
              </w:rPr>
            </w:pPr>
          </w:p>
        </w:tc>
      </w:tr>
      <w:tr>
        <w:trPr>
          <w:trHeight w:val="223"/>
        </w:trPr>
        <w:tc>
          <w:tcPr>
            <w:tcW w:w="7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Total Securities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6,050</w:t>
            </w: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4,558</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jc w:val="both"/>
        <w:ind w:left="180" w:hanging="172"/>
        <w:spacing w:after="0" w:line="239" w:lineRule="auto"/>
        <w:tabs>
          <w:tab w:leader="none" w:pos="163"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September 30, 2022, Common OP units were excluded from the computation of diluted earnings per share because the inclusion of those securities would have been anti-dilutive for the period. For the nine months ended September 30, 2022, Common OP units were included in the computation of diluted earnings per share because the inclusion of those securities was dilutive for the period.</w:t>
      </w:r>
    </w:p>
    <w:p>
      <w:pPr>
        <w:spacing w:after="0" w:line="42" w:lineRule="exact"/>
        <w:rPr>
          <w:rFonts w:ascii="Times New Roman" w:cs="Times New Roman" w:eastAsia="Times New Roman" w:hAnsi="Times New Roman"/>
          <w:sz w:val="19"/>
          <w:szCs w:val="19"/>
          <w:color w:val="auto"/>
          <w:vertAlign w:val="superscript"/>
        </w:rPr>
      </w:pPr>
    </w:p>
    <w:p>
      <w:pPr>
        <w:jc w:val="both"/>
        <w:ind w:left="180" w:right="20" w:hanging="172"/>
        <w:spacing w:after="0" w:line="233" w:lineRule="auto"/>
        <w:tabs>
          <w:tab w:leader="none" w:pos="17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three months ended September 30, 2022 and 2021, Aspen preferred OP units were included in the computation of diluted earnings per share because the inclusion of those securities was dilutive for the period. For the nine months ended September 30, 2022 and 2021, Aspen preferred OP units were excluded from the computation of diluted earnings per share because the inclusion of those securities would have been anti-dilutive for the period.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Derivative Financial Instruments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objective and strategy in using interest rate derivatives is to manage exposure to interest rate movements, thereby minimizing the effect of interest rate changes and the effect they could have on future cash outflows (forecasted interest payments) on a forecasted issuance of long-term debt or on outstanding floating rate debt. Treasury locks and interest rate swaps are used to accomplish this objective. We do not enter into derivative instruments for speculative purposes.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have designated the treasury lock contracts and interest rate swap contracts as cash flow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risk being hedged is the interest rate risk related to forecasted transactions and outstanding floating rate debt. The benchmark interest rate used is the on-the-run 10-year U.S. Treasury rate and the daily weighted average Daily SONIA Rate for the treasury locks and interest rate swaps, respectively.</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2022, we held four Treasury lock contracts with an aggregate notional amount of $600.0 million that were designated as cash flow hedges of interest rate risk. The unrealized gains or losses on the Treasury lock contracts were recorded in Accumulated other comprehensive income ("AOCI") within the Consolidated Balance Sheets. During the three months ended June 30, 2022, in connection with the 2032 Notes issuance, we settled the four 10-year Treasury rate lock contracts totaling $600.0 million and received a settlement payment of $35.3 million. As of the settlement date, the net accumulated gain included in AOCI is being reclassified into earnings as a reduction to interest expense on a straight-line basis over the 10-year term of the hedged transaction.</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2022, we entered into two treasury rate lock contracts with an aggregate notional value of $200.0 million to hedge interest rate risk associated with the future issuance of long-term fixed rate debt. We also entered into two interest rate swap agreements to hedge variable rate borrowings of £400.0 million (equivalent to $445.3 million as of September 30, 2022) under the term loan on our Senior Credit Facility. The interest rate swaps locked in a total fixed rate, inclusive of spread, of 3.67 percent through the term loan maturity date of April 7, 2025. The cash flow hedge unrealized gains or losses included in the assessment of hedge effectiveness are recorded in AOCI and will be reclassified to interest expense in the same period during which the hedged transaction affects earnings. We estimate that $13.0 million will be reclassified as a reduction to interest expense over the next 12 months for all of our outstanding cash flow hedges.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gross fair value amounts of our derivative financial instruments and the associated notional amounts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52"/>
        </w:trPr>
        <w:tc>
          <w:tcPr>
            <w:tcW w:w="3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5"/>
                <w:szCs w:val="15"/>
                <w:b w:val="1"/>
                <w:bCs w:val="1"/>
                <w:color w:val="auto"/>
              </w:rPr>
              <w:t>Fair Value</w:t>
            </w:r>
          </w:p>
        </w:tc>
        <w:tc>
          <w:tcPr>
            <w:tcW w:w="140" w:type="dxa"/>
            <w:vAlign w:val="bottom"/>
          </w:tcPr>
          <w:p>
            <w:pPr>
              <w:spacing w:after="0"/>
              <w:rPr>
                <w:sz w:val="13"/>
                <w:szCs w:val="13"/>
                <w:color w:val="auto"/>
              </w:rPr>
            </w:pPr>
          </w:p>
        </w:tc>
        <w:tc>
          <w:tcPr>
            <w:tcW w:w="1060" w:type="dxa"/>
            <w:vAlign w:val="bottom"/>
          </w:tcPr>
          <w:p>
            <w:pPr>
              <w:jc w:val="center"/>
              <w:ind w:right="64"/>
              <w:spacing w:after="0" w:line="152" w:lineRule="exact"/>
              <w:rPr>
                <w:sz w:val="20"/>
                <w:szCs w:val="20"/>
                <w:color w:val="auto"/>
              </w:rPr>
            </w:pPr>
            <w:r>
              <w:rPr>
                <w:rFonts w:ascii="Times New Roman" w:cs="Times New Roman" w:eastAsia="Times New Roman" w:hAnsi="Times New Roman"/>
                <w:sz w:val="15"/>
                <w:szCs w:val="15"/>
                <w:b w:val="1"/>
                <w:bCs w:val="1"/>
                <w:color w:val="auto"/>
                <w:w w:val="98"/>
              </w:rPr>
              <w:t>Fair Value</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5"/>
                <w:szCs w:val="15"/>
                <w:b w:val="1"/>
                <w:bCs w:val="1"/>
                <w:color w:val="auto"/>
                <w:w w:val="98"/>
              </w:rPr>
              <w:t>Fair Value</w:t>
            </w:r>
          </w:p>
        </w:tc>
        <w:tc>
          <w:tcPr>
            <w:tcW w:w="140" w:type="dxa"/>
            <w:vAlign w:val="bottom"/>
          </w:tcPr>
          <w:p>
            <w:pPr>
              <w:spacing w:after="0"/>
              <w:rPr>
                <w:sz w:val="13"/>
                <w:szCs w:val="13"/>
                <w:color w:val="auto"/>
              </w:rPr>
            </w:pPr>
          </w:p>
        </w:tc>
        <w:tc>
          <w:tcPr>
            <w:tcW w:w="1060" w:type="dxa"/>
            <w:vAlign w:val="bottom"/>
          </w:tcPr>
          <w:p>
            <w:pPr>
              <w:jc w:val="center"/>
              <w:ind w:right="64"/>
              <w:spacing w:after="0" w:line="152" w:lineRule="exact"/>
              <w:rPr>
                <w:sz w:val="20"/>
                <w:szCs w:val="20"/>
                <w:color w:val="auto"/>
              </w:rPr>
            </w:pPr>
            <w:r>
              <w:rPr>
                <w:rFonts w:ascii="Times New Roman" w:cs="Times New Roman" w:eastAsia="Times New Roman" w:hAnsi="Times New Roman"/>
                <w:sz w:val="15"/>
                <w:szCs w:val="15"/>
                <w:b w:val="1"/>
                <w:bCs w:val="1"/>
                <w:color w:val="auto"/>
                <w:w w:val="98"/>
              </w:rPr>
              <w:t>Fair Value</w:t>
            </w:r>
          </w:p>
        </w:tc>
      </w:tr>
      <w:tr>
        <w:trPr>
          <w:trHeight w:val="21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hedges</w:t>
            </w:r>
          </w:p>
        </w:tc>
        <w:tc>
          <w:tcPr>
            <w:tcW w:w="200" w:type="dxa"/>
            <w:vAlign w:val="bottom"/>
          </w:tcPr>
          <w:p>
            <w:pPr>
              <w:spacing w:after="0"/>
              <w:rPr>
                <w:sz w:val="18"/>
                <w:szCs w:val="18"/>
                <w:color w:val="auto"/>
              </w:rPr>
            </w:pPr>
          </w:p>
        </w:tc>
        <w:tc>
          <w:tcPr>
            <w:tcW w:w="100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Notional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40"/>
              <w:spacing w:after="0" w:line="210" w:lineRule="exact"/>
              <w:rPr>
                <w:sz w:val="20"/>
                <w:szCs w:val="20"/>
                <w:color w:val="auto"/>
              </w:rPr>
            </w:pPr>
            <w:r>
              <w:rPr>
                <w:rFonts w:ascii="Times New Roman" w:cs="Times New Roman" w:eastAsia="Times New Roman" w:hAnsi="Times New Roman"/>
                <w:sz w:val="15"/>
                <w:szCs w:val="15"/>
                <w:b w:val="1"/>
                <w:bCs w:val="1"/>
                <w:color w:val="auto"/>
                <w:w w:val="98"/>
              </w:rPr>
              <w:t>of Assets</w:t>
            </w:r>
            <w:r>
              <w:rPr>
                <w:rFonts w:ascii="Times New Roman" w:cs="Times New Roman" w:eastAsia="Times New Roman" w:hAnsi="Times New Roman"/>
                <w:sz w:val="19"/>
                <w:szCs w:val="19"/>
                <w:color w:val="auto"/>
                <w:w w:val="98"/>
                <w:vertAlign w:val="superscript"/>
              </w:rPr>
              <w:t>(1)</w:t>
            </w: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of Liabilities</w:t>
            </w:r>
          </w:p>
        </w:tc>
        <w:tc>
          <w:tcPr>
            <w:tcW w:w="220" w:type="dxa"/>
            <w:vAlign w:val="bottom"/>
          </w:tcPr>
          <w:p>
            <w:pPr>
              <w:spacing w:after="0"/>
              <w:rPr>
                <w:sz w:val="18"/>
                <w:szCs w:val="18"/>
                <w:color w:val="auto"/>
              </w:rPr>
            </w:pPr>
          </w:p>
        </w:tc>
        <w:tc>
          <w:tcPr>
            <w:tcW w:w="98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Notional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60"/>
              <w:spacing w:after="0" w:line="210" w:lineRule="exact"/>
              <w:rPr>
                <w:sz w:val="20"/>
                <w:szCs w:val="20"/>
                <w:color w:val="auto"/>
              </w:rPr>
            </w:pPr>
            <w:r>
              <w:rPr>
                <w:rFonts w:ascii="Times New Roman" w:cs="Times New Roman" w:eastAsia="Times New Roman" w:hAnsi="Times New Roman"/>
                <w:sz w:val="15"/>
                <w:szCs w:val="15"/>
                <w:b w:val="1"/>
                <w:bCs w:val="1"/>
                <w:color w:val="auto"/>
                <w:w w:val="95"/>
              </w:rPr>
              <w:t>of Assets</w:t>
            </w:r>
            <w:r>
              <w:rPr>
                <w:rFonts w:ascii="Times New Roman" w:cs="Times New Roman" w:eastAsia="Times New Roman" w:hAnsi="Times New Roman"/>
                <w:sz w:val="19"/>
                <w:szCs w:val="19"/>
                <w:color w:val="auto"/>
                <w:w w:val="95"/>
                <w:vertAlign w:val="superscript"/>
              </w:rPr>
              <w:t>(1)</w:t>
            </w:r>
          </w:p>
        </w:tc>
        <w:tc>
          <w:tcPr>
            <w:tcW w:w="140" w:type="dxa"/>
            <w:vAlign w:val="bottom"/>
          </w:tcPr>
          <w:p>
            <w:pPr>
              <w:spacing w:after="0"/>
              <w:rPr>
                <w:sz w:val="18"/>
                <w:szCs w:val="18"/>
                <w:color w:val="auto"/>
              </w:rPr>
            </w:pPr>
          </w:p>
        </w:tc>
        <w:tc>
          <w:tcPr>
            <w:tcW w:w="106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of Liabilities</w:t>
            </w:r>
          </w:p>
        </w:tc>
      </w:tr>
      <w:tr>
        <w:trPr>
          <w:trHeight w:val="196"/>
        </w:trPr>
        <w:tc>
          <w:tcPr>
            <w:tcW w:w="3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derivatives</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645.3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w:t>
            </w:r>
          </w:p>
        </w:tc>
      </w:tr>
    </w:tbl>
    <w:p>
      <w:pPr>
        <w:spacing w:after="0" w:line="55" w:lineRule="exact"/>
        <w:rPr>
          <w:sz w:val="20"/>
          <w:szCs w:val="20"/>
          <w:color w:val="auto"/>
        </w:rPr>
      </w:pPr>
    </w:p>
    <w:p>
      <w:pPr>
        <w:ind w:left="160" w:hanging="152"/>
        <w:spacing w:after="0"/>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within Other Assets, net on the Consolidated Balance Sheets.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15, "Fair Value of Financial Instruments," for additional information related to the fair value methodology used for derivative financial instruments.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gains on derivatives in cash flow hedging relationships recognized in Other Comprehensive Income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gridSpan w:val="5"/>
          </w:tcPr>
          <w:p>
            <w:pPr>
              <w:ind w:left="7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0" w:type="dxa"/>
            <w:vAlign w:val="bottom"/>
          </w:tcPr>
          <w:p>
            <w:pPr>
              <w:spacing w:after="0"/>
              <w:rPr>
                <w:sz w:val="17"/>
                <w:szCs w:val="17"/>
                <w:color w:val="auto"/>
              </w:rPr>
            </w:pPr>
          </w:p>
        </w:tc>
        <w:tc>
          <w:tcPr>
            <w:tcW w:w="2980" w:type="dxa"/>
            <w:vAlign w:val="bottom"/>
            <w:gridSpan w:val="4"/>
          </w:tcPr>
          <w:p>
            <w:pPr>
              <w:ind w:left="780"/>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2"/>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hedges</w:t>
            </w: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30, 2021</w:t>
            </w:r>
          </w:p>
        </w:tc>
      </w:tr>
      <w:tr>
        <w:trPr>
          <w:trHeight w:val="196"/>
        </w:trPr>
        <w:tc>
          <w:tcPr>
            <w:tcW w:w="48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derivatives</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5"/>
                <w:szCs w:val="15"/>
                <w:color w:val="auto"/>
              </w:rPr>
              <w:t>—</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gains / (losses) on derivative instruments reclassified from Accumulated Other Comprehensive Income into earnings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540" w:type="dxa"/>
            <w:vAlign w:val="bottom"/>
            <w:tcBorders>
              <w:bottom w:val="single" w:sz="8" w:color="auto"/>
            </w:tcBorders>
          </w:tcPr>
          <w:p>
            <w:pPr>
              <w:spacing w:after="0"/>
              <w:rPr>
                <w:sz w:val="17"/>
                <w:szCs w:val="17"/>
                <w:color w:val="auto"/>
              </w:rPr>
            </w:pPr>
          </w:p>
        </w:tc>
      </w:tr>
      <w:tr>
        <w:trPr>
          <w:trHeight w:val="135"/>
        </w:trPr>
        <w:tc>
          <w:tcPr>
            <w:tcW w:w="3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5"/>
                <w:szCs w:val="15"/>
                <w:b w:val="1"/>
                <w:bCs w:val="1"/>
                <w:color w:val="auto"/>
              </w:rPr>
              <w:t>Financial Statement</w:t>
            </w: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212"/>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Derivatives designated as cash flow hedges</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 2021</w:t>
            </w:r>
          </w:p>
        </w:tc>
      </w:tr>
      <w:tr>
        <w:trPr>
          <w:trHeight w:val="200"/>
        </w:trPr>
        <w:tc>
          <w:tcPr>
            <w:tcW w:w="32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rate derivatives</w:t>
            </w:r>
          </w:p>
        </w:tc>
        <w:tc>
          <w:tcPr>
            <w:tcW w:w="8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of Financial Instruments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instruments consist primarily of cash, cash equivalents and restricted cash, marketable securities, notes and other receivables, derivatives assets, debt, warrants and other liabilities. We utilize fair value measurements to record fair value adjustments to certain assets and liabilities and to determine fair value disclosures, pursuant to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The following methods and assumptions were used in order to estimate the fair value of each class of financial instruments for which it is practicable to estimate that value:</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our market assumption. This hierarchy requires the use of observable market data when available. These two types of inputs have created the following fair value hierarchy:</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Quoted unadjusted prices for identical instruments in active markets that we have the ability to access;</w:t>
      </w:r>
    </w:p>
    <w:p>
      <w:pPr>
        <w:spacing w:after="0" w:line="25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in which all significant inputs and significant value drivers are observable (e.g. interest rates, yield curves, prepayment speeds, default rates, loss severity, etc.) in active markets or can be corroborated by observable market data; and</w:t>
      </w:r>
    </w:p>
    <w:p>
      <w:pPr>
        <w:spacing w:after="0" w:line="20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derived from valuation techniques in which one or more significant inputs or significant value drivers are unobservable. The unobservable inputs reflect our assumptions about the assumptions that market participants would use.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by Hierarchy Level</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sets forth our financial assets and liabilities (in millions) that required disclosure of fair value on a recurring basis as of September 30, 2022. The table presents the carrying values and fair values of our financial instruments as of September 30, 2022 and December 31, 2021, that were measured using the valuation techniques described above. The table excludes other financial instruments such as other receivables and accounts payable as the carrying values associated with these instruments approximate their fair value since their maturities are less than one year. These are classified as Level 1 in the hierarchy.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auto"/>
              </w:rPr>
              <w:t>Quoted Prices in</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Active Markets for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20"/>
              <w:spacing w:after="0" w:line="156"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Identical Assets and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Carrying Value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5"/>
                <w:szCs w:val="15"/>
                <w:b w:val="1"/>
                <w:bCs w:val="1"/>
                <w:color w:val="auto"/>
                <w:w w:val="99"/>
              </w:rPr>
              <w:t>Liabilities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4"/>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Inputs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202"/>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36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112.0</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112.0</w:t>
            </w:r>
          </w:p>
        </w:tc>
        <w:tc>
          <w:tcPr>
            <w:tcW w:w="24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112.0</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Marketable securities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100.4</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100.4</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Installment notes receivable on manufactured homes, net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69.4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69.4</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Notes receivable from real estate developers and operators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288.3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288.3</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Derivative assets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assets measured at fair value</w:t>
            </w:r>
          </w:p>
        </w:tc>
        <w:tc>
          <w:tcPr>
            <w:tcW w:w="360" w:type="dxa"/>
            <w:vAlign w:val="bottom"/>
            <w:tcBorders>
              <w:top w:val="single" w:sz="8" w:color="auto"/>
              <w:bottom w:val="single" w:sz="8" w:color="auto"/>
            </w:tcBorders>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611.5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212.4</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41.4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Secured debt</w:t>
            </w:r>
          </w:p>
        </w:tc>
        <w:tc>
          <w:tcPr>
            <w:tcW w:w="36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3,006.0</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3,006.0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2,598.5</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Unsecured debt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Senior unsecured notes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1,779.1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1,779.1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1,423.8</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Line of credit and other unsecured debt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1,925.9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1,925.9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1,925.9</w:t>
            </w:r>
          </w:p>
        </w:tc>
        <w:tc>
          <w:tcPr>
            <w:tcW w:w="0" w:type="dxa"/>
            <w:vAlign w:val="bottom"/>
          </w:tcPr>
          <w:p>
            <w:pPr>
              <w:spacing w:after="0"/>
              <w:rPr>
                <w:sz w:val="1"/>
                <w:szCs w:val="1"/>
                <w:color w:val="auto"/>
              </w:rPr>
            </w:pPr>
          </w:p>
        </w:tc>
      </w:tr>
      <w:tr>
        <w:trPr>
          <w:trHeight w:val="194"/>
        </w:trPr>
        <w:tc>
          <w:tcPr>
            <w:tcW w:w="45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unsecured debt</w:t>
            </w: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3,705.0</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3,705.0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3,349.7</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financial liabilities (contingent consideration)</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0" w:type="dxa"/>
            <w:vAlign w:val="bottom"/>
          </w:tcPr>
          <w:p>
            <w:pPr>
              <w:spacing w:after="0"/>
              <w:rPr>
                <w:sz w:val="1"/>
                <w:szCs w:val="1"/>
                <w:color w:val="auto"/>
              </w:rPr>
            </w:pPr>
          </w:p>
        </w:tc>
      </w:tr>
      <w:tr>
        <w:trPr>
          <w:trHeight w:val="196"/>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Total liabilities measured at fair value</w:t>
            </w:r>
          </w:p>
        </w:tc>
        <w:tc>
          <w:tcPr>
            <w:tcW w:w="360" w:type="dxa"/>
            <w:vAlign w:val="bottom"/>
            <w:tcBorders>
              <w:top w:val="single" w:sz="8" w:color="auto"/>
              <w:bottom w:val="single" w:sz="8" w:color="auto"/>
            </w:tcBorders>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6,731.2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6,711.0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5,968.4</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7"/>
        </w:trPr>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b w:val="1"/>
                <w:bCs w:val="1"/>
                <w:color w:val="auto"/>
              </w:rPr>
              <w:t>Quoted Prices in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Active Markets for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Significant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Identical Assets and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5"/>
                <w:szCs w:val="15"/>
                <w:b w:val="1"/>
                <w:bCs w:val="1"/>
                <w:color w:val="auto"/>
              </w:rPr>
              <w:t>Liabilities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Inputs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Carrying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(Level 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187"/>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78.2</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78.2</w:t>
            </w:r>
          </w:p>
        </w:tc>
        <w:tc>
          <w:tcPr>
            <w:tcW w:w="24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78.2</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Marketable securities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186.9</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186.9</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Installment notes receivable on manufactured homes, net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79.1</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Notes receivable from real estate developers and operators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284.0</w:t>
            </w: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Derivative assets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assets measured at fair value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265.1</w:t>
            </w:r>
          </w:p>
        </w:tc>
        <w:tc>
          <w:tcPr>
            <w:tcW w:w="80" w:type="dxa"/>
            <w:vAlign w:val="bottom"/>
            <w:tcBorders>
              <w:top w:val="single" w:sz="8" w:color="auto"/>
              <w:bottom w:val="single" w:sz="8" w:color="auto"/>
            </w:tcBorders>
            <w:gridSpan w:val="2"/>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Secured debt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3,380.7</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3,380.7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3,405.9</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Unsecured debt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Senior unsecured notes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1,186.4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1,186.4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1,201.8</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Line of credit and other unsecured debt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1,104.7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1,104.7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1,104.7</w:t>
            </w:r>
          </w:p>
        </w:tc>
        <w:tc>
          <w:tcPr>
            <w:tcW w:w="0" w:type="dxa"/>
            <w:vAlign w:val="bottom"/>
          </w:tcPr>
          <w:p>
            <w:pPr>
              <w:spacing w:after="0"/>
              <w:rPr>
                <w:sz w:val="1"/>
                <w:szCs w:val="1"/>
                <w:color w:val="auto"/>
              </w:rPr>
            </w:pPr>
          </w:p>
        </w:tc>
      </w:tr>
      <w:tr>
        <w:trPr>
          <w:trHeight w:val="194"/>
        </w:trPr>
        <w:tc>
          <w:tcPr>
            <w:tcW w:w="45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unsecured debt</w:t>
            </w: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2,291.1</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2,306.5</w:t>
            </w: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5"/>
                <w:szCs w:val="15"/>
                <w:color w:val="auto"/>
              </w:rPr>
              <w:t>Other financial liabilities (contingent consideration)</w:t>
            </w:r>
            <w:r>
              <w:rPr>
                <w:rFonts w:ascii="Times New Roman" w:cs="Times New Roman" w:eastAsia="Times New Roman" w:hAnsi="Times New Roman"/>
                <w:sz w:val="19"/>
                <w:szCs w:val="19"/>
                <w:color w:val="auto"/>
                <w:vertAlign w:val="superscript"/>
              </w:rPr>
              <w:t>(1)</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0" w:type="dxa"/>
            <w:vAlign w:val="bottom"/>
          </w:tcPr>
          <w:p>
            <w:pPr>
              <w:spacing w:after="0"/>
              <w:rPr>
                <w:sz w:val="1"/>
                <w:szCs w:val="1"/>
                <w:color w:val="auto"/>
              </w:rPr>
            </w:pPr>
          </w:p>
        </w:tc>
      </w:tr>
      <w:tr>
        <w:trPr>
          <w:trHeight w:val="196"/>
        </w:trPr>
        <w:tc>
          <w:tcPr>
            <w:tcW w:w="45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Total liabilities measured at fair value</w:t>
            </w:r>
          </w:p>
        </w:tc>
        <w:tc>
          <w:tcPr>
            <w:tcW w:w="20" w:type="dxa"/>
            <w:vAlign w:val="bottom"/>
          </w:tcPr>
          <w:p>
            <w:pPr>
              <w:spacing w:after="0"/>
              <w:rPr>
                <w:sz w:val="17"/>
                <w:szCs w:val="17"/>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5,692.0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auto"/>
              <w:bottom w:val="single" w:sz="8" w:color="auto"/>
            </w:tcBorders>
            <w:gridSpan w:val="5"/>
          </w:tcPr>
          <w:p>
            <w:pPr>
              <w:ind w:left="160"/>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5,671.8</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5,732.6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hanging="172"/>
        <w:spacing w:after="0" w:line="230" w:lineRule="auto"/>
        <w:tabs>
          <w:tab w:leader="none" w:pos="167"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Balance updated during the three months ended March 31, 2022 to include contingent consideration related to a marina acquisition. This contingent consideration was included within Other liabilities on the Consolidated Balance Sheets at December 31, 2021.</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cash equivalents and restricted cash approximate their fair market values due to the short-term nature of the instruments. These are classified as Level 1 in the hierarchy.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Marketable securities held by us and accounted for under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are measured at fair value. Any change in fair value is recognized in the Consolidated Statement of Operations in the Gain / (loss) on remeasurement of marketable securities in accordance with ASU 2016-01, "</w:t>
      </w:r>
      <w:r>
        <w:rPr>
          <w:rFonts w:ascii="Times New Roman" w:cs="Times New Roman" w:eastAsia="Times New Roman" w:hAnsi="Times New Roman"/>
          <w:sz w:val="18"/>
          <w:szCs w:val="18"/>
          <w:i w:val="1"/>
          <w:iCs w:val="1"/>
          <w:color w:val="auto"/>
        </w:rPr>
        <w:t>Financial Instruments - Overall (Subtopic 825-10): Recognition and measurement of financial assets and financial liabilities</w:t>
      </w:r>
      <w:r>
        <w:rPr>
          <w:rFonts w:ascii="Times New Roman" w:cs="Times New Roman" w:eastAsia="Times New Roman" w:hAnsi="Times New Roman"/>
          <w:sz w:val="18"/>
          <w:szCs w:val="18"/>
          <w:color w:val="auto"/>
        </w:rPr>
        <w:t>." The fair value is measured by the quoted unadjusted share price which is readily available in active markets (Level 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marketable securities balance was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200" w:type="dxa"/>
            <w:vAlign w:val="bottom"/>
          </w:tcPr>
          <w:p>
            <w:pPr>
              <w:spacing w:after="0"/>
              <w:rPr>
                <w:sz w:val="17"/>
                <w:szCs w:val="17"/>
                <w:color w:val="auto"/>
              </w:rPr>
            </w:pPr>
          </w:p>
        </w:tc>
        <w:tc>
          <w:tcPr>
            <w:tcW w:w="1660" w:type="dxa"/>
            <w:vAlign w:val="bottom"/>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7"/>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Beginning Balance</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124.7</w:t>
            </w:r>
          </w:p>
        </w:tc>
      </w:tr>
      <w:tr>
        <w:trPr>
          <w:trHeight w:val="200"/>
        </w:trPr>
        <w:tc>
          <w:tcPr>
            <w:tcW w:w="74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Additional purchases</w:t>
            </w:r>
          </w:p>
        </w:tc>
        <w:tc>
          <w:tcPr>
            <w:tcW w:w="180" w:type="dxa"/>
            <w:vAlign w:val="bottom"/>
          </w:tcPr>
          <w:p>
            <w:pPr>
              <w:spacing w:after="0"/>
              <w:rPr>
                <w:sz w:val="17"/>
                <w:szCs w:val="17"/>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w:t>
            </w:r>
          </w:p>
        </w:tc>
      </w:tr>
      <w:tr>
        <w:trPr>
          <w:trHeight w:val="205"/>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fair value measurement</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w:t>
            </w:r>
          </w:p>
        </w:tc>
      </w:tr>
      <w:tr>
        <w:trPr>
          <w:trHeight w:val="200"/>
        </w:trPr>
        <w:tc>
          <w:tcPr>
            <w:tcW w:w="74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r>
      <w:tr>
        <w:trPr>
          <w:trHeight w:val="205"/>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 reinvestment, net of tax</w:t>
            </w: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96"/>
        </w:trPr>
        <w:tc>
          <w:tcPr>
            <w:tcW w:w="74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Ending Balance</w:t>
            </w: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100.4</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186.9</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Installment Notes Receivable on Manufactured Homes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Installment notes receivable on manufactured homes are recorded at fair value and are measured using model-derived indicative pricing using primarily unobservable inputs, inclusive of default rates, interest rates and recovery rates (Level 3). Refer to Note 4, "Notes and Other Receivables," for additional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 from Real Estate Developers and Operators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Notes receivable from real estate developers and operators are recorded at fair value and are measured using model-derived indicative pricing using primarily unobservable inputs including interest rates and counterparty performance (Level 3). The carrying values of the notes generally approximate their fair market values either due to the nature of the note and / or the note being secured by underlying collateral and / or personal guarantees. Refer to Note 4, "Notes and Other Receivables," for additional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Assets - Interest Rate Derivatives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 derivatives are recorded at fair value and consist of Treasury locks and interest rate swaps. The fair value of the Treasury locks and interest rate swaps are measured using observable inputs based on the 10-year Treasury note rate and the weighted average Daily SONIA Rate, respectively (Level 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Debt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Secured debt consists primarily of our mortgage term loans. The fair value of mortgage term loans is based on the estimates of management and on rates currently quoted, rates currently prevailing for comparable loans and instruments of comparable maturities (Level 2). Refer to Note 8, "Debt and Line of Credit," for additional information.</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Unsecured Debt</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Senior unsecured notes - the fair value of senior unsecured notes is based on the estimates of management and on rates currently quoted, rates currently prevailing for comparable loans and instruments of comparable maturities (Level 2). Refer to Note 8, "Debt and Line of Credit," for additional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Line of credit and other unsecured debt - consists primarily of our Senior Credit Facility. We have variable rates on our Senior Credit Facility. The fair value of the debt with variable rates approximates carrying value as the interest rates of these amounts approximate market rates. The estimated fair value of our indebtedness as of September 30, 2022 approximated its gross carrying value.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Liabilities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the fair value of contingent consideration liabilities based on valuation models using significant unobservable inputs that generally consider discounting of future cash flows using market interest rates and adjusting for non-performance risk over the remaining term of the liability (Level 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Reconciliation, Measurements and Transfers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Availability of secondary market activity and consistency of pricing from third-party sources impacts our ability to classify securities as Level 2 or Level 3. There were no transfers into or out of Level 3 during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to our financial instruments carried at fair value and classified within Level 3 of the fair value hierarchy for the three and nine months ended September 30, 2022 and 2021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center"/>
              <w:ind w:right="80"/>
              <w:spacing w:after="0" w:line="148" w:lineRule="exact"/>
              <w:rPr>
                <w:sz w:val="20"/>
                <w:szCs w:val="20"/>
                <w:color w:val="auto"/>
              </w:rPr>
            </w:pPr>
            <w:r>
              <w:rPr>
                <w:rFonts w:ascii="Times New Roman" w:cs="Times New Roman" w:eastAsia="Times New Roman" w:hAnsi="Times New Roman"/>
                <w:sz w:val="15"/>
                <w:szCs w:val="15"/>
                <w:b w:val="1"/>
                <w:bCs w:val="1"/>
                <w:color w:val="auto"/>
              </w:rPr>
              <w:t>Installment Notes</w:t>
            </w:r>
          </w:p>
        </w:tc>
        <w:tc>
          <w:tcPr>
            <w:tcW w:w="1920" w:type="dxa"/>
            <w:vAlign w:val="bottom"/>
            <w:gridSpan w:val="4"/>
          </w:tcPr>
          <w:p>
            <w:pPr>
              <w:jc w:val="center"/>
              <w:ind w:right="80"/>
              <w:spacing w:after="0" w:line="148" w:lineRule="exact"/>
              <w:rPr>
                <w:sz w:val="20"/>
                <w:szCs w:val="20"/>
                <w:color w:val="auto"/>
              </w:rPr>
            </w:pPr>
            <w:r>
              <w:rPr>
                <w:rFonts w:ascii="Times New Roman" w:cs="Times New Roman" w:eastAsia="Times New Roman" w:hAnsi="Times New Roman"/>
                <w:sz w:val="15"/>
                <w:szCs w:val="15"/>
                <w:b w:val="1"/>
                <w:bCs w:val="1"/>
                <w:color w:val="auto"/>
              </w:rPr>
              <w:t>Notes Receivable From</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5"/>
                <w:szCs w:val="15"/>
                <w:b w:val="1"/>
                <w:bCs w:val="1"/>
                <w:color w:val="auto"/>
              </w:rPr>
              <w:t>Installment Notes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gridSpan w:val="3"/>
          </w:tcPr>
          <w:p>
            <w:pPr>
              <w:jc w:val="center"/>
              <w:ind w:right="64"/>
              <w:spacing w:after="0" w:line="148" w:lineRule="exact"/>
              <w:rPr>
                <w:sz w:val="20"/>
                <w:szCs w:val="20"/>
                <w:color w:val="auto"/>
              </w:rPr>
            </w:pPr>
            <w:r>
              <w:rPr>
                <w:rFonts w:ascii="Times New Roman" w:cs="Times New Roman" w:eastAsia="Times New Roman" w:hAnsi="Times New Roman"/>
                <w:sz w:val="15"/>
                <w:szCs w:val="15"/>
                <w:b w:val="1"/>
                <w:bCs w:val="1"/>
                <w:color w:val="auto"/>
              </w:rPr>
              <w:t>Notes Receivable From</w:t>
            </w:r>
          </w:p>
        </w:tc>
        <w:tc>
          <w:tcPr>
            <w:tcW w:w="0" w:type="dxa"/>
            <w:vAlign w:val="bottom"/>
          </w:tcPr>
          <w:p>
            <w:pPr>
              <w:spacing w:after="0"/>
              <w:rPr>
                <w:sz w:val="1"/>
                <w:szCs w:val="1"/>
                <w:color w:val="auto"/>
              </w:rPr>
            </w:pPr>
          </w:p>
        </w:tc>
      </w:tr>
      <w:tr>
        <w:trPr>
          <w:trHeight w:val="156"/>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500" w:type="dxa"/>
            <w:vAlign w:val="bottom"/>
            <w:gridSpan w:val="5"/>
          </w:tcPr>
          <w:p>
            <w:pPr>
              <w:jc w:val="center"/>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Receivable on MH,</w:t>
            </w:r>
          </w:p>
        </w:tc>
        <w:tc>
          <w:tcPr>
            <w:tcW w:w="1920" w:type="dxa"/>
            <w:vAlign w:val="bottom"/>
            <w:gridSpan w:val="4"/>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Real Estate Developers and</w:t>
            </w:r>
          </w:p>
        </w:tc>
        <w:tc>
          <w:tcPr>
            <w:tcW w:w="14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3"/>
          </w:tcPr>
          <w:p>
            <w:pPr>
              <w:jc w:val="center"/>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Receivable on MH,</w:t>
            </w:r>
          </w:p>
        </w:tc>
        <w:tc>
          <w:tcPr>
            <w:tcW w:w="1840" w:type="dxa"/>
            <w:vAlign w:val="bottom"/>
            <w:gridSpan w:val="5"/>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Real Estate Developers and</w:t>
            </w:r>
          </w:p>
        </w:tc>
        <w:tc>
          <w:tcPr>
            <w:tcW w:w="0" w:type="dxa"/>
            <w:vAlign w:val="bottom"/>
          </w:tcPr>
          <w:p>
            <w:pPr>
              <w:spacing w:after="0"/>
              <w:rPr>
                <w:sz w:val="1"/>
                <w:szCs w:val="1"/>
                <w:color w:val="auto"/>
              </w:rPr>
            </w:pPr>
          </w:p>
        </w:tc>
      </w:tr>
      <w:tr>
        <w:trPr>
          <w:trHeight w:val="202"/>
        </w:trPr>
        <w:tc>
          <w:tcPr>
            <w:tcW w:w="33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gridSpan w:val="4"/>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net</w:t>
            </w:r>
          </w:p>
        </w:tc>
        <w:tc>
          <w:tcPr>
            <w:tcW w:w="1920" w:type="dxa"/>
            <w:vAlign w:val="bottom"/>
            <w:gridSpan w:val="4"/>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Operators</w:t>
            </w: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net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jc w:val="center"/>
              <w:ind w:left="124"/>
              <w:spacing w:after="0"/>
              <w:rPr>
                <w:sz w:val="20"/>
                <w:szCs w:val="20"/>
                <w:color w:val="auto"/>
              </w:rPr>
            </w:pPr>
            <w:r>
              <w:rPr>
                <w:rFonts w:ascii="Times New Roman" w:cs="Times New Roman" w:eastAsia="Times New Roman" w:hAnsi="Times New Roman"/>
                <w:sz w:val="15"/>
                <w:szCs w:val="15"/>
                <w:b w:val="1"/>
                <w:bCs w:val="1"/>
                <w:color w:val="auto"/>
              </w:rPr>
              <w:t>Operators</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240" w:type="dxa"/>
            <w:vAlign w:val="bottom"/>
            <w:tcBorders>
              <w:top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5"/>
                <w:szCs w:val="15"/>
                <w:color w:val="auto"/>
              </w:rPr>
              <w:t>Level 3 beginning balance at June 30, 2022 and</w:t>
            </w: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2021</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73.1</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82.5</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0" w:type="dxa"/>
            <w:vAlign w:val="bottom"/>
          </w:tcPr>
          <w:p>
            <w:pPr>
              <w:spacing w:after="0"/>
              <w:rPr>
                <w:sz w:val="1"/>
                <w:szCs w:val="1"/>
                <w:color w:val="auto"/>
              </w:rPr>
            </w:pPr>
          </w:p>
        </w:tc>
      </w:tr>
      <w:tr>
        <w:trPr>
          <w:trHeight w:val="203"/>
        </w:trPr>
        <w:tc>
          <w:tcPr>
            <w:tcW w:w="33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5"/>
                <w:szCs w:val="15"/>
                <w:color w:val="auto"/>
              </w:rPr>
              <w:t>Realized gains / (losses)</w:t>
            </w:r>
            <w:r>
              <w:rPr>
                <w:rFonts w:ascii="Times New Roman" w:cs="Times New Roman" w:eastAsia="Times New Roman" w:hAnsi="Times New Roman"/>
                <w:sz w:val="19"/>
                <w:szCs w:val="19"/>
                <w:color w:val="auto"/>
                <w:vertAlign w:val="superscript"/>
              </w:rPr>
              <w:t>(1)</w:t>
            </w:r>
          </w:p>
        </w:tc>
        <w:tc>
          <w:tcPr>
            <w:tcW w:w="44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 and issuances</w:t>
            </w: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0.6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20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Sales and settlements</w:t>
            </w:r>
          </w:p>
        </w:tc>
        <w:tc>
          <w:tcPr>
            <w:tcW w:w="44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205"/>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Dispositions of properties</w:t>
            </w: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Foreign currency exchange losses</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adjustments</w:t>
            </w: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138"/>
        </w:trPr>
        <w:tc>
          <w:tcPr>
            <w:tcW w:w="332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5"/>
                <w:szCs w:val="15"/>
                <w:color w:val="auto"/>
              </w:rPr>
              <w:t>Level 3 ending balance at September 30, 2022 and</w:t>
            </w:r>
          </w:p>
        </w:tc>
        <w:tc>
          <w:tcPr>
            <w:tcW w:w="440" w:type="dxa"/>
            <w:vAlign w:val="bottom"/>
            <w:tcBorders>
              <w:top w:val="single" w:sz="8" w:color="auto"/>
            </w:tcBorders>
            <w:vMerge w:val="restart"/>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gridSpan w:val="3"/>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69.4</w:t>
            </w:r>
          </w:p>
        </w:tc>
        <w:tc>
          <w:tcPr>
            <w:tcW w:w="80" w:type="dxa"/>
            <w:vAlign w:val="bottom"/>
          </w:tcPr>
          <w:p>
            <w:pPr>
              <w:spacing w:after="0"/>
              <w:rPr>
                <w:sz w:val="12"/>
                <w:szCs w:val="12"/>
                <w:color w:val="auto"/>
              </w:rPr>
            </w:pPr>
          </w:p>
        </w:tc>
        <w:tc>
          <w:tcPr>
            <w:tcW w:w="10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288.3</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81.0</w:t>
            </w:r>
          </w:p>
        </w:tc>
        <w:tc>
          <w:tcPr>
            <w:tcW w:w="100" w:type="dxa"/>
            <w:vAlign w:val="bottom"/>
          </w:tcPr>
          <w:p>
            <w:pPr>
              <w:spacing w:after="0"/>
              <w:rPr>
                <w:sz w:val="12"/>
                <w:szCs w:val="12"/>
                <w:color w:val="auto"/>
              </w:rPr>
            </w:pPr>
          </w:p>
        </w:tc>
        <w:tc>
          <w:tcPr>
            <w:tcW w:w="1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64.6</w:t>
            </w:r>
          </w:p>
        </w:tc>
        <w:tc>
          <w:tcPr>
            <w:tcW w:w="0" w:type="dxa"/>
            <w:vAlign w:val="bottom"/>
          </w:tcPr>
          <w:p>
            <w:pPr>
              <w:spacing w:after="0"/>
              <w:rPr>
                <w:sz w:val="1"/>
                <w:szCs w:val="1"/>
                <w:color w:val="auto"/>
              </w:rPr>
            </w:pPr>
          </w:p>
        </w:tc>
      </w:tr>
      <w:tr>
        <w:trPr>
          <w:trHeight w:val="179"/>
        </w:trPr>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2021</w:t>
            </w:r>
          </w:p>
        </w:tc>
        <w:tc>
          <w:tcPr>
            <w:tcW w:w="80" w:type="dxa"/>
            <w:vAlign w:val="bottom"/>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7"/>
        </w:trPr>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center"/>
              <w:ind w:right="80"/>
              <w:spacing w:after="0" w:line="142" w:lineRule="exact"/>
              <w:rPr>
                <w:sz w:val="20"/>
                <w:szCs w:val="20"/>
                <w:color w:val="auto"/>
              </w:rPr>
            </w:pPr>
            <w:r>
              <w:rPr>
                <w:rFonts w:ascii="Times New Roman" w:cs="Times New Roman" w:eastAsia="Times New Roman" w:hAnsi="Times New Roman"/>
                <w:sz w:val="15"/>
                <w:szCs w:val="15"/>
                <w:b w:val="1"/>
                <w:bCs w:val="1"/>
                <w:color w:val="auto"/>
              </w:rPr>
              <w:t>Installment Notes</w:t>
            </w:r>
          </w:p>
        </w:tc>
        <w:tc>
          <w:tcPr>
            <w:tcW w:w="1920" w:type="dxa"/>
            <w:vAlign w:val="bottom"/>
            <w:gridSpan w:val="4"/>
          </w:tcPr>
          <w:p>
            <w:pPr>
              <w:jc w:val="center"/>
              <w:ind w:right="80"/>
              <w:spacing w:after="0" w:line="142" w:lineRule="exact"/>
              <w:rPr>
                <w:sz w:val="20"/>
                <w:szCs w:val="20"/>
                <w:color w:val="auto"/>
              </w:rPr>
            </w:pPr>
            <w:r>
              <w:rPr>
                <w:rFonts w:ascii="Times New Roman" w:cs="Times New Roman" w:eastAsia="Times New Roman" w:hAnsi="Times New Roman"/>
                <w:sz w:val="15"/>
                <w:szCs w:val="15"/>
                <w:b w:val="1"/>
                <w:bCs w:val="1"/>
                <w:color w:val="auto"/>
              </w:rPr>
              <w:t>Notes Receivable From</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5"/>
                <w:szCs w:val="15"/>
                <w:b w:val="1"/>
                <w:bCs w:val="1"/>
                <w:color w:val="auto"/>
              </w:rPr>
              <w:t>Installment Notes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gridSpan w:val="3"/>
          </w:tcPr>
          <w:p>
            <w:pPr>
              <w:jc w:val="center"/>
              <w:ind w:right="64"/>
              <w:spacing w:after="0" w:line="142" w:lineRule="exact"/>
              <w:rPr>
                <w:sz w:val="20"/>
                <w:szCs w:val="20"/>
                <w:color w:val="auto"/>
              </w:rPr>
            </w:pPr>
            <w:r>
              <w:rPr>
                <w:rFonts w:ascii="Times New Roman" w:cs="Times New Roman" w:eastAsia="Times New Roman" w:hAnsi="Times New Roman"/>
                <w:sz w:val="15"/>
                <w:szCs w:val="15"/>
                <w:b w:val="1"/>
                <w:bCs w:val="1"/>
                <w:color w:val="auto"/>
              </w:rPr>
              <w:t>Notes Receivable From</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Receivable on MH,</w:t>
            </w:r>
          </w:p>
        </w:tc>
        <w:tc>
          <w:tcPr>
            <w:tcW w:w="19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Real Estate Developers and</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Receivable on MH,</w:t>
            </w:r>
          </w:p>
        </w:tc>
        <w:tc>
          <w:tcPr>
            <w:tcW w:w="184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Real Estate Developers and</w:t>
            </w:r>
          </w:p>
        </w:tc>
        <w:tc>
          <w:tcPr>
            <w:tcW w:w="0" w:type="dxa"/>
            <w:vAlign w:val="bottom"/>
          </w:tcPr>
          <w:p>
            <w:pPr>
              <w:spacing w:after="0"/>
              <w:rPr>
                <w:sz w:val="1"/>
                <w:szCs w:val="1"/>
                <w:color w:val="auto"/>
              </w:rPr>
            </w:pPr>
          </w:p>
        </w:tc>
      </w:tr>
      <w:tr>
        <w:trPr>
          <w:trHeight w:val="212"/>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440" w:type="dxa"/>
            <w:vAlign w:val="bottom"/>
          </w:tcPr>
          <w:p>
            <w:pPr>
              <w:spacing w:after="0"/>
              <w:rPr>
                <w:sz w:val="18"/>
                <w:szCs w:val="18"/>
                <w:color w:val="auto"/>
              </w:rPr>
            </w:pPr>
          </w:p>
        </w:tc>
        <w:tc>
          <w:tcPr>
            <w:tcW w:w="1060" w:type="dxa"/>
            <w:vAlign w:val="bottom"/>
            <w:gridSpan w:val="4"/>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net</w:t>
            </w:r>
          </w:p>
        </w:tc>
        <w:tc>
          <w:tcPr>
            <w:tcW w:w="1920" w:type="dxa"/>
            <w:vAlign w:val="bottom"/>
            <w:gridSpan w:val="4"/>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Operators</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net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jc w:val="center"/>
              <w:ind w:left="124"/>
              <w:spacing w:after="0"/>
              <w:rPr>
                <w:sz w:val="20"/>
                <w:szCs w:val="20"/>
                <w:color w:val="auto"/>
              </w:rPr>
            </w:pPr>
            <w:r>
              <w:rPr>
                <w:rFonts w:ascii="Times New Roman" w:cs="Times New Roman" w:eastAsia="Times New Roman" w:hAnsi="Times New Roman"/>
                <w:sz w:val="15"/>
                <w:szCs w:val="15"/>
                <w:b w:val="1"/>
                <w:bCs w:val="1"/>
                <w:color w:val="auto"/>
              </w:rPr>
              <w:t>Operators</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240" w:type="dxa"/>
            <w:vAlign w:val="bottom"/>
            <w:tcBorders>
              <w:top w:val="single" w:sz="8" w:color="auto"/>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5"/>
                <w:szCs w:val="15"/>
                <w:color w:val="auto"/>
              </w:rPr>
              <w:t>Level 3 beginning balance at December 31, 2021</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and 2020</w:t>
            </w:r>
          </w:p>
        </w:tc>
        <w:tc>
          <w:tcPr>
            <w:tcW w:w="44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79.1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Transfer to level 3</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0" w:type="dxa"/>
            <w:vAlign w:val="bottom"/>
          </w:tcPr>
          <w:p>
            <w:pPr>
              <w:spacing w:after="0"/>
              <w:rPr>
                <w:sz w:val="1"/>
                <w:szCs w:val="1"/>
                <w:color w:val="auto"/>
              </w:rPr>
            </w:pPr>
          </w:p>
        </w:tc>
      </w:tr>
      <w:tr>
        <w:trPr>
          <w:trHeight w:val="205"/>
        </w:trPr>
        <w:tc>
          <w:tcPr>
            <w:tcW w:w="332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5"/>
                <w:szCs w:val="15"/>
                <w:color w:val="auto"/>
              </w:rPr>
              <w:t>Realized gains / (losses)</w:t>
            </w:r>
            <w:r>
              <w:rPr>
                <w:rFonts w:ascii="Times New Roman" w:cs="Times New Roman" w:eastAsia="Times New Roman" w:hAnsi="Times New Roman"/>
                <w:sz w:val="19"/>
                <w:szCs w:val="19"/>
                <w:color w:val="auto"/>
                <w:vertAlign w:val="superscript"/>
              </w:rPr>
              <w:t>(1)</w:t>
            </w:r>
          </w:p>
        </w:tc>
        <w:tc>
          <w:tcPr>
            <w:tcW w:w="4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Purchases and issuances</w:t>
            </w:r>
          </w:p>
        </w:tc>
        <w:tc>
          <w:tcPr>
            <w:tcW w:w="440" w:type="dxa"/>
            <w:vAlign w:val="bottom"/>
          </w:tcPr>
          <w:p>
            <w:pPr>
              <w:spacing w:after="0"/>
              <w:rPr>
                <w:sz w:val="17"/>
                <w:szCs w:val="17"/>
                <w:color w:val="auto"/>
              </w:rPr>
            </w:pPr>
          </w:p>
        </w:tc>
        <w:tc>
          <w:tcPr>
            <w:tcW w:w="980" w:type="dxa"/>
            <w:vAlign w:val="bottom"/>
            <w:gridSpan w:val="3"/>
          </w:tcPr>
          <w:p>
            <w:pPr>
              <w:jc w:val="right"/>
              <w:ind w:right="4"/>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0" w:type="dxa"/>
            <w:vAlign w:val="bottom"/>
          </w:tcPr>
          <w:p>
            <w:pPr>
              <w:spacing w:after="0"/>
              <w:rPr>
                <w:sz w:val="1"/>
                <w:szCs w:val="1"/>
                <w:color w:val="auto"/>
              </w:rPr>
            </w:pPr>
          </w:p>
        </w:tc>
      </w:tr>
      <w:tr>
        <w:trPr>
          <w:trHeight w:val="205"/>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Sales and settlements</w:t>
            </w:r>
          </w:p>
        </w:tc>
        <w:tc>
          <w:tcPr>
            <w:tcW w:w="4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0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Dispositions of properties</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currency exchange losses</w:t>
            </w: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adjustments</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131"/>
        </w:trPr>
        <w:tc>
          <w:tcPr>
            <w:tcW w:w="3320" w:type="dxa"/>
            <w:vAlign w:val="bottom"/>
            <w:tcBorders>
              <w:top w:val="single" w:sz="8" w:color="CCEEFF"/>
            </w:tcBorders>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5"/>
                <w:szCs w:val="15"/>
                <w:color w:val="auto"/>
              </w:rPr>
              <w:t>Level 3 ending balance at September 30, 2022 and</w:t>
            </w:r>
          </w:p>
        </w:tc>
        <w:tc>
          <w:tcPr>
            <w:tcW w:w="440" w:type="dxa"/>
            <w:vAlign w:val="bottom"/>
            <w:tcBorders>
              <w:top w:val="single" w:sz="8" w:color="auto"/>
            </w:tcBorders>
            <w:vMerge w:val="restart"/>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gridSpan w:val="3"/>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69.4</w:t>
            </w:r>
          </w:p>
        </w:tc>
        <w:tc>
          <w:tcPr>
            <w:tcW w:w="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288.3</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2021</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gridSpan w:val="3"/>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gridSpan w:val="2"/>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gridSpan w:val="2"/>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4"/>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Borders>
              <w:top w:val="single" w:sz="8" w:color="auto"/>
            </w:tcBorders>
            <w:gridSpan w:val="3"/>
          </w:tcPr>
          <w:p>
            <w:pPr>
              <w:jc w:val="center"/>
              <w:spacing w:after="0" w:line="148" w:lineRule="exact"/>
              <w:rPr>
                <w:sz w:val="20"/>
                <w:szCs w:val="20"/>
                <w:color w:val="auto"/>
              </w:rPr>
            </w:pPr>
            <w:r>
              <w:rPr>
                <w:rFonts w:ascii="Times New Roman" w:cs="Times New Roman" w:eastAsia="Times New Roman" w:hAnsi="Times New Roman"/>
                <w:sz w:val="15"/>
                <w:szCs w:val="15"/>
                <w:b w:val="1"/>
                <w:bCs w:val="1"/>
                <w:color w:val="auto"/>
              </w:rPr>
              <w:t>Contingent</w:t>
            </w:r>
          </w:p>
        </w:tc>
        <w:tc>
          <w:tcPr>
            <w:tcW w:w="80" w:type="dxa"/>
            <w:vAlign w:val="bottom"/>
          </w:tcPr>
          <w:p>
            <w:pPr>
              <w:spacing w:after="0"/>
              <w:rPr>
                <w:sz w:val="12"/>
                <w:szCs w:val="12"/>
                <w:color w:val="auto"/>
              </w:rPr>
            </w:pPr>
          </w:p>
        </w:tc>
        <w:tc>
          <w:tcPr>
            <w:tcW w:w="1660" w:type="dxa"/>
            <w:vAlign w:val="bottom"/>
            <w:tcBorders>
              <w:top w:val="single" w:sz="8" w:color="auto"/>
            </w:tcBorders>
            <w:gridSpan w:val="4"/>
          </w:tcPr>
          <w:p>
            <w:pPr>
              <w:jc w:val="center"/>
              <w:spacing w:after="0" w:line="148" w:lineRule="exact"/>
              <w:rPr>
                <w:sz w:val="20"/>
                <w:szCs w:val="20"/>
                <w:color w:val="auto"/>
              </w:rPr>
            </w:pPr>
            <w:r>
              <w:rPr>
                <w:rFonts w:ascii="Times New Roman" w:cs="Times New Roman" w:eastAsia="Times New Roman" w:hAnsi="Times New Roman"/>
                <w:sz w:val="15"/>
                <w:szCs w:val="15"/>
                <w:b w:val="1"/>
                <w:bCs w:val="1"/>
                <w:color w:val="auto"/>
              </w:rPr>
              <w:t>Contingent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center"/>
              <w:ind w:right="100"/>
              <w:spacing w:after="0" w:line="148" w:lineRule="exact"/>
              <w:rPr>
                <w:sz w:val="20"/>
                <w:szCs w:val="20"/>
                <w:color w:val="auto"/>
              </w:rPr>
            </w:pPr>
            <w:r>
              <w:rPr>
                <w:rFonts w:ascii="Times New Roman" w:cs="Times New Roman" w:eastAsia="Times New Roman" w:hAnsi="Times New Roman"/>
                <w:sz w:val="15"/>
                <w:szCs w:val="15"/>
                <w:b w:val="1"/>
                <w:bCs w:val="1"/>
                <w:color w:val="auto"/>
              </w:rPr>
              <w:t>Contingent</w:t>
            </w:r>
          </w:p>
        </w:tc>
        <w:tc>
          <w:tcPr>
            <w:tcW w:w="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top w:val="single" w:sz="8" w:color="auto"/>
            </w:tcBorders>
          </w:tcPr>
          <w:p>
            <w:pPr>
              <w:jc w:val="center"/>
              <w:ind w:left="284"/>
              <w:spacing w:after="0" w:line="148" w:lineRule="exact"/>
              <w:rPr>
                <w:sz w:val="20"/>
                <w:szCs w:val="20"/>
                <w:color w:val="auto"/>
              </w:rPr>
            </w:pPr>
            <w:r>
              <w:rPr>
                <w:rFonts w:ascii="Times New Roman" w:cs="Times New Roman" w:eastAsia="Times New Roman" w:hAnsi="Times New Roman"/>
                <w:sz w:val="15"/>
                <w:szCs w:val="15"/>
                <w:b w:val="1"/>
                <w:bCs w:val="1"/>
                <w:color w:val="auto"/>
              </w:rPr>
              <w:t>Contingent</w:t>
            </w:r>
          </w:p>
        </w:tc>
        <w:tc>
          <w:tcPr>
            <w:tcW w:w="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4"/>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1740" w:type="dxa"/>
            <w:vAlign w:val="bottom"/>
            <w:gridSpan w:val="5"/>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jc w:val="center"/>
              <w:ind w:left="284"/>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760" w:type="dxa"/>
            <w:vAlign w:val="bottom"/>
            <w:tcBorders>
              <w:top w:val="single" w:sz="8" w:color="auto"/>
            </w:tcBorders>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Level 3 beginning balance at June 30, 2022 and 2021, and</w:t>
            </w:r>
          </w:p>
        </w:tc>
        <w:tc>
          <w:tcPr>
            <w:tcW w:w="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 31, 2021 and 2020</w:t>
            </w:r>
          </w:p>
        </w:tc>
        <w:tc>
          <w:tcPr>
            <w:tcW w:w="4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3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4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14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0" w:type="dxa"/>
            <w:vAlign w:val="bottom"/>
          </w:tcPr>
          <w:p>
            <w:pPr>
              <w:spacing w:after="0"/>
              <w:rPr>
                <w:sz w:val="1"/>
                <w:szCs w:val="1"/>
                <w:color w:val="auto"/>
              </w:rPr>
            </w:pPr>
          </w:p>
        </w:tc>
      </w:tr>
      <w:tr>
        <w:trPr>
          <w:trHeight w:val="20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Realized losses</w:t>
            </w:r>
            <w:r>
              <w:rPr>
                <w:rFonts w:ascii="Times New Roman" w:cs="Times New Roman" w:eastAsia="Times New Roman" w:hAnsi="Times New Roman"/>
                <w:sz w:val="9"/>
                <w:szCs w:val="9"/>
                <w:color w:val="auto"/>
              </w:rPr>
              <w:t>(1)</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0" w:type="dxa"/>
            <w:vAlign w:val="bottom"/>
          </w:tcPr>
          <w:p>
            <w:pPr>
              <w:spacing w:after="0"/>
              <w:rPr>
                <w:sz w:val="1"/>
                <w:szCs w:val="1"/>
                <w:color w:val="auto"/>
              </w:rPr>
            </w:pPr>
          </w:p>
        </w:tc>
      </w:tr>
      <w:tr>
        <w:trPr>
          <w:trHeight w:val="205"/>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 and issuances</w:t>
            </w: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0" w:type="dxa"/>
            <w:vAlign w:val="bottom"/>
          </w:tcPr>
          <w:p>
            <w:pPr>
              <w:spacing w:after="0"/>
              <w:rPr>
                <w:sz w:val="1"/>
                <w:szCs w:val="1"/>
                <w:color w:val="auto"/>
              </w:rPr>
            </w:pPr>
          </w:p>
        </w:tc>
      </w:tr>
      <w:tr>
        <w:trPr>
          <w:trHeight w:val="20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adjustments</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Level 3 ending balance at September 30, 2022 and 2021</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4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ind w:right="114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80" w:hanging="172"/>
        <w:spacing w:after="0" w:line="302" w:lineRule="auto"/>
        <w:tabs>
          <w:tab w:leader="none" w:pos="174"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realized gains / losses recorded in earnings within the following line items on the Consolidated Income Statements: Warrants - Income from nonconsolidated affiliates; Installment Notes Receivable on MH, net - Gain on remeasurement of notes receivable; Contingent Consideration - Other income / (expense), net.</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using available market information and commonly accepted valuation methodologies, considerable judgment is required in interpreting market data to develop fair value estimates. The fair value estimates are based on information available as of September 30, 2022. As such, our estimates of fair value could differ significantly from the actual carrying value.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involved in various legal proceedings arising in the ordinary course of business. All such proceedings, taken together, are not expected to have a material adverse impact on our results of operations or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Catastrophic Event-Related Charges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28, 2022, Hurricane Ian made landfall on Florida's western coast. The storm primarily affected four properties in the Fort Myers area. Three RV properties comprising approximately 2,500 sites, sustained significant flooding and wind damage from the hurricane, and the sea wall and certain docks at one marina were damaged. At other affected MH and RV properties, most of the damage was limited to trees, roofs, fences, skirting and carports. At other affected marina properties, docks, buildings, and landscaping sustained limited wind and water damage.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$29.9 million for impaired assets. We expect these charges to be partially offset by insurance recoveries, currently estimated at $17.7 million. The estimated net charges of $12.2 million related to Hurricane Ian were recognized as Catastrophic event-related charges, net in our Consolidated Statements of Operations for the three months ended September 30, 2022. As of September 30, 2022, we had not received any insurance recoveries. We maintain property, casualty, flood and business interruption insurance for our properties, subject to customary deductibles and limits. Expected insurance recoveries for loss of income and redevelopment costs greater than the impairment charge cannot be estimated at this time.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impairment, expected insurance recovery, and net charge estimates are based on current information available to the Company. We continue to assess these estimates. The actual final impairment, insurance recoveries and net charges could vary significantly from these estimates. Any changes to these estimates will be recognized in the period(s) in which they are determined.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land under non-cancelable operating leases at certain MH, RV and Marina properties expiring at various dates through 2100. The majority of the leases have terms requiring fixed payments plus additional rents based on a percentage of revenues at those properties. We also have other operating leases, primarily office space and equipment expiring at various dates through 2042.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September 30, 2022 where we are the lessee include: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Maturity of Lease Liabilities (in millions)</w:t>
            </w:r>
          </w:p>
        </w:tc>
        <w:tc>
          <w:tcPr>
            <w:tcW w:w="200" w:type="dxa"/>
            <w:vAlign w:val="bottom"/>
          </w:tcPr>
          <w:p>
            <w:pPr>
              <w:spacing w:after="0"/>
              <w:rPr>
                <w:sz w:val="17"/>
                <w:szCs w:val="17"/>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Operating Leases</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Finance Leases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0"/>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2022 (excluding nine months ended September 30, 2022)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ind w:right="122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200"/>
        </w:trPr>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w:t>
            </w:r>
          </w:p>
        </w:tc>
      </w:tr>
      <w:tr>
        <w:trPr>
          <w:trHeight w:val="205"/>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w:t>
            </w:r>
          </w:p>
        </w:tc>
      </w:tr>
      <w:tr>
        <w:trPr>
          <w:trHeight w:val="200"/>
        </w:trPr>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r>
      <w:tr>
        <w:trPr>
          <w:trHeight w:val="205"/>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r>
      <w:tr>
        <w:trPr>
          <w:trHeight w:val="200"/>
        </w:trPr>
        <w:tc>
          <w:tcPr>
            <w:tcW w:w="5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233.4</w:t>
            </w: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98"/>
              </w:rPr>
              <w:t>11.7</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245.1</w:t>
            </w:r>
          </w:p>
        </w:tc>
      </w:tr>
      <w:tr>
        <w:trPr>
          <w:trHeight w:val="198"/>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Lease Payments</w:t>
            </w: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284.7</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22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98"/>
              </w:rPr>
              <w:t>17.8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302.5</w:t>
            </w:r>
          </w:p>
        </w:tc>
      </w:tr>
      <w:tr>
        <w:trPr>
          <w:trHeight w:val="200"/>
        </w:trPr>
        <w:tc>
          <w:tcPr>
            <w:tcW w:w="5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Less: Imputed interest</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(132.0)</w:t>
            </w: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(139.6)</w:t>
            </w:r>
          </w:p>
        </w:tc>
      </w:tr>
      <w:tr>
        <w:trPr>
          <w:trHeight w:val="223"/>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Present Value of Lease Liabilities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152.7</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22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98"/>
              </w:rPr>
              <w:t>10.2</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162.9</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Right-of-use ("ROU") assets and lease liabilities for finance and operating leases as included in our Consolidated Balance Sheets are as follows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Financial Statement</w:t>
            </w: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560" w:type="dxa"/>
            <w:vAlign w:val="bottom"/>
            <w:tcBorders>
              <w:bottom w:val="single" w:sz="8" w:color="auto"/>
            </w:tcBorders>
          </w:tcPr>
          <w:p>
            <w:pPr>
              <w:spacing w:after="0"/>
              <w:rPr>
                <w:sz w:val="18"/>
                <w:szCs w:val="18"/>
                <w:color w:val="auto"/>
              </w:rPr>
            </w:pPr>
          </w:p>
        </w:tc>
      </w:tr>
      <w:tr>
        <w:trPr>
          <w:trHeight w:val="196"/>
        </w:trPr>
        <w:tc>
          <w:tcPr>
            <w:tcW w:w="5440" w:type="dxa"/>
            <w:vAlign w:val="bottom"/>
          </w:tcPr>
          <w:p>
            <w:pPr>
              <w:ind w:left="236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80" w:type="dxa"/>
            <w:vAlign w:val="bottom"/>
          </w:tcPr>
          <w:p>
            <w:pPr>
              <w:spacing w:after="0"/>
              <w:rPr>
                <w:sz w:val="17"/>
                <w:szCs w:val="17"/>
                <w:color w:val="auto"/>
              </w:rPr>
            </w:pPr>
          </w:p>
        </w:tc>
        <w:tc>
          <w:tcPr>
            <w:tcW w:w="2160" w:type="dxa"/>
            <w:vAlign w:val="bottom"/>
            <w:gridSpan w:val="2"/>
          </w:tcPr>
          <w:p>
            <w:pPr>
              <w:ind w:left="600"/>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160" w:type="dxa"/>
            <w:vAlign w:val="bottom"/>
          </w:tcPr>
          <w:p>
            <w:pPr>
              <w:spacing w:after="0"/>
              <w:rPr>
                <w:sz w:val="17"/>
                <w:szCs w:val="17"/>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80" w:type="dxa"/>
            <w:vAlign w:val="bottom"/>
          </w:tcPr>
          <w:p>
            <w:pPr>
              <w:spacing w:after="0"/>
              <w:rPr>
                <w:sz w:val="17"/>
                <w:szCs w:val="17"/>
                <w:color w:val="auto"/>
              </w:rPr>
            </w:pPr>
          </w:p>
        </w:tc>
        <w:tc>
          <w:tcPr>
            <w:tcW w:w="156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196"/>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Lease Assets</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00"/>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Finance lease, right-of-use asset, net of accumulated amortization</w:t>
            </w:r>
          </w:p>
        </w:tc>
        <w:tc>
          <w:tcPr>
            <w:tcW w:w="80" w:type="dxa"/>
            <w:vAlign w:val="bottom"/>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Investment property, net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20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 net</w:t>
            </w:r>
          </w:p>
        </w:tc>
        <w:tc>
          <w:tcPr>
            <w:tcW w:w="8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138.2</w:t>
            </w:r>
          </w:p>
        </w:tc>
      </w:tr>
      <w:tr>
        <w:trPr>
          <w:trHeight w:val="200"/>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Below market operating leases, net</w:t>
            </w:r>
          </w:p>
        </w:tc>
        <w:tc>
          <w:tcPr>
            <w:tcW w:w="80" w:type="dxa"/>
            <w:vAlign w:val="bottom"/>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91.4</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w:t>
            </w:r>
          </w:p>
        </w:tc>
      </w:tr>
      <w:tr>
        <w:trPr>
          <w:trHeight w:val="20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Lease Liabilities</w:t>
            </w: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00"/>
        </w:trPr>
        <w:tc>
          <w:tcPr>
            <w:tcW w:w="54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Finance lease liabilities</w:t>
            </w:r>
          </w:p>
        </w:tc>
        <w:tc>
          <w:tcPr>
            <w:tcW w:w="80" w:type="dxa"/>
            <w:vAlign w:val="bottom"/>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20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8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129.2</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for finance and operating leases as included in our Consolidated Statements of Operations are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580" w:type="dxa"/>
            <w:vAlign w:val="bottom"/>
            <w:tcBorders>
              <w:bottom w:val="single" w:sz="8" w:color="auto"/>
            </w:tcBorders>
          </w:tcPr>
          <w:p>
            <w:pPr>
              <w:spacing w:after="0"/>
              <w:rPr>
                <w:sz w:val="17"/>
                <w:szCs w:val="17"/>
                <w:color w:val="auto"/>
              </w:rPr>
            </w:pPr>
          </w:p>
        </w:tc>
      </w:tr>
      <w:tr>
        <w:trPr>
          <w:trHeight w:val="202"/>
        </w:trPr>
        <w:tc>
          <w:tcPr>
            <w:tcW w:w="2420" w:type="dxa"/>
            <w:vAlign w:val="bottom"/>
            <w:gridSpan w:val="2"/>
          </w:tcPr>
          <w:p>
            <w:pPr>
              <w:ind w:left="80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282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Financial Statement Classification</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180" w:type="dxa"/>
            <w:vAlign w:val="bottom"/>
          </w:tcPr>
          <w:p>
            <w:pPr>
              <w:spacing w:after="0"/>
              <w:rPr>
                <w:sz w:val="17"/>
                <w:szCs w:val="17"/>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44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September 30, 2021</w:t>
            </w:r>
          </w:p>
        </w:tc>
      </w:tr>
      <w:tr>
        <w:trPr>
          <w:trHeight w:val="196"/>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Finance Lease Expense</w:t>
            </w:r>
          </w:p>
        </w:tc>
        <w:tc>
          <w:tcPr>
            <w:tcW w:w="10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200"/>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Amortization of ROU assets</w:t>
            </w:r>
          </w:p>
        </w:tc>
        <w:tc>
          <w:tcPr>
            <w:tcW w:w="2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4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7"/>
                <w:szCs w:val="17"/>
                <w:color w:val="auto"/>
              </w:rPr>
            </w:pPr>
          </w:p>
        </w:tc>
        <w:tc>
          <w:tcPr>
            <w:tcW w:w="900" w:type="dxa"/>
            <w:vAlign w:val="bottom"/>
          </w:tcPr>
          <w:p>
            <w:pPr>
              <w:jc w:val="right"/>
              <w:ind w:right="74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tcPr>
          <w:p>
            <w:pPr>
              <w:spacing w:after="0"/>
              <w:rPr>
                <w:sz w:val="17"/>
                <w:szCs w:val="17"/>
                <w:color w:val="auto"/>
              </w:rPr>
            </w:pPr>
          </w:p>
        </w:tc>
        <w:tc>
          <w:tcPr>
            <w:tcW w:w="860" w:type="dxa"/>
            <w:vAlign w:val="bottom"/>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on lease liabilities</w:t>
            </w: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148"/>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Times New Roman" w:cs="Times New Roman" w:eastAsia="Times New Roman" w:hAnsi="Times New Roman"/>
                <w:sz w:val="15"/>
                <w:szCs w:val="15"/>
                <w:color w:val="auto"/>
              </w:rPr>
              <w:t>General and administrative expense,</w:t>
            </w: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Times New Roman" w:cs="Times New Roman" w:eastAsia="Times New Roman" w:hAnsi="Times New Roman"/>
                <w:sz w:val="15"/>
                <w:szCs w:val="15"/>
                <w:color w:val="auto"/>
              </w:rPr>
              <w:t>Property operating and maintenance,</w:t>
            </w: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Operating lease cost</w:t>
            </w:r>
          </w:p>
        </w:tc>
        <w:tc>
          <w:tcPr>
            <w:tcW w:w="2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r>
      <w:tr>
        <w:trPr>
          <w:trHeight w:val="206"/>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Variable lease cost</w:t>
            </w: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operating and maintenance</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w:t>
            </w:r>
          </w:p>
        </w:tc>
        <w:tc>
          <w:tcPr>
            <w:tcW w:w="1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19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Total Lease Expense</w:t>
            </w: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4.6</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20.5</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w:t>
            </w:r>
          </w:p>
        </w:tc>
      </w:tr>
      <w:tr>
        <w:trPr>
          <w:trHeight w:val="21"/>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term, discount rates and additional information for finance and operating leases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400" w:type="dxa"/>
            <w:vAlign w:val="bottom"/>
          </w:tcPr>
          <w:p>
            <w:pPr>
              <w:spacing w:after="0"/>
              <w:rPr>
                <w:sz w:val="17"/>
                <w:szCs w:val="17"/>
                <w:color w:val="auto"/>
              </w:rPr>
            </w:pPr>
          </w:p>
        </w:tc>
        <w:tc>
          <w:tcPr>
            <w:tcW w:w="184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5"/>
                <w:szCs w:val="15"/>
                <w:b w:val="1"/>
                <w:bCs w:val="1"/>
                <w:color w:val="auto"/>
              </w:rPr>
              <w:t>As of</w:t>
            </w:r>
          </w:p>
        </w:tc>
      </w:tr>
      <w:tr>
        <w:trPr>
          <w:trHeight w:val="200"/>
        </w:trPr>
        <w:tc>
          <w:tcPr>
            <w:tcW w:w="94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September 30, 2022</w:t>
            </w:r>
          </w:p>
        </w:tc>
      </w:tr>
      <w:tr>
        <w:trPr>
          <w:trHeight w:val="183"/>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Lease Term and Discount Rate</w:t>
            </w:r>
          </w:p>
        </w:tc>
        <w:tc>
          <w:tcPr>
            <w:tcW w:w="1840" w:type="dxa"/>
            <w:vAlign w:val="bottom"/>
            <w:shd w:val="clear" w:color="auto" w:fill="CCEEFF"/>
          </w:tcPr>
          <w:p>
            <w:pPr>
              <w:spacing w:after="0"/>
              <w:rPr>
                <w:sz w:val="15"/>
                <w:szCs w:val="15"/>
                <w:color w:val="auto"/>
              </w:rPr>
            </w:pPr>
          </w:p>
        </w:tc>
      </w:tr>
      <w:tr>
        <w:trPr>
          <w:trHeight w:val="200"/>
        </w:trPr>
        <w:tc>
          <w:tcPr>
            <w:tcW w:w="9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Weighted-average Remaining Lease Terms (years)</w:t>
            </w:r>
          </w:p>
        </w:tc>
        <w:tc>
          <w:tcPr>
            <w:tcW w:w="1840" w:type="dxa"/>
            <w:vAlign w:val="bottom"/>
          </w:tcPr>
          <w:p>
            <w:pPr>
              <w:spacing w:after="0"/>
              <w:rPr>
                <w:sz w:val="17"/>
                <w:szCs w:val="17"/>
                <w:color w:val="auto"/>
              </w:rPr>
            </w:pPr>
          </w:p>
        </w:tc>
      </w:tr>
      <w:tr>
        <w:trPr>
          <w:trHeight w:val="205"/>
        </w:trPr>
        <w:tc>
          <w:tcPr>
            <w:tcW w:w="9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Finance lease</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27.81</w:t>
            </w:r>
          </w:p>
        </w:tc>
      </w:tr>
      <w:tr>
        <w:trPr>
          <w:trHeight w:val="200"/>
        </w:trPr>
        <w:tc>
          <w:tcPr>
            <w:tcW w:w="9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lease</w:t>
            </w: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32.93</w:t>
            </w:r>
          </w:p>
        </w:tc>
      </w:tr>
      <w:tr>
        <w:trPr>
          <w:trHeight w:val="205"/>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Weighted-average Discount Rate</w:t>
            </w:r>
          </w:p>
        </w:tc>
        <w:tc>
          <w:tcPr>
            <w:tcW w:w="1840" w:type="dxa"/>
            <w:vAlign w:val="bottom"/>
            <w:shd w:val="clear" w:color="auto" w:fill="CCEEFF"/>
          </w:tcPr>
          <w:p>
            <w:pPr>
              <w:spacing w:after="0"/>
              <w:rPr>
                <w:sz w:val="17"/>
                <w:szCs w:val="17"/>
                <w:color w:val="auto"/>
              </w:rPr>
            </w:pPr>
          </w:p>
        </w:tc>
      </w:tr>
      <w:tr>
        <w:trPr>
          <w:trHeight w:val="200"/>
        </w:trPr>
        <w:tc>
          <w:tcPr>
            <w:tcW w:w="9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Finance lease</w:t>
            </w: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3.05 %</w:t>
            </w:r>
          </w:p>
        </w:tc>
      </w:tr>
      <w:tr>
        <w:trPr>
          <w:trHeight w:val="205"/>
        </w:trPr>
        <w:tc>
          <w:tcPr>
            <w:tcW w:w="9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lease</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3.81 %</w:t>
            </w:r>
          </w:p>
        </w:tc>
      </w:tr>
    </w:tbl>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4"/>
          </w:tcPr>
          <w:p>
            <w:pPr>
              <w:jc w:val="right"/>
              <w:ind w:right="1044"/>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0"/>
        </w:trPr>
        <w:tc>
          <w:tcPr>
            <w:tcW w:w="7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60" w:type="dxa"/>
            <w:vAlign w:val="bottom"/>
          </w:tcPr>
          <w:p>
            <w:pPr>
              <w:spacing w:after="0"/>
              <w:rPr>
                <w:sz w:val="17"/>
                <w:szCs w:val="17"/>
                <w:color w:val="auto"/>
              </w:rPr>
            </w:pPr>
          </w:p>
        </w:tc>
        <w:tc>
          <w:tcPr>
            <w:tcW w:w="158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September 30, 2021</w:t>
            </w:r>
          </w:p>
        </w:tc>
      </w:tr>
      <w:tr>
        <w:trPr>
          <w:trHeight w:val="183"/>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 (in millions)</w:t>
            </w:r>
          </w:p>
        </w:tc>
        <w:tc>
          <w:tcPr>
            <w:tcW w:w="16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r>
      <w:tr>
        <w:trPr>
          <w:trHeight w:val="200"/>
        </w:trPr>
        <w:tc>
          <w:tcPr>
            <w:tcW w:w="7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5"/>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cash flow from operating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200"/>
        </w:trPr>
        <w:tc>
          <w:tcPr>
            <w:tcW w:w="7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Financing cash flow from finance leases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23"/>
        </w:trPr>
        <w:tc>
          <w:tcPr>
            <w:tcW w:w="7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Cash Paid On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the lessor for any finance leases at our MH, RV or Marina properties as of September 30, 2022.</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Nearly all of our operating leases at our MH and RV properties where we are the lessor are either month-to-month or for a time period not to exceed one year. As of September 30, 2022, future minimum lease payments would not exceed 12 months.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non-cancellable leases at our RV communities and marinas as of September 30, 2022 where we are the lessor include: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Maturity of Lease Payments (in millions)</w:t>
            </w:r>
          </w:p>
        </w:tc>
        <w:tc>
          <w:tcPr>
            <w:tcW w:w="200" w:type="dxa"/>
            <w:vAlign w:val="bottom"/>
          </w:tcPr>
          <w:p>
            <w:pPr>
              <w:spacing w:after="0"/>
              <w:rPr>
                <w:sz w:val="17"/>
                <w:szCs w:val="17"/>
                <w:color w:val="auto"/>
              </w:rPr>
            </w:pPr>
          </w:p>
        </w:tc>
        <w:tc>
          <w:tcPr>
            <w:tcW w:w="154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Operating Leases</w:t>
            </w:r>
          </w:p>
        </w:tc>
      </w:tr>
      <w:tr>
        <w:trPr>
          <w:trHeight w:val="200"/>
        </w:trPr>
        <w:tc>
          <w:tcPr>
            <w:tcW w:w="9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2022 (excluding the nine months ended September 30, 2022)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r>
      <w:tr>
        <w:trPr>
          <w:trHeight w:val="200"/>
        </w:trPr>
        <w:tc>
          <w:tcPr>
            <w:tcW w:w="9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w:t>
            </w:r>
          </w:p>
        </w:tc>
      </w:tr>
      <w:tr>
        <w:trPr>
          <w:trHeight w:val="20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w:t>
            </w:r>
          </w:p>
        </w:tc>
      </w:tr>
      <w:tr>
        <w:trPr>
          <w:trHeight w:val="200"/>
        </w:trPr>
        <w:tc>
          <w:tcPr>
            <w:tcW w:w="9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r>
      <w:tr>
        <w:trPr>
          <w:trHeight w:val="20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200"/>
        </w:trPr>
        <w:tc>
          <w:tcPr>
            <w:tcW w:w="9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42.1</w:t>
            </w:r>
          </w:p>
        </w:tc>
      </w:tr>
      <w:tr>
        <w:trPr>
          <w:trHeight w:val="223"/>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Undiscounted Cash Flows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104.6</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income for our operating leases, as included in our Consolidated Statement of Operations are as follows (in millions):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20" w:right="120" w:firstLine="583"/>
        <w:spacing w:after="0" w:line="341" w:lineRule="auto"/>
        <w:rPr>
          <w:sz w:val="20"/>
          <w:szCs w:val="20"/>
          <w:color w:val="auto"/>
        </w:rPr>
      </w:pPr>
      <w:r>
        <w:rPr>
          <w:rFonts w:ascii="Times New Roman" w:cs="Times New Roman" w:eastAsia="Times New Roman" w:hAnsi="Times New Roman"/>
          <w:sz w:val="15"/>
          <w:szCs w:val="15"/>
          <w:b w:val="1"/>
          <w:bCs w:val="1"/>
          <w:color w:val="auto"/>
        </w:rPr>
        <w:t>Description Operating Leases</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Fixed lease income</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Variable lease income</w:t>
      </w:r>
      <w:r>
        <w:rPr>
          <w:rFonts w:ascii="Times New Roman" w:cs="Times New Roman" w:eastAsia="Times New Roman" w:hAnsi="Times New Roman"/>
          <w:sz w:val="17"/>
          <w:szCs w:val="17"/>
          <w:color w:val="auto"/>
          <w:vertAlign w:val="superscript"/>
        </w:rPr>
        <w:t>(1)</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2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580" w:type="dxa"/>
            <w:vAlign w:val="bottom"/>
            <w:tcBorders>
              <w:bottom w:val="single" w:sz="8" w:color="auto"/>
            </w:tcBorders>
          </w:tcPr>
          <w:p>
            <w:pPr>
              <w:spacing w:after="0"/>
              <w:rPr>
                <w:sz w:val="17"/>
                <w:szCs w:val="17"/>
                <w:color w:val="auto"/>
              </w:rPr>
            </w:pPr>
          </w:p>
        </w:tc>
      </w:tr>
      <w:tr>
        <w:trPr>
          <w:trHeight w:val="202"/>
        </w:trPr>
        <w:tc>
          <w:tcPr>
            <w:tcW w:w="29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b w:val="1"/>
                <w:bCs w:val="1"/>
                <w:color w:val="auto"/>
              </w:rPr>
              <w:t>Financial Statement Classification</w:t>
            </w:r>
          </w:p>
        </w:tc>
        <w:tc>
          <w:tcPr>
            <w:tcW w:w="80" w:type="dxa"/>
            <w:vAlign w:val="bottom"/>
          </w:tcPr>
          <w:p>
            <w:pPr>
              <w:spacing w:after="0"/>
              <w:rPr>
                <w:sz w:val="17"/>
                <w:szCs w:val="17"/>
                <w:color w:val="auto"/>
              </w:rPr>
            </w:pPr>
          </w:p>
        </w:tc>
        <w:tc>
          <w:tcPr>
            <w:tcW w:w="144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80" w:type="dxa"/>
            <w:vAlign w:val="bottom"/>
          </w:tcPr>
          <w:p>
            <w:pPr>
              <w:spacing w:after="0"/>
              <w:rPr>
                <w:sz w:val="17"/>
                <w:szCs w:val="17"/>
                <w:color w:val="auto"/>
              </w:rPr>
            </w:pPr>
          </w:p>
        </w:tc>
        <w:tc>
          <w:tcPr>
            <w:tcW w:w="144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200" w:type="dxa"/>
            <w:vAlign w:val="bottom"/>
          </w:tcPr>
          <w:p>
            <w:pPr>
              <w:spacing w:after="0"/>
              <w:rPr>
                <w:sz w:val="17"/>
                <w:szCs w:val="17"/>
                <w:color w:val="auto"/>
              </w:rPr>
            </w:pPr>
          </w:p>
        </w:tc>
        <w:tc>
          <w:tcPr>
            <w:tcW w:w="146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80" w:type="dxa"/>
            <w:vAlign w:val="bottom"/>
          </w:tcPr>
          <w:p>
            <w:pPr>
              <w:spacing w:after="0"/>
              <w:rPr>
                <w:sz w:val="17"/>
                <w:szCs w:val="17"/>
                <w:color w:val="auto"/>
              </w:rPr>
            </w:pPr>
          </w:p>
        </w:tc>
        <w:tc>
          <w:tcPr>
            <w:tcW w:w="144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September 30, 2021</w:t>
            </w:r>
          </w:p>
        </w:tc>
      </w:tr>
      <w:tr>
        <w:trPr>
          <w:trHeight w:val="34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Income from real property; Brokerage</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8"/>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commissions and other revenue, net</w:t>
            </w: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tcPr>
          <w:p>
            <w:pPr>
              <w:spacing w:after="0"/>
              <w:rPr>
                <w:sz w:val="18"/>
                <w:szCs w:val="18"/>
                <w:color w:val="auto"/>
              </w:rPr>
            </w:pPr>
          </w:p>
        </w:tc>
        <w:tc>
          <w:tcPr>
            <w:tcW w:w="920" w:type="dxa"/>
            <w:vAlign w:val="bottom"/>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200" w:type="dxa"/>
            <w:vAlign w:val="bottom"/>
          </w:tcPr>
          <w:p>
            <w:pPr>
              <w:spacing w:after="0"/>
              <w:rPr>
                <w:sz w:val="18"/>
                <w:szCs w:val="18"/>
                <w:color w:val="auto"/>
              </w:rPr>
            </w:pPr>
          </w:p>
        </w:tc>
        <w:tc>
          <w:tcPr>
            <w:tcW w:w="48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21.0</w:t>
            </w:r>
          </w:p>
        </w:tc>
        <w:tc>
          <w:tcPr>
            <w:tcW w:w="80" w:type="dxa"/>
            <w:vAlign w:val="bottom"/>
          </w:tcPr>
          <w:p>
            <w:pPr>
              <w:spacing w:after="0"/>
              <w:rPr>
                <w:sz w:val="18"/>
                <w:szCs w:val="18"/>
                <w:color w:val="auto"/>
              </w:rPr>
            </w:pPr>
          </w:p>
        </w:tc>
        <w:tc>
          <w:tcPr>
            <w:tcW w:w="860" w:type="dxa"/>
            <w:vAlign w:val="bottom"/>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r>
      <w:tr>
        <w:trPr>
          <w:trHeight w:val="157"/>
        </w:trPr>
        <w:tc>
          <w:tcPr>
            <w:tcW w:w="30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Income from real property; Brokerage</w:t>
            </w: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08"/>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commissions and other revenue, net</w:t>
            </w: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Pr>
          <w:p>
            <w:pPr>
              <w:spacing w:after="0"/>
              <w:rPr>
                <w:sz w:val="18"/>
                <w:szCs w:val="18"/>
                <w:color w:val="auto"/>
              </w:rPr>
            </w:pPr>
          </w:p>
        </w:tc>
        <w:tc>
          <w:tcPr>
            <w:tcW w:w="920" w:type="dxa"/>
            <w:vAlign w:val="bottom"/>
          </w:tcPr>
          <w:p>
            <w:pPr>
              <w:jc w:val="right"/>
              <w:ind w:right="7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0" w:type="dxa"/>
            <w:vAlign w:val="bottom"/>
          </w:tcPr>
          <w:p>
            <w:pPr>
              <w:spacing w:after="0"/>
              <w:rPr>
                <w:sz w:val="18"/>
                <w:szCs w:val="18"/>
                <w:color w:val="auto"/>
              </w:rPr>
            </w:pPr>
          </w:p>
        </w:tc>
        <w:tc>
          <w:tcPr>
            <w:tcW w:w="480" w:type="dxa"/>
            <w:vAlign w:val="bottom"/>
          </w:tcPr>
          <w:p>
            <w:pPr>
              <w:jc w:val="right"/>
              <w:ind w:right="30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tcPr>
          <w:p>
            <w:pPr>
              <w:spacing w:after="0"/>
              <w:rPr>
                <w:sz w:val="18"/>
                <w:szCs w:val="18"/>
                <w:color w:val="auto"/>
              </w:rPr>
            </w:pPr>
          </w:p>
        </w:tc>
        <w:tc>
          <w:tcPr>
            <w:tcW w:w="860" w:type="dxa"/>
            <w:vAlign w:val="bottom"/>
          </w:tcPr>
          <w:p>
            <w:pPr>
              <w:jc w:val="right"/>
              <w:ind w:right="68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-226060</wp:posOffset>
            </wp:positionV>
            <wp:extent cx="7132320" cy="2311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-594360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1480" w:space="560"/>
            <w:col w:w="9200"/>
          </w:cols>
          <w:pgMar w:left="320" w:top="124" w:right="339" w:bottom="1440" w:gutter="0" w:footer="0" w:header="0"/>
          <w:type w:val="continuous"/>
        </w:sectPr>
      </w:pPr>
    </w:p>
    <w:p>
      <w:pPr>
        <w:ind w:left="160" w:hanging="152"/>
        <w:spacing w:after="0"/>
        <w:tabs>
          <w:tab w:leader="none" w:pos="16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Consists of rent primarily based on a percentage of acquisition costs and net operating income.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Failed Sale Leaseback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 of Park Holidays, we assumed ground lease arrangements for 34 UK properties that we concluded to be failed sale-leaseback transactions under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arrangements have maturities ranging from 2117 through 2197 with an option to repurchase for £1.00 at the end of the term. The obligation related to the underlying ground leases has been recorded as a financial liability of $310.4 million as of September 30, 2022. The financial liability is recorded within Other Liabilities on the Consolidated Balance Sheets. The following table presents the future minimum rental payments for this financial liability as of September 30,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Maturity of Financial Liability (in millions)</w:t>
            </w:r>
          </w:p>
        </w:tc>
        <w:tc>
          <w:tcPr>
            <w:tcW w:w="160" w:type="dxa"/>
            <w:vAlign w:val="bottom"/>
          </w:tcPr>
          <w:p>
            <w:pPr>
              <w:spacing w:after="0"/>
              <w:rPr>
                <w:sz w:val="17"/>
                <w:szCs w:val="17"/>
                <w:color w:val="auto"/>
              </w:rPr>
            </w:pPr>
          </w:p>
        </w:tc>
        <w:tc>
          <w:tcPr>
            <w:tcW w:w="158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September 30, 2022</w:t>
            </w:r>
          </w:p>
        </w:tc>
      </w:tr>
      <w:tr>
        <w:trPr>
          <w:trHeight w:val="200"/>
        </w:trPr>
        <w:tc>
          <w:tcPr>
            <w:tcW w:w="9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2022 (excluding nine months ended September 30, 2022)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r>
      <w:tr>
        <w:trPr>
          <w:trHeight w:val="200"/>
        </w:trPr>
        <w:tc>
          <w:tcPr>
            <w:tcW w:w="9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r>
      <w:tr>
        <w:trPr>
          <w:trHeight w:val="20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200"/>
        </w:trPr>
        <w:tc>
          <w:tcPr>
            <w:tcW w:w="9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r>
      <w:tr>
        <w:trPr>
          <w:trHeight w:val="205"/>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r>
      <w:tr>
        <w:trPr>
          <w:trHeight w:val="200"/>
        </w:trPr>
        <w:tc>
          <w:tcPr>
            <w:tcW w:w="9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1,560.6</w:t>
            </w:r>
          </w:p>
        </w:tc>
      </w:tr>
      <w:tr>
        <w:trPr>
          <w:trHeight w:val="198"/>
        </w:trPr>
        <w:tc>
          <w:tcPr>
            <w:tcW w:w="9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Payments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1,602.6</w:t>
            </w:r>
          </w:p>
        </w:tc>
      </w:tr>
      <w:tr>
        <w:trPr>
          <w:trHeight w:val="200"/>
        </w:trPr>
        <w:tc>
          <w:tcPr>
            <w:tcW w:w="9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Less: Imputed interest</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(1,292.2)</w:t>
            </w:r>
          </w:p>
        </w:tc>
      </w:tr>
      <w:tr>
        <w:trPr>
          <w:trHeight w:val="223"/>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Present Value of Financial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310.4</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 Adopted</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2020, the FASB issued ASU 2020-06,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 with Conversion and Other Options (Subtopic 470-20) and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 (Subtopic 815-40): Accounting for Convertible Instruments and Contracts in an Entity's Own Equity</w:t>
      </w:r>
      <w:r>
        <w:rPr>
          <w:rFonts w:ascii="Times New Roman" w:cs="Times New Roman" w:eastAsia="Times New Roman" w:hAnsi="Times New Roman"/>
          <w:sz w:val="18"/>
          <w:szCs w:val="18"/>
          <w:color w:val="auto"/>
        </w:rPr>
        <w:t>." This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simplifies the accounting for convertible instruments by eliminating the models that require separation of a cash conversion or beneficial conversion feature from the host contract. Under the amended guidance, a convertible debt instrument is treated as one liability accounted for at its amortized cost and convertible preferred stock is considered one equity instrument accounted for at its historical cost, unless (a) there are other features that require bifurcation as a derivative, or (b) convertible debt was issued at a substantial premium. This update also eliminates several triggers for derivative accounting, including a requirement to settle certain contracts by delivering registered shares. Additionally, this update provides clarifications to improve the consistency of EPS calculations. We adopted the ASU on January 1, 2022. The adoption of this ASU did not have an impact on our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 Not Yet Adopted</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2020-04, "</w:t>
      </w:r>
      <w:r>
        <w:rPr>
          <w:rFonts w:ascii="Times New Roman" w:cs="Times New Roman" w:eastAsia="Times New Roman" w:hAnsi="Times New Roman"/>
          <w:sz w:val="18"/>
          <w:szCs w:val="18"/>
          <w:i w:val="1"/>
          <w:iCs w:val="1"/>
          <w:color w:val="auto"/>
        </w:rPr>
        <w:t>Reference Rate Reform (Topic 848) -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which provides optional guidance for accounting for contracts, hedging relationships and other transactions affected by the reference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reform, if certain criteria are met. The provisions of this standard are available for election through December 31, 2022. As of September 30, 2022, we do not expect the transition from LIBOR to alternative reference interest rates will have a material impact on our Consolidated Financial Statements as the majority of our debt has fixed interest rates.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87"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Subsequent to the three months ended September 30, 2022, we acquired one land parcel located in the United Kingdom for a purchase price of $1.1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evaluated our Consolidated Financial Statements for subsequent events through the date that this Form 10-Q was issued.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of the consolidated financial condition and results of operations should be read in conjunction with the Consolidated Financial Statements and the accompanying Notes, along with our 2021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fully integrated, self-administered and self-managed REIT. As of September 30, 2022, we owned and operated or held an interest in a portfolio of 662 developed properties located in 39 states throughout the United States, the United Kingdom, Ontario, Canada and Puerto Rico, including 340 MH and 160 RV communities, 31 communities containing both MH and RV sites, and 131 marinas. We have been in the business of acquiring, operating, developing and expanding MH and RV communities since 1975 and marinas since 2020. We lease individual sites with utilities access for placement of manufactured homes, RVs or boats to our customers. We are also engaged in the marketing, selling and leasing of new and pre-owned homes to current and future residents in our MH communities. The Rental Program operations within our MH communities support and enhance our occupancy levels, property performance and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2021 Annual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 / amortization of real estate assets. In addition, NOI and FFO are commonly used in various ratios, pricing multiples / yields and returns and valuation calculations used to measure financial position, performance and value.</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NOI is derived from operating revenues minus property operating expenses and real estate taxes. NOI is a non-GAAP 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w:t>
      </w:r>
    </w:p>
    <w:p>
      <w:pPr>
        <w:spacing w:after="0" w:line="1" w:lineRule="exact"/>
        <w:rPr>
          <w:sz w:val="20"/>
          <w:szCs w:val="20"/>
          <w:color w:val="auto"/>
        </w:rPr>
      </w:pPr>
    </w:p>
    <w:p>
      <w:pPr>
        <w:jc w:val="both"/>
        <w:ind w:firstLine="8"/>
        <w:spacing w:after="0" w:line="255" w:lineRule="auto"/>
        <w:tabs>
          <w:tab w:leader="none" w:pos="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 In addition, we calculate Constant Currency NOI for our UK Operations by translating the operating results from the UK at the foreign currency exchange rate used for guidance. We believe that NOI and Constant Currency NOI provide enhanced comparability for investor evaluation of period-over-period results.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FFO is defined by the National Association of Real Estate Investment Trusts ("Nareit") as GAAP net income (loss), excluding gains (or losses) from sales of depreciable operating property, plus real estate related depreciation and amortization, real estate related impairments,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impairment and excluding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 We also use FFO excluding certain gain and loss items that management considers unrelated to the operational and financial performance of our core business ("Core FFO"). In addition, we calculate Constant Currency Core FFO by translating the operating results from the UK, Canada and Australia at the foreign currency exchange rates used for guidance. We believe that Core FFO and Constant Currency Core FFO provide enhanced comparability for investor evaluations of period-over-period results.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GAAP net income (loss) is the most directly comparable measure to FFO. The principal limitation of FFO is that it does not replace GAAP net income (loss) as a performance measure or GAAP cash flow from operations as a liquidity measure. Because FFO excludes significant economic components of GAAP net income (loss) including depreciation and amortization, FFO should be used as a supplement to GAAP net income (loss) and not as an alternative to it. Furthermore,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Catastrophic Event-Related Charges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28, 2022, Hurricane Ian made landfall on Florida's western coast. The storm primarily affected four properties in the Fort Myers area. Three RV properties comprising approximately 2,500 sites, sustained significant flooding and wind damage from the hurricane, and the sea wall and certain docks at one marina were damaged. At other affected MH and RV properties, most of the damage was limited to trees, roofs, fences, skirting and carports. At other affected marina properties, docks, buildings, and landscaping sustained limited wind and water damage.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$29.9 million for impaired assets. We expect these charges to be partially offset by insurance recoveries, currently estimated at $17.7 million. The estimated net charges of $12.2 million related to Hurricane Ian were recognized as Catastrophic event-related charges, net in our Consolidated Statements of Operations for the three months ended September 30, 2022. As of September 30, 2022, we had not received any insurance recoveries. We maintain property, casualty, flood and business interruption insurance for our properties, subject to customary deductibles and limits. Expected insurance recoveries for loss of income and redevelopment costs greater than the impairment charge cannot be estimated at this time.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impairment, expected insurance recovery, and net charge estimates are based on current information available to the Company. We continue to assess these estimates. The actual final impairment, insurance recoveries and net charges could vary significantly from these estimates. Any changes to these estimates will be recognized in the period(s) in which they are determined.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Net income attributable to SUI common shareholders to NOI and summarize our consolidated financial results for the three and nine months ended September 30, 2022 and 2021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3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6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620" w:type="dxa"/>
            <w:vAlign w:val="bottom"/>
            <w:tcBorders>
              <w:bottom w:val="single" w:sz="8" w:color="auto"/>
            </w:tcBorders>
          </w:tcPr>
          <w:p>
            <w:pPr>
              <w:spacing w:after="0"/>
              <w:rPr>
                <w:sz w:val="17"/>
                <w:szCs w:val="17"/>
                <w:color w:val="auto"/>
              </w:rPr>
            </w:pPr>
          </w:p>
        </w:tc>
      </w:tr>
      <w:tr>
        <w:trPr>
          <w:trHeight w:val="200"/>
        </w:trPr>
        <w:tc>
          <w:tcPr>
            <w:tcW w:w="536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20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 2021</w:t>
            </w:r>
          </w:p>
        </w:tc>
      </w:tr>
      <w:tr>
        <w:trPr>
          <w:trHeight w:val="196"/>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Attributable to SUI Common Shareholders</w:t>
            </w:r>
          </w:p>
        </w:tc>
        <w:tc>
          <w:tcPr>
            <w:tcW w:w="420" w:type="dxa"/>
            <w:vAlign w:val="bottom"/>
            <w:tcBorders>
              <w:top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162.6</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0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231.7</w:t>
            </w: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237.3</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367.3</w:t>
            </w:r>
          </w:p>
        </w:tc>
      </w:tr>
      <w:tr>
        <w:trPr>
          <w:trHeight w:val="200"/>
        </w:trPr>
        <w:tc>
          <w:tcPr>
            <w:tcW w:w="5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income</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205"/>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Brokerage commissions and other revenues, net</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w:t>
            </w:r>
          </w:p>
        </w:tc>
      </w:tr>
      <w:tr>
        <w:trPr>
          <w:trHeight w:val="200"/>
        </w:trPr>
        <w:tc>
          <w:tcPr>
            <w:tcW w:w="5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69.1</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187.0</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126.7</w:t>
            </w:r>
          </w:p>
        </w:tc>
      </w:tr>
      <w:tr>
        <w:trPr>
          <w:trHeight w:val="205"/>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0"/>
        </w:trPr>
        <w:tc>
          <w:tcPr>
            <w:tcW w:w="5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Business combination expense</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5"/>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127.1</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378.1</w:t>
            </w:r>
          </w:p>
        </w:tc>
      </w:tr>
      <w:tr>
        <w:trPr>
          <w:trHeight w:val="200"/>
        </w:trPr>
        <w:tc>
          <w:tcPr>
            <w:tcW w:w="5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on extinguishment of debt (see Note 8)</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r>
      <w:tr>
        <w:trPr>
          <w:trHeight w:val="205"/>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 expense</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116.2</w:t>
            </w:r>
          </w:p>
        </w:tc>
      </w:tr>
      <w:tr>
        <w:trPr>
          <w:trHeight w:val="200"/>
        </w:trPr>
        <w:tc>
          <w:tcPr>
            <w:tcW w:w="5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on mandatorily redeemable preferred OP units / equity</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5"/>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marketable securities (see Note 15)</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w:t>
            </w:r>
          </w:p>
        </w:tc>
      </w:tr>
      <w:tr>
        <w:trPr>
          <w:trHeight w:val="200"/>
        </w:trPr>
        <w:tc>
          <w:tcPr>
            <w:tcW w:w="5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205"/>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disposition of properties</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(108.1)</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(108.1)</w:t>
            </w:r>
          </w:p>
        </w:tc>
      </w:tr>
      <w:tr>
        <w:trPr>
          <w:trHeight w:val="200"/>
        </w:trPr>
        <w:tc>
          <w:tcPr>
            <w:tcW w:w="5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notes receivable (see Note 4)</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00"/>
        </w:trPr>
        <w:tc>
          <w:tcPr>
            <w:tcW w:w="5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Income from nonconsolidated affiliates (see Note 6)</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51"/>
        </w:trPr>
        <w:tc>
          <w:tcPr>
            <w:tcW w:w="5360" w:type="dxa"/>
            <w:vAlign w:val="bottom"/>
            <w:shd w:val="clear" w:color="auto" w:fill="CCEEFF"/>
          </w:tcPr>
          <w:p>
            <w:pPr>
              <w:ind w:left="220"/>
              <w:spacing w:after="0" w:line="151" w:lineRule="exact"/>
              <w:rPr>
                <w:sz w:val="20"/>
                <w:szCs w:val="20"/>
                <w:color w:val="auto"/>
              </w:rPr>
            </w:pPr>
            <w:r>
              <w:rPr>
                <w:rFonts w:ascii="Times New Roman" w:cs="Times New Roman" w:eastAsia="Times New Roman" w:hAnsi="Times New Roman"/>
                <w:sz w:val="15"/>
                <w:szCs w:val="15"/>
                <w:color w:val="auto"/>
              </w:rPr>
              <w:t>(Gain) / loss on remeasurement of investment in nonconsolidated affiliates (see</w:t>
            </w: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Note 6)</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r>
      <w:tr>
        <w:trPr>
          <w:trHeight w:val="200"/>
        </w:trPr>
        <w:tc>
          <w:tcPr>
            <w:tcW w:w="5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Current tax expense (see Note 12)</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5"/>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tax expense / (benefit) (see Note 12)</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00"/>
        </w:trPr>
        <w:tc>
          <w:tcPr>
            <w:tcW w:w="5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Preferred return to preferred OP units / equity interests</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205"/>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Add: Income attributable to noncontrolling interests</w:t>
            </w: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w:t>
            </w:r>
          </w:p>
        </w:tc>
      </w:tr>
      <w:tr>
        <w:trPr>
          <w:trHeight w:val="196"/>
        </w:trPr>
        <w:tc>
          <w:tcPr>
            <w:tcW w:w="5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NOI</w:t>
            </w:r>
          </w:p>
        </w:tc>
        <w:tc>
          <w:tcPr>
            <w:tcW w:w="4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455.2</w:t>
            </w: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346.3</w:t>
            </w:r>
          </w:p>
        </w:tc>
        <w:tc>
          <w:tcPr>
            <w:tcW w:w="200" w:type="dxa"/>
            <w:vAlign w:val="bottom"/>
          </w:tcPr>
          <w:p>
            <w:pPr>
              <w:spacing w:after="0"/>
              <w:rPr>
                <w:sz w:val="17"/>
                <w:szCs w:val="17"/>
                <w:color w:val="auto"/>
              </w:rPr>
            </w:pPr>
          </w:p>
        </w:tc>
        <w:tc>
          <w:tcPr>
            <w:tcW w:w="4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1,091.8</w:t>
            </w: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870.4</w:t>
            </w:r>
          </w:p>
        </w:tc>
      </w:tr>
      <w:tr>
        <w:trPr>
          <w:trHeight w:val="20"/>
        </w:trPr>
        <w:tc>
          <w:tcPr>
            <w:tcW w:w="5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3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580" w:type="dxa"/>
            <w:vAlign w:val="bottom"/>
            <w:tcBorders>
              <w:bottom w:val="single" w:sz="8" w:color="auto"/>
            </w:tcBorders>
          </w:tcPr>
          <w:p>
            <w:pPr>
              <w:spacing w:after="0"/>
              <w:rPr>
                <w:sz w:val="17"/>
                <w:szCs w:val="17"/>
                <w:color w:val="auto"/>
              </w:rPr>
            </w:pPr>
          </w:p>
        </w:tc>
      </w:tr>
      <w:tr>
        <w:trPr>
          <w:trHeight w:val="200"/>
        </w:trPr>
        <w:tc>
          <w:tcPr>
            <w:tcW w:w="536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20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 2021</w:t>
            </w:r>
          </w:p>
        </w:tc>
      </w:tr>
      <w:tr>
        <w:trPr>
          <w:trHeight w:val="196"/>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Real property NOI</w:t>
            </w:r>
          </w:p>
        </w:tc>
        <w:tc>
          <w:tcPr>
            <w:tcW w:w="420" w:type="dxa"/>
            <w:vAlign w:val="bottom"/>
            <w:tcBorders>
              <w:top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371.6</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302.5</w:t>
            </w: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909.2</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768.3</w:t>
            </w:r>
          </w:p>
        </w:tc>
      </w:tr>
      <w:tr>
        <w:trPr>
          <w:trHeight w:val="200"/>
        </w:trPr>
        <w:tc>
          <w:tcPr>
            <w:tcW w:w="5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Home sales NOI</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54.3</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122.9</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58.2</w:t>
            </w:r>
          </w:p>
        </w:tc>
      </w:tr>
      <w:tr>
        <w:trPr>
          <w:trHeight w:val="20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Service, retail, dining and entertainment expenses NOI</w:t>
            </w: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w:t>
            </w:r>
          </w:p>
        </w:tc>
      </w:tr>
      <w:tr>
        <w:trPr>
          <w:trHeight w:val="196"/>
        </w:trPr>
        <w:tc>
          <w:tcPr>
            <w:tcW w:w="536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NOI</w:t>
            </w:r>
          </w:p>
        </w:tc>
        <w:tc>
          <w:tcPr>
            <w:tcW w:w="4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455.2</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346.3</w:t>
            </w:r>
          </w:p>
        </w:tc>
        <w:tc>
          <w:tcPr>
            <w:tcW w:w="200" w:type="dxa"/>
            <w:vAlign w:val="bottom"/>
          </w:tcPr>
          <w:p>
            <w:pPr>
              <w:spacing w:after="0"/>
              <w:rPr>
                <w:sz w:val="17"/>
                <w:szCs w:val="17"/>
                <w:color w:val="auto"/>
              </w:rPr>
            </w:pPr>
          </w:p>
        </w:tc>
        <w:tc>
          <w:tcPr>
            <w:tcW w:w="4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1,091.8</w:t>
            </w:r>
          </w:p>
        </w:tc>
        <w:tc>
          <w:tcPr>
            <w:tcW w:w="80" w:type="dxa"/>
            <w:vAlign w:val="bottom"/>
          </w:tcPr>
          <w:p>
            <w:pPr>
              <w:spacing w:after="0"/>
              <w:rPr>
                <w:sz w:val="17"/>
                <w:szCs w:val="17"/>
                <w:color w:val="auto"/>
              </w:rPr>
            </w:pPr>
          </w:p>
        </w:tc>
        <w:tc>
          <w:tcPr>
            <w:tcW w:w="80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870.4</w:t>
            </w:r>
          </w:p>
        </w:tc>
      </w:tr>
      <w:tr>
        <w:trPr>
          <w:trHeight w:val="20"/>
        </w:trPr>
        <w:tc>
          <w:tcPr>
            <w:tcW w:w="5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 of 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RV and Marina industries are seasonal in nature, and the results of operations in any one period may not be indicative of results in future periods.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RV segment, certain properties maintain higher occupancy during the summer months, while other properties maintain higher occupancy during the winter months. Based on the location of our properties with transient RV sites, our portfolio generally produces higher revenues between April and September than between October and March. Real property - transient revenue is included in RV segment revenue. As of September 30, 2022, we recognized Real property - transient revenue of $42.7 million in the first quarter, $93.1 million in the second quarter and $153.4 million in the third quarter. Real property - transient revenue was $266.6 million for the year ended December 31, 2021. In 2021, Real property - transient revenue was recognized 11.9 percent in the first quarter, 27.3 percent in the second quarter, 44.9 percent in the third quarter and 15.9 percent in the fourth quarter.</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Marina segment, demand for wet slip storage increases during the summer months as customers contract for the summer boating season, which also drives non-storage revenue streams such as service, fuel and on-premise restaurants or convenience stores. Demand for dry storage increases during the winter season as seasonal weather patterns require boat owners to store their vessels on dry docks and within covered racks. As of September 30, 2022, we recognized seasonal Real property revenue of $62.4 million in the first quarter, $79.4 million in the second quarter and $90.0 million in the third quarter. Seasonal Real property revenue was $246.6 million for the year ended December 31, 2021. In 2021, seasonal Real property revenue was recognized 17.7 percent in the first quarter, 25.0 percent in the second quarter, 29.9 percent in the third quarter and 27.4 percent in the fourth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and Nine Months Ended September 30, 2022 and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Total Portfolio</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reflect certain financial and other information for our Total Portfolio as of and for the three and nine months ended September 30, 2022 and 2021 (in millions, except for statistical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46"/>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2"/>
                <w:szCs w:val="12"/>
                <w:color w:val="auto"/>
              </w:rPr>
            </w:pPr>
          </w:p>
        </w:tc>
        <w:tc>
          <w:tcPr>
            <w:tcW w:w="11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2"/>
                <w:szCs w:val="12"/>
                <w:color w:val="auto"/>
              </w:rPr>
            </w:pPr>
          </w:p>
        </w:tc>
        <w:tc>
          <w:tcPr>
            <w:tcW w:w="114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12"/>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Pr>
          <w:p>
            <w:pPr>
              <w:spacing w:after="0"/>
              <w:rPr>
                <w:sz w:val="18"/>
                <w:szCs w:val="18"/>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104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87"/>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Information</w:t>
            </w: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r>
      <w:tr>
        <w:trPr>
          <w:trHeight w:val="202"/>
        </w:trPr>
        <w:tc>
          <w:tcPr>
            <w:tcW w:w="220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49"/>
        </w:trPr>
        <w:tc>
          <w:tcPr>
            <w:tcW w:w="220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5"/>
                <w:szCs w:val="15"/>
                <w:color w:val="auto"/>
              </w:rPr>
              <w:t>Real property (excluding</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16"/>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transient)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861.7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17.0 %</w:t>
            </w:r>
          </w:p>
        </w:tc>
      </w:tr>
      <w:tr>
        <w:trPr>
          <w:trHeight w:val="200"/>
        </w:trPr>
        <w:tc>
          <w:tcPr>
            <w:tcW w:w="22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Real property - transient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26.9 %</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28.7 %</w:t>
            </w:r>
          </w:p>
        </w:tc>
      </w:tr>
      <w:tr>
        <w:trPr>
          <w:trHeight w:val="205"/>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35.6 %</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149.9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28.8 %</w:t>
            </w:r>
          </w:p>
        </w:tc>
      </w:tr>
      <w:tr>
        <w:trPr>
          <w:trHeight w:val="194"/>
        </w:trPr>
        <w:tc>
          <w:tcPr>
            <w:tcW w:w="22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Operating</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22.5 %</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1,461.6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1,213.9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20.4 %</w:t>
            </w:r>
          </w:p>
        </w:tc>
      </w:tr>
      <w:tr>
        <w:trPr>
          <w:trHeight w:val="205"/>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Expense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0"/>
        </w:trPr>
        <w:tc>
          <w:tcPr>
            <w:tcW w:w="22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Property Operating</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214.1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175.6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38.5</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21.9 %</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552.4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445.6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106.8</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24.0 %</w:t>
            </w:r>
          </w:p>
        </w:tc>
      </w:tr>
      <w:tr>
        <w:trPr>
          <w:trHeight w:val="223"/>
        </w:trPr>
        <w:tc>
          <w:tcPr>
            <w:tcW w:w="2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Real Property NOI</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22.8 %</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909.2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768.3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18.3 %</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4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2"/>
        </w:trPr>
        <w:tc>
          <w:tcPr>
            <w:tcW w:w="6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20" w:type="dxa"/>
            <w:vAlign w:val="bottom"/>
          </w:tcPr>
          <w:p>
            <w:pPr>
              <w:spacing w:after="0"/>
              <w:rPr>
                <w:sz w:val="17"/>
                <w:szCs w:val="17"/>
                <w:color w:val="auto"/>
              </w:rPr>
            </w:pPr>
          </w:p>
        </w:tc>
        <w:tc>
          <w:tcPr>
            <w:tcW w:w="146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8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14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r>
      <w:tr>
        <w:trPr>
          <w:trHeight w:val="202"/>
        </w:trPr>
        <w:tc>
          <w:tcPr>
            <w:tcW w:w="6040" w:type="dxa"/>
            <w:vAlign w:val="bottom"/>
          </w:tcPr>
          <w:p>
            <w:pPr>
              <w:ind w:left="140"/>
              <w:spacing w:after="0" w:line="203" w:lineRule="exact"/>
              <w:rPr>
                <w:sz w:val="20"/>
                <w:szCs w:val="20"/>
                <w:color w:val="auto"/>
              </w:rPr>
            </w:pPr>
            <w:r>
              <w:rPr>
                <w:rFonts w:ascii="Times New Roman" w:cs="Times New Roman" w:eastAsia="Times New Roman" w:hAnsi="Times New Roman"/>
                <w:sz w:val="15"/>
                <w:szCs w:val="15"/>
                <w:color w:val="auto"/>
              </w:rPr>
              <w:t>Number of properties</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17"/>
                <w:szCs w:val="17"/>
                <w:color w:val="auto"/>
              </w:rPr>
            </w:pPr>
          </w:p>
        </w:tc>
        <w:tc>
          <w:tcPr>
            <w:tcW w:w="15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584</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78</w:t>
            </w:r>
          </w:p>
        </w:tc>
      </w:tr>
      <w:tr>
        <w:trPr>
          <w:trHeight w:val="148"/>
        </w:trPr>
        <w:tc>
          <w:tcPr>
            <w:tcW w:w="6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200"/>
        </w:trPr>
        <w:tc>
          <w:tcPr>
            <w:tcW w:w="6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MH occupancy</w:t>
            </w: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95.5 %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5"/>
        </w:trPr>
        <w:tc>
          <w:tcPr>
            <w:tcW w:w="604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5"/>
                <w:szCs w:val="15"/>
                <w:color w:val="auto"/>
              </w:rPr>
              <w:t>RV occupancy</w:t>
            </w:r>
            <w:r>
              <w:rPr>
                <w:rFonts w:ascii="Times New Roman" w:cs="Times New Roman" w:eastAsia="Times New Roman" w:hAnsi="Times New Roman"/>
                <w:sz w:val="19"/>
                <w:szCs w:val="19"/>
                <w:color w:val="auto"/>
                <w:vertAlign w:val="superscript"/>
              </w:rPr>
              <w:t>(2)</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6040" w:type="dxa"/>
            <w:vAlign w:val="bottom"/>
          </w:tcPr>
          <w:p>
            <w:pPr>
              <w:ind w:left="140"/>
              <w:spacing w:after="0" w:line="203" w:lineRule="exact"/>
              <w:rPr>
                <w:sz w:val="20"/>
                <w:szCs w:val="20"/>
                <w:color w:val="auto"/>
              </w:rPr>
            </w:pPr>
            <w:r>
              <w:rPr>
                <w:rFonts w:ascii="Times New Roman" w:cs="Times New Roman" w:eastAsia="Times New Roman" w:hAnsi="Times New Roman"/>
                <w:sz w:val="15"/>
                <w:szCs w:val="15"/>
                <w:color w:val="auto"/>
              </w:rPr>
              <w:t>MH &amp; RV blended occupancy</w:t>
            </w:r>
            <w:r>
              <w:rPr>
                <w:rFonts w:ascii="Times New Roman" w:cs="Times New Roman" w:eastAsia="Times New Roman" w:hAnsi="Times New Roman"/>
                <w:sz w:val="19"/>
                <w:szCs w:val="19"/>
                <w:color w:val="auto"/>
                <w:vertAlign w:val="superscript"/>
              </w:rPr>
              <w:t>(3)</w:t>
            </w: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96.5 %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97.4 %</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r>
      <w:tr>
        <w:trPr>
          <w:trHeight w:val="149"/>
        </w:trPr>
        <w:tc>
          <w:tcPr>
            <w:tcW w:w="6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200"/>
        </w:trPr>
        <w:tc>
          <w:tcPr>
            <w:tcW w:w="6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Sites available for MH &amp; RV development</w:t>
            </w:r>
          </w:p>
        </w:tc>
        <w:tc>
          <w:tcPr>
            <w:tcW w:w="140" w:type="dxa"/>
            <w:vAlign w:val="bottom"/>
          </w:tcPr>
          <w:p>
            <w:pPr>
              <w:spacing w:after="0"/>
              <w:rPr>
                <w:sz w:val="17"/>
                <w:szCs w:val="17"/>
                <w:color w:val="auto"/>
              </w:rPr>
            </w:pPr>
          </w:p>
        </w:tc>
        <w:tc>
          <w:tcPr>
            <w:tcW w:w="15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16,078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10,312</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5,766</w:t>
            </w:r>
          </w:p>
        </w:tc>
      </w:tr>
      <w:tr>
        <w:trPr>
          <w:trHeight w:val="151"/>
        </w:trPr>
        <w:tc>
          <w:tcPr>
            <w:tcW w:w="6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00"/>
        </w:trPr>
        <w:tc>
          <w:tcPr>
            <w:tcW w:w="6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Monthly base rent per site - MH</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624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599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(5)</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25</w:t>
            </w:r>
          </w:p>
        </w:tc>
      </w:tr>
      <w:tr>
        <w:trPr>
          <w:trHeight w:val="205"/>
        </w:trPr>
        <w:tc>
          <w:tcPr>
            <w:tcW w:w="604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5"/>
                <w:szCs w:val="15"/>
                <w:color w:val="auto"/>
              </w:rPr>
              <w:t>Monthly base rent per site - RV</w:t>
            </w:r>
            <w:r>
              <w:rPr>
                <w:rFonts w:ascii="Times New Roman" w:cs="Times New Roman" w:eastAsia="Times New Roman" w:hAnsi="Times New Roman"/>
                <w:sz w:val="19"/>
                <w:szCs w:val="19"/>
                <w:color w:val="auto"/>
                <w:vertAlign w:val="superscript"/>
              </w:rPr>
              <w:t>(4)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549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515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rPr>
              <w:t>(5)</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34</w:t>
            </w:r>
          </w:p>
        </w:tc>
      </w:tr>
      <w:tr>
        <w:trPr>
          <w:trHeight w:val="200"/>
        </w:trPr>
        <w:tc>
          <w:tcPr>
            <w:tcW w:w="6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Monthly base rent per site - 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605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579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rPr>
              <w:t>(5)</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26</w:t>
            </w:r>
          </w:p>
        </w:tc>
      </w:tr>
      <w:tr>
        <w:trPr>
          <w:trHeight w:val="151"/>
        </w:trPr>
        <w:tc>
          <w:tcPr>
            <w:tcW w:w="6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98"/>
        </w:trPr>
        <w:tc>
          <w:tcPr>
            <w:tcW w:w="6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Weighted average monthly rental rate - MH Rental Program</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1,192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1,085</w:t>
            </w:r>
          </w:p>
        </w:tc>
        <w:tc>
          <w:tcPr>
            <w:tcW w:w="28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107</w:t>
            </w:r>
          </w:p>
        </w:tc>
      </w:tr>
    </w:tbl>
    <w:p>
      <w:pPr>
        <w:spacing w:after="0" w:line="59" w:lineRule="exact"/>
        <w:rPr>
          <w:sz w:val="20"/>
          <w:szCs w:val="20"/>
          <w:color w:val="auto"/>
        </w:rPr>
      </w:pPr>
    </w:p>
    <w:p>
      <w:pPr>
        <w:ind w:left="160" w:hanging="152"/>
        <w:spacing w:after="0"/>
        <w:tabs>
          <w:tab w:leader="none" w:pos="160" w:val="left"/>
        </w:tabs>
        <w:numPr>
          <w:ilvl w:val="0"/>
          <w:numId w:val="2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color w:val="auto"/>
        </w:rPr>
        <w:t>Includes MH communities, RV communities and marinas.</w:t>
      </w:r>
    </w:p>
    <w:p>
      <w:pPr>
        <w:spacing w:after="0" w:line="43" w:lineRule="exact"/>
        <w:rPr>
          <w:rFonts w:ascii="Times New Roman" w:cs="Times New Roman" w:eastAsia="Times New Roman" w:hAnsi="Times New Roman"/>
          <w:sz w:val="19"/>
          <w:szCs w:val="19"/>
          <w:i w:val="1"/>
          <w:iCs w:val="1"/>
          <w:color w:val="auto"/>
          <w:vertAlign w:val="superscript"/>
        </w:rPr>
      </w:pPr>
    </w:p>
    <w:p>
      <w:pPr>
        <w:ind w:left="160" w:hanging="152"/>
        <w:spacing w:after="0"/>
        <w:tabs>
          <w:tab w:leader="none" w:pos="16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Occupancy percentages include annual RV sites and exclude transient RV sites.</w:t>
      </w:r>
    </w:p>
    <w:p>
      <w:pPr>
        <w:spacing w:after="0" w:line="52"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Occupancy percentages include MH and annual RV sites and exclude transient RV sites.</w:t>
      </w:r>
    </w:p>
    <w:p>
      <w:pPr>
        <w:spacing w:after="0" w:line="38"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Monthly base rent pertains to annual RV sites and excludes transient RV sites.</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Canadian currency figures included within the nine months ended September 30, 2021 have been translated at 2022 average exchange rates.</w:t>
      </w: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the $69.1 million increase in Real Property NOI as compared to the same period in 2021, consists of $15.0 million from Same Property MH and RV, $4.4 million from Same Property Marina, $25.2 million from the UK operations and $24.5 million from other recently acquired or developed properties.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the $140.9 million increase in Real Property NOI as compared to the same period in 2021, consists of $35.7 million from Same Property MH and RV, $7.6 million from Same Property Marina, $40.6 million from the UK operations and $57.0 million from other recently acquired or developed properties.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Same Property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key management tool used when evaluating performance and growth of our properties is a comparison of the Same Property portfolio. Same Property refers to properties that we have owned for at least the preceding year, exclusive of properties recently completed or under construction, and other properties as determined by management. The Same Property data may change from time-to-time depending on acquisitions, dispositions, management discretion, significant transactions or unique situations.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evaluate the growth of the Same Property portfolio, management has classified certain items differently than our GAAP statement. The reclassification difference between our GAAP statements and our Same Property portfolio is the reclassification of utility revenues from real property revenue to operating expenses. A significant portion of our utility charges are re-billed to our residents. Additionally, prior period Canadian currency figures have been translated at 2022 average exchange rates for constant currency comparability.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Same Property - MH and RV United States and Canada</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reflect certain financial and other information for our Same Property MH and RV portfolio as of and for the three and nine months ended September 30, 2022 and 2021 (in millions, except for statistical information).</w:t>
      </w:r>
    </w:p>
    <w:p>
      <w:pPr>
        <w:spacing w:after="0" w:line="2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gridSpan w:val="10"/>
          </w:tcPr>
          <w:p>
            <w:pPr>
              <w:ind w:left="360"/>
              <w:spacing w:after="0"/>
              <w:rPr>
                <w:sz w:val="20"/>
                <w:szCs w:val="20"/>
                <w:color w:val="auto"/>
              </w:rPr>
            </w:pPr>
            <w:r>
              <w:rPr>
                <w:rFonts w:ascii="Times New Roman" w:cs="Times New Roman" w:eastAsia="Times New Roman" w:hAnsi="Times New Roman"/>
                <w:sz w:val="15"/>
                <w:szCs w:val="15"/>
                <w:b w:val="1"/>
                <w:bCs w:val="1"/>
                <w:color w:val="auto"/>
              </w:rPr>
              <w:t>Total Same Property - MH and RV</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MH</w:t>
            </w: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RV</w:t>
            </w:r>
          </w:p>
        </w:tc>
        <w:tc>
          <w:tcPr>
            <w:tcW w:w="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92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92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44"/>
              <w:spacing w:after="0" w:line="14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92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92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44"/>
              <w:spacing w:after="0" w:line="142" w:lineRule="exact"/>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2"/>
                <w:szCs w:val="12"/>
                <w:color w:val="auto"/>
              </w:rPr>
            </w:pPr>
          </w:p>
        </w:tc>
        <w:tc>
          <w:tcPr>
            <w:tcW w:w="92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92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24"/>
              <w:spacing w:after="0" w:line="142"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30, 2022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30, 2021</w:t>
            </w:r>
          </w:p>
        </w:tc>
        <w:tc>
          <w:tcPr>
            <w:tcW w:w="8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90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5"/>
                <w:szCs w:val="15"/>
                <w:b w:val="1"/>
                <w:bCs w:val="1"/>
                <w:color w:val="auto"/>
              </w:rPr>
              <w:t>Change</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8"/>
                <w:szCs w:val="18"/>
                <w:color w:val="auto"/>
              </w:rPr>
            </w:pPr>
          </w:p>
        </w:tc>
        <w:tc>
          <w:tcPr>
            <w:tcW w:w="72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30, 2022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30, 2021</w:t>
            </w:r>
          </w:p>
        </w:tc>
        <w:tc>
          <w:tcPr>
            <w:tcW w:w="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90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5"/>
                <w:szCs w:val="15"/>
                <w:b w:val="1"/>
                <w:bCs w:val="1"/>
                <w:color w:val="auto"/>
              </w:rPr>
              <w:t>Change</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8"/>
                <w:szCs w:val="18"/>
                <w:color w:val="auto"/>
              </w:rPr>
            </w:pPr>
          </w:p>
        </w:tc>
        <w:tc>
          <w:tcPr>
            <w:tcW w:w="72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30, 2022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30, 2021</w:t>
            </w:r>
          </w:p>
        </w:tc>
        <w:tc>
          <w:tcPr>
            <w:tcW w:w="8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780" w:type="dxa"/>
            <w:vAlign w:val="bottom"/>
          </w:tcPr>
          <w:p>
            <w:pPr>
              <w:jc w:val="right"/>
              <w:ind w:right="4"/>
              <w:spacing w:after="0" w:line="216" w:lineRule="exact"/>
              <w:rPr>
                <w:sz w:val="20"/>
                <w:szCs w:val="20"/>
                <w:color w:val="auto"/>
              </w:rPr>
            </w:pPr>
            <w:r>
              <w:rPr>
                <w:rFonts w:ascii="Times New Roman" w:cs="Times New Roman" w:eastAsia="Times New Roman" w:hAnsi="Times New Roman"/>
                <w:sz w:val="15"/>
                <w:szCs w:val="15"/>
                <w:b w:val="1"/>
                <w:bCs w:val="1"/>
                <w:color w:val="auto"/>
              </w:rPr>
              <w:t>Change</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129"/>
        </w:trPr>
        <w:tc>
          <w:tcPr>
            <w:tcW w:w="120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Information</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5"/>
                <w:szCs w:val="15"/>
                <w:color w:val="auto"/>
              </w:rPr>
              <w:t>Real property</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200" w:type="dxa"/>
            <w:vAlign w:val="bottom"/>
            <w:shd w:val="clear" w:color="auto" w:fill="CCEEFF"/>
          </w:tcPr>
          <w:p>
            <w:pPr>
              <w:ind w:left="240"/>
              <w:spacing w:after="0" w:line="159" w:lineRule="exact"/>
              <w:rPr>
                <w:sz w:val="20"/>
                <w:szCs w:val="20"/>
                <w:color w:val="auto"/>
              </w:rPr>
            </w:pPr>
            <w:r>
              <w:rPr>
                <w:rFonts w:ascii="Times New Roman" w:cs="Times New Roman" w:eastAsia="Times New Roman" w:hAnsi="Times New Roman"/>
                <w:sz w:val="15"/>
                <w:szCs w:val="15"/>
                <w:color w:val="auto"/>
              </w:rPr>
              <w:t>(excluding</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transient)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225.0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47.4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rPr>
              <w:t>6.4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13.4 %</w:t>
            </w:r>
          </w:p>
        </w:tc>
        <w:tc>
          <w:tcPr>
            <w:tcW w:w="0" w:type="dxa"/>
            <w:vAlign w:val="bottom"/>
          </w:tcPr>
          <w:p>
            <w:pPr>
              <w:spacing w:after="0"/>
              <w:rPr>
                <w:sz w:val="1"/>
                <w:szCs w:val="1"/>
                <w:color w:val="auto"/>
              </w:rPr>
            </w:pPr>
          </w:p>
        </w:tc>
      </w:tr>
      <w:tr>
        <w:trPr>
          <w:trHeight w:val="148"/>
        </w:trPr>
        <w:tc>
          <w:tcPr>
            <w:tcW w:w="1200" w:type="dxa"/>
            <w:vAlign w:val="bottom"/>
          </w:tcPr>
          <w:p>
            <w:pPr>
              <w:ind w:left="240"/>
              <w:spacing w:after="0" w:line="149" w:lineRule="exact"/>
              <w:rPr>
                <w:sz w:val="20"/>
                <w:szCs w:val="20"/>
                <w:color w:val="auto"/>
              </w:rPr>
            </w:pPr>
            <w:r>
              <w:rPr>
                <w:rFonts w:ascii="Times New Roman" w:cs="Times New Roman" w:eastAsia="Times New Roman" w:hAnsi="Times New Roman"/>
                <w:sz w:val="15"/>
                <w:szCs w:val="15"/>
                <w:color w:val="auto"/>
              </w:rPr>
              <w:t>Real property -</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2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transient</w:t>
            </w:r>
          </w:p>
        </w:tc>
        <w:tc>
          <w:tcPr>
            <w:tcW w:w="12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0.6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0.6 %</w:t>
            </w:r>
          </w:p>
        </w:tc>
        <w:tc>
          <w:tcPr>
            <w:tcW w:w="0" w:type="dxa"/>
            <w:vAlign w:val="bottom"/>
          </w:tcPr>
          <w:p>
            <w:pPr>
              <w:spacing w:after="0"/>
              <w:rPr>
                <w:sz w:val="1"/>
                <w:szCs w:val="1"/>
                <w:color w:val="auto"/>
              </w:rPr>
            </w:pPr>
          </w:p>
        </w:tc>
      </w:tr>
      <w:tr>
        <w:trPr>
          <w:trHeight w:val="207"/>
        </w:trPr>
        <w:tc>
          <w:tcPr>
            <w:tcW w:w="1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7.2 %</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3.1 %</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rPr>
              <w:t>0.9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9.2 %</w:t>
            </w:r>
          </w:p>
        </w:tc>
        <w:tc>
          <w:tcPr>
            <w:tcW w:w="0" w:type="dxa"/>
            <w:vAlign w:val="bottom"/>
          </w:tcPr>
          <w:p>
            <w:pPr>
              <w:spacing w:after="0"/>
              <w:rPr>
                <w:sz w:val="1"/>
                <w:szCs w:val="1"/>
                <w:color w:val="auto"/>
              </w:rPr>
            </w:pPr>
          </w:p>
        </w:tc>
      </w:tr>
      <w:tr>
        <w:trPr>
          <w:trHeight w:val="128"/>
        </w:trPr>
        <w:tc>
          <w:tcPr>
            <w:tcW w:w="1200" w:type="dxa"/>
            <w:vAlign w:val="bottom"/>
          </w:tcPr>
          <w:p>
            <w:pPr>
              <w:ind w:left="24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12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Operating</w:t>
            </w:r>
          </w:p>
        </w:tc>
        <w:tc>
          <w:tcPr>
            <w:tcW w:w="12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362.6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346.4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4.7 %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7.9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4.8 %</w:t>
            </w:r>
          </w:p>
        </w:tc>
        <w:tc>
          <w:tcPr>
            <w:tcW w:w="0" w:type="dxa"/>
            <w:vAlign w:val="bottom"/>
          </w:tcPr>
          <w:p>
            <w:pPr>
              <w:spacing w:after="0"/>
              <w:rPr>
                <w:sz w:val="1"/>
                <w:szCs w:val="1"/>
                <w:color w:val="auto"/>
              </w:rPr>
            </w:pPr>
          </w:p>
        </w:tc>
      </w:tr>
      <w:tr>
        <w:trPr>
          <w:trHeight w:val="207"/>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Expense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line="149" w:lineRule="exact"/>
              <w:rPr>
                <w:sz w:val="20"/>
                <w:szCs w:val="20"/>
                <w:color w:val="auto"/>
              </w:rPr>
            </w:pPr>
            <w:r>
              <w:rPr>
                <w:rFonts w:ascii="Times New Roman" w:cs="Times New Roman" w:eastAsia="Times New Roman" w:hAnsi="Times New Roman"/>
                <w:sz w:val="15"/>
                <w:szCs w:val="15"/>
                <w:color w:val="auto"/>
              </w:rPr>
              <w:t>Property</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2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Operating</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114.3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113.1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3.7 %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62.3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(0.6)</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33"/>
        </w:trPr>
        <w:tc>
          <w:tcPr>
            <w:tcW w:w="120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5"/>
                <w:szCs w:val="15"/>
                <w:color w:val="auto"/>
              </w:rPr>
              <w:t>Real Property</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248.3</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233.3</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138.4</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131.9</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109.9</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101.4</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vMerge w:val="restart"/>
            <w:shd w:val="clear" w:color="auto" w:fill="CCEEFF"/>
          </w:tcPr>
          <w:p>
            <w:pPr>
              <w:jc w:val="center"/>
              <w:ind w:left="4"/>
              <w:spacing w:after="0"/>
              <w:rPr>
                <w:sz w:val="20"/>
                <w:szCs w:val="20"/>
                <w:color w:val="auto"/>
              </w:rPr>
            </w:pPr>
            <w:r>
              <w:rPr>
                <w:rFonts w:ascii="Times New Roman" w:cs="Times New Roman" w:eastAsia="Times New Roman" w:hAnsi="Times New Roman"/>
                <w:sz w:val="15"/>
                <w:szCs w:val="15"/>
                <w:color w:val="auto"/>
              </w:rPr>
              <w:t>8.5</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NOI</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6.4 %</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4.9 %</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8.4 %</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Percentages are calculated based on unrounded numbers.</w:t>
      </w:r>
    </w:p>
    <w:p>
      <w:pPr>
        <w:spacing w:after="0" w:line="29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b w:val="1"/>
          <w:bCs w:val="1"/>
          <w:color w:val="auto"/>
        </w:rPr>
        <w:t>Nine Months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gridSpan w:val="10"/>
          </w:tcPr>
          <w:p>
            <w:pPr>
              <w:ind w:left="360"/>
              <w:spacing w:after="0"/>
              <w:rPr>
                <w:sz w:val="20"/>
                <w:szCs w:val="20"/>
                <w:color w:val="auto"/>
              </w:rPr>
            </w:pPr>
            <w:r>
              <w:rPr>
                <w:rFonts w:ascii="Times New Roman" w:cs="Times New Roman" w:eastAsia="Times New Roman" w:hAnsi="Times New Roman"/>
                <w:sz w:val="15"/>
                <w:szCs w:val="15"/>
                <w:b w:val="1"/>
                <w:bCs w:val="1"/>
                <w:color w:val="auto"/>
              </w:rPr>
              <w:t>Total Same Property - MH and RV</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MH</w:t>
            </w:r>
          </w:p>
        </w:tc>
        <w:tc>
          <w:tcPr>
            <w:tcW w:w="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RV</w:t>
            </w: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92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92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44"/>
              <w:spacing w:after="0" w:line="14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92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92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44"/>
              <w:spacing w:after="0" w:line="14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92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90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44"/>
              <w:spacing w:after="0" w:line="142"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30, 2022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30, 2021</w:t>
            </w:r>
          </w:p>
        </w:tc>
        <w:tc>
          <w:tcPr>
            <w:tcW w:w="8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90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5"/>
                <w:szCs w:val="15"/>
                <w:b w:val="1"/>
                <w:bCs w:val="1"/>
                <w:color w:val="auto"/>
              </w:rPr>
              <w:t>Change</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8"/>
                <w:szCs w:val="18"/>
                <w:color w:val="auto"/>
              </w:rPr>
            </w:pPr>
          </w:p>
        </w:tc>
        <w:tc>
          <w:tcPr>
            <w:tcW w:w="72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30, 2022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30, 2021</w:t>
            </w:r>
          </w:p>
        </w:tc>
        <w:tc>
          <w:tcPr>
            <w:tcW w:w="8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9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5"/>
                <w:szCs w:val="15"/>
                <w:b w:val="1"/>
                <w:bCs w:val="1"/>
                <w:color w:val="auto"/>
              </w:rPr>
              <w:t>Change</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8"/>
                <w:szCs w:val="18"/>
                <w:color w:val="auto"/>
              </w:rPr>
            </w:pP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30, 2022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30, 2021</w:t>
            </w:r>
          </w:p>
        </w:tc>
        <w:tc>
          <w:tcPr>
            <w:tcW w:w="8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780" w:type="dxa"/>
            <w:vAlign w:val="bottom"/>
          </w:tcPr>
          <w:p>
            <w:pPr>
              <w:jc w:val="right"/>
              <w:ind w:right="4"/>
              <w:spacing w:after="0" w:line="216" w:lineRule="exact"/>
              <w:rPr>
                <w:sz w:val="20"/>
                <w:szCs w:val="20"/>
                <w:color w:val="auto"/>
              </w:rPr>
            </w:pPr>
            <w:r>
              <w:rPr>
                <w:rFonts w:ascii="Times New Roman" w:cs="Times New Roman" w:eastAsia="Times New Roman" w:hAnsi="Times New Roman"/>
                <w:sz w:val="15"/>
                <w:szCs w:val="15"/>
                <w:b w:val="1"/>
                <w:bCs w:val="1"/>
                <w:color w:val="auto"/>
              </w:rPr>
              <w:t>Change</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129"/>
        </w:trPr>
        <w:tc>
          <w:tcPr>
            <w:tcW w:w="120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Information</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5"/>
                <w:szCs w:val="15"/>
                <w:color w:val="auto"/>
              </w:rPr>
              <w:t>Real property</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200" w:type="dxa"/>
            <w:vAlign w:val="bottom"/>
            <w:shd w:val="clear" w:color="auto" w:fill="CCEEFF"/>
          </w:tcPr>
          <w:p>
            <w:pPr>
              <w:ind w:left="240"/>
              <w:spacing w:after="0" w:line="159" w:lineRule="exact"/>
              <w:rPr>
                <w:sz w:val="20"/>
                <w:szCs w:val="20"/>
                <w:color w:val="auto"/>
              </w:rPr>
            </w:pPr>
            <w:r>
              <w:rPr>
                <w:rFonts w:ascii="Times New Roman" w:cs="Times New Roman" w:eastAsia="Times New Roman" w:hAnsi="Times New Roman"/>
                <w:sz w:val="15"/>
                <w:szCs w:val="15"/>
                <w:color w:val="auto"/>
              </w:rPr>
              <w:t>(excluding</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transient)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708.3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666.3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13.6 %</w:t>
            </w:r>
          </w:p>
        </w:tc>
        <w:tc>
          <w:tcPr>
            <w:tcW w:w="0" w:type="dxa"/>
            <w:vAlign w:val="bottom"/>
          </w:tcPr>
          <w:p>
            <w:pPr>
              <w:spacing w:after="0"/>
              <w:rPr>
                <w:sz w:val="1"/>
                <w:szCs w:val="1"/>
                <w:color w:val="auto"/>
              </w:rPr>
            </w:pPr>
          </w:p>
        </w:tc>
      </w:tr>
      <w:tr>
        <w:trPr>
          <w:trHeight w:val="148"/>
        </w:trPr>
        <w:tc>
          <w:tcPr>
            <w:tcW w:w="1200" w:type="dxa"/>
            <w:vAlign w:val="bottom"/>
          </w:tcPr>
          <w:p>
            <w:pPr>
              <w:ind w:left="240"/>
              <w:spacing w:after="0" w:line="149" w:lineRule="exact"/>
              <w:rPr>
                <w:sz w:val="20"/>
                <w:szCs w:val="20"/>
                <w:color w:val="auto"/>
              </w:rPr>
            </w:pPr>
            <w:r>
              <w:rPr>
                <w:rFonts w:ascii="Times New Roman" w:cs="Times New Roman" w:eastAsia="Times New Roman" w:hAnsi="Times New Roman"/>
                <w:sz w:val="15"/>
                <w:szCs w:val="15"/>
                <w:color w:val="auto"/>
              </w:rPr>
              <w:t>Real property -</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2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transient</w:t>
            </w:r>
          </w:p>
        </w:tc>
        <w:tc>
          <w:tcPr>
            <w:tcW w:w="12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4.9 %</w:t>
            </w:r>
          </w:p>
        </w:tc>
        <w:tc>
          <w:tcPr>
            <w:tcW w:w="0" w:type="dxa"/>
            <w:vAlign w:val="bottom"/>
          </w:tcPr>
          <w:p>
            <w:pPr>
              <w:spacing w:after="0"/>
              <w:rPr>
                <w:sz w:val="1"/>
                <w:szCs w:val="1"/>
                <w:color w:val="auto"/>
              </w:rPr>
            </w:pPr>
          </w:p>
        </w:tc>
      </w:tr>
      <w:tr>
        <w:trPr>
          <w:trHeight w:val="207"/>
        </w:trPr>
        <w:tc>
          <w:tcPr>
            <w:tcW w:w="1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6.6 %</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8.8 %</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5.0 %</w:t>
            </w:r>
          </w:p>
        </w:tc>
        <w:tc>
          <w:tcPr>
            <w:tcW w:w="0" w:type="dxa"/>
            <w:vAlign w:val="bottom"/>
          </w:tcPr>
          <w:p>
            <w:pPr>
              <w:spacing w:after="0"/>
              <w:rPr>
                <w:sz w:val="1"/>
                <w:szCs w:val="1"/>
                <w:color w:val="auto"/>
              </w:rPr>
            </w:pPr>
          </w:p>
        </w:tc>
      </w:tr>
      <w:tr>
        <w:trPr>
          <w:trHeight w:val="128"/>
        </w:trPr>
        <w:tc>
          <w:tcPr>
            <w:tcW w:w="1200" w:type="dxa"/>
            <w:vAlign w:val="bottom"/>
          </w:tcPr>
          <w:p>
            <w:pPr>
              <w:ind w:left="240"/>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12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Operating</w:t>
            </w:r>
          </w:p>
        </w:tc>
        <w:tc>
          <w:tcPr>
            <w:tcW w:w="12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955.8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901.9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8.3 %</w:t>
            </w:r>
          </w:p>
        </w:tc>
        <w:tc>
          <w:tcPr>
            <w:tcW w:w="0" w:type="dxa"/>
            <w:vAlign w:val="bottom"/>
          </w:tcPr>
          <w:p>
            <w:pPr>
              <w:spacing w:after="0"/>
              <w:rPr>
                <w:sz w:val="1"/>
                <w:szCs w:val="1"/>
                <w:color w:val="auto"/>
              </w:rPr>
            </w:pPr>
          </w:p>
        </w:tc>
      </w:tr>
      <w:tr>
        <w:trPr>
          <w:trHeight w:val="206"/>
        </w:trPr>
        <w:tc>
          <w:tcPr>
            <w:tcW w:w="1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Expense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260"/>
              <w:spacing w:after="0" w:line="149" w:lineRule="exact"/>
              <w:rPr>
                <w:sz w:val="20"/>
                <w:szCs w:val="20"/>
                <w:color w:val="auto"/>
              </w:rPr>
            </w:pPr>
            <w:r>
              <w:rPr>
                <w:rFonts w:ascii="Times New Roman" w:cs="Times New Roman" w:eastAsia="Times New Roman" w:hAnsi="Times New Roman"/>
                <w:sz w:val="15"/>
                <w:szCs w:val="15"/>
                <w:color w:val="auto"/>
              </w:rPr>
              <w:t>Property</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2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Operating</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305.9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287.7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6.3 %</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6.8 %</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147.2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5.9 %</w:t>
            </w:r>
          </w:p>
        </w:tc>
        <w:tc>
          <w:tcPr>
            <w:tcW w:w="0" w:type="dxa"/>
            <w:vAlign w:val="bottom"/>
          </w:tcPr>
          <w:p>
            <w:pPr>
              <w:spacing w:after="0"/>
              <w:rPr>
                <w:sz w:val="1"/>
                <w:szCs w:val="1"/>
                <w:color w:val="auto"/>
              </w:rPr>
            </w:pPr>
          </w:p>
        </w:tc>
      </w:tr>
      <w:tr>
        <w:trPr>
          <w:trHeight w:val="133"/>
        </w:trPr>
        <w:tc>
          <w:tcPr>
            <w:tcW w:w="120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5"/>
                <w:szCs w:val="15"/>
                <w:color w:val="auto"/>
              </w:rPr>
              <w:t>Real Property</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649.9</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614.2</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418.7</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403.8</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231.2</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210.4</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NOI</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5.8 %</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3.7 %</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9.9 %</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Percentages are calculated based on unrounded numbers.</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amounts in the tables above reflect constant currency for comparative purposes. Canadian currency figures in the prior comparative period have been translated at the 2022 average exchange rate of $0.7664 USD per Canadian dollar. We have reclassified utilities revenues of $22.1 million and $19.8 million for the three months ended September 30, 2022 and 2021, and $60.6 million and $54.4 million for the nine months ended September 30, 2022 and 2021, respectively, to reflect the utility expenses associated with our Same Property portfolio net of recovery.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4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2"/>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60" w:type="dxa"/>
            <w:vAlign w:val="bottom"/>
          </w:tcPr>
          <w:p>
            <w:pPr>
              <w:spacing w:after="0"/>
              <w:rPr>
                <w:sz w:val="17"/>
                <w:szCs w:val="17"/>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8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14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r>
      <w:tr>
        <w:trPr>
          <w:trHeight w:val="203"/>
        </w:trPr>
        <w:tc>
          <w:tcPr>
            <w:tcW w:w="5980" w:type="dxa"/>
            <w:vAlign w:val="bottom"/>
          </w:tcPr>
          <w:p>
            <w:pPr>
              <w:ind w:left="140"/>
              <w:spacing w:after="0" w:line="203" w:lineRule="exact"/>
              <w:rPr>
                <w:sz w:val="20"/>
                <w:szCs w:val="20"/>
                <w:color w:val="auto"/>
              </w:rPr>
            </w:pPr>
            <w:r>
              <w:rPr>
                <w:rFonts w:ascii="Times New Roman" w:cs="Times New Roman" w:eastAsia="Times New Roman" w:hAnsi="Times New Roman"/>
                <w:sz w:val="15"/>
                <w:szCs w:val="15"/>
                <w:color w:val="auto"/>
              </w:rPr>
              <w:t>Number of properties</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17"/>
                <w:szCs w:val="17"/>
                <w:color w:val="auto"/>
              </w:rPr>
            </w:pPr>
          </w:p>
        </w:tc>
        <w:tc>
          <w:tcPr>
            <w:tcW w:w="15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424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0"/>
        </w:trPr>
        <w:tc>
          <w:tcPr>
            <w:tcW w:w="5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MH occupancy</w:t>
            </w: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97.3 %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5"/>
        </w:trPr>
        <w:tc>
          <w:tcPr>
            <w:tcW w:w="598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5"/>
                <w:szCs w:val="15"/>
                <w:color w:val="auto"/>
              </w:rPr>
              <w:t>RV occupancy</w:t>
            </w:r>
            <w:r>
              <w:rPr>
                <w:rFonts w:ascii="Times New Roman" w:cs="Times New Roman" w:eastAsia="Times New Roman" w:hAnsi="Times New Roman"/>
                <w:sz w:val="19"/>
                <w:szCs w:val="19"/>
                <w:color w:val="auto"/>
                <w:vertAlign w:val="superscript"/>
              </w:rPr>
              <w:t>(2)</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5980" w:type="dxa"/>
            <w:vAlign w:val="bottom"/>
          </w:tcPr>
          <w:p>
            <w:pPr>
              <w:ind w:left="140"/>
              <w:spacing w:after="0" w:line="203" w:lineRule="exact"/>
              <w:rPr>
                <w:sz w:val="20"/>
                <w:szCs w:val="20"/>
                <w:color w:val="auto"/>
              </w:rPr>
            </w:pPr>
            <w:r>
              <w:rPr>
                <w:rFonts w:ascii="Times New Roman" w:cs="Times New Roman" w:eastAsia="Times New Roman" w:hAnsi="Times New Roman"/>
                <w:sz w:val="15"/>
                <w:szCs w:val="15"/>
                <w:color w:val="auto"/>
              </w:rPr>
              <w:t>MH &amp; RV blended occupancy</w:t>
            </w:r>
            <w:r>
              <w:rPr>
                <w:rFonts w:ascii="Times New Roman" w:cs="Times New Roman" w:eastAsia="Times New Roman" w:hAnsi="Times New Roman"/>
                <w:sz w:val="19"/>
                <w:szCs w:val="19"/>
                <w:color w:val="auto"/>
                <w:vertAlign w:val="superscript"/>
              </w:rPr>
              <w:t>(3)</w:t>
            </w: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97.9 %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3"/>
        </w:trPr>
        <w:tc>
          <w:tcPr>
            <w:tcW w:w="5980" w:type="dxa"/>
            <w:vAlign w:val="bottom"/>
          </w:tcPr>
          <w:p>
            <w:pPr>
              <w:ind w:left="140"/>
              <w:spacing w:after="0" w:line="203" w:lineRule="exact"/>
              <w:rPr>
                <w:sz w:val="20"/>
                <w:szCs w:val="20"/>
                <w:color w:val="auto"/>
              </w:rPr>
            </w:pPr>
            <w:r>
              <w:rPr>
                <w:rFonts w:ascii="Times New Roman" w:cs="Times New Roman" w:eastAsia="Times New Roman" w:hAnsi="Times New Roman"/>
                <w:sz w:val="15"/>
                <w:szCs w:val="15"/>
                <w:color w:val="auto"/>
              </w:rPr>
              <w:t>Adjusted MH occupancy</w:t>
            </w:r>
            <w:r>
              <w:rPr>
                <w:rFonts w:ascii="Times New Roman" w:cs="Times New Roman" w:eastAsia="Times New Roman" w:hAnsi="Times New Roman"/>
                <w:sz w:val="19"/>
                <w:szCs w:val="19"/>
                <w:color w:val="auto"/>
                <w:vertAlign w:val="superscript"/>
              </w:rPr>
              <w:t>(4)</w:t>
            </w: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98.0 %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5980" w:type="dxa"/>
            <w:vAlign w:val="bottom"/>
            <w:shd w:val="clear" w:color="auto" w:fill="CCEEFF"/>
          </w:tcPr>
          <w:p>
            <w:pPr>
              <w:ind w:left="140"/>
              <w:spacing w:after="0" w:line="203" w:lineRule="exact"/>
              <w:rPr>
                <w:sz w:val="20"/>
                <w:szCs w:val="20"/>
                <w:color w:val="auto"/>
              </w:rPr>
            </w:pPr>
            <w:r>
              <w:rPr>
                <w:rFonts w:ascii="Times New Roman" w:cs="Times New Roman" w:eastAsia="Times New Roman" w:hAnsi="Times New Roman"/>
                <w:sz w:val="15"/>
                <w:szCs w:val="15"/>
                <w:color w:val="auto"/>
              </w:rPr>
              <w:t>Adjusted RV occupancy</w:t>
            </w:r>
            <w:r>
              <w:rPr>
                <w:rFonts w:ascii="Times New Roman" w:cs="Times New Roman" w:eastAsia="Times New Roman" w:hAnsi="Times New Roman"/>
                <w:sz w:val="19"/>
                <w:szCs w:val="19"/>
                <w:color w:val="auto"/>
                <w:vertAlign w:val="superscript"/>
              </w:rPr>
              <w:t>(5)</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5980" w:type="dxa"/>
            <w:vAlign w:val="bottom"/>
          </w:tcPr>
          <w:p>
            <w:pPr>
              <w:ind w:left="140"/>
              <w:spacing w:after="0" w:line="203" w:lineRule="exact"/>
              <w:rPr>
                <w:sz w:val="20"/>
                <w:szCs w:val="20"/>
                <w:color w:val="auto"/>
              </w:rPr>
            </w:pPr>
            <w:r>
              <w:rPr>
                <w:rFonts w:ascii="Times New Roman" w:cs="Times New Roman" w:eastAsia="Times New Roman" w:hAnsi="Times New Roman"/>
                <w:sz w:val="15"/>
                <w:szCs w:val="15"/>
                <w:color w:val="auto"/>
              </w:rPr>
              <w:t>Adjusted MH &amp; RV blended occupancy</w:t>
            </w:r>
            <w:r>
              <w:rPr>
                <w:rFonts w:ascii="Times New Roman" w:cs="Times New Roman" w:eastAsia="Times New Roman" w:hAnsi="Times New Roman"/>
                <w:sz w:val="19"/>
                <w:szCs w:val="19"/>
                <w:color w:val="auto"/>
                <w:vertAlign w:val="superscript"/>
              </w:rPr>
              <w:t>(6)</w:t>
            </w: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98.5 %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96.5 %</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2.0 %</w:t>
            </w: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0"/>
        </w:trPr>
        <w:tc>
          <w:tcPr>
            <w:tcW w:w="5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Sites available for development</w:t>
            </w:r>
          </w:p>
        </w:tc>
        <w:tc>
          <w:tcPr>
            <w:tcW w:w="140" w:type="dxa"/>
            <w:vAlign w:val="bottom"/>
          </w:tcPr>
          <w:p>
            <w:pPr>
              <w:spacing w:after="0"/>
              <w:rPr>
                <w:sz w:val="17"/>
                <w:szCs w:val="17"/>
                <w:color w:val="auto"/>
              </w:rPr>
            </w:pPr>
          </w:p>
        </w:tc>
        <w:tc>
          <w:tcPr>
            <w:tcW w:w="15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7,920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8,081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(161)</w:t>
            </w:r>
          </w:p>
        </w:tc>
      </w:tr>
      <w:tr>
        <w:trPr>
          <w:trHeight w:val="218"/>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0"/>
        </w:trPr>
        <w:tc>
          <w:tcPr>
            <w:tcW w:w="5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Monthly base rent per site - MH</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629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604</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25</w:t>
            </w:r>
          </w:p>
        </w:tc>
      </w:tr>
      <w:tr>
        <w:trPr>
          <w:trHeight w:val="205"/>
        </w:trPr>
        <w:tc>
          <w:tcPr>
            <w:tcW w:w="598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5"/>
                <w:szCs w:val="15"/>
                <w:color w:val="auto"/>
              </w:rPr>
              <w:t>Monthly base rent per site - RV</w:t>
            </w:r>
            <w:r>
              <w:rPr>
                <w:rFonts w:ascii="Times New Roman" w:cs="Times New Roman" w:eastAsia="Times New Roman" w:hAnsi="Times New Roman"/>
                <w:sz w:val="19"/>
                <w:szCs w:val="19"/>
                <w:color w:val="auto"/>
                <w:vertAlign w:val="superscript"/>
              </w:rPr>
              <w:t>(8)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560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524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36</w:t>
            </w:r>
          </w:p>
        </w:tc>
      </w:tr>
      <w:tr>
        <w:trPr>
          <w:trHeight w:val="200"/>
        </w:trPr>
        <w:tc>
          <w:tcPr>
            <w:tcW w:w="5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Monthly base rent per site - 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613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585</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28</w:t>
            </w:r>
          </w:p>
        </w:tc>
      </w:tr>
      <w:tr>
        <w:trPr>
          <w:trHeight w:val="218"/>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98"/>
        </w:trPr>
        <w:tc>
          <w:tcPr>
            <w:tcW w:w="59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Monthly base rent per site - MH Rental Program</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1,198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1,091</w:t>
            </w:r>
          </w:p>
        </w:tc>
        <w:tc>
          <w:tcPr>
            <w:tcW w:w="26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107</w:t>
            </w:r>
          </w:p>
        </w:tc>
      </w:tr>
    </w:tbl>
    <w:p>
      <w:pPr>
        <w:spacing w:after="0" w:line="59" w:lineRule="exact"/>
        <w:rPr>
          <w:sz w:val="20"/>
          <w:szCs w:val="20"/>
          <w:color w:val="auto"/>
        </w:rPr>
      </w:pPr>
    </w:p>
    <w:p>
      <w:pPr>
        <w:ind w:left="160" w:hanging="152"/>
        <w:spacing w:after="0"/>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Financial results from properties disposed of during the year have been removed from Same Property reporting.</w:t>
      </w:r>
    </w:p>
    <w:p>
      <w:pPr>
        <w:spacing w:after="0" w:line="57"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Occupancy percentages include annual RV sites and exclude transient RV sites.</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Occupancy percentages include MH and annual RV sites and exclude transient RV sites.</w:t>
      </w:r>
    </w:p>
    <w:p>
      <w:pPr>
        <w:spacing w:after="0" w:line="44"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occupancy percentages include MH sites and exclude recently completed but vacant MH expansion sites.</w:t>
      </w:r>
    </w:p>
    <w:p>
      <w:pPr>
        <w:spacing w:after="0" w:line="22"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occupancy percentages include annual RV sites and exclude transient RV sites.</w:t>
      </w:r>
    </w:p>
    <w:p>
      <w:pPr>
        <w:spacing w:after="0" w:line="55" w:lineRule="exact"/>
        <w:rPr>
          <w:rFonts w:ascii="Times New Roman" w:cs="Times New Roman" w:eastAsia="Times New Roman" w:hAnsi="Times New Roman"/>
          <w:sz w:val="19"/>
          <w:szCs w:val="19"/>
          <w:color w:val="auto"/>
          <w:vertAlign w:val="superscript"/>
        </w:rPr>
      </w:pPr>
    </w:p>
    <w:p>
      <w:pPr>
        <w:ind w:left="160" w:hanging="152"/>
        <w:spacing w:after="0" w:line="191" w:lineRule="auto"/>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occupancy percentages include MH and annual RV sites and exclude transient RV sites and recently completed but vacant expansion sites.</w:t>
      </w:r>
    </w:p>
    <w:p>
      <w:pPr>
        <w:spacing w:after="0" w:line="55" w:lineRule="exact"/>
        <w:rPr>
          <w:rFonts w:ascii="Times New Roman" w:cs="Times New Roman" w:eastAsia="Times New Roman" w:hAnsi="Times New Roman"/>
          <w:sz w:val="19"/>
          <w:szCs w:val="19"/>
          <w:color w:val="auto"/>
          <w:vertAlign w:val="superscript"/>
        </w:rPr>
      </w:pPr>
    </w:p>
    <w:p>
      <w:pPr>
        <w:ind w:left="180" w:right="20" w:hanging="172"/>
        <w:spacing w:after="0" w:line="221" w:lineRule="auto"/>
        <w:tabs>
          <w:tab w:leader="none" w:pos="167"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occupancy percentages for 2021 have been adjusted to reflect incremental growth period-over-period from newly rented MH expansion sites and the conversion of transient RV sites to annual RV sites.</w:t>
      </w:r>
    </w:p>
    <w:p>
      <w:pPr>
        <w:spacing w:after="0" w:line="28"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Monthly base rent pertains to annual RV sites and excludes transient RV sites.</w:t>
      </w:r>
    </w:p>
    <w:p>
      <w:pPr>
        <w:spacing w:after="0" w:line="38" w:lineRule="exact"/>
        <w:rPr>
          <w:rFonts w:ascii="Times New Roman" w:cs="Times New Roman" w:eastAsia="Times New Roman" w:hAnsi="Times New Roman"/>
          <w:sz w:val="9"/>
          <w:szCs w:val="9"/>
          <w:color w:val="auto"/>
        </w:rPr>
      </w:pPr>
    </w:p>
    <w:p>
      <w:pPr>
        <w:ind w:left="160" w:hanging="152"/>
        <w:spacing w:after="0"/>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Canadian currency figures included within three months ended September 30, 2021 have been translated at 2022 average exchange rates.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2022 and 2021:</w:t>
      </w:r>
    </w:p>
    <w:p>
      <w:pPr>
        <w:spacing w:after="0" w:line="252" w:lineRule="exact"/>
        <w:rPr>
          <w:sz w:val="20"/>
          <w:szCs w:val="20"/>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MH segment increase in NOI of $6.5 million, or 4.9 percent, when compared to the same period in 2021 is primarily due to an increase in Real property (excluding transient) revenue of $8.1 million, or 4.6 percent, partially offset by increased property operating expenses. Real property (excluding transient) revenue increased primarily due to a 4.3 percent increase in monthly base rent.</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RV segment increase in NOI of $8.5 million, or 8.4 percent, when compared to the same period in 2021 is primarily due to an increase in Real property (excluding transient) revenue of $6.4 million, or 13.4 percent, combined with a reduction in property operating expenses. The increase in Real property - (excluding transient) revenue was primarily due to a 7.0 percent increase in monthly base rent and conversions of transient RV sites to annual RV sites.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2022 and 2021:</w:t>
      </w:r>
    </w:p>
    <w:p>
      <w:pPr>
        <w:spacing w:after="0" w:line="252" w:lineRule="exact"/>
        <w:rPr>
          <w:sz w:val="20"/>
          <w:szCs w:val="20"/>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MH segment increase in NOI of $14.9 million, or 3.7 percent, when compared to the same period in 2021 is primarily due to an increase in Real property (excluding transient) revenue of $23.4 million, or 4.4 percent, partially offset by increased property operating expenses. Real property (excluding transient) revenue increased primarily due to a 4.3 percent increase in monthly base rent.</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RV segment increase in NOI of $20.8 million, or 9.9 percent, when compared to the same period in 2021 is primarily due to an increase in Real property (excluding transient) revenue of $18.6 million, or 13.6 percent, primarily due to a 7.0 percent increase in monthly base rent and conversions of transient RV sites to annual RV sites. This increase was partially offset by an increase in property operating expenses.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Property Operations - Same Property - Marina</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reflect certain financial and other information for our Same Property Marina as of and for the three and nine months ended September 30, 2022 and 2021 (in millions, except for statistical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46"/>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2"/>
                <w:szCs w:val="12"/>
                <w:color w:val="auto"/>
              </w:rPr>
            </w:pPr>
          </w:p>
        </w:tc>
        <w:tc>
          <w:tcPr>
            <w:tcW w:w="11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114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112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5"/>
                <w:szCs w:val="15"/>
                <w:b w:val="1"/>
                <w:bCs w:val="1"/>
                <w:color w:val="auto"/>
              </w:rPr>
              <w:t>% Change</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8"/>
                <w:szCs w:val="18"/>
                <w:color w:val="auto"/>
              </w:rPr>
            </w:pPr>
          </w:p>
        </w:tc>
        <w:tc>
          <w:tcPr>
            <w:tcW w:w="106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Times New Roman" w:cs="Times New Roman" w:eastAsia="Times New Roman" w:hAnsi="Times New Roman"/>
                <w:sz w:val="15"/>
                <w:szCs w:val="15"/>
                <w:b w:val="1"/>
                <w:bCs w:val="1"/>
                <w:color w:val="auto"/>
              </w:rPr>
              <w:t>% Change</w:t>
            </w:r>
            <w:r>
              <w:rPr>
                <w:rFonts w:ascii="Times New Roman" w:cs="Times New Roman" w:eastAsia="Times New Roman" w:hAnsi="Times New Roman"/>
                <w:sz w:val="19"/>
                <w:szCs w:val="19"/>
                <w:color w:val="auto"/>
                <w:vertAlign w:val="superscript"/>
              </w:rPr>
              <w:t>(1)</w:t>
            </w:r>
          </w:p>
        </w:tc>
      </w:tr>
      <w:tr>
        <w:trPr>
          <w:trHeight w:val="18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Information</w:t>
            </w: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202"/>
        </w:trPr>
        <w:tc>
          <w:tcPr>
            <w:tcW w:w="2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49"/>
        </w:trPr>
        <w:tc>
          <w:tcPr>
            <w:tcW w:w="232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5"/>
                <w:szCs w:val="15"/>
                <w:color w:val="auto"/>
              </w:rPr>
              <w:t>Real property (excluding</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216"/>
        </w:trPr>
        <w:tc>
          <w:tcPr>
            <w:tcW w:w="2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transient)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7.5 %</w:t>
            </w:r>
          </w:p>
        </w:tc>
      </w:tr>
      <w:tr>
        <w:trPr>
          <w:trHeight w:val="200"/>
        </w:trPr>
        <w:tc>
          <w:tcPr>
            <w:tcW w:w="23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Real property - transient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205"/>
        </w:trPr>
        <w:tc>
          <w:tcPr>
            <w:tcW w:w="2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0.3 %</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8.0 %</w:t>
            </w:r>
          </w:p>
        </w:tc>
      </w:tr>
      <w:tr>
        <w:trPr>
          <w:trHeight w:val="194"/>
        </w:trPr>
        <w:tc>
          <w:tcPr>
            <w:tcW w:w="23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Operating</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6.5 %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6.7 %</w:t>
            </w:r>
          </w:p>
        </w:tc>
      </w:tr>
      <w:tr>
        <w:trPr>
          <w:trHeight w:val="205"/>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Expense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0"/>
        </w:trPr>
        <w:tc>
          <w:tcPr>
            <w:tcW w:w="2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Property Operating</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3.9</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6.3 %</w:t>
            </w:r>
          </w:p>
        </w:tc>
      </w:tr>
      <w:tr>
        <w:trPr>
          <w:trHeight w:val="223"/>
        </w:trPr>
        <w:tc>
          <w:tcPr>
            <w:tcW w:w="2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Real Property NOI</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9.6 %</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7.6</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6.8 %</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3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Percentages are calculated based on unrounded numbers.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40" w:type="dxa"/>
            <w:vAlign w:val="bottom"/>
          </w:tcPr>
          <w:p>
            <w:pPr>
              <w:spacing w:after="0"/>
              <w:rPr>
                <w:sz w:val="17"/>
                <w:szCs w:val="17"/>
                <w:color w:val="auto"/>
              </w:rPr>
            </w:pPr>
          </w:p>
        </w:tc>
        <w:tc>
          <w:tcPr>
            <w:tcW w:w="176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5"/>
                <w:szCs w:val="15"/>
                <w:b w:val="1"/>
                <w:bCs w:val="1"/>
                <w:color w:val="auto"/>
                <w:w w:val="97"/>
              </w:rPr>
              <w:t>As of</w:t>
            </w:r>
          </w:p>
        </w:tc>
        <w:tc>
          <w:tcPr>
            <w:tcW w:w="14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5940" w:type="dxa"/>
            <w:vAlign w:val="bottom"/>
          </w:tcPr>
          <w:p>
            <w:pPr>
              <w:spacing w:after="0"/>
              <w:rPr>
                <w:sz w:val="17"/>
                <w:szCs w:val="17"/>
                <w:color w:val="auto"/>
              </w:rPr>
            </w:pPr>
          </w:p>
        </w:tc>
        <w:tc>
          <w:tcPr>
            <w:tcW w:w="1760" w:type="dxa"/>
            <w:vAlign w:val="bottom"/>
            <w:gridSpan w:val="3"/>
          </w:tcPr>
          <w:p>
            <w:pPr>
              <w:ind w:left="14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40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September 30, 2021</w:t>
            </w:r>
          </w:p>
        </w:tc>
        <w:tc>
          <w:tcPr>
            <w:tcW w:w="80" w:type="dxa"/>
            <w:vAlign w:val="bottom"/>
          </w:tcPr>
          <w:p>
            <w:pPr>
              <w:spacing w:after="0"/>
              <w:rPr>
                <w:sz w:val="17"/>
                <w:szCs w:val="17"/>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10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83"/>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1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00"/>
        </w:trPr>
        <w:tc>
          <w:tcPr>
            <w:tcW w:w="5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Number of properties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tcPr>
          <w:p>
            <w:pPr>
              <w:spacing w:after="0"/>
              <w:rPr>
                <w:sz w:val="17"/>
                <w:szCs w:val="17"/>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205"/>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Wet slip and dry storage spaces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35,744</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reclassified utility revenues of $2.9 million for the three months ended September 30, 2022 and 2021, and $8.3 million and $8.4 million for the nine months ended September 30, 2022 and 2021, respectively, to reflect the utility expenses associated with our Same Property Marina net of recovery.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and 2021, the $4.4 million, or 9.6 percent, increase in Marina Real Property NOI is primarily due to the $5.4 million, or 9.1 percent, increase in Real property (excluding transient) revenue.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and 2021, the $7.6 million, or 6.8 percent, increase in Marina Real Property NOI is primarily due to the $11.7 million, or 7.5 percent, increase in Real property (excluding transient) revenue, partially offset by increased property operating expenses.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UK Operations Summary</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reflects certain financial and other information for our UK operations as of and for the three months ended September 30, 2022 and the period from date of acquisition to September 30, 2022 (in millions, except for statistical information):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40" w:type="dxa"/>
            <w:vAlign w:val="bottom"/>
          </w:tcPr>
          <w:p>
            <w:pPr>
              <w:spacing w:after="0"/>
              <w:rPr>
                <w:sz w:val="18"/>
                <w:szCs w:val="18"/>
                <w:color w:val="auto"/>
              </w:rPr>
            </w:pPr>
          </w:p>
        </w:tc>
        <w:tc>
          <w:tcPr>
            <w:tcW w:w="172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YTD Since Acquisition</w:t>
            </w:r>
          </w:p>
        </w:tc>
      </w:tr>
      <w:tr>
        <w:trPr>
          <w:trHeight w:val="212"/>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40" w:type="dxa"/>
            <w:vAlign w:val="bottom"/>
          </w:tcPr>
          <w:p>
            <w:pPr>
              <w:spacing w:after="0"/>
              <w:rPr>
                <w:sz w:val="18"/>
                <w:szCs w:val="18"/>
                <w:color w:val="auto"/>
              </w:rPr>
            </w:pPr>
          </w:p>
        </w:tc>
        <w:tc>
          <w:tcPr>
            <w:tcW w:w="172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September 30, 2022</w:t>
            </w:r>
          </w:p>
        </w:tc>
      </w:tr>
      <w:tr>
        <w:trPr>
          <w:trHeight w:val="187"/>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Information</w:t>
            </w:r>
          </w:p>
        </w:tc>
        <w:tc>
          <w:tcPr>
            <w:tcW w:w="16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r>
      <w:tr>
        <w:trPr>
          <w:trHeight w:val="202"/>
        </w:trPr>
        <w:tc>
          <w:tcPr>
            <w:tcW w:w="73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Real property (excluding transient)</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21.2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38.1</w:t>
            </w:r>
          </w:p>
        </w:tc>
      </w:tr>
      <w:tr>
        <w:trPr>
          <w:trHeight w:val="200"/>
        </w:trPr>
        <w:tc>
          <w:tcPr>
            <w:tcW w:w="73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Real property - transient</w:t>
            </w:r>
          </w:p>
        </w:tc>
        <w:tc>
          <w:tcPr>
            <w:tcW w:w="160" w:type="dxa"/>
            <w:vAlign w:val="bottom"/>
          </w:tcPr>
          <w:p>
            <w:pPr>
              <w:spacing w:after="0"/>
              <w:rPr>
                <w:sz w:val="17"/>
                <w:szCs w:val="17"/>
                <w:color w:val="auto"/>
              </w:rPr>
            </w:pPr>
          </w:p>
        </w:tc>
        <w:tc>
          <w:tcPr>
            <w:tcW w:w="17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21.8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34.7</w:t>
            </w:r>
          </w:p>
        </w:tc>
      </w:tr>
      <w:tr>
        <w:trPr>
          <w:trHeight w:val="205"/>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0.4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1.0</w:t>
            </w:r>
          </w:p>
        </w:tc>
      </w:tr>
      <w:tr>
        <w:trPr>
          <w:trHeight w:val="194"/>
        </w:trPr>
        <w:tc>
          <w:tcPr>
            <w:tcW w:w="73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Operating</w:t>
            </w:r>
          </w:p>
        </w:tc>
        <w:tc>
          <w:tcPr>
            <w:tcW w:w="160" w:type="dxa"/>
            <w:vAlign w:val="bottom"/>
          </w:tcPr>
          <w:p>
            <w:pPr>
              <w:spacing w:after="0"/>
              <w:rPr>
                <w:sz w:val="16"/>
                <w:szCs w:val="16"/>
                <w:color w:val="auto"/>
              </w:rPr>
            </w:pPr>
          </w:p>
        </w:tc>
        <w:tc>
          <w:tcPr>
            <w:tcW w:w="17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43.4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73.8</w:t>
            </w:r>
          </w:p>
        </w:tc>
      </w:tr>
      <w:tr>
        <w:trPr>
          <w:trHeight w:val="205"/>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00"/>
        </w:trPr>
        <w:tc>
          <w:tcPr>
            <w:tcW w:w="7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Property Operating</w:t>
            </w: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18.2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33.2</w:t>
            </w:r>
          </w:p>
        </w:tc>
      </w:tr>
      <w:tr>
        <w:trPr>
          <w:trHeight w:val="198"/>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Real Property NOI</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25.2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40.6</w:t>
            </w: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Home Sales</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00"/>
        </w:trPr>
        <w:tc>
          <w:tcPr>
            <w:tcW w:w="73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Revenue</w:t>
            </w:r>
          </w:p>
        </w:tc>
        <w:tc>
          <w:tcPr>
            <w:tcW w:w="160" w:type="dxa"/>
            <w:vAlign w:val="bottom"/>
          </w:tcPr>
          <w:p>
            <w:pPr>
              <w:spacing w:after="0"/>
              <w:rPr>
                <w:sz w:val="17"/>
                <w:szCs w:val="17"/>
                <w:color w:val="auto"/>
              </w:rPr>
            </w:pPr>
          </w:p>
        </w:tc>
        <w:tc>
          <w:tcPr>
            <w:tcW w:w="17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84.1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144.7</w:t>
            </w:r>
          </w:p>
        </w:tc>
      </w:tr>
      <w:tr>
        <w:trPr>
          <w:trHeight w:val="205"/>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Cost of home sales</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43.6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75.7</w:t>
            </w:r>
          </w:p>
        </w:tc>
      </w:tr>
      <w:tr>
        <w:trPr>
          <w:trHeight w:val="200"/>
        </w:trPr>
        <w:tc>
          <w:tcPr>
            <w:tcW w:w="7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Home selling expenses</w:t>
            </w: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1.3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3.6</w:t>
            </w:r>
          </w:p>
        </w:tc>
      </w:tr>
      <w:tr>
        <w:trPr>
          <w:trHeight w:val="198"/>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NOI</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39.2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65.4</w:t>
            </w: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3"/>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Retail, dining and entertainment</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00"/>
        </w:trPr>
        <w:tc>
          <w:tcPr>
            <w:tcW w:w="73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Revenue</w:t>
            </w:r>
          </w:p>
        </w:tc>
        <w:tc>
          <w:tcPr>
            <w:tcW w:w="160" w:type="dxa"/>
            <w:vAlign w:val="bottom"/>
          </w:tcPr>
          <w:p>
            <w:pPr>
              <w:spacing w:after="0"/>
              <w:rPr>
                <w:sz w:val="17"/>
                <w:szCs w:val="17"/>
                <w:color w:val="auto"/>
              </w:rPr>
            </w:pPr>
          </w:p>
        </w:tc>
        <w:tc>
          <w:tcPr>
            <w:tcW w:w="17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16.3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27.8</w:t>
            </w:r>
          </w:p>
        </w:tc>
      </w:tr>
      <w:tr>
        <w:trPr>
          <w:trHeight w:val="205"/>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Expense</w:t>
            </w:r>
          </w:p>
        </w:tc>
        <w:tc>
          <w:tcPr>
            <w:tcW w:w="16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16.2</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28.8</w:t>
            </w:r>
          </w:p>
        </w:tc>
      </w:tr>
      <w:tr>
        <w:trPr>
          <w:trHeight w:val="194"/>
        </w:trPr>
        <w:tc>
          <w:tcPr>
            <w:tcW w:w="73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Net Operating Gain / (Loss)</w:t>
            </w:r>
          </w:p>
        </w:tc>
        <w:tc>
          <w:tcPr>
            <w:tcW w:w="160" w:type="dxa"/>
            <w:vAlign w:val="bottom"/>
          </w:tcPr>
          <w:p>
            <w:pPr>
              <w:spacing w:after="0"/>
              <w:rPr>
                <w:sz w:val="16"/>
                <w:szCs w:val="16"/>
                <w:color w:val="auto"/>
              </w:rPr>
            </w:pPr>
          </w:p>
        </w:tc>
        <w:tc>
          <w:tcPr>
            <w:tcW w:w="17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(1.0)</w:t>
            </w:r>
          </w:p>
        </w:tc>
      </w:tr>
      <w:tr>
        <w:trPr>
          <w:trHeight w:val="218"/>
        </w:trPr>
        <w:tc>
          <w:tcPr>
            <w:tcW w:w="7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spacing w:after="0"/>
              <w:rPr>
                <w:sz w:val="18"/>
                <w:szCs w:val="18"/>
                <w:color w:val="auto"/>
              </w:rPr>
            </w:pPr>
          </w:p>
        </w:tc>
      </w:tr>
      <w:tr>
        <w:trPr>
          <w:trHeight w:val="194"/>
        </w:trPr>
        <w:tc>
          <w:tcPr>
            <w:tcW w:w="73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UK Operations NOI</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64.5</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105.0</w:t>
            </w:r>
          </w:p>
        </w:tc>
      </w:tr>
      <w:tr>
        <w:trPr>
          <w:trHeight w:val="205"/>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Adjustment</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00"/>
        </w:trPr>
        <w:tc>
          <w:tcPr>
            <w:tcW w:w="7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color w:val="auto"/>
              </w:rPr>
              <w:t>Foreign currency translation impact</w:t>
            </w: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8.8</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11.9</w:t>
            </w:r>
          </w:p>
        </w:tc>
      </w:tr>
      <w:tr>
        <w:trPr>
          <w:trHeight w:val="223"/>
        </w:trPr>
        <w:tc>
          <w:tcPr>
            <w:tcW w:w="7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UK Operations NOI - Constant Currency</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73.3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116.9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00"/>
        </w:trPr>
        <w:tc>
          <w:tcPr>
            <w:tcW w:w="7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Number of properties</w:t>
            </w: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54</w:t>
            </w:r>
          </w:p>
        </w:tc>
      </w:tr>
      <w:tr>
        <w:trPr>
          <w:trHeight w:val="205"/>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Developed sites</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17,952</w:t>
            </w:r>
          </w:p>
        </w:tc>
      </w:tr>
      <w:tr>
        <w:trPr>
          <w:trHeight w:val="200"/>
        </w:trPr>
        <w:tc>
          <w:tcPr>
            <w:tcW w:w="7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Occupied sites</w:t>
            </w: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16,463</w:t>
            </w:r>
          </w:p>
        </w:tc>
      </w:tr>
      <w:tr>
        <w:trPr>
          <w:trHeight w:val="205"/>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Occupancy</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91.7%</w:t>
            </w:r>
          </w:p>
        </w:tc>
      </w:tr>
      <w:tr>
        <w:trPr>
          <w:trHeight w:val="200"/>
        </w:trPr>
        <w:tc>
          <w:tcPr>
            <w:tcW w:w="7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Sites available for development</w:t>
            </w: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3,047</w:t>
            </w:r>
          </w:p>
        </w:tc>
      </w:tr>
      <w:tr>
        <w:trPr>
          <w:trHeight w:val="218"/>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00"/>
        </w:trPr>
        <w:tc>
          <w:tcPr>
            <w:tcW w:w="7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Home Sales</w:t>
            </w: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5"/>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New home sales volume</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319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574</w:t>
            </w:r>
          </w:p>
        </w:tc>
      </w:tr>
      <w:tr>
        <w:trPr>
          <w:trHeight w:val="200"/>
        </w:trPr>
        <w:tc>
          <w:tcPr>
            <w:tcW w:w="7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Pre-owned home sales volume</w:t>
            </w: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566</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1,046</w:t>
            </w:r>
          </w:p>
        </w:tc>
      </w:tr>
      <w:tr>
        <w:trPr>
          <w:trHeight w:val="223"/>
        </w:trPr>
        <w:tc>
          <w:tcPr>
            <w:tcW w:w="7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 home sales volume</w:t>
            </w: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885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1,620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UK Operations NOI, a component of our MH segment, is separately reviewed to assess the overall growth and performance of the UK Operations portfolio and its financial impact on our operations.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reclassified utility revenue of $3.1 million and $5.6 million for the three months ended September 30, 2022 and for the period from date of acquisition through September 30, 2022, respectively, to reflect the utility expenses associated with our UK Operations portfolio net of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Sales Summary (excluding UK home sales)</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purchase new homes and acquire pre-owned and repossessed manufactured homes, generally located within our communities, from lenders, dealers, and former residents to sell or lease to current and prospective residents.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reflects certain financial and statistical information for our Home Sales Program for the three and nine months ended September 30, 2022 and 2021 (in millions, except for average selling price and statistical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46"/>
        </w:trPr>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11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11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Pr>
          <w:p>
            <w:pPr>
              <w:spacing w:after="0"/>
              <w:rPr>
                <w:sz w:val="18"/>
                <w:szCs w:val="18"/>
                <w:color w:val="auto"/>
              </w:rPr>
            </w:pPr>
          </w:p>
        </w:tc>
        <w:tc>
          <w:tcPr>
            <w:tcW w:w="110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87"/>
        </w:trPr>
        <w:tc>
          <w:tcPr>
            <w:tcW w:w="218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Information</w:t>
            </w: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162"/>
        </w:trPr>
        <w:tc>
          <w:tcPr>
            <w:tcW w:w="140" w:type="dxa"/>
            <w:vAlign w:val="bottom"/>
          </w:tcPr>
          <w:p>
            <w:pPr>
              <w:spacing w:after="0"/>
              <w:rPr>
                <w:sz w:val="14"/>
                <w:szCs w:val="14"/>
                <w:color w:val="auto"/>
              </w:rPr>
            </w:pPr>
          </w:p>
        </w:tc>
        <w:tc>
          <w:tcPr>
            <w:tcW w:w="2040" w:type="dxa"/>
            <w:vAlign w:val="bottom"/>
            <w:gridSpan w:val="4"/>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New Homes</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
        </w:trPr>
        <w:tc>
          <w:tcPr>
            <w:tcW w:w="1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20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New home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31.5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0.6 %</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89.2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7.0 %</w:t>
            </w:r>
          </w:p>
        </w:tc>
      </w:tr>
      <w:tr>
        <w:trPr>
          <w:trHeight w:val="200"/>
        </w:trPr>
        <w:tc>
          <w:tcPr>
            <w:tcW w:w="140" w:type="dxa"/>
            <w:vAlign w:val="bottom"/>
            <w:tcBorders>
              <w:bottom w:val="single" w:sz="8" w:color="CCEEFF"/>
            </w:tcBorders>
          </w:tcPr>
          <w:p>
            <w:pPr>
              <w:spacing w:after="0"/>
              <w:rPr>
                <w:sz w:val="17"/>
                <w:szCs w:val="17"/>
                <w:color w:val="auto"/>
              </w:rPr>
            </w:pPr>
          </w:p>
        </w:tc>
        <w:tc>
          <w:tcPr>
            <w:tcW w:w="2040" w:type="dxa"/>
            <w:vAlign w:val="bottom"/>
            <w:tcBorders>
              <w:bottom w:val="single" w:sz="8" w:color="CCEEFF"/>
            </w:tcBorders>
            <w:gridSpan w:val="4"/>
          </w:tcPr>
          <w:p>
            <w:pPr>
              <w:ind w:left="80"/>
              <w:spacing w:after="0"/>
              <w:rPr>
                <w:sz w:val="20"/>
                <w:szCs w:val="20"/>
                <w:color w:val="auto"/>
              </w:rPr>
            </w:pPr>
            <w:r>
              <w:rPr>
                <w:rFonts w:ascii="Times New Roman" w:cs="Times New Roman" w:eastAsia="Times New Roman" w:hAnsi="Times New Roman"/>
                <w:sz w:val="15"/>
                <w:szCs w:val="15"/>
                <w:color w:val="auto"/>
              </w:rPr>
              <w:t>New home cost of sales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26.8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25.9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0.9</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3.5 %</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78.3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72.8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5.5</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7.6 %</w:t>
            </w:r>
          </w:p>
        </w:tc>
      </w:tr>
      <w:tr>
        <w:trPr>
          <w:trHeight w:val="198"/>
        </w:trPr>
        <w:tc>
          <w:tcPr>
            <w:tcW w:w="140" w:type="dxa"/>
            <w:vAlign w:val="bottom"/>
            <w:shd w:val="clear" w:color="auto" w:fill="CCEEFF"/>
          </w:tcPr>
          <w:p>
            <w:pPr>
              <w:spacing w:after="0"/>
              <w:rPr>
                <w:sz w:val="17"/>
                <w:szCs w:val="17"/>
                <w:color w:val="auto"/>
              </w:rPr>
            </w:pPr>
          </w:p>
        </w:tc>
        <w:tc>
          <w:tcPr>
            <w:tcW w:w="20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Gross profit – new homes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(0.7)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16.4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4.3 %</w:t>
            </w:r>
          </w:p>
        </w:tc>
      </w:tr>
      <w:tr>
        <w:trPr>
          <w:trHeight w:val="200"/>
        </w:trPr>
        <w:tc>
          <w:tcPr>
            <w:tcW w:w="140" w:type="dxa"/>
            <w:vAlign w:val="bottom"/>
          </w:tcPr>
          <w:p>
            <w:pPr>
              <w:spacing w:after="0"/>
              <w:rPr>
                <w:sz w:val="17"/>
                <w:szCs w:val="17"/>
                <w:color w:val="auto"/>
              </w:rPr>
            </w:pPr>
          </w:p>
        </w:tc>
        <w:tc>
          <w:tcPr>
            <w:tcW w:w="204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Gross margin % – new homes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51"/>
        </w:trPr>
        <w:tc>
          <w:tcPr>
            <w:tcW w:w="140" w:type="dxa"/>
            <w:vAlign w:val="bottom"/>
            <w:shd w:val="clear" w:color="auto" w:fill="CCEEFF"/>
          </w:tcPr>
          <w:p>
            <w:pPr>
              <w:spacing w:after="0"/>
              <w:rPr>
                <w:sz w:val="13"/>
                <w:szCs w:val="13"/>
                <w:color w:val="auto"/>
              </w:rPr>
            </w:pPr>
          </w:p>
        </w:tc>
        <w:tc>
          <w:tcPr>
            <w:tcW w:w="2040" w:type="dxa"/>
            <w:vAlign w:val="bottom"/>
            <w:gridSpan w:val="4"/>
            <w:shd w:val="clear" w:color="auto" w:fill="CCEEFF"/>
          </w:tcPr>
          <w:p>
            <w:pPr>
              <w:ind w:left="80"/>
              <w:spacing w:after="0" w:line="151" w:lineRule="exact"/>
              <w:rPr>
                <w:sz w:val="20"/>
                <w:szCs w:val="20"/>
                <w:color w:val="auto"/>
              </w:rPr>
            </w:pPr>
            <w:r>
              <w:rPr>
                <w:rFonts w:ascii="Times New Roman" w:cs="Times New Roman" w:eastAsia="Times New Roman" w:hAnsi="Times New Roman"/>
                <w:sz w:val="15"/>
                <w:szCs w:val="15"/>
                <w:color w:val="auto"/>
              </w:rPr>
              <w:t>Average selling price – new</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14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homes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183,237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151,850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31,387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174,406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152,943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21,463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14.0 %</w:t>
            </w:r>
          </w:p>
        </w:tc>
      </w:tr>
      <w:tr>
        <w:trPr>
          <w:trHeight w:val="149"/>
        </w:trPr>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2"/>
        </w:trPr>
        <w:tc>
          <w:tcPr>
            <w:tcW w:w="140" w:type="dxa"/>
            <w:vAlign w:val="bottom"/>
            <w:shd w:val="clear" w:color="auto" w:fill="CCEEFF"/>
          </w:tcPr>
          <w:p>
            <w:pPr>
              <w:spacing w:after="0"/>
              <w:rPr>
                <w:sz w:val="14"/>
                <w:szCs w:val="14"/>
                <w:color w:val="auto"/>
              </w:rPr>
            </w:pPr>
          </w:p>
        </w:tc>
        <w:tc>
          <w:tcPr>
            <w:tcW w:w="204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Pre-owned Homes</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140" w:type="dxa"/>
            <w:vAlign w:val="bottom"/>
          </w:tcPr>
          <w:p>
            <w:pPr>
              <w:spacing w:after="0"/>
              <w:rPr>
                <w:sz w:val="17"/>
                <w:szCs w:val="17"/>
                <w:color w:val="auto"/>
              </w:rPr>
            </w:pPr>
          </w:p>
        </w:tc>
        <w:tc>
          <w:tcPr>
            <w:tcW w:w="204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Pre-owned home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34.9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49.6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(14.7)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118.0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125.9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(6.3)%</w:t>
            </w:r>
          </w:p>
        </w:tc>
      </w:tr>
      <w:tr>
        <w:trPr>
          <w:trHeight w:val="205"/>
        </w:trPr>
        <w:tc>
          <w:tcPr>
            <w:tcW w:w="140" w:type="dxa"/>
            <w:vAlign w:val="bottom"/>
            <w:shd w:val="clear" w:color="auto" w:fill="CCEEFF"/>
          </w:tcPr>
          <w:p>
            <w:pPr>
              <w:spacing w:after="0"/>
              <w:rPr>
                <w:sz w:val="17"/>
                <w:szCs w:val="17"/>
                <w:color w:val="auto"/>
              </w:rPr>
            </w:pPr>
          </w:p>
        </w:tc>
        <w:tc>
          <w:tcPr>
            <w:tcW w:w="20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Pre-owned home cost of sales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19.4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25.8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(6.4)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63.4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70.4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(7.0)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r>
      <w:tr>
        <w:trPr>
          <w:trHeight w:val="128"/>
        </w:trPr>
        <w:tc>
          <w:tcPr>
            <w:tcW w:w="140" w:type="dxa"/>
            <w:vAlign w:val="bottom"/>
          </w:tcPr>
          <w:p>
            <w:pPr>
              <w:spacing w:after="0"/>
              <w:rPr>
                <w:sz w:val="11"/>
                <w:szCs w:val="11"/>
                <w:color w:val="auto"/>
              </w:rPr>
            </w:pPr>
          </w:p>
        </w:tc>
        <w:tc>
          <w:tcPr>
            <w:tcW w:w="2040" w:type="dxa"/>
            <w:vAlign w:val="bottom"/>
            <w:gridSpan w:val="4"/>
          </w:tcPr>
          <w:p>
            <w:pPr>
              <w:ind w:left="80"/>
              <w:spacing w:after="0" w:line="129" w:lineRule="exact"/>
              <w:rPr>
                <w:sz w:val="20"/>
                <w:szCs w:val="20"/>
                <w:color w:val="auto"/>
              </w:rPr>
            </w:pPr>
            <w:r>
              <w:rPr>
                <w:rFonts w:ascii="Times New Roman" w:cs="Times New Roman" w:eastAsia="Times New Roman" w:hAnsi="Times New Roman"/>
                <w:sz w:val="14"/>
                <w:szCs w:val="14"/>
                <w:color w:val="auto"/>
              </w:rPr>
              <w:t>Gross Profit – pre-owned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12"/>
        </w:trPr>
        <w:tc>
          <w:tcPr>
            <w:tcW w:w="140" w:type="dxa"/>
            <w:vAlign w:val="bottom"/>
          </w:tcPr>
          <w:p>
            <w:pPr>
              <w:spacing w:after="0"/>
              <w:rPr>
                <w:sz w:val="18"/>
                <w:szCs w:val="18"/>
                <w:color w:val="auto"/>
              </w:rPr>
            </w:pPr>
          </w:p>
        </w:tc>
        <w:tc>
          <w:tcPr>
            <w:tcW w:w="204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homes</w:t>
            </w:r>
          </w:p>
        </w:tc>
        <w:tc>
          <w:tcPr>
            <w:tcW w:w="120" w:type="dxa"/>
            <w:vAlign w:val="bottom"/>
          </w:tcPr>
          <w:p>
            <w:pPr>
              <w:spacing w:after="0"/>
              <w:rPr>
                <w:sz w:val="18"/>
                <w:szCs w:val="18"/>
                <w:color w:val="auto"/>
              </w:rPr>
            </w:pP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(8.3)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53"/>
        </w:trPr>
        <w:tc>
          <w:tcPr>
            <w:tcW w:w="140" w:type="dxa"/>
            <w:vAlign w:val="bottom"/>
            <w:shd w:val="clear" w:color="auto" w:fill="CCEEFF"/>
          </w:tcPr>
          <w:p>
            <w:pPr>
              <w:spacing w:after="0"/>
              <w:rPr>
                <w:sz w:val="13"/>
                <w:szCs w:val="13"/>
                <w:color w:val="auto"/>
              </w:rPr>
            </w:pPr>
          </w:p>
        </w:tc>
        <w:tc>
          <w:tcPr>
            <w:tcW w:w="2040" w:type="dxa"/>
            <w:vAlign w:val="bottom"/>
            <w:gridSpan w:val="4"/>
            <w:shd w:val="clear" w:color="auto" w:fill="CCEEFF"/>
          </w:tcPr>
          <w:p>
            <w:pPr>
              <w:ind w:left="80"/>
              <w:spacing w:after="0" w:line="153" w:lineRule="exact"/>
              <w:rPr>
                <w:sz w:val="20"/>
                <w:szCs w:val="20"/>
                <w:color w:val="auto"/>
              </w:rPr>
            </w:pPr>
            <w:r>
              <w:rPr>
                <w:rFonts w:ascii="Times New Roman" w:cs="Times New Roman" w:eastAsia="Times New Roman" w:hAnsi="Times New Roman"/>
                <w:sz w:val="15"/>
                <w:szCs w:val="15"/>
                <w:color w:val="auto"/>
              </w:rPr>
              <w:t>Gross margin % – pre-owned</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14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homes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46.3 %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44.1 %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2.2 %</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48"/>
        </w:trPr>
        <w:tc>
          <w:tcPr>
            <w:tcW w:w="140" w:type="dxa"/>
            <w:vAlign w:val="bottom"/>
          </w:tcPr>
          <w:p>
            <w:pPr>
              <w:spacing w:after="0"/>
              <w:rPr>
                <w:sz w:val="12"/>
                <w:szCs w:val="12"/>
                <w:color w:val="auto"/>
              </w:rPr>
            </w:pPr>
          </w:p>
        </w:tc>
        <w:tc>
          <w:tcPr>
            <w:tcW w:w="204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5"/>
                <w:szCs w:val="15"/>
                <w:color w:val="auto"/>
              </w:rPr>
              <w:t>Average selling price – pre-</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140" w:type="dxa"/>
            <w:vAlign w:val="bottom"/>
          </w:tcPr>
          <w:p>
            <w:pPr>
              <w:spacing w:after="0"/>
              <w:rPr>
                <w:sz w:val="18"/>
                <w:szCs w:val="18"/>
                <w:color w:val="auto"/>
              </w:rPr>
            </w:pPr>
          </w:p>
        </w:tc>
        <w:tc>
          <w:tcPr>
            <w:tcW w:w="204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owned homes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63,339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52,006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11,333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21.8 %</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59,267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48,981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10,286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21.0 %</w:t>
            </w:r>
          </w:p>
        </w:tc>
      </w:tr>
      <w:tr>
        <w:trPr>
          <w:trHeight w:val="153"/>
        </w:trPr>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62"/>
        </w:trPr>
        <w:tc>
          <w:tcPr>
            <w:tcW w:w="140" w:type="dxa"/>
            <w:vAlign w:val="bottom"/>
          </w:tcPr>
          <w:p>
            <w:pPr>
              <w:spacing w:after="0"/>
              <w:rPr>
                <w:sz w:val="14"/>
                <w:szCs w:val="14"/>
                <w:color w:val="auto"/>
              </w:rPr>
            </w:pPr>
          </w:p>
        </w:tc>
        <w:tc>
          <w:tcPr>
            <w:tcW w:w="2040" w:type="dxa"/>
            <w:vAlign w:val="bottom"/>
            <w:gridSpan w:val="4"/>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Total Home Sales</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
        </w:trPr>
        <w:tc>
          <w:tcPr>
            <w:tcW w:w="1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20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Revenue from home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66.6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(14.5)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213.4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215.1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r>
      <w:tr>
        <w:trPr>
          <w:trHeight w:val="200"/>
        </w:trPr>
        <w:tc>
          <w:tcPr>
            <w:tcW w:w="140" w:type="dxa"/>
            <w:vAlign w:val="bottom"/>
          </w:tcPr>
          <w:p>
            <w:pPr>
              <w:spacing w:after="0"/>
              <w:rPr>
                <w:sz w:val="17"/>
                <w:szCs w:val="17"/>
                <w:color w:val="auto"/>
              </w:rPr>
            </w:pPr>
          </w:p>
        </w:tc>
        <w:tc>
          <w:tcPr>
            <w:tcW w:w="204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Cost of home sales</w:t>
            </w:r>
          </w:p>
        </w:tc>
        <w:tc>
          <w:tcPr>
            <w:tcW w:w="120" w:type="dxa"/>
            <w:vAlign w:val="bottom"/>
          </w:tcPr>
          <w:p>
            <w:pPr>
              <w:spacing w:after="0"/>
              <w:rPr>
                <w:sz w:val="17"/>
                <w:szCs w:val="17"/>
                <w:color w:val="auto"/>
              </w:rPr>
            </w:pP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(5.5)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141.7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143.2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3"/>
        </w:trPr>
        <w:tc>
          <w:tcPr>
            <w:tcW w:w="140" w:type="dxa"/>
            <w:vAlign w:val="bottom"/>
            <w:shd w:val="clear" w:color="auto" w:fill="CCEEFF"/>
          </w:tcPr>
          <w:p>
            <w:pPr>
              <w:spacing w:after="0"/>
              <w:rPr>
                <w:sz w:val="17"/>
                <w:szCs w:val="17"/>
                <w:color w:val="auto"/>
              </w:rPr>
            </w:pPr>
          </w:p>
        </w:tc>
        <w:tc>
          <w:tcPr>
            <w:tcW w:w="20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Home selling expenses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10.4 %</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14.2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13.7</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3.6 %</w:t>
            </w:r>
          </w:p>
        </w:tc>
      </w:tr>
      <w:tr>
        <w:trPr>
          <w:trHeight w:val="198"/>
        </w:trPr>
        <w:tc>
          <w:tcPr>
            <w:tcW w:w="140" w:type="dxa"/>
            <w:vAlign w:val="bottom"/>
          </w:tcPr>
          <w:p>
            <w:pPr>
              <w:spacing w:after="0"/>
              <w:rPr>
                <w:sz w:val="17"/>
                <w:szCs w:val="17"/>
                <w:color w:val="auto"/>
              </w:rPr>
            </w:pPr>
          </w:p>
        </w:tc>
        <w:tc>
          <w:tcPr>
            <w:tcW w:w="2040" w:type="dxa"/>
            <w:vAlign w:val="bottom"/>
            <w:gridSpan w:val="4"/>
          </w:tcPr>
          <w:p>
            <w:pPr>
              <w:ind w:left="80"/>
              <w:spacing w:after="0"/>
              <w:rPr>
                <w:sz w:val="20"/>
                <w:szCs w:val="20"/>
                <w:color w:val="auto"/>
              </w:rPr>
            </w:pPr>
            <w:r>
              <w:rPr>
                <w:rFonts w:ascii="Times New Roman" w:cs="Times New Roman" w:eastAsia="Times New Roman" w:hAnsi="Times New Roman"/>
                <w:sz w:val="15"/>
                <w:szCs w:val="15"/>
                <w:color w:val="auto"/>
              </w:rPr>
              <w:t>Home Sales NOI</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15.1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24.6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(9.5)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(38.6)%</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57.5</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58.2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(0.7)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r>
      <w:tr>
        <w:trPr>
          <w:trHeight w:val="115"/>
        </w:trPr>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202"/>
        </w:trPr>
        <w:tc>
          <w:tcPr>
            <w:tcW w:w="2180" w:type="dxa"/>
            <w:vAlign w:val="bottom"/>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140" w:type="dxa"/>
            <w:vAlign w:val="bottom"/>
            <w:shd w:val="clear" w:color="auto" w:fill="CCEEFF"/>
          </w:tcPr>
          <w:p>
            <w:pPr>
              <w:spacing w:after="0"/>
              <w:rPr>
                <w:sz w:val="17"/>
                <w:szCs w:val="17"/>
                <w:color w:val="auto"/>
              </w:rPr>
            </w:pPr>
          </w:p>
        </w:tc>
        <w:tc>
          <w:tcPr>
            <w:tcW w:w="20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New home sales volume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207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(34)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583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200"/>
        </w:trPr>
        <w:tc>
          <w:tcPr>
            <w:tcW w:w="140" w:type="dxa"/>
            <w:vAlign w:val="bottom"/>
            <w:tcBorders>
              <w:bottom w:val="single" w:sz="8" w:color="CCEEFF"/>
            </w:tcBorders>
          </w:tcPr>
          <w:p>
            <w:pPr>
              <w:spacing w:after="0"/>
              <w:rPr>
                <w:sz w:val="17"/>
                <w:szCs w:val="17"/>
                <w:color w:val="auto"/>
              </w:rPr>
            </w:pPr>
          </w:p>
        </w:tc>
        <w:tc>
          <w:tcPr>
            <w:tcW w:w="2040" w:type="dxa"/>
            <w:vAlign w:val="bottom"/>
            <w:tcBorders>
              <w:bottom w:val="single" w:sz="8" w:color="CCEEFF"/>
            </w:tcBorders>
            <w:gridSpan w:val="4"/>
          </w:tcPr>
          <w:p>
            <w:pPr>
              <w:ind w:left="80"/>
              <w:spacing w:after="0"/>
              <w:rPr>
                <w:sz w:val="20"/>
                <w:szCs w:val="20"/>
                <w:color w:val="auto"/>
              </w:rPr>
            </w:pPr>
            <w:r>
              <w:rPr>
                <w:rFonts w:ascii="Times New Roman" w:cs="Times New Roman" w:eastAsia="Times New Roman" w:hAnsi="Times New Roman"/>
                <w:sz w:val="15"/>
                <w:szCs w:val="15"/>
                <w:color w:val="auto"/>
              </w:rPr>
              <w:t>Pre-owned home sales volume</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551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955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(404)</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(42.3)%</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1,991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2,572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(581)</w:t>
            </w:r>
          </w:p>
        </w:tc>
        <w:tc>
          <w:tcPr>
            <w:tcW w:w="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(22.6)%</w:t>
            </w:r>
          </w:p>
        </w:tc>
      </w:tr>
      <w:tr>
        <w:trPr>
          <w:trHeight w:val="223"/>
        </w:trPr>
        <w:tc>
          <w:tcPr>
            <w:tcW w:w="14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Total home sales volume</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724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1,162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(438)</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2,538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3,155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(617)</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 New Homes</w:t>
      </w:r>
    </w:p>
    <w:p>
      <w:pPr>
        <w:spacing w:after="0" w:line="29" w:lineRule="exact"/>
        <w:rPr>
          <w:sz w:val="20"/>
          <w:szCs w:val="20"/>
          <w:color w:val="auto"/>
        </w:rPr>
      </w:pPr>
    </w:p>
    <w:p>
      <w:pPr>
        <w:ind w:left="180"/>
        <w:spacing w:after="0" w:line="260" w:lineRule="auto"/>
        <w:rPr>
          <w:sz w:val="20"/>
          <w:szCs w:val="20"/>
          <w:color w:val="auto"/>
        </w:rPr>
      </w:pPr>
      <w:r>
        <w:rPr>
          <w:rFonts w:ascii="Times New Roman" w:cs="Times New Roman" w:eastAsia="Times New Roman" w:hAnsi="Times New Roman"/>
          <w:sz w:val="18"/>
          <w:szCs w:val="18"/>
          <w:color w:val="auto"/>
        </w:rPr>
        <w:t>For the three months ended September 30, 2022, the 12.5 percent decrease in gross profit is primarily driven by a 16.4 percent decrease in new home sales volume as compared to the same period in 2021, partially offset by a 20.7 percent increase in new home average selling price.</w:t>
      </w:r>
    </w:p>
    <w:p>
      <w:pPr>
        <w:spacing w:after="0" w:line="208" w:lineRule="exact"/>
        <w:rPr>
          <w:sz w:val="20"/>
          <w:szCs w:val="20"/>
          <w:color w:val="auto"/>
        </w:rPr>
      </w:pPr>
    </w:p>
    <w:p>
      <w:pPr>
        <w:ind w:left="18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the 4.3 percent increase in gross profit is primarily the result of a 14.0 percent increase in new home average selling price, partially offset by a decrease of 6.2 percent in new home sales volume.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 Pre-owned Homes</w:t>
      </w:r>
    </w:p>
    <w:p>
      <w:pPr>
        <w:spacing w:after="0" w:line="29" w:lineRule="exact"/>
        <w:rPr>
          <w:sz w:val="20"/>
          <w:szCs w:val="20"/>
          <w:color w:val="auto"/>
        </w:rPr>
      </w:pPr>
    </w:p>
    <w:p>
      <w:pPr>
        <w:ind w:left="180"/>
        <w:spacing w:after="0" w:line="260" w:lineRule="auto"/>
        <w:rPr>
          <w:sz w:val="20"/>
          <w:szCs w:val="20"/>
          <w:color w:val="auto"/>
        </w:rPr>
      </w:pPr>
      <w:r>
        <w:rPr>
          <w:rFonts w:ascii="Times New Roman" w:cs="Times New Roman" w:eastAsia="Times New Roman" w:hAnsi="Times New Roman"/>
          <w:sz w:val="18"/>
          <w:szCs w:val="18"/>
          <w:color w:val="auto"/>
        </w:rPr>
        <w:t>For the three months ended September 30, 2022, the 34.9 percent decrease in gross profit is primarily driven by a 42.3 percent decrease in pre-owned home sales volume as compared to the same period in 2021.</w:t>
      </w:r>
    </w:p>
    <w:p>
      <w:pPr>
        <w:spacing w:after="0" w:line="208" w:lineRule="exact"/>
        <w:rPr>
          <w:sz w:val="20"/>
          <w:szCs w:val="20"/>
          <w:color w:val="auto"/>
        </w:rPr>
      </w:pPr>
    </w:p>
    <w:p>
      <w:pPr>
        <w:ind w:left="180"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the 1.6 percent decrease in gross profit is primarily the result of a 22.6 percent decrease in pre-owned home sales volume, as compared to the same period in 2021, partially offset by a 21.0 percent increase in average pre-owned home selling price.</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Refer to the UK Operations summary on page 54 for financial information related to our home sales in the UK.</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Program Summary</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reflects certain financial and other information for our Rental Program as of and for the three and nine months ended September 30, 2022 and 2021 (in millions, except for weighted average monthly rental rate and statistical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46"/>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2"/>
                <w:szCs w:val="12"/>
                <w:color w:val="auto"/>
              </w:rPr>
            </w:pPr>
          </w:p>
        </w:tc>
        <w:tc>
          <w:tcPr>
            <w:tcW w:w="114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2"/>
                <w:szCs w:val="12"/>
                <w:color w:val="auto"/>
              </w:rPr>
            </w:pPr>
          </w:p>
        </w:tc>
        <w:tc>
          <w:tcPr>
            <w:tcW w:w="11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12"/>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Pr>
          <w:p>
            <w:pPr>
              <w:spacing w:after="0"/>
              <w:rPr>
                <w:sz w:val="18"/>
                <w:szCs w:val="18"/>
                <w:color w:val="auto"/>
              </w:rPr>
            </w:pPr>
          </w:p>
        </w:tc>
        <w:tc>
          <w:tcPr>
            <w:tcW w:w="108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87"/>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Information</w:t>
            </w: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r>
      <w:tr>
        <w:trPr>
          <w:trHeight w:val="200"/>
        </w:trPr>
        <w:tc>
          <w:tcPr>
            <w:tcW w:w="26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95.7</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105.8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(9.5)%</w:t>
            </w:r>
          </w:p>
        </w:tc>
      </w:tr>
      <w:tr>
        <w:trPr>
          <w:trHeight w:val="203"/>
        </w:trPr>
        <w:tc>
          <w:tcPr>
            <w:tcW w:w="2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Expenses</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9.1 %</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3.9 %</w:t>
            </w:r>
          </w:p>
        </w:tc>
      </w:tr>
      <w:tr>
        <w:trPr>
          <w:trHeight w:val="198"/>
        </w:trPr>
        <w:tc>
          <w:tcPr>
            <w:tcW w:w="2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Rental Program NOI</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25.4</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28.4</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79.8</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90.5</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(11.8)%</w:t>
            </w: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r>
      <w:tr>
        <w:trPr>
          <w:trHeight w:val="183"/>
        </w:trPr>
        <w:tc>
          <w:tcPr>
            <w:tcW w:w="2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02"/>
        </w:trPr>
        <w:tc>
          <w:tcPr>
            <w:tcW w:w="26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Number of sold rental homes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w:t>
            </w:r>
          </w:p>
        </w:tc>
      </w:tr>
      <w:tr>
        <w:trPr>
          <w:trHeight w:val="148"/>
        </w:trPr>
        <w:tc>
          <w:tcPr>
            <w:tcW w:w="266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Number of occupied rentals, end of</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12"/>
        </w:trPr>
        <w:tc>
          <w:tcPr>
            <w:tcW w:w="2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period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10,123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(9.8)%</w:t>
            </w:r>
          </w:p>
        </w:tc>
      </w:tr>
      <w:tr>
        <w:trPr>
          <w:trHeight w:val="153"/>
        </w:trPr>
        <w:tc>
          <w:tcPr>
            <w:tcW w:w="266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5"/>
                <w:szCs w:val="15"/>
                <w:color w:val="auto"/>
              </w:rPr>
              <w:t>Investment in occupied rental homes,</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216"/>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end of period</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559.0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49"/>
        </w:trPr>
        <w:tc>
          <w:tcPr>
            <w:tcW w:w="266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Weighted average monthly rental rate,</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08"/>
        </w:trPr>
        <w:tc>
          <w:tcPr>
            <w:tcW w:w="2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end of period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1,085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9.9 %</w:t>
            </w:r>
          </w:p>
        </w:tc>
      </w:tr>
    </w:tbl>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Rental Program NOI is included in Real Property NOI. The Rental Program NOI is separately reviewed to assess the overall growth and performance of the Rental Program and its financial impact on our operations.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Rental Program NOI decreased $3.0 million, or 10.6 percent, as compared to the same period in 2021. The decrease is primarily due to a 9.8 percent decrease in the number of occupied rental homes, as compared to the same period in 2021.</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Rental Program NOI decreased $10.7 million, or 11.8 percent, as compared to the same period in 2021. The decrease is primarily due to a $10.1 million, or 9.5 percent, decrease in revenue, driven by a 9.8 percent decrease in number of occupied rental homes, as compared to the same period in 2021.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Marina Segment Summary</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reflects certain financial and other information for our marinas as of and for the three and nine months ended September 30, 2022 and 2021 (in millions, except for statistical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46"/>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2"/>
                <w:szCs w:val="12"/>
                <w:color w:val="auto"/>
              </w:rPr>
            </w:pPr>
          </w:p>
        </w:tc>
        <w:tc>
          <w:tcPr>
            <w:tcW w:w="11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2"/>
                <w:szCs w:val="12"/>
                <w:color w:val="auto"/>
              </w:rPr>
            </w:pPr>
          </w:p>
        </w:tc>
        <w:tc>
          <w:tcPr>
            <w:tcW w:w="11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2"/>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Pr>
          <w:p>
            <w:pPr>
              <w:spacing w:after="0"/>
              <w:rPr>
                <w:sz w:val="18"/>
                <w:szCs w:val="18"/>
                <w:color w:val="auto"/>
              </w:rPr>
            </w:pPr>
          </w:p>
        </w:tc>
        <w:tc>
          <w:tcPr>
            <w:tcW w:w="106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87"/>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Information</w:t>
            </w: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02"/>
        </w:trPr>
        <w:tc>
          <w:tcPr>
            <w:tcW w:w="224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49"/>
        </w:trPr>
        <w:tc>
          <w:tcPr>
            <w:tcW w:w="22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5"/>
                <w:szCs w:val="15"/>
                <w:color w:val="auto"/>
              </w:rPr>
              <w:t>Real property (excluding</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16"/>
        </w:trPr>
        <w:tc>
          <w:tcPr>
            <w:tcW w:w="2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transient)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59.2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32.7 %</w:t>
            </w:r>
          </w:p>
        </w:tc>
      </w:tr>
      <w:tr>
        <w:trPr>
          <w:trHeight w:val="200"/>
        </w:trPr>
        <w:tc>
          <w:tcPr>
            <w:tcW w:w="2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Real property - transient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12.7 %</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28.9 %</w:t>
            </w:r>
          </w:p>
        </w:tc>
      </w:tr>
      <w:tr>
        <w:trPr>
          <w:trHeight w:val="205"/>
        </w:trPr>
        <w:tc>
          <w:tcPr>
            <w:tcW w:w="2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128.8 %</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96.9 %</w:t>
            </w:r>
          </w:p>
        </w:tc>
      </w:tr>
      <w:tr>
        <w:trPr>
          <w:trHeight w:val="194"/>
        </w:trPr>
        <w:tc>
          <w:tcPr>
            <w:tcW w:w="2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Operating</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30.5 %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35.6 %</w:t>
            </w:r>
          </w:p>
        </w:tc>
      </w:tr>
      <w:tr>
        <w:trPr>
          <w:trHeight w:val="205"/>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0"/>
        </w:trPr>
        <w:tc>
          <w:tcPr>
            <w:tcW w:w="22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Property Operating</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26.6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21.4 %</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20.0</w:t>
            </w: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28.9 %</w:t>
            </w:r>
          </w:p>
        </w:tc>
      </w:tr>
      <w:tr>
        <w:trPr>
          <w:trHeight w:val="198"/>
        </w:trPr>
        <w:tc>
          <w:tcPr>
            <w:tcW w:w="2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Real Property NOI</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34.6 %</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52.0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39.2 %</w:t>
            </w: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48"/>
        </w:trPr>
        <w:tc>
          <w:tcPr>
            <w:tcW w:w="2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5"/>
                <w:szCs w:val="15"/>
                <w:b w:val="1"/>
                <w:bCs w:val="1"/>
                <w:color w:val="auto"/>
              </w:rPr>
              <w:t>Service, retail, dining and</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entertainment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0"/>
        </w:trPr>
        <w:tc>
          <w:tcPr>
            <w:tcW w:w="2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Revenue</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74.7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50.3 %</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108.9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53.9 %</w:t>
            </w:r>
          </w:p>
        </w:tc>
      </w:tr>
      <w:tr>
        <w:trPr>
          <w:trHeight w:val="205"/>
        </w:trPr>
        <w:tc>
          <w:tcPr>
            <w:tcW w:w="2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Expense</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68.0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45.3 %</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272.1</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96.0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54.5 %</w:t>
            </w:r>
          </w:p>
        </w:tc>
      </w:tr>
      <w:tr>
        <w:trPr>
          <w:trHeight w:val="194"/>
        </w:trPr>
        <w:tc>
          <w:tcPr>
            <w:tcW w:w="2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NOI</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101.5 %</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49.8 %</w:t>
            </w:r>
          </w:p>
        </w:tc>
      </w:tr>
      <w:tr>
        <w:trPr>
          <w:trHeight w:val="218"/>
        </w:trPr>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6"/>
        </w:trPr>
        <w:tc>
          <w:tcPr>
            <w:tcW w:w="2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Marina NOI</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64.5</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41.6 %</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223.6</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158.7</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64.9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40.9 %</w:t>
            </w: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2"/>
        </w:trPr>
        <w:tc>
          <w:tcPr>
            <w:tcW w:w="22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information</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Number of properties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9.2 %</w:t>
            </w:r>
          </w:p>
        </w:tc>
      </w:tr>
      <w:tr>
        <w:trPr>
          <w:trHeight w:val="198"/>
        </w:trPr>
        <w:tc>
          <w:tcPr>
            <w:tcW w:w="2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wet slips and dry storage</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46,185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2,570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5.9 %</w:t>
            </w:r>
          </w:p>
        </w:tc>
      </w:tr>
    </w:tbl>
    <w:p>
      <w:pPr>
        <w:spacing w:after="0" w:line="3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Marina NOI is separately reviewed to assess the overall growth and performance of the Marina segment and its financial impact on our results of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reclassified utility revenues of $5.6 million and $4.3 million for the three months ended September 30, 2022 and 2021, and $14.8 million and $10.5 million for the nine months ended September 30, 2022 and 2021, respectively, to reflect the utility expenses associated with our Marina portfolio net of recovery.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2022 and 2021:</w:t>
      </w:r>
    </w:p>
    <w:p>
      <w:pPr>
        <w:spacing w:after="0" w:line="252" w:lineRule="exact"/>
        <w:rPr>
          <w:sz w:val="20"/>
          <w:szCs w:val="20"/>
          <w:color w:val="auto"/>
        </w:rPr>
      </w:pPr>
    </w:p>
    <w:p>
      <w:pPr>
        <w:ind w:left="66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$26.8 million, or 41.6 percent increase in Marina NOI is primarily due to a $20.0 million, or 34.6 percent, increase in Marina Real Property NOI and a $6.8 million, or 101.5 percent, increase in Service, Retail, Dining and Entertainment NOI.</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 million, or 34.6 percent growth in Marina Real Property NOI is due to an increase in the number of owned Marina properties compared to the same period in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2022 and 2021:</w:t>
      </w:r>
    </w:p>
    <w:p>
      <w:pPr>
        <w:spacing w:after="0" w:line="252" w:lineRule="exact"/>
        <w:rPr>
          <w:sz w:val="20"/>
          <w:szCs w:val="20"/>
          <w:color w:val="auto"/>
        </w:rPr>
      </w:pPr>
    </w:p>
    <w:p>
      <w:pPr>
        <w:ind w:left="660" w:hanging="328"/>
        <w:spacing w:after="0" w:line="28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$64.9 million, or 40.9 percent increase in Marina NOI is due to a $52.0 million, or 39.2 percent, increase in Marina Real Property NOI and a $12.9 million, or 49.8 percent increase, in Service, Retail, Dining and Entertainment NOI.</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$52.0 million, or 39.2 percent, increase in Marina Real Property NOI is due primarily to an increase in the number of owned Marina properties compared to the same period in 2021.</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$12.9 million, or 49.8 percent, increase in Service, Retail, Dining and Entertainment NOI is due primarily to an increase in the number of owned marina properties offering service compared to the same period in 2021.</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Items - Statements of Operations</w:t>
      </w:r>
      <w:r>
        <w:rPr>
          <w:rFonts w:ascii="Times New Roman" w:cs="Times New Roman" w:eastAsia="Times New Roman" w:hAnsi="Times New Roman"/>
          <w:sz w:val="23"/>
          <w:szCs w:val="23"/>
          <w:color w:val="auto"/>
          <w:vertAlign w:val="superscript"/>
        </w:rPr>
        <w:t>(1)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other income and expenses for the three and nine months ended September 30, 2022 and 2021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860" w:type="dxa"/>
            <w:vAlign w:val="bottom"/>
            <w:tcBorders>
              <w:bottom w:val="single" w:sz="8" w:color="auto"/>
            </w:tcBorders>
          </w:tcPr>
          <w:p>
            <w:pPr>
              <w:spacing w:after="0"/>
              <w:rPr>
                <w:sz w:val="17"/>
                <w:szCs w:val="17"/>
                <w:color w:val="auto"/>
              </w:rPr>
            </w:pP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2"/>
                <w:szCs w:val="12"/>
                <w:color w:val="auto"/>
              </w:rPr>
            </w:pPr>
          </w:p>
        </w:tc>
        <w:tc>
          <w:tcPr>
            <w:tcW w:w="114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11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Pr>
          <w:p>
            <w:pPr>
              <w:spacing w:after="0"/>
              <w:rPr>
                <w:sz w:val="18"/>
                <w:szCs w:val="18"/>
                <w:color w:val="auto"/>
              </w:rPr>
            </w:pPr>
          </w:p>
        </w:tc>
        <w:tc>
          <w:tcPr>
            <w:tcW w:w="106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33"/>
        </w:trPr>
        <w:tc>
          <w:tcPr>
            <w:tcW w:w="2620" w:type="dxa"/>
            <w:vAlign w:val="bottom"/>
            <w:tcBorders>
              <w:top w:val="single" w:sz="8" w:color="CCEEFF"/>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5"/>
                <w:szCs w:val="15"/>
                <w:color w:val="auto"/>
              </w:rPr>
              <w:t>Service, retail, dining and entertainment,</w:t>
            </w: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36.0 %</w:t>
            </w:r>
          </w:p>
        </w:tc>
      </w:tr>
      <w:tr>
        <w:trPr>
          <w:trHeight w:val="200"/>
        </w:trPr>
        <w:tc>
          <w:tcPr>
            <w:tcW w:w="2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330.8 %</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216.3 %</w:t>
            </w:r>
          </w:p>
        </w:tc>
      </w:tr>
      <w:tr>
        <w:trPr>
          <w:trHeight w:val="20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Brokerage commissions and other,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22.7 %</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26.3 %</w:t>
            </w:r>
          </w:p>
        </w:tc>
      </w:tr>
      <w:tr>
        <w:trPr>
          <w:trHeight w:val="200"/>
        </w:trPr>
        <w:tc>
          <w:tcPr>
            <w:tcW w:w="2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69.1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60.0 %</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47.6 %</w:t>
            </w:r>
          </w:p>
        </w:tc>
      </w:tr>
      <w:tr>
        <w:trPr>
          <w:trHeight w:val="20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296.8 %</w:t>
            </w:r>
          </w:p>
        </w:tc>
      </w:tr>
      <w:tr>
        <w:trPr>
          <w:trHeight w:val="200"/>
        </w:trPr>
        <w:tc>
          <w:tcPr>
            <w:tcW w:w="2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Business combinations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N/A</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19.0 %</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19.0 %</w:t>
            </w:r>
          </w:p>
        </w:tc>
      </w:tr>
      <w:tr>
        <w:trPr>
          <w:trHeight w:val="148"/>
        </w:trPr>
        <w:tc>
          <w:tcPr>
            <w:tcW w:w="262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Loss on extinguishment of debt (see</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2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 8)</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N/A</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w:t>
            </w:r>
          </w:p>
        </w:tc>
      </w:tr>
      <w:tr>
        <w:trPr>
          <w:trHeight w:val="20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61.7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58.2 %</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39.6 %</w:t>
            </w:r>
          </w:p>
        </w:tc>
      </w:tr>
      <w:tr>
        <w:trPr>
          <w:trHeight w:val="148"/>
        </w:trPr>
        <w:tc>
          <w:tcPr>
            <w:tcW w:w="262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Interest on mandatorily redeemable</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2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preferred OP units /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r>
      <w:tr>
        <w:trPr>
          <w:trHeight w:val="153"/>
        </w:trPr>
        <w:tc>
          <w:tcPr>
            <w:tcW w:w="26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Gain / (loss) on remeasurement of</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marketable securities (see Note 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148"/>
        </w:trPr>
        <w:tc>
          <w:tcPr>
            <w:tcW w:w="262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Gain / (loss) on foreign currency</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2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exchanges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 (loss) on dispositions of properties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(108.9)</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(95.6)</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(88.4)%</w:t>
            </w:r>
          </w:p>
        </w:tc>
      </w:tr>
      <w:tr>
        <w:trPr>
          <w:trHeight w:val="200"/>
        </w:trPr>
        <w:tc>
          <w:tcPr>
            <w:tcW w:w="2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income / (expense),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151"/>
        </w:trPr>
        <w:tc>
          <w:tcPr>
            <w:tcW w:w="262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Gain / (loss) on remeasurement of notes</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receivable (see Note 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83.3 %</w:t>
            </w:r>
          </w:p>
        </w:tc>
      </w:tr>
      <w:tr>
        <w:trPr>
          <w:trHeight w:val="148"/>
        </w:trPr>
        <w:tc>
          <w:tcPr>
            <w:tcW w:w="262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Income from nonconsolidated affiliates</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2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(see Note 6)</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122.2 %</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31.0 %</w:t>
            </w:r>
          </w:p>
        </w:tc>
      </w:tr>
      <w:tr>
        <w:trPr>
          <w:trHeight w:val="153"/>
        </w:trPr>
        <w:tc>
          <w:tcPr>
            <w:tcW w:w="26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Gain / (loss) on remeasurement of</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8"/>
        </w:trPr>
        <w:tc>
          <w:tcPr>
            <w:tcW w:w="26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investment in nonconsolidated affiliates</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0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(see Note 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300.0 %</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0"/>
        </w:trPr>
        <w:tc>
          <w:tcPr>
            <w:tcW w:w="2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tax expense (see Note 12)</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151"/>
        </w:trPr>
        <w:tc>
          <w:tcPr>
            <w:tcW w:w="262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Deferred tax benefit / (expense) (see</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 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N/M</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148"/>
        </w:trPr>
        <w:tc>
          <w:tcPr>
            <w:tcW w:w="262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Preferred return to preferred OP units /</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2"/>
        </w:trPr>
        <w:tc>
          <w:tcPr>
            <w:tcW w:w="2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interests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153"/>
        </w:trPr>
        <w:tc>
          <w:tcPr>
            <w:tcW w:w="26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Income attributable to noncontrolling</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w:t>
            </w:r>
          </w:p>
        </w:tc>
      </w:tr>
    </w:tbl>
    <w:p>
      <w:pPr>
        <w:spacing w:after="0" w:line="85" w:lineRule="exact"/>
        <w:rPr>
          <w:sz w:val="20"/>
          <w:szCs w:val="20"/>
          <w:color w:val="auto"/>
        </w:rPr>
      </w:pPr>
    </w:p>
    <w:p>
      <w:pPr>
        <w:ind w:right="3720" w:firstLine="8"/>
        <w:spacing w:after="0" w:line="299" w:lineRule="auto"/>
        <w:tabs>
          <w:tab w:leader="none" w:pos="149"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Only items determined by management to be material, of interest, or unique to the periods disclosed above are explained below. N/M = Percentage change is not meaningful.</w:t>
      </w: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N/A = Percentage change is not applicable.</w:t>
      </w:r>
    </w:p>
    <w:p>
      <w:pPr>
        <w:spacing w:after="0" w:line="24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 retail, dining and entertainment, net </w:t>
      </w:r>
      <w:r>
        <w:rPr>
          <w:rFonts w:ascii="Times New Roman" w:cs="Times New Roman" w:eastAsia="Times New Roman" w:hAnsi="Times New Roman"/>
          <w:sz w:val="18"/>
          <w:szCs w:val="18"/>
          <w:color w:val="auto"/>
        </w:rPr>
        <w:t>- for the three and nine months ended September 30, 2022, increased primarily due to increased service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our marinas and the addition of service revenue from the acquisition of additional marinas.</w:t>
      </w:r>
    </w:p>
    <w:p>
      <w:pPr>
        <w:spacing w:after="0" w:line="1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 for the three and nine months ended September 30, 2022, increased primarily due to interest income on a loan provided to a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operator to finance its acquisition and development costs in the current period as compared to the same periods in 2021.</w:t>
      </w:r>
    </w:p>
    <w:p>
      <w:pPr>
        <w:spacing w:after="0" w:line="1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Brokerage commissions and other, net </w:t>
      </w:r>
      <w:r>
        <w:rPr>
          <w:rFonts w:ascii="Times New Roman" w:cs="Times New Roman" w:eastAsia="Times New Roman" w:hAnsi="Times New Roman"/>
          <w:sz w:val="18"/>
          <w:szCs w:val="18"/>
          <w:color w:val="auto"/>
        </w:rPr>
        <w:t>- for the three and nine months ended September 30, 2022, increased primarily due to an increase in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brokered home sales, as compared to the same period in 2021.</w:t>
      </w:r>
    </w:p>
    <w:p>
      <w:pPr>
        <w:spacing w:after="0" w:line="1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 for the three and nine months ended September 30, 2022, increased primarily due to the acquisition of Park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Holidays, and an increase in wages and incentives driven by growth in strategic initiatives as compared to the same periods in 2021.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Catastrophic event-related charges </w:t>
      </w:r>
      <w:r>
        <w:rPr>
          <w:rFonts w:ascii="Times New Roman" w:cs="Times New Roman" w:eastAsia="Times New Roman" w:hAnsi="Times New Roman"/>
          <w:sz w:val="18"/>
          <w:szCs w:val="18"/>
          <w:color w:val="auto"/>
        </w:rPr>
        <w:t>- for the three and nine months ended September 30, 2022, increased primarily due to net impairment charges of $12.2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properties located in Fort Myers, Florida, which sustained significant flooding, wind and other damage from Hurricane Ian. Refer to Note 16, "Commitments and Contingencies," in our accompanying Consolidated Financial Statements for additional information.</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combination expense, net </w:t>
      </w:r>
      <w:r>
        <w:rPr>
          <w:rFonts w:ascii="Times New Roman" w:cs="Times New Roman" w:eastAsia="Times New Roman" w:hAnsi="Times New Roman"/>
          <w:sz w:val="18"/>
          <w:szCs w:val="18"/>
          <w:color w:val="auto"/>
        </w:rPr>
        <w:t>- for the three and nine months ended September 30, 2022, increased primarily as a result of the acquisition of Park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Holidays. Refer to Note 3, "Real Estate Acquisitions and Dispositions," in our accompanying Consolidated Financial Statements for additional information.</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 for the three and nine months ended September 30, 2022, increased as a result of property acquisitions during 2021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Refer to Note 3, "Real Estate Acquisitions and Dispositions," in our accompanying Consolidated Financial Statements for additional information.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 for the three and nine months ended September 30, 2022 were $4.0 million, and $4.4 million respectively,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term loan repayments during the third quarter. Loss on extinguishment of debt - for the nine months ended September 30, 2021, was due primarily to the termination of the Safe Harbor line of credit and financing activities. Refer to Note 8, "Debt and Line of Credit," in our accompanying Consolidated Financial Statements for additional information.</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 for the three and nine months ended September 30, 2022, increased due to the higher carrying balance of debt and increased interest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same periods in 2021. Refer to Note 8, "Debt and Line of Credit," of our accompanying Consolidated Financial Statements for additional information.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 / (loss) on remeasurement of marketable securities </w:t>
      </w:r>
      <w:r>
        <w:rPr>
          <w:rFonts w:ascii="Times New Roman" w:cs="Times New Roman" w:eastAsia="Times New Roman" w:hAnsi="Times New Roman"/>
          <w:sz w:val="18"/>
          <w:szCs w:val="18"/>
          <w:color w:val="auto"/>
        </w:rPr>
        <w:t>- for the three and nine months ended September 30, 2022 was a loss of $7.2 million and $74.0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as compared to a gain of $12.0 million and $43.2 million during the same period in 2021 due to the fluctuation in the price of our publicly traded marketable securities. Refer to Note 15, "Fair Value of Financial Instruments," in our accompanying Consolidated Financial Statements for additional information.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 / (loss) on foreign currency exchanges </w:t>
      </w:r>
      <w:r>
        <w:rPr>
          <w:rFonts w:ascii="Times New Roman" w:cs="Times New Roman" w:eastAsia="Times New Roman" w:hAnsi="Times New Roman"/>
          <w:sz w:val="18"/>
          <w:szCs w:val="18"/>
          <w:color w:val="auto"/>
        </w:rPr>
        <w:t>- for the three and nine months ended September 30, 2022, was a gain of $14.9 million and $21.7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primarily due to the impact of the U.S. Dollar strengthening against the Pound Sterling on our line of credit. There were losses of $7.0 million and $7.1 million, in the same period in 2021, respectively, primarily due to the strengthening of the U.S. Dollar against the Australian Dollar and a higher balance on the marketable securities compared to the line of credit balance denominated in Australian Dollars.</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 (loss) on dispositions of properties </w:t>
      </w:r>
      <w:r>
        <w:rPr>
          <w:rFonts w:ascii="Times New Roman" w:cs="Times New Roman" w:eastAsia="Times New Roman" w:hAnsi="Times New Roman"/>
          <w:sz w:val="18"/>
          <w:szCs w:val="18"/>
          <w:color w:val="auto"/>
        </w:rPr>
        <w:t>- for the three and nine months ended September 30, 2022, decreased due to a lower net gain on the sale of four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as compared to a gain on the sale of six properties during the same period in 2021. Refer to Note 3, "Real Estate Acquisitions and Dispositions," in our accompanying Consolidated Financial Statements for additional information.</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 (expense), net - </w:t>
      </w:r>
      <w:r>
        <w:rPr>
          <w:rFonts w:ascii="Times New Roman" w:cs="Times New Roman" w:eastAsia="Times New Roman" w:hAnsi="Times New Roman"/>
          <w:sz w:val="18"/>
          <w:szCs w:val="18"/>
          <w:color w:val="auto"/>
        </w:rPr>
        <w:t>for the three and nine months ended September 30, 2022 was a gain of $2.8 million and $2.6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 loss of $9.3 million and $10.0 million, respectively, for the three and nine months ended September 30, 2021, primarily due to a gain from a litigation settlement in 2022 and contingent consideration expense in 2021.</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Current tax expense </w:t>
      </w:r>
      <w:r>
        <w:rPr>
          <w:rFonts w:ascii="Times New Roman" w:cs="Times New Roman" w:eastAsia="Times New Roman" w:hAnsi="Times New Roman"/>
          <w:sz w:val="18"/>
          <w:szCs w:val="18"/>
          <w:color w:val="auto"/>
        </w:rPr>
        <w:t>- for the three and nine months ended September 30, 2022, increased due to incremental taxable income from the acquisition of Park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Holidays in the UK. Refer to Note 12, "Income Taxes," in our accompanying Consolidated Financial Statements for additional information.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Deferred tax benefit / (expense) </w:t>
      </w:r>
      <w:r>
        <w:rPr>
          <w:rFonts w:ascii="Times New Roman" w:cs="Times New Roman" w:eastAsia="Times New Roman" w:hAnsi="Times New Roman"/>
          <w:sz w:val="18"/>
          <w:szCs w:val="18"/>
          <w:color w:val="auto"/>
        </w:rPr>
        <w:t>- for the three and nine months ended September 30, 2022, deferred tax benefit was $3.6 million and $3.9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resulting from the acquisition of Park Holidays in the UK as compared to deferred tax expense of $1.2 million and $1.1 million, for the three and nine months ended September 30, 2021, respectively. Refer to Note 12, "Income Taxes," in our accompanying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ATTRIBUTABLE TO SUI COMMON SHAREHOLDERS TO FFO</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income attributable to SUI common shareholders to FFO for the three and nine months ended September 30, 2022 and 2021 (in millions, except for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gridSpan w:val="5"/>
          </w:tcPr>
          <w:p>
            <w:pPr>
              <w:ind w:left="4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40" w:type="dxa"/>
            <w:vAlign w:val="bottom"/>
          </w:tcPr>
          <w:p>
            <w:pPr>
              <w:spacing w:after="0"/>
              <w:rPr>
                <w:sz w:val="17"/>
                <w:szCs w:val="17"/>
                <w:color w:val="auto"/>
              </w:rPr>
            </w:pPr>
          </w:p>
        </w:tc>
        <w:tc>
          <w:tcPr>
            <w:tcW w:w="2480" w:type="dxa"/>
            <w:vAlign w:val="bottom"/>
            <w:gridSpan w:val="4"/>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146"/>
        </w:trPr>
        <w:tc>
          <w:tcPr>
            <w:tcW w:w="5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84"/>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20"/>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84"/>
              <w:spacing w:after="0" w:line="146"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Attributable to SUI Common Shareholders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367.3</w:t>
            </w:r>
          </w:p>
        </w:tc>
        <w:tc>
          <w:tcPr>
            <w:tcW w:w="0" w:type="dxa"/>
            <w:vAlign w:val="bottom"/>
          </w:tcPr>
          <w:p>
            <w:pPr>
              <w:spacing w:after="0"/>
              <w:rPr>
                <w:sz w:val="1"/>
                <w:szCs w:val="1"/>
                <w:color w:val="auto"/>
              </w:rPr>
            </w:pPr>
          </w:p>
        </w:tc>
      </w:tr>
      <w:tr>
        <w:trPr>
          <w:trHeight w:val="200"/>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377.4</w:t>
            </w: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on nonconsolidated affiliates</w:t>
            </w:r>
          </w:p>
        </w:tc>
        <w:tc>
          <w:tcPr>
            <w:tcW w:w="1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marketable securities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investment in nonconsolidated affiliates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remeasurement of notes receivable</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(Gain) / loss on dispositions of properties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(108.1)</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Add: Returns on preferred OP units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Add: Income attributable to noncontrolling interests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on dispositions of assets, net</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w:t>
            </w:r>
          </w:p>
        </w:tc>
        <w:tc>
          <w:tcPr>
            <w:tcW w:w="0" w:type="dxa"/>
            <w:vAlign w:val="bottom"/>
          </w:tcPr>
          <w:p>
            <w:pPr>
              <w:spacing w:after="0"/>
              <w:rPr>
                <w:sz w:val="1"/>
                <w:szCs w:val="1"/>
                <w:color w:val="auto"/>
              </w:rPr>
            </w:pPr>
          </w:p>
        </w:tc>
      </w:tr>
      <w:tr>
        <w:trPr>
          <w:trHeight w:val="196"/>
        </w:trPr>
        <w:tc>
          <w:tcPr>
            <w:tcW w:w="5800" w:type="dxa"/>
            <w:vAlign w:val="bottom"/>
          </w:tcPr>
          <w:p>
            <w:pPr>
              <w:ind w:left="20"/>
              <w:spacing w:after="0" w:line="196" w:lineRule="exact"/>
              <w:rPr>
                <w:sz w:val="20"/>
                <w:szCs w:val="20"/>
                <w:color w:val="auto"/>
              </w:rPr>
            </w:pPr>
            <w:r>
              <w:rPr>
                <w:rFonts w:ascii="Times New Roman" w:cs="Times New Roman" w:eastAsia="Times New Roman" w:hAnsi="Times New Roman"/>
                <w:sz w:val="15"/>
                <w:szCs w:val="15"/>
                <w:b w:val="1"/>
                <w:bCs w:val="1"/>
                <w:color w:val="auto"/>
              </w:rPr>
              <w:t>FFO Attributable to SUI Common Shareholders and Dilutive Convertible Securities</w:t>
            </w:r>
            <w:r>
              <w:rPr>
                <w:rFonts w:ascii="Times New Roman" w:cs="Times New Roman" w:eastAsia="Times New Roman" w:hAnsi="Times New Roman"/>
                <w:sz w:val="19"/>
                <w:szCs w:val="1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223.1</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726.7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562.0</w:t>
            </w:r>
          </w:p>
        </w:tc>
        <w:tc>
          <w:tcPr>
            <w:tcW w:w="0" w:type="dxa"/>
            <w:vAlign w:val="bottom"/>
          </w:tcPr>
          <w:p>
            <w:pPr>
              <w:spacing w:after="0"/>
              <w:rPr>
                <w:sz w:val="1"/>
                <w:szCs w:val="1"/>
                <w:color w:val="auto"/>
              </w:rPr>
            </w:pPr>
          </w:p>
        </w:tc>
      </w:tr>
      <w:tr>
        <w:trPr>
          <w:trHeight w:val="108"/>
        </w:trPr>
        <w:tc>
          <w:tcPr>
            <w:tcW w:w="5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line="204" w:lineRule="exact"/>
              <w:rPr>
                <w:sz w:val="20"/>
                <w:szCs w:val="20"/>
                <w:color w:val="auto"/>
              </w:rPr>
            </w:pPr>
            <w:r>
              <w:rPr>
                <w:rFonts w:ascii="Times New Roman" w:cs="Times New Roman" w:eastAsia="Times New Roman" w:hAnsi="Times New Roman"/>
                <w:sz w:val="15"/>
                <w:szCs w:val="15"/>
                <w:color w:val="auto"/>
              </w:rPr>
              <w:t>Business combination expense and other acquisition related costs</w:t>
            </w:r>
            <w:r>
              <w:rPr>
                <w:rFonts w:ascii="Times New Roman" w:cs="Times New Roman" w:eastAsia="Times New Roman" w:hAnsi="Times New Roman"/>
                <w:sz w:val="19"/>
                <w:szCs w:val="19"/>
                <w:color w:val="auto"/>
                <w:vertAlign w:val="superscript"/>
              </w:rPr>
              <w:t>(2)</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Catastrophic event-related charges, net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3" w:lineRule="exact"/>
              <w:rPr>
                <w:sz w:val="20"/>
                <w:szCs w:val="20"/>
                <w:color w:val="auto"/>
              </w:rPr>
            </w:pPr>
            <w:r>
              <w:rPr>
                <w:rFonts w:ascii="Times New Roman" w:cs="Times New Roman" w:eastAsia="Times New Roman" w:hAnsi="Times New Roman"/>
                <w:sz w:val="15"/>
                <w:szCs w:val="15"/>
                <w:color w:val="auto"/>
              </w:rPr>
              <w:t>Earnings - catastrophic event-related charges</w:t>
            </w:r>
            <w:r>
              <w:rPr>
                <w:rFonts w:ascii="Times New Roman" w:cs="Times New Roman" w:eastAsia="Times New Roman" w:hAnsi="Times New Roman"/>
                <w:sz w:val="19"/>
                <w:szCs w:val="19"/>
                <w:color w:val="auto"/>
                <w:vertAlign w:val="superscript"/>
              </w:rPr>
              <w:t>(3)</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 loss on foreign currency exchanges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0" w:type="dxa"/>
            <w:vAlign w:val="bottom"/>
          </w:tcPr>
          <w:p>
            <w:pPr>
              <w:spacing w:after="0"/>
              <w:rPr>
                <w:sz w:val="1"/>
                <w:szCs w:val="1"/>
                <w:color w:val="auto"/>
              </w:rPr>
            </w:pPr>
          </w:p>
        </w:tc>
      </w:tr>
      <w:tr>
        <w:trPr>
          <w:trHeight w:val="203"/>
        </w:trPr>
        <w:tc>
          <w:tcPr>
            <w:tcW w:w="5800" w:type="dxa"/>
            <w:vAlign w:val="bottom"/>
            <w:tcBorders>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5"/>
                <w:szCs w:val="15"/>
                <w:color w:val="auto"/>
              </w:rPr>
              <w:t>Other adjustments, net</w:t>
            </w:r>
            <w:r>
              <w:rPr>
                <w:rFonts w:ascii="Times New Roman" w:cs="Times New Roman" w:eastAsia="Times New Roman" w:hAnsi="Times New Roman"/>
                <w:sz w:val="19"/>
                <w:szCs w:val="19"/>
                <w:color w:val="auto"/>
                <w:vertAlign w:val="superscript"/>
              </w:rPr>
              <w:t>(4)</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0" w:type="dxa"/>
            <w:vAlign w:val="bottom"/>
          </w:tcPr>
          <w:p>
            <w:pPr>
              <w:spacing w:after="0"/>
              <w:rPr>
                <w:sz w:val="1"/>
                <w:szCs w:val="1"/>
                <w:color w:val="auto"/>
              </w:rPr>
            </w:pPr>
          </w:p>
        </w:tc>
      </w:tr>
      <w:tr>
        <w:trPr>
          <w:trHeight w:val="128"/>
        </w:trPr>
        <w:tc>
          <w:tcPr>
            <w:tcW w:w="58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Core FFO Attributable to SUI Common Shareholders and Dilutive Convertible</w:t>
            </w: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b w:val="1"/>
                <w:bCs w:val="1"/>
                <w:color w:val="auto"/>
              </w:rPr>
              <w:t>Securities</w:t>
            </w:r>
            <w:r>
              <w:rPr>
                <w:rFonts w:ascii="Times New Roman" w:cs="Times New Roman" w:eastAsia="Times New Roman" w:hAnsi="Times New Roman"/>
                <w:sz w:val="19"/>
                <w:szCs w:val="19"/>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598.9</w:t>
            </w:r>
          </w:p>
        </w:tc>
        <w:tc>
          <w:tcPr>
            <w:tcW w:w="0" w:type="dxa"/>
            <w:vAlign w:val="bottom"/>
          </w:tcPr>
          <w:p>
            <w:pPr>
              <w:spacing w:after="0"/>
              <w:rPr>
                <w:sz w:val="1"/>
                <w:szCs w:val="1"/>
                <w:color w:val="auto"/>
              </w:rPr>
            </w:pPr>
          </w:p>
        </w:tc>
      </w:tr>
      <w:tr>
        <w:trPr>
          <w:trHeight w:val="200"/>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40"/>
              <w:spacing w:after="0" w:line="204" w:lineRule="exact"/>
              <w:rPr>
                <w:sz w:val="20"/>
                <w:szCs w:val="20"/>
                <w:color w:val="auto"/>
              </w:rPr>
            </w:pPr>
            <w:r>
              <w:rPr>
                <w:rFonts w:ascii="Times New Roman" w:cs="Times New Roman" w:eastAsia="Times New Roman" w:hAnsi="Times New Roman"/>
                <w:sz w:val="15"/>
                <w:szCs w:val="15"/>
                <w:color w:val="auto"/>
              </w:rPr>
              <w:t>Foreign currency translation impact</w:t>
            </w:r>
            <w:r>
              <w:rPr>
                <w:rFonts w:ascii="Times New Roman" w:cs="Times New Roman" w:eastAsia="Times New Roman" w:hAnsi="Times New Roman"/>
                <w:sz w:val="19"/>
                <w:szCs w:val="19"/>
                <w:color w:val="auto"/>
                <w:vertAlign w:val="superscript"/>
              </w:rPr>
              <w:t>(5)</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29"/>
        </w:trPr>
        <w:tc>
          <w:tcPr>
            <w:tcW w:w="580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 Core FFO Attributable to SUI Common Shareholders and Dilutive</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343.3</w:t>
            </w:r>
          </w:p>
        </w:tc>
        <w:tc>
          <w:tcPr>
            <w:tcW w:w="8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244.5</w:t>
            </w:r>
          </w:p>
        </w:tc>
        <w:tc>
          <w:tcPr>
            <w:tcW w:w="2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766.2</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598.9</w:t>
            </w:r>
          </w:p>
        </w:tc>
        <w:tc>
          <w:tcPr>
            <w:tcW w:w="0" w:type="dxa"/>
            <w:vAlign w:val="bottom"/>
          </w:tcPr>
          <w:p>
            <w:pPr>
              <w:spacing w:after="0"/>
              <w:rPr>
                <w:sz w:val="1"/>
                <w:szCs w:val="1"/>
                <w:color w:val="auto"/>
              </w:rPr>
            </w:pPr>
          </w:p>
        </w:tc>
      </w:tr>
      <w:tr>
        <w:trPr>
          <w:trHeight w:val="194"/>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Convertible Securities</w:t>
            </w:r>
          </w:p>
        </w:tc>
        <w:tc>
          <w:tcPr>
            <w:tcW w:w="1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8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 Average Common Shares Outstanding - Basic</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111.7</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Common shares dilutive effect from forward equity sale</w:t>
            </w:r>
          </w:p>
        </w:tc>
        <w:tc>
          <w:tcPr>
            <w:tcW w:w="1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Restricted stock</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0" w:type="dxa"/>
            <w:vAlign w:val="bottom"/>
          </w:tcPr>
          <w:p>
            <w:pPr>
              <w:spacing w:after="0"/>
              <w:rPr>
                <w:sz w:val="1"/>
                <w:szCs w:val="1"/>
                <w:color w:val="auto"/>
              </w:rPr>
            </w:pPr>
          </w:p>
        </w:tc>
      </w:tr>
      <w:tr>
        <w:trPr>
          <w:trHeight w:val="200"/>
        </w:trPr>
        <w:tc>
          <w:tcPr>
            <w:tcW w:w="58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Common OP units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205"/>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Common stock issuable upon conversion of certain preferred OP units</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0" w:type="dxa"/>
            <w:vAlign w:val="bottom"/>
          </w:tcPr>
          <w:p>
            <w:pPr>
              <w:spacing w:after="0"/>
              <w:rPr>
                <w:sz w:val="1"/>
                <w:szCs w:val="1"/>
                <w:color w:val="auto"/>
              </w:rPr>
            </w:pPr>
          </w:p>
        </w:tc>
      </w:tr>
      <w:tr>
        <w:trPr>
          <w:trHeight w:val="196"/>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Common Shares Outstanding - Diluted</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126.7</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116.0</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115.1</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8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8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FFO Attributable to SUI Common Shareholders and Dilutive Convertible Securities</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4.88</w:t>
            </w:r>
          </w:p>
        </w:tc>
        <w:tc>
          <w:tcPr>
            <w:tcW w:w="0" w:type="dxa"/>
            <w:vAlign w:val="bottom"/>
          </w:tcPr>
          <w:p>
            <w:pPr>
              <w:spacing w:after="0"/>
              <w:rPr>
                <w:sz w:val="1"/>
                <w:szCs w:val="1"/>
                <w:color w:val="auto"/>
              </w:rPr>
            </w:pPr>
          </w:p>
        </w:tc>
      </w:tr>
      <w:tr>
        <w:trPr>
          <w:trHeight w:val="112"/>
        </w:trPr>
        <w:tc>
          <w:tcPr>
            <w:tcW w:w="5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Core FFO Attributable to SUI Common Shareholders and Dilutive Convertible</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Securities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w:t>
            </w:r>
          </w:p>
        </w:tc>
        <w:tc>
          <w:tcPr>
            <w:tcW w:w="0" w:type="dxa"/>
            <w:vAlign w:val="bottom"/>
          </w:tcPr>
          <w:p>
            <w:pPr>
              <w:spacing w:after="0"/>
              <w:rPr>
                <w:sz w:val="1"/>
                <w:szCs w:val="1"/>
                <w:color w:val="auto"/>
              </w:rPr>
            </w:pPr>
          </w:p>
        </w:tc>
      </w:tr>
      <w:tr>
        <w:trPr>
          <w:trHeight w:val="112"/>
        </w:trPr>
        <w:tc>
          <w:tcPr>
            <w:tcW w:w="5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80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Constant Currency Core FFO Attributable to SUI Common Shareholders and Dilutive</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Convertible Securities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60" w:hanging="152"/>
        <w:spacing w:after="0"/>
        <w:tabs>
          <w:tab w:leader="none" w:pos="16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effect of certain anti-dilutive convertible securities is excluded from these items.</w:t>
      </w:r>
    </w:p>
    <w:p>
      <w:pPr>
        <w:spacing w:after="0" w:line="16" w:lineRule="exact"/>
        <w:rPr>
          <w:rFonts w:ascii="Times New Roman" w:cs="Times New Roman" w:eastAsia="Times New Roman" w:hAnsi="Times New Roman"/>
          <w:sz w:val="19"/>
          <w:szCs w:val="19"/>
          <w:color w:val="auto"/>
          <w:vertAlign w:val="superscript"/>
        </w:rPr>
      </w:pPr>
    </w:p>
    <w:p>
      <w:pPr>
        <w:jc w:val="both"/>
        <w:ind w:left="180" w:hanging="172"/>
        <w:spacing w:after="0" w:line="234" w:lineRule="auto"/>
        <w:tabs>
          <w:tab w:leader="none" w:pos="167"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costs represent (i) nonrecurring integration expenses associated with new acquisitions and first year acquisition deferred costs for the three and nine months ended September 30, 2022 and 2021, (ii) costs associated with potential acquisitions that will not close, (iii) costs associated with the termination of the bridge loan commitment during the three months ended March 31, 2022 related to the acquisition of Park Holidays and (iv) business combination expenses and expenses incurred to bring recently acquired properties up to our operating standards, including items such as tree trimming and painting costs that do not meet our capitalization policy.</w:t>
      </w:r>
    </w:p>
    <w:p>
      <w:pPr>
        <w:spacing w:after="0" w:line="2" w:lineRule="exact"/>
        <w:rPr>
          <w:rFonts w:ascii="Times New Roman" w:cs="Times New Roman" w:eastAsia="Times New Roman" w:hAnsi="Times New Roman"/>
          <w:sz w:val="19"/>
          <w:szCs w:val="19"/>
          <w:color w:val="auto"/>
          <w:vertAlign w:val="superscript"/>
        </w:rPr>
      </w:pPr>
    </w:p>
    <w:p>
      <w:pPr>
        <w:ind w:left="180" w:right="20" w:hanging="172"/>
        <w:spacing w:after="0" w:line="271" w:lineRule="auto"/>
        <w:tabs>
          <w:tab w:leader="none" w:pos="167" w:val="left"/>
        </w:tabs>
        <w:numPr>
          <w:ilvl w:val="0"/>
          <w:numId w:val="3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Adjustment related to estimated loss of earnings in excess of the applicable business interruption deductible in relation to our three Florida Keys communities that were impaired by Hurricane Irma which had not yet been received from our insurer.</w:t>
      </w:r>
    </w:p>
    <w:p>
      <w:pPr>
        <w:jc w:val="both"/>
        <w:ind w:left="180" w:hanging="172"/>
        <w:spacing w:after="0" w:line="275" w:lineRule="auto"/>
        <w:tabs>
          <w:tab w:leader="none" w:pos="167" w:val="left"/>
        </w:tabs>
        <w:numPr>
          <w:ilvl w:val="0"/>
          <w:numId w:val="3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adjustments, net include (i) deferred tax (benefit) / expense and RV rebranding non-recurring cost for the three and nine months ended September 30, 2022 and 2021, (ii) accelerated deferred compensation amortization, gain from litigation settlement and long-term lease termination (benefit) / expense for the three and nine months ended September 30, 2022, (iii) gain on sale of investment in nonconsolidated affiliate for the nine months ended September 30, 2022., and (iv) change in estimated contingent consideration for the three and nine months ended September 30, 2021.</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80" w:hanging="172"/>
        <w:spacing w:after="0" w:line="292" w:lineRule="auto"/>
        <w:tabs>
          <w:tab w:leader="none" w:pos="176" w:val="left"/>
        </w:tabs>
        <w:numPr>
          <w:ilvl w:val="0"/>
          <w:numId w:val="35"/>
        </w:numPr>
        <w:rPr>
          <w:rFonts w:ascii="Calibri" w:cs="Calibri" w:eastAsia="Calibri" w:hAnsi="Calibri"/>
          <w:sz w:val="9"/>
          <w:szCs w:val="9"/>
          <w:color w:val="auto"/>
        </w:rPr>
      </w:pPr>
      <w:r>
        <w:rPr>
          <w:rFonts w:ascii="Times New Roman" w:cs="Times New Roman" w:eastAsia="Times New Roman" w:hAnsi="Times New Roman"/>
          <w:sz w:val="14"/>
          <w:szCs w:val="14"/>
          <w:color w:val="auto"/>
        </w:rPr>
        <w:t>We calculated the foreign currency translation impact by comparing the actual weighted average foreign currency rates with the weighted average foreign currency rates used for guidance,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5"/>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60" w:type="dxa"/>
            <w:vAlign w:val="bottom"/>
          </w:tcPr>
          <w:p>
            <w:pPr>
              <w:spacing w:after="0"/>
              <w:rPr>
                <w:sz w:val="17"/>
                <w:szCs w:val="17"/>
                <w:color w:val="auto"/>
              </w:rPr>
            </w:pPr>
          </w:p>
        </w:tc>
        <w:tc>
          <w:tcPr>
            <w:tcW w:w="2360" w:type="dxa"/>
            <w:vAlign w:val="bottom"/>
            <w:gridSpan w:val="4"/>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7"/>
        </w:trPr>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5"/>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260" w:type="dxa"/>
            <w:vAlign w:val="bottom"/>
          </w:tcPr>
          <w:p>
            <w:pPr>
              <w:spacing w:after="0"/>
              <w:rPr>
                <w:sz w:val="17"/>
                <w:szCs w:val="17"/>
                <w:color w:val="auto"/>
              </w:rPr>
            </w:pPr>
          </w:p>
        </w:tc>
        <w:tc>
          <w:tcPr>
            <w:tcW w:w="2360" w:type="dxa"/>
            <w:vAlign w:val="bottom"/>
            <w:gridSpan w:val="4"/>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September 30, 2022</w:t>
            </w:r>
          </w:p>
        </w:tc>
      </w:tr>
      <w:tr>
        <w:trPr>
          <w:trHeight w:val="200"/>
        </w:trPr>
        <w:tc>
          <w:tcPr>
            <w:tcW w:w="58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Actual</w:t>
            </w: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Guidance</w:t>
            </w: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Actual</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Guidance</w:t>
            </w:r>
          </w:p>
        </w:tc>
      </w:tr>
      <w:tr>
        <w:trPr>
          <w:trHeight w:val="196"/>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 Dollars per Pounds Sterling</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1.1821</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1.330</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1.2116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1.330</w:t>
            </w:r>
          </w:p>
        </w:tc>
      </w:tr>
      <w:tr>
        <w:trPr>
          <w:trHeight w:val="200"/>
        </w:trPr>
        <w:tc>
          <w:tcPr>
            <w:tcW w:w="5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U.S. Dollars per Canadian Dollars</w:t>
            </w: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0.7691</w:t>
            </w:r>
          </w:p>
        </w:tc>
        <w:tc>
          <w:tcPr>
            <w:tcW w:w="8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0.770</w:t>
            </w:r>
          </w:p>
        </w:tc>
        <w:tc>
          <w:tcPr>
            <w:tcW w:w="2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0.7769</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0.770</w:t>
            </w:r>
          </w:p>
        </w:tc>
      </w:tr>
      <w:tr>
        <w:trPr>
          <w:trHeight w:val="20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U.S. Dollars per Australian Dollars</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0.6977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0.756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0.7096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0.756</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Liquidity</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short-term liquidity demands historically have been, and are expected to continue to be, distributions to our shareholders and the unit holders of the Operating Partnership, property acquisitions, development and expansion of our properties, capital improvement of our properties, the purchase of new and pre-owned homes, and debt repayment. We intend to meet our short-term liquidity requirements through available cash balances, cash flows generated from operations, draws on our Senior Credit Facility, and the use of debt and equity offerings under our shelf registration statement. Refer to Note 8, "Debt and Line of Credit," and Note 9, "Equity and Temporary Equity," in our accompanying Consolidated Financial Statements for additional information.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intend to continue to strengthen our capital and liquidity positions by focusing on our core fundamentals, which are generating positive cash flows from operations, maintaining appropriate debt levels and leverage ratios, and controlling overhead costs. We take a disciplined approach to selecting the optimal mix of financing sources to meet our liquidity demands and minimize our overall cost of capital. In June 2021, we received investment grade ratings of BBB and Baa3 with a stable outlook from S&amp;P Global and Moody's, respectively. We plan on continuing to capitalize on our advantage in the credit markets to access a greater proportion of unsecured debt to optimize our cost of capital and increase our financial flexibility.</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 market and economic conditions, including relating to, among other things, interest rates, currency fluctuations, equity valuations and inflation, may adversely affect our ability to obtain debt and equity capital in the short term on attractive terms.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development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market conditions, we intend to continue to identify opportunities to expand our development pipeline and acquire existing properties. We finance acquisitions through available cash, secured financing, draws on our Senior Credit Facility, the assumption of existing debt on properties and the issuance of debt and equity securities. We will continue to evaluate acquisition opportunities that meet our criteria. Refer to Note 3, "Real Estate Acquisitions and Dispositions," in the accompanying Consolidated Financial Statements for information regarding recent property acquisitions.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2022, we completed our announced acquisition of Park Holidays at an enterprise value of £950.0 million (or approximately $1.2 billion). As consideration for the acquisition, we (i) issued an aggregate of 186,044 shares of our common stock with a value of approximately $34.0 million as of the closing to certain individual sellers who are also members of Park Holidays' senior management team, and (ii) paid the remainder of the purchase price in cash.</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2022, we completed the construction of over 170 sites and over 300 sites, respectively, at two ground-up developments and six expansion properties.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"Real Estate Acquisitions and Dispositions," for additional detail on acquisitions completed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capital expenditures include expansion sites and development construction costs, recurring capital expenditures, lot modifications, growth projects, acquisition-related capital expenditures, rental home purchases and rebranding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capital expenditure activity is summarized as follows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924"/>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0"/>
        </w:trPr>
        <w:tc>
          <w:tcPr>
            <w:tcW w:w="7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20" w:type="dxa"/>
            <w:vAlign w:val="bottom"/>
          </w:tcPr>
          <w:p>
            <w:pPr>
              <w:spacing w:after="0"/>
              <w:rPr>
                <w:sz w:val="17"/>
                <w:szCs w:val="17"/>
                <w:color w:val="auto"/>
              </w:rPr>
            </w:pPr>
          </w:p>
        </w:tc>
        <w:tc>
          <w:tcPr>
            <w:tcW w:w="148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September 30, 2021</w:t>
            </w:r>
          </w:p>
        </w:tc>
      </w:tr>
      <w:tr>
        <w:trPr>
          <w:trHeight w:val="196"/>
        </w:trPr>
        <w:tc>
          <w:tcPr>
            <w:tcW w:w="79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Expansion and Development Expenditures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176.7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145.6</w:t>
            </w:r>
          </w:p>
        </w:tc>
      </w:tr>
      <w:tr>
        <w:trPr>
          <w:trHeight w:val="200"/>
        </w:trPr>
        <w:tc>
          <w:tcPr>
            <w:tcW w:w="7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Recurring Capital Expenditures</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w:t>
            </w:r>
          </w:p>
        </w:tc>
      </w:tr>
      <w:tr>
        <w:trPr>
          <w:trHeight w:val="205"/>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Lot Modifications Expenditures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w:t>
            </w:r>
          </w:p>
        </w:tc>
      </w:tr>
      <w:tr>
        <w:trPr>
          <w:trHeight w:val="200"/>
        </w:trPr>
        <w:tc>
          <w:tcPr>
            <w:tcW w:w="7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Growth Projects</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57.7</w:t>
            </w:r>
          </w:p>
        </w:tc>
      </w:tr>
      <w:tr>
        <w:trPr>
          <w:trHeight w:val="205"/>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Acquisition-related Capital Expenditures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220.9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124.2</w:t>
            </w:r>
          </w:p>
        </w:tc>
      </w:tr>
      <w:tr>
        <w:trPr>
          <w:trHeight w:val="200"/>
        </w:trPr>
        <w:tc>
          <w:tcPr>
            <w:tcW w:w="7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Rental Program</w:t>
            </w:r>
          </w:p>
        </w:tc>
        <w:tc>
          <w:tcPr>
            <w:tcW w:w="14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84.7</w:t>
            </w:r>
          </w:p>
        </w:tc>
      </w:tr>
      <w:tr>
        <w:trPr>
          <w:trHeight w:val="205"/>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Rebranding Cost</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00"/>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23"/>
        </w:trPr>
        <w:tc>
          <w:tcPr>
            <w:tcW w:w="7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capital expenditures activity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656.6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Expansion and development expenditures </w:t>
      </w:r>
      <w:r>
        <w:rPr>
          <w:rFonts w:ascii="Times New Roman" w:cs="Times New Roman" w:eastAsia="Times New Roman" w:hAnsi="Times New Roman"/>
          <w:sz w:val="18"/>
          <w:szCs w:val="18"/>
          <w:color w:val="auto"/>
        </w:rPr>
        <w:t>- consist primarily of construction costs such as roads, activities and amenities, and costs necessary to complete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home and RV site improvements, such as driveways, sidewalks and landscaping at our MH communities and RV communities. Expenditures also include costs to rebuild after damage has been incurred at MH, RV or Marina properties, and research and development.</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Recurring capital expenditures </w:t>
      </w:r>
      <w:r>
        <w:rPr>
          <w:rFonts w:ascii="Times New Roman" w:cs="Times New Roman" w:eastAsia="Times New Roman" w:hAnsi="Times New Roman"/>
          <w:sz w:val="18"/>
          <w:szCs w:val="18"/>
          <w:color w:val="auto"/>
        </w:rPr>
        <w:t>- relate to our continued commitment to the upkeep of our MH and RV properties and include items such as dredging, dock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repairs and improvements, and equipment maintenance and upgrades related to our marinas.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Lot modification capital expenditures </w:t>
      </w:r>
      <w:r>
        <w:rPr>
          <w:rFonts w:ascii="Times New Roman" w:cs="Times New Roman" w:eastAsia="Times New Roman" w:hAnsi="Times New Roman"/>
          <w:sz w:val="18"/>
          <w:szCs w:val="18"/>
          <w:color w:val="auto"/>
        </w:rPr>
        <w:t>- are incurred to modify the foundational structures required to set a new home after a previous home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removed. These expenditures are necessary to create a revenue stream from a new site renter and often improve the quality of the community. Other lot modification expenditures include land improvements added to annual RV sites to aid in the conversion of transient RV guests to annual contracts.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Growth projects </w:t>
      </w:r>
      <w:r>
        <w:rPr>
          <w:rFonts w:ascii="Times New Roman" w:cs="Times New Roman" w:eastAsia="Times New Roman" w:hAnsi="Times New Roman"/>
          <w:sz w:val="18"/>
          <w:szCs w:val="18"/>
          <w:color w:val="auto"/>
        </w:rPr>
        <w:t>- consist of revenue generating or expense reducing activities at MH communities, RV communities and Marinas. This includes, but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utility efficiency and renewable energy projects, site, slip or amenity upgrades such as the addition of a garage, shed or boat lift, and other special capital projects that substantiate an incremental rental increase.</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Acquisition-related capital expenditures </w:t>
      </w:r>
      <w:r>
        <w:rPr>
          <w:rFonts w:ascii="Times New Roman" w:cs="Times New Roman" w:eastAsia="Times New Roman" w:hAnsi="Times New Roman"/>
          <w:sz w:val="18"/>
          <w:szCs w:val="18"/>
          <w:color w:val="auto"/>
        </w:rPr>
        <w:t>- consist of capital improvements identified during due diligence that are necessary to bring our communities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marinas up to our operating standards. These include items such as: upgrading clubhouses; landscaping; new street light systems; new mail delivery systems; pool renovation including larger decks, heaters and furniture; new maintenance facilities; lot modifications; and new signage.</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Rental program </w:t>
      </w:r>
      <w:r>
        <w:rPr>
          <w:rFonts w:ascii="Times New Roman" w:cs="Times New Roman" w:eastAsia="Times New Roman" w:hAnsi="Times New Roman"/>
          <w:sz w:val="18"/>
          <w:szCs w:val="18"/>
          <w:color w:val="auto"/>
        </w:rPr>
        <w:t>- investment in the acquisition of homes intended for the Rental Program and the purchase of vacation rental homes at our RV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communities. Expenditures for these investments depend upon the condition of the markets for repossessions and new home sales, rental homes and vacation rental homes.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Rebranding cost </w:t>
      </w:r>
      <w:r>
        <w:rPr>
          <w:rFonts w:ascii="Times New Roman" w:cs="Times New Roman" w:eastAsia="Times New Roman" w:hAnsi="Times New Roman"/>
          <w:sz w:val="18"/>
          <w:szCs w:val="18"/>
          <w:color w:val="auto"/>
        </w:rPr>
        <w:t>- includes new signage at our RV communities and costs of building an RV mobile application and updated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 activities are summarized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924"/>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0"/>
        </w:trPr>
        <w:tc>
          <w:tcPr>
            <w:tcW w:w="7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20" w:type="dxa"/>
            <w:vAlign w:val="bottom"/>
          </w:tcPr>
          <w:p>
            <w:pPr>
              <w:spacing w:after="0"/>
              <w:rPr>
                <w:sz w:val="17"/>
                <w:szCs w:val="17"/>
                <w:color w:val="auto"/>
              </w:rPr>
            </w:pPr>
          </w:p>
        </w:tc>
        <w:tc>
          <w:tcPr>
            <w:tcW w:w="148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September 30, 2021</w:t>
            </w:r>
          </w:p>
        </w:tc>
      </w:tr>
      <w:tr>
        <w:trPr>
          <w:trHeight w:val="196"/>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654.5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656.0</w:t>
            </w:r>
          </w:p>
        </w:tc>
      </w:tr>
      <w:tr>
        <w:trPr>
          <w:trHeight w:val="200"/>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for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(2,740.8)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(1,363.1)</w:t>
            </w:r>
          </w:p>
        </w:tc>
      </w:tr>
      <w:tr>
        <w:trPr>
          <w:trHeight w:val="20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2,130.8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700.4</w:t>
            </w:r>
          </w:p>
        </w:tc>
      </w:tr>
      <w:tr>
        <w:trPr>
          <w:trHeight w:val="198"/>
        </w:trPr>
        <w:tc>
          <w:tcPr>
            <w:tcW w:w="7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r>
    </w:tbl>
    <w:p>
      <w:pPr>
        <w:spacing w:after="0" w:line="3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cash equivalents, and restricted cash increased by $33.8 million from $78.2 million as of December 31, 2021, to $112.0 million as of September 30, 2022.</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Operating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Net cash provided by operating activities decreased by $1.5 million to $654.5 million for the nine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$656.0 million for the nine months ended September 30, 2021. Operating activities were driven by an increase in operating cash flow due to improved operating performance at our existing properties and the addition of recently acquired properties, offset by the timing of cash payments related to real estate taxes and other liabilities.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cash flows provided by operating activities from continuing operations may be adversely impacted by, among other things: (a) the market and economic conditions in our current markets generally, and specifically in the metropolitan areas of our current markets; (b) lower occupancy and rental rates of our properties; (c) increased operating costs, such as wage and benefit costs, insurance premiums, real estate taxes and utilities, that cannot be passed on to our tenants; (d) decreased sales of manufactured homes; (e) current volatility in economic conditions and the financial markets; and (f) the effects of the COVID-19 pandemic. See "Risk Factors" in Part I, Item 1A of our 2021 Annual Report.</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Investing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Net cash used for investing activities increased by $1.3 billion to $2.7 billion for the nine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$1.4 billion for the nine months ended September 30, 2021. The increase in Net cash used for investing activities was primarily driven by an increase in cash deployed to acquire Park Holidays and other new properties, capital expenditure activity, and proceeds from disposition of assets and depreciated homes during the nine months ended September 30, 2022 as compared to the corresponding period in 2021. Refer to the Consolidated Statements of Cash Flow for detail on the net cash used for investing activities during the nine months ended September 30, 2022 and 2021. Refer to Note 3, "Real Estate Acquisitions and Dispositions," and Note 4, "Notes and Other Receivables," in our accompanying Consolidated Financial Statements for additional information on acquisitions and issuance of notes and other receivables.</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Financing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Net cash provided by financing activities increased by $1.4 billion to $2.1 billion for the nine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$700.4 million for the nine months ended September 30, 2021. The increase in Net cash provided by financing activities was primarily driven by a decrease in payments and an increase in borrowings under our Senior Credit Facility during the nine months ended September 30, 2022 as compared to the corresponding period in 2021. Refer to the Consolidated Statements of Cash Flow for detail on the net cash provided by financing activities during the nine months ended September 30, 2022 and 2021. Refer to Note 8, "Debt and Line of Credit," and Note 9, "Equity and Temporary Equity," in our accompanying Consolidated Financial Statements for additional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and Debt Activity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Equity Offerings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2021, we entered into the November 2021 Forward Sale Agreements in connection with an underwritten registered public offering of 4,025,000 shares of our common stock at a public offering price of $185.00. In April 2022, we completed the physical settlement of the 4,025,000 shares of common stock and received aggregate net proceeds of $705.4 million. We used the net proceeds to repay borrowings outstanding under our Senior Credit Facility, and for working capital and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 the Market Offering Sales Agreement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2021, we entered into the Sales Agreement, with certain sales agents and forward sellers pursuant to which we may sell, from time to time, up to an aggregate gross sales price of $1.25 billion of our common stock through the sales agents, acting as our sales agents or, if applicable, as forward sellers, or directly to the sales agents as principals for their own accounts. We simultaneously terminated our prior sales agreement upon entering into the Sales Agreement. Through September 30, 2022, we had entered into forward sales agreements under our Sales Agreement for an aggregate gross sales price of $160.6 million.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2022, we entered into forward sale agreements with respect to 15,000 shares of common stock under our Sales Agreement for $2.6 million. Additionally, we settled all of our outstanding forward sale agreements with respect to 1,526,212 shares of common stock which includes 620,109; 600,503; 290,600; and 15,000 shares of common stock from the three months ended December 31, 2021, March 31, June 30 and September 30, 2022 forward sale agreements, respectively. The net proceeds of $275.5 million from the settlement of these forward sale agreements were used to repay borrowings outstanding under our Senior Credit Facility.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2022, we completed the physical settlement of 1,200,000 shares of common stock under our prior at the market offering program and received net proceeds of $229.5 million. Additionally, we entered into forward sales agreements with respect 290,600 shares of common stock for $50.1 million, under our Sales Agreement. These forward sale agreements were settled during the three months ended September 30, 2022.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we entered into forward sales agreements with respect to 600,503 shares of common stock for $107.9 million, under our Sales Agreement. These forward sale agreements were settled during the three months ended September 30,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we entered into forward sale agreements with respect to 1,820,109 shares of common stock under our prior at the market offering program for $356.5 million. We completed the physical settlement of 1,200,000 and 620,109 shares of common stock during the three months ended June 30, 2022 and September 30, 2022,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Debt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2022, we repaid $318.0 million of term loans collateralized by 35 properties. These loans had a weighted average interest rate of 4.81 percent and were set to mature from December 2022 through September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have negotiated fixed rate mortgages with an existing lender on certain properties that have low loan-to-value ratios and are scheduled to mature between 2026 and 2029. The additional financings are expected to close before year-end and provide proceeds to the Company of approximately $310.0 million. We intend to use the proceeds to repay borrowings outstanding under our Senior Credit Facility.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2022, we entered into a new $20.6 million construction loan, which was undrawn as of September 30, 2022, and a $3.4 million mortgage term loan jointly secured by one property. Both loans mature August 10, 2047 and have a fixed interest rate of 3.65 percent.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2022, the Operating Partnership issued $600.0 million of senior unsecured 2032 Notes with an interest rate of 4.2 percent and a 10-year term, due April 15, 2032. The net proceeds from the offering were $592.3 million after deducting underwriters' discounts and estimated offering expenses. In connection with the 2032 Notes issuance, we settled four 10-year Treasury rate lock contracts totaling $600.0 million and received a settlement payment of $35.3 million. The balance will be amortized as a reduction of interest expense on a straight-line basis over the 10-year term of the hedged transaction. This lowers the effective interest rate on the 2032 Notes from 4.2 percent to 3.6 percent.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2021, the Operating Partnership issued $450.0 million of senior unsecured 2028 Notes with an interest rate of 2.3 percent and a seven-year term, due November 1, 2028. The Operating Partnership also issued an additional $150.0 million of its 2031 Notes (as defined below). The net proceeds from both offerings were approximately $595.5 million after deducting underwriters' discounts and estimated offering expenses.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the Operating Partnership issued $600.0 million of senior unsecured 2031 Notes with an interest rate of 2.7 percent and a ten-year term, due July 15, 2031. The net proceeds from the offering were approximately $592.4 million, after deducting underwriters' discounts and estimated offering expenses.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proceeds from the 2028 Notes, the 2031 Notes and the 2032 Notes, were used to pay down borrowings under our Senior Credit Facility. The total outstanding principal balance of senior unsecured notes was $1.8 billion at September 30, 2022.</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obligations of the Operating Partnership to pay principal, premiums, if any, and interest on the 2028 Notes, 2031 Notes and 2032 Notes are guaranteed on a senior basis by SUI. The irrevocable guarantee is full and unconditional, and the Operating Partnership is a consolidated subsidiary of the Company. Under Rule 3-10 of Regulation S-X, as amended, subsidiary issuers of obligations guaranteed by its parent company are not required to provide separate financial statements, provided that the subsidiary obligor is consolidated into the parent company's consolidated financial statements, the parent guarantee is "full and unconditional" and, subject to certain exceptions, the alternative disclosure required by Rule 13-01 is provided, which includes narrative disclosure and summarized financial information. Accordingly, separate consolidated financial statements of the Operating Partnership have not been presented. Furthermore, as permitted under Rule 13-01(a)(4)(vi), we have excluded the summarized financial information for the Operating Partnership as the assets, liabilities and results of operations of the Operating Partnership are not materially different from the corresponding amounts presented in our consolidated financial statements and management believes such summarized financial information would be repetitive and not provide incremental value to investors.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 of Credit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2022, in connection with the closing of the Park Holidays acquisition, the Operating Partnership as borrower, and SUI, as guarantor, and certain lenders entered into the Credit Facility Amendment, which amended our Senior Credit Facility.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Facility Amendment increased the aggregate amount of our Senior Credit Facility to $4.2 billion with the ability to upsize the total borrowings by an additional $800.0 million, subject to certain conditions. The increased aggregate amount under the Senior Credit Facility consists of the following:</w:t>
      </w:r>
    </w:p>
    <w:p>
      <w:pPr>
        <w:jc w:val="both"/>
        <w:ind w:firstLine="8"/>
        <w:spacing w:after="0" w:line="253" w:lineRule="auto"/>
        <w:tabs>
          <w:tab w:leader="none" w:pos="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loan in an amount up to $3.05 billion and (b) a term loan facility of $1.15 billion, with the ability to draw funds from the combined facilities in U.S. dollars, Pounds sterling, Euros, Canadian dollars and Australian dollars, subject to certain limitations. The Credit Facility Amendment extended the maturity date of the revolving loan facility to April 7, 2026. At our option that maturity date may be extended two additional six-month periods. In addition, the Credit Facility Amendment established the maturity date of the term loan facility under the Credit Facility Amendment as April 7, 2025, which may not be further extended.</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Credit Facility Amendment, the Senior Credit Facility permitted aggregate borrowings of up to $2.0 billion, with an accordion feature that allowed for additional commitments of up to $1.0 billion, subject to the satisfaction of certain conditions. Prior to the amendment, $500.0 million of available borrowings under the Senior Credit Facility were scheduled to mature on October 11, 2024, with the remainder scheduled to mature on June 14, 2025. We had no loss on extinguishment of debt during the three months ended September 30, 2022 and 2021. During the nine months ended September 30, 2021, we recognized losses on extinguishment of debt in our Consolidated Statements of Operations of $0.1 million related to the amendment of the Senior Credit Facility, and $0.2 million and $7.9 million, related to the termination of our $750.0 million credit facility and the $1.8 billion credit facility between Safe Harbor and certain lenders, respectively.</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Senior Credit Facility bears interest at a floating rate based on Adjusted Term SOFR, the Adjusted Eurocurrency Rate, the Daily RFR, the Australian BBSY, the Daily SONIA Rate or the Canadian Dollar Offered Rate, as applicable, plus a margin, in all cases, which can range from 0.725 percent to 1.6 percent, subject to certain adjustments. As of September 30, 2022, the margins based on our credit ratings were 0.85 percent on the revolving loan facility and 0.95 percent on the term loan facility. During the quarter ended September 30, 2022, we achieved sustainability related requirements resulting in a favorable 0.01 percent adjustment to both margins.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lenders' option, the Senior Credit Facility will become immediately due and payable upon an event of default under the Credit Facility Amendment. We had $862.1 million of borrowings outstanding under the revolving loan and $974.9 million of borrowings outstanding under the term loan on the Senior Credit Facility as of September 30, 2022. We had $1.0 billion of revolving borrowings on our prior Senior Credit Facility as of December 31, 2021. These balances are recorded in Unsecured debt on the Consolidated Balance Sheets.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Credit Facility provides us with the ability to issue letters of credit. Our issuance of letters of credit does not increase our borrowings outstanding under the Senior Credit Facility, but does reduce the borrowing amount available. We had $21.6 million and $2.2 million of outstanding letters of credit at September 30, 2022 and December 31, 2021,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Senior Credit Facility, we are subject to various financial and other covenants. The most restrictive financial covenants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Credit Facility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00" w:type="dxa"/>
            <w:vAlign w:val="bottom"/>
            <w:gridSpan w:val="2"/>
          </w:tcPr>
          <w:p>
            <w:pPr>
              <w:ind w:left="3140"/>
              <w:spacing w:after="0"/>
              <w:rPr>
                <w:sz w:val="20"/>
                <w:szCs w:val="20"/>
                <w:color w:val="auto"/>
              </w:rPr>
            </w:pPr>
            <w:r>
              <w:rPr>
                <w:rFonts w:ascii="Times New Roman" w:cs="Times New Roman" w:eastAsia="Times New Roman" w:hAnsi="Times New Roman"/>
                <w:sz w:val="15"/>
                <w:szCs w:val="15"/>
                <w:b w:val="1"/>
                <w:bCs w:val="1"/>
                <w:color w:val="auto"/>
              </w:rPr>
              <w:t>Covenant</w:t>
            </w:r>
          </w:p>
        </w:tc>
        <w:tc>
          <w:tcPr>
            <w:tcW w:w="216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Requirement</w:t>
            </w:r>
          </w:p>
        </w:tc>
        <w:tc>
          <w:tcPr>
            <w:tcW w:w="208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As of September 30, 2022</w:t>
            </w:r>
          </w:p>
        </w:tc>
      </w:tr>
      <w:tr>
        <w:trPr>
          <w:trHeight w:val="200"/>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leverage ratio</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&lt;65.0%</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30.8%</w:t>
            </w:r>
          </w:p>
        </w:tc>
      </w:tr>
      <w:tr>
        <w:trPr>
          <w:trHeight w:val="20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Minimum fixed charge coverage ratio</w:t>
            </w: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&gt;1.40</w:t>
            </w:r>
          </w:p>
        </w:tc>
        <w:tc>
          <w:tcPr>
            <w:tcW w:w="8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4.07</w:t>
            </w:r>
          </w:p>
        </w:tc>
      </w:tr>
      <w:tr>
        <w:trPr>
          <w:trHeight w:val="205"/>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dividend payout ratio</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&lt;95.0%</w:t>
            </w: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43.7%</w:t>
            </w:r>
          </w:p>
        </w:tc>
      </w:tr>
      <w:tr>
        <w:trPr>
          <w:trHeight w:val="198"/>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Maximum secured leverage ratio</w:t>
            </w: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&lt;40.0%</w:t>
            </w:r>
          </w:p>
        </w:tc>
        <w:tc>
          <w:tcPr>
            <w:tcW w:w="8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11.5%</w:t>
            </w: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are required to maintain the following covenants with respect to the senior unsecured notes payable: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00" w:type="dxa"/>
            <w:vAlign w:val="bottom"/>
            <w:gridSpan w:val="2"/>
          </w:tcPr>
          <w:p>
            <w:pPr>
              <w:ind w:left="3140"/>
              <w:spacing w:after="0"/>
              <w:rPr>
                <w:sz w:val="20"/>
                <w:szCs w:val="20"/>
                <w:color w:val="auto"/>
              </w:rPr>
            </w:pPr>
            <w:r>
              <w:rPr>
                <w:rFonts w:ascii="Times New Roman" w:cs="Times New Roman" w:eastAsia="Times New Roman" w:hAnsi="Times New Roman"/>
                <w:sz w:val="15"/>
                <w:szCs w:val="15"/>
                <w:b w:val="1"/>
                <w:bCs w:val="1"/>
                <w:color w:val="auto"/>
              </w:rPr>
              <w:t>Covenant</w:t>
            </w:r>
          </w:p>
        </w:tc>
        <w:tc>
          <w:tcPr>
            <w:tcW w:w="216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Requirement</w:t>
            </w:r>
          </w:p>
        </w:tc>
        <w:tc>
          <w:tcPr>
            <w:tcW w:w="208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As of September 30, 2022</w:t>
            </w:r>
          </w:p>
        </w:tc>
      </w:tr>
      <w:tr>
        <w:trPr>
          <w:trHeight w:val="200"/>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debt to total assets</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≤60.0%</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39.0%</w:t>
            </w:r>
          </w:p>
        </w:tc>
      </w:tr>
      <w:tr>
        <w:trPr>
          <w:trHeight w:val="20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Secured debt to total assets</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≤40.0%</w:t>
            </w: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17.3%</w:t>
            </w:r>
          </w:p>
        </w:tc>
      </w:tr>
      <w:tr>
        <w:trPr>
          <w:trHeight w:val="205"/>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Consolidated income available for debt service to debt service</w:t>
            </w:r>
          </w:p>
        </w:tc>
        <w:tc>
          <w:tcPr>
            <w:tcW w:w="2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≥1.50</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5.33</w:t>
            </w:r>
          </w:p>
        </w:tc>
      </w:tr>
      <w:tr>
        <w:trPr>
          <w:trHeight w:val="198"/>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Unencumbered total asset value to total unsecured debt</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≥150.0%</w:t>
            </w: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351.7%</w:t>
            </w:r>
          </w:p>
        </w:tc>
      </w:tr>
    </w:tbl>
    <w:p>
      <w:pPr>
        <w:spacing w:after="0" w:line="3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2022, we were in compliance with the above covenants and do not anticipate that we will be unable to meet these covenants in the near term.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Loan Termination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we terminated our commitment letter with Citigroup, pursuant to which, Citigroup (on behalf of its affiliates), previously committed to lend us up to £950.0 million, or approximately $1.2 billion converted at the March 31, 2022 exchange rate (the "Bridge Loan"). As of the date of termination, we did not have any borrowings outstanding under the Bridge Loan.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Transactions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objective and strategy in using interest rate derivatives is to manage exposure to interest rate movements, thereby minimizing the effect of interest rate changes and the effect they could have on future cash outflows (forecasted interest payments) on a forecasted issuance of long-term debt. We do not enter into derivative instruments for speculative purposes.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2022, we entered into two treasury rate lock contracts with an aggregate notional value of $200.0 million to hedge interest rate risk associated with the future issuance of long-term fixed rate debt. The benchmark interest rate used is the on-the-run 10-year U.S. Treasury. We also entered into two interest rate swap agreements to hedge variable rate borrowings of £400.0 million (equivalent to $445.3 million as of September 30, 2022) under the term loan on the Senior Credit Facility. The interest rate swaps locked in a total fixed rate, inclusive of spread, of 3.67 percent through the term loan maturity date of April 7,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Financing and Capital Requirements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Financing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anticipate meeting our long-term liquidity requirements, such as scheduled debt maturities, large property acquisitions, expansion and development of properties, other nonrecurring capital improvements and Operating Partnership unit redemptions through the long-term unsecured and secured indebtedness and the issuance of certain debt or equity securities subject to market conditions. If current market and economic conditions, including relating to, among other things, interest rates, currency fluctuations, equity valuations and inflation, continue or worsen, our ability to obtain debt and equity capital in the long term on attractive terms may be adversely affected.</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unrestricted cash on hand as of September 30, 2022 of $101.1 million. As of September 30, 2022, there was $2.0 billion of remaining capacity on the Senior Credit Facility. At September 30, 2022 we had a total of 507 unencumbered MH, RV and Marina properties.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also issue shares of our capital stock, issue equity units in our Operating Partnership, issue unsecured notes, obtain other debt financing or sell selected assets. Our ability to finance our long-term liquidity requirements in such a manner will be affected by numerous economic factors affecting the MH, RV and Marina industries at the time, including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In the event our current credit ratings are downgraded, it may become difficult or more expensive to obtain additional financing or refinance existing unsecured indebtedness as maturities become due. See "Risk Factors" in Part I, Item 1A of our 2021 Annual Report. If we are unable to obtain additional debt or equity financing on acceptable terms, our business, results of operations and financial condition would be adversely impacted.</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our net debt to enterprise value was 27.5 percent (assuming conversion of all common OP units, Series A-1 preferred OP units, Series A-3 preferred OP units, Series C preferred OP units, Series D preferred OP units, Series E preferred OP units, Series F preferred OP units, Series G preferred OP units, Series H preferred OP units and Series J preferred OP units to shares of common stock). Our debt has a weighted average interest rate of 3.4 percent and a weighted average years to maturity of 8.8 years.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nonconsolidated affiliates, which are accounted for under the equity-method of accounting, have incurred indebtedness. We have not guaranteed the debt of our nonconsolidated affiliates in the arrangements referenced below, nor do we have any obligations to fund this debt should the nonconsolidated affiliates be unable to do so. Refer to Note 6, "Investments in Nonconsolidated Affiliates," in the accompanying Consolidated Financial Statements for additional information about these entities.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GTSC </w:t>
      </w:r>
      <w:r>
        <w:rPr>
          <w:rFonts w:ascii="Times New Roman" w:cs="Times New Roman" w:eastAsia="Times New Roman" w:hAnsi="Times New Roman"/>
          <w:sz w:val="18"/>
          <w:szCs w:val="18"/>
          <w:color w:val="auto"/>
        </w:rPr>
        <w:t>- During September 2019, GTSC entered into a warehouse line of credit with a maximum loan amount of $125.0 million. The line of credit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subsequently amended in September 2020, May 2021 and December 2021 with the maximum amount increased to $255.0 million, with an option to increase to $275.0 million subject to the lender's consent. As of September 30, 2022, and December 31, 2021 the aggregate carrying amount of debt, including both our and our partner's share, incurred by GTSC was $275.0 million (of which our proportionate share is $110.0 million), and $243.1 million (of which our proportionate share is $97.2 million), respectively. The debt bears interest at a variable rate based on a Commercial Paper or adjusted Secured Overnight Financing Rate plus 1.65 percent per annum and matures on December 15, 2025.</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Sungenia JV </w:t>
      </w:r>
      <w:r>
        <w:rPr>
          <w:rFonts w:ascii="Times New Roman" w:cs="Times New Roman" w:eastAsia="Times New Roman" w:hAnsi="Times New Roman"/>
          <w:sz w:val="18"/>
          <w:szCs w:val="18"/>
          <w:color w:val="auto"/>
        </w:rPr>
        <w:t>- During May 2020, Sungenia JV, entered into a debt facility agreement with a maximum loan amount of $27.0 million Australian dollars,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$17.4 million converted at the September 30, 2022 exchange rate. During July 2022, the maximum amount was increased to $50.0 million Australian dollars, or $32.3 million converted at the September 30, 2022 exchange rate. As of September 30, 2022 and December 31, 2021, the aggregate carrying amount of the debt, including both our and our partners' share, incurred by Sungenia JV was $5.6 million (of which our proportionate share is approximately $2.8 million), and $6.3 million (of which our proportionate share is $3.1 million), respectively. The debt bears interest at a variable rate based on the BBSY rate plus 1.35 percent per annum and matures on June 30, 2027.</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document that relate to expectations, beliefs, projections, future plans and strategies, trends or prospective events or developments and similar expressions concerning matters that are not historical facts are deemed to be forward-looking statements. Words such as "forecasts," "intends," "intend," "intended," "goal," "estimate," "estimates," "expects," "expect," "expected," "project," "projected," "projections," "plans," "predicts," "potential," "seeks," "anticipates," "anticipated," "should," "could," "may," "will," "designed to," "foreseeable future," "believe," "believes," "scheduled," "guidance," "target"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and uncertainties, both general and specific to the matters discussed in this document, some of which are beyond our control. These risks, uncertainties and other factors may cause our actual results to be materially different from any future results expressed or implied by such forward-looking statements. In addition to the risks disclosed under "Risk Factors" in our 2021 Annual Report, and in our other filings with the SEC, from time to time, such risks and uncertainties and other factors include, but are not limited to:</w:t>
      </w:r>
    </w:p>
    <w:p>
      <w:pPr>
        <w:spacing w:after="0" w:line="217" w:lineRule="exact"/>
        <w:rPr>
          <w:sz w:val="20"/>
          <w:szCs w:val="20"/>
          <w:color w:val="auto"/>
        </w:rPr>
      </w:pPr>
    </w:p>
    <w:p>
      <w:pPr>
        <w:ind w:left="660" w:hanging="328"/>
        <w:spacing w:after="0" w:line="28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Outbreaks of disease, including the COVID-19 pandemic, and related stay-at-home orders, quarantine policies and restrictions on travel, trade and business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including inflation, deflation, and energy costs, the real estate industry and the markets within which we operate;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our ability to evaluate, finance, complete and integrate acquisitions, developments and expansions successfully;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refinancing demands;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refinance maturing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covenants contained in our debt facilities and our unsecured notes;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capital;</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including between the U.S. dollar and each of the Canadian dollar, Australian dollar and Pounds sterling;</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rental rates and occupancy levels;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 and disclosure controls and procedures;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and operating costs, including insurance premiums and real property taxes;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such as hurricanes, earthquakes, floods, droughts and wildfires;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volatility of the capital markets and the market price of shares of our capital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real estate and zoning laws and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including changes to laws governing the taxation of REITs;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judgments or settlements;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market forces;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purchasers of manufactured homes and boats to obtain financing;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repossessions by manufactured home and boat lenders.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document, whether as a result of new information, future events, changes in our expectations or otherwise, except as required by law.</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market factors such as interest rates, foreign currency exchange rates, commodity prices and equity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variable rate debt totaled $1.4 billion and $624.8 million as of September 30, 2022 and 2021, respectively. As of September 30, 2022, our variable debt bore interest at the Adjusted Term SOFR, the Adjusted Eurocurrency Rate, the Daily RFR, the Australian BBSY rate, the Daily SONIA Rate or the Canadian Dollar Offered Rate, and the Eurodollar rate or Prime rate plus a margin. As of September 30, 2021, our variable debt bore interest at the Adjusted Eurocurrency Rate or the Australian BBSY rate, plus a margin, and the Eurodollar rate or Prime rate. If the above rate increased or decreased by 1.0 percent, our interest expense would have increased or decreased by $10.3 million and $7.1 million for the nine months ended September 30, 2022 and 2021, respectively, based on the $1.4 billion and $945.7 million average balances outstanding under our variable rate debt facilities, respectively. Our variable rate debt, interest expense and average balance outstanding under our variable rate debt facility includes the impact of hedge activity.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properties in the UK and Canada, and our equity investment and joint venture in Australia, into U.S. dollars. Fluctuations in foreign currency exchange rates can therefore create volatility in our results of operations and may adversely affect our financial condition.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2022 and December 31, 2021, our shareholder's equity included $1.1 billion from our investments and operations in Canada, Australia and the United Kingdom and $663.6 million from our investments and operations in Canada and Australia, which collectively represented 13.8 percent and 9.9 percent of total shareholder's equity, respectively. Based on our sensitivity analysis, a 10.0 percent strengthening of the U.S. dollar against the Canadian dollar, Australian dollar and Pounds sterling would have caused a reduction of $109.3 million and $66.4 million to our total shareholder's equity at September 30, 2022 and December 31, 2021,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Market Risk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borrowings under other financing arrangements.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(pursuant to Rules 13a-15(e) or 15d-15(e) of the Exchange Act) at September 30, 2022. Based upon this evaluation, our CEO and CFO concluded that our disclosure controls and procedures were effective as of September 30, 2022.</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2022, we completed the acquisition of Park Holidays and are currently integrating Park Holidays into our operations, compliance program and internal control processes. Park Holidays constituted approximately 15 percent of our total assets as of September 30, 2022, including the goodwill and other intangible assets recorded as part of the purchase price allocation, and 11 percent of our revenues for the nine months ended September 30, 2022. SEC regulations allow companies to exclude acquisitions from their assessment of internal control over financial reporting during the first year following an acquisition. We have excluded the acquired operations of Park Holidays from our assessment of our internal control over financial reporting for the nine months ended September 30,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Arising in the Ordinary Course of Business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"Legal Proceedings" in Part 1 - Item 1 - Note 16, "Commitments and Contingencies," in our accompanying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Item 103 of Regulation S-K requires disclosure of certain environmental matters when a governmental authority is a party to the proceedings and such proceedings involve potential monetary sanctions that we reasonably believe will exceed an applied threshold not to exceed $1.0 million. Applying this threshold, there are no environmental matters to disclose for the three months ended September 30,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described in Part 1, Item 1A., "Risk Factors," in our 2021 Annual Report, which could materially affect our business, financial condition or future results. There have been no material changes to the disclosure on these matters as set forth in such report.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OP units have converted the following units during the three months ended September 30, 2022:</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3"/>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7"/>
        </w:trPr>
        <w:tc>
          <w:tcPr>
            <w:tcW w:w="7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Borders>
              <w:bottom w:val="single" w:sz="8" w:color="auto"/>
            </w:tcBorders>
            <w:gridSpan w:val="3"/>
          </w:tcPr>
          <w:p>
            <w:pPr>
              <w:jc w:val="right"/>
              <w:ind w:right="544"/>
              <w:spacing w:after="0"/>
              <w:rPr>
                <w:sz w:val="20"/>
                <w:szCs w:val="20"/>
                <w:color w:val="auto"/>
              </w:rPr>
            </w:pPr>
            <w:r>
              <w:rPr>
                <w:rFonts w:ascii="Times New Roman" w:cs="Times New Roman" w:eastAsia="Times New Roman" w:hAnsi="Times New Roman"/>
                <w:sz w:val="15"/>
                <w:szCs w:val="15"/>
                <w:b w:val="1"/>
                <w:bCs w:val="1"/>
                <w:color w:val="auto"/>
              </w:rPr>
              <w:t>September 30, 2022</w:t>
            </w:r>
          </w:p>
        </w:tc>
      </w:tr>
      <w:tr>
        <w:trPr>
          <w:trHeight w:val="146"/>
        </w:trPr>
        <w:tc>
          <w:tcPr>
            <w:tcW w:w="7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rPr>
              <w:t>Units / Shares</w:t>
            </w:r>
          </w:p>
        </w:tc>
        <w:tc>
          <w:tcPr>
            <w:tcW w:w="1200" w:type="dxa"/>
            <w:vAlign w:val="bottom"/>
          </w:tcPr>
          <w:p>
            <w:pPr>
              <w:spacing w:after="0"/>
              <w:rPr>
                <w:sz w:val="12"/>
                <w:szCs w:val="12"/>
                <w:color w:val="auto"/>
              </w:rPr>
            </w:pPr>
          </w:p>
        </w:tc>
      </w:tr>
      <w:tr>
        <w:trPr>
          <w:trHeight w:val="216"/>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Series</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Conversion Rate</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Converted</w:t>
            </w:r>
          </w:p>
        </w:tc>
        <w:tc>
          <w:tcPr>
            <w:tcW w:w="1200" w:type="dxa"/>
            <w:vAlign w:val="bottom"/>
          </w:tcPr>
          <w:p>
            <w:pPr>
              <w:jc w:val="right"/>
              <w:spacing w:after="0" w:line="216" w:lineRule="exact"/>
              <w:rPr>
                <w:sz w:val="20"/>
                <w:szCs w:val="20"/>
                <w:color w:val="auto"/>
              </w:rPr>
            </w:pP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9"/>
                <w:szCs w:val="19"/>
                <w:color w:val="auto"/>
                <w:vertAlign w:val="superscript"/>
              </w:rPr>
              <w:t>(1)</w:t>
            </w:r>
          </w:p>
        </w:tc>
      </w:tr>
      <w:tr>
        <w:trPr>
          <w:trHeight w:val="196"/>
        </w:trPr>
        <w:tc>
          <w:tcPr>
            <w:tcW w:w="7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OP units</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135,881</w:t>
            </w: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135,881</w:t>
            </w:r>
          </w:p>
        </w:tc>
      </w:tr>
      <w:tr>
        <w:trPr>
          <w:trHeight w:val="20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A-1 preferred OP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2.4390</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2,001</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4,876</w:t>
            </w:r>
          </w:p>
        </w:tc>
      </w:tr>
      <w:tr>
        <w:trPr>
          <w:trHeight w:val="205"/>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E preferred OP units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0.6897</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3,448</w:t>
            </w:r>
          </w:p>
        </w:tc>
      </w:tr>
      <w:tr>
        <w:trPr>
          <w:trHeight w:val="198"/>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Series I preferred OP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0.6098</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922,000</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562,195</w:t>
            </w:r>
          </w:p>
        </w:tc>
      </w:tr>
    </w:tbl>
    <w:p>
      <w:pPr>
        <w:spacing w:after="0" w:line="46" w:lineRule="exact"/>
        <w:rPr>
          <w:sz w:val="20"/>
          <w:szCs w:val="20"/>
          <w:color w:val="auto"/>
        </w:rPr>
      </w:pPr>
    </w:p>
    <w:p>
      <w:pPr>
        <w:ind w:left="160" w:hanging="152"/>
        <w:spacing w:after="0"/>
        <w:tabs>
          <w:tab w:leader="none" w:pos="16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Calculation may yield minor differences due to rounding incorporated in the above numbers.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securities described above were issued in private placements in reliance on Section 4(a)(2) of the Securities Act, including Regulation D promulgated thereunder. No underwriters were used in connection with any of such issuances.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common stock repurchases during the three months ended September 30,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Maximum number (or</w:t>
            </w: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2"/>
          </w:tcPr>
          <w:p>
            <w:pPr>
              <w:jc w:val="center"/>
              <w:ind w:right="60"/>
              <w:spacing w:after="0" w:line="156" w:lineRule="exact"/>
              <w:rPr>
                <w:sz w:val="20"/>
                <w:szCs w:val="20"/>
                <w:color w:val="auto"/>
              </w:rPr>
            </w:pPr>
            <w:r>
              <w:rPr>
                <w:rFonts w:ascii="Times New Roman" w:cs="Times New Roman" w:eastAsia="Times New Roman" w:hAnsi="Times New Roman"/>
                <w:sz w:val="15"/>
                <w:szCs w:val="15"/>
                <w:b w:val="1"/>
                <w:bCs w:val="1"/>
                <w:color w:val="auto"/>
              </w:rPr>
              <w:t>Total number of shares</w:t>
            </w:r>
          </w:p>
        </w:tc>
        <w:tc>
          <w:tcPr>
            <w:tcW w:w="180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approximate dollar value)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Total number of shares</w:t>
            </w:r>
          </w:p>
        </w:tc>
        <w:tc>
          <w:tcPr>
            <w:tcW w:w="120" w:type="dxa"/>
            <w:vAlign w:val="bottom"/>
          </w:tcPr>
          <w:p>
            <w:pPr>
              <w:spacing w:after="0"/>
              <w:rPr>
                <w:sz w:val="14"/>
                <w:szCs w:val="14"/>
                <w:color w:val="auto"/>
              </w:rPr>
            </w:pPr>
          </w:p>
        </w:tc>
        <w:tc>
          <w:tcPr>
            <w:tcW w:w="1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Average price paid per</w:t>
            </w:r>
          </w:p>
        </w:tc>
        <w:tc>
          <w:tcPr>
            <w:tcW w:w="188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purchased as part of</w:t>
            </w:r>
          </w:p>
        </w:tc>
        <w:tc>
          <w:tcPr>
            <w:tcW w:w="18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of shares that may yet be</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5"/>
                <w:szCs w:val="15"/>
                <w:b w:val="1"/>
                <w:bCs w:val="1"/>
                <w:color w:val="auto"/>
              </w:rPr>
              <w:t>publicly announced plans</w:t>
            </w:r>
          </w:p>
        </w:tc>
        <w:tc>
          <w:tcPr>
            <w:tcW w:w="1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purchased under the plans</w:t>
            </w: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purchased</w:t>
            </w:r>
          </w:p>
        </w:tc>
        <w:tc>
          <w:tcPr>
            <w:tcW w:w="120" w:type="dxa"/>
            <w:vAlign w:val="bottom"/>
          </w:tcPr>
          <w:p>
            <w:pPr>
              <w:spacing w:after="0"/>
              <w:rPr>
                <w:sz w:val="16"/>
                <w:szCs w:val="16"/>
                <w:color w:val="auto"/>
              </w:rPr>
            </w:pP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8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or programs</w:t>
            </w:r>
          </w:p>
        </w:tc>
        <w:tc>
          <w:tcPr>
            <w:tcW w:w="140" w:type="dxa"/>
            <w:vAlign w:val="bottom"/>
          </w:tcPr>
          <w:p>
            <w:pPr>
              <w:spacing w:after="0"/>
              <w:rPr>
                <w:sz w:val="16"/>
                <w:szCs w:val="16"/>
                <w:color w:val="auto"/>
              </w:rPr>
            </w:pPr>
          </w:p>
        </w:tc>
        <w:tc>
          <w:tcPr>
            <w:tcW w:w="166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or programs</w:t>
            </w:r>
          </w:p>
        </w:tc>
        <w:tc>
          <w:tcPr>
            <w:tcW w:w="0" w:type="dxa"/>
            <w:vAlign w:val="bottom"/>
          </w:tcPr>
          <w:p>
            <w:pPr>
              <w:spacing w:after="0"/>
              <w:rPr>
                <w:sz w:val="1"/>
                <w:szCs w:val="1"/>
                <w:color w:val="auto"/>
              </w:rPr>
            </w:pPr>
          </w:p>
        </w:tc>
      </w:tr>
      <w:tr>
        <w:trPr>
          <w:trHeight w:val="206"/>
        </w:trPr>
        <w:tc>
          <w:tcPr>
            <w:tcW w:w="3840" w:type="dxa"/>
            <w:vAlign w:val="bottom"/>
            <w:gridSpan w:val="2"/>
          </w:tcPr>
          <w:p>
            <w:pPr>
              <w:ind w:left="166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w:t>
            </w:r>
          </w:p>
        </w:tc>
        <w:tc>
          <w:tcPr>
            <w:tcW w:w="12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(b)</w:t>
            </w:r>
          </w:p>
        </w:tc>
        <w:tc>
          <w:tcPr>
            <w:tcW w:w="18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w:t>
            </w:r>
          </w:p>
        </w:tc>
        <w:tc>
          <w:tcPr>
            <w:tcW w:w="140" w:type="dxa"/>
            <w:vAlign w:val="bottom"/>
          </w:tcPr>
          <w:p>
            <w:pPr>
              <w:spacing w:after="0"/>
              <w:rPr>
                <w:sz w:val="17"/>
                <w:szCs w:val="17"/>
                <w:color w:val="auto"/>
              </w:rPr>
            </w:pPr>
          </w:p>
        </w:tc>
        <w:tc>
          <w:tcPr>
            <w:tcW w:w="166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(d)</w:t>
            </w:r>
          </w:p>
        </w:tc>
        <w:tc>
          <w:tcPr>
            <w:tcW w:w="0" w:type="dxa"/>
            <w:vAlign w:val="bottom"/>
          </w:tcPr>
          <w:p>
            <w:pPr>
              <w:spacing w:after="0"/>
              <w:rPr>
                <w:sz w:val="1"/>
                <w:szCs w:val="1"/>
                <w:color w:val="auto"/>
              </w:rPr>
            </w:pPr>
          </w:p>
        </w:tc>
      </w:tr>
      <w:tr>
        <w:trPr>
          <w:trHeight w:val="200"/>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July 1, 2022 - July 31, 2022</w:t>
            </w:r>
          </w:p>
        </w:tc>
        <w:tc>
          <w:tcPr>
            <w:tcW w:w="8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160.54</w:t>
            </w:r>
          </w:p>
        </w:tc>
        <w:tc>
          <w:tcPr>
            <w:tcW w:w="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August 1, 2022 - August 31, 2022</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167.56</w:t>
            </w:r>
          </w:p>
        </w:tc>
        <w:tc>
          <w:tcPr>
            <w:tcW w:w="80" w:type="dxa"/>
            <w:vAlign w:val="bottom"/>
          </w:tcPr>
          <w:p>
            <w:pPr>
              <w:spacing w:after="0"/>
              <w:rPr>
                <w:sz w:val="17"/>
                <w:szCs w:val="17"/>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Pr>
          <w:p>
            <w:pPr>
              <w:ind w:left="14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September 1, 2022 - September 30, 2022</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142.52</w:t>
            </w:r>
          </w:p>
        </w:tc>
        <w:tc>
          <w:tcPr>
            <w:tcW w:w="8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84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2,815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159.61</w:t>
            </w:r>
          </w:p>
        </w:tc>
        <w:tc>
          <w:tcPr>
            <w:tcW w:w="8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top w:val="single" w:sz="8" w:color="auto"/>
              <w:bottom w:val="single" w:sz="8" w:color="auto"/>
            </w:tcBorders>
          </w:tcPr>
          <w:p>
            <w:pPr>
              <w:ind w:left="14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2022, we withheld 2,815 shares from employees to satisfy estimated statutory income tax obligations related to vesting of restricted stock awards. The value of the common stock withheld was based on the closing price of our common stock on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820" w:type="dxa"/>
            <w:vAlign w:val="bottom"/>
            <w:tcBorders>
              <w:top w:val="single" w:sz="8" w:color="auto"/>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36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3840" w:type="dxa"/>
            <w:vAlign w:val="bottom"/>
            <w:tcBorders>
              <w:top w:val="single" w:sz="8" w:color="auto"/>
              <w:bottom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40" w:type="dxa"/>
            <w:vAlign w:val="bottom"/>
            <w:tcBorders>
              <w:top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Method of Filing</w:t>
            </w: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6600" w:type="dxa"/>
            <w:vAlign w:val="bottom"/>
            <w:tcBorders>
              <w:right w:val="single" w:sz="8" w:color="auto"/>
            </w:tcBorders>
            <w:gridSpan w:val="8"/>
            <w:shd w:val="clear" w:color="auto" w:fill="CCEEFF"/>
          </w:tcPr>
          <w:p>
            <w:pPr>
              <w:spacing w:after="0" w:line="182"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Sun Communities, Inc. Articles of Restatement</w:t>
              </w:r>
            </w:hyperlink>
          </w:p>
        </w:tc>
        <w:tc>
          <w:tcPr>
            <w:tcW w:w="2840" w:type="dxa"/>
            <w:vAlign w:val="bottom"/>
            <w:tcBorders>
              <w:right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Incorporated by reference to SUI's</w:t>
            </w:r>
          </w:p>
        </w:tc>
        <w:tc>
          <w:tcPr>
            <w:tcW w:w="0" w:type="dxa"/>
            <w:vAlign w:val="bottom"/>
          </w:tcPr>
          <w:p>
            <w:pPr>
              <w:spacing w:after="0"/>
              <w:rPr>
                <w:sz w:val="1"/>
                <w:szCs w:val="1"/>
                <w:color w:val="auto"/>
              </w:rPr>
            </w:pPr>
          </w:p>
        </w:tc>
      </w:tr>
      <w:tr>
        <w:trPr>
          <w:trHeight w:val="151"/>
        </w:trPr>
        <w:tc>
          <w:tcPr>
            <w:tcW w:w="1820" w:type="dxa"/>
            <w:vAlign w:val="bottom"/>
            <w:tcBorders>
              <w:top w:val="single" w:sz="8" w:color="CCEEFF"/>
              <w:left w:val="single" w:sz="8" w:color="auto"/>
              <w:right w:val="single" w:sz="8" w:color="auto"/>
            </w:tcBorders>
            <w:shd w:val="clear" w:color="auto" w:fill="CCEEFF"/>
          </w:tcPr>
          <w:p>
            <w:pPr>
              <w:spacing w:after="0"/>
              <w:rPr>
                <w:sz w:val="13"/>
                <w:szCs w:val="13"/>
                <w:color w:val="auto"/>
              </w:rPr>
            </w:pPr>
          </w:p>
        </w:tc>
        <w:tc>
          <w:tcPr>
            <w:tcW w:w="2360" w:type="dxa"/>
            <w:vAlign w:val="bottom"/>
            <w:tcBorders>
              <w:top w:val="single" w:sz="8" w:color="0000FF"/>
            </w:tcBorders>
            <w:shd w:val="clear" w:color="auto" w:fill="CCEEFF"/>
          </w:tcPr>
          <w:p>
            <w:pPr>
              <w:spacing w:after="0"/>
              <w:rPr>
                <w:sz w:val="13"/>
                <w:szCs w:val="13"/>
                <w:color w:val="auto"/>
              </w:rPr>
            </w:pPr>
          </w:p>
        </w:tc>
        <w:tc>
          <w:tcPr>
            <w:tcW w:w="34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640" w:type="dxa"/>
            <w:vAlign w:val="bottom"/>
            <w:tcBorders>
              <w:top w:val="single" w:sz="8" w:color="0000FF"/>
            </w:tcBorders>
            <w:shd w:val="clear" w:color="auto" w:fill="CCEEFF"/>
          </w:tcPr>
          <w:p>
            <w:pPr>
              <w:spacing w:after="0"/>
              <w:rPr>
                <w:sz w:val="13"/>
                <w:szCs w:val="13"/>
                <w:color w:val="auto"/>
              </w:rPr>
            </w:pPr>
          </w:p>
        </w:tc>
        <w:tc>
          <w:tcPr>
            <w:tcW w:w="29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2840" w:type="dxa"/>
            <w:vAlign w:val="bottom"/>
            <w:tcBorders>
              <w:top w:val="single" w:sz="8" w:color="CCEEFF"/>
              <w:right w:val="single" w:sz="8" w:color="auto"/>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Annual Report on Form 10-K filed on</w:t>
            </w:r>
          </w:p>
        </w:tc>
        <w:tc>
          <w:tcPr>
            <w:tcW w:w="0" w:type="dxa"/>
            <w:vAlign w:val="bottom"/>
          </w:tcPr>
          <w:p>
            <w:pPr>
              <w:spacing w:after="0"/>
              <w:rPr>
                <w:sz w:val="1"/>
                <w:szCs w:val="1"/>
                <w:color w:val="auto"/>
              </w:rPr>
            </w:pPr>
          </w:p>
        </w:tc>
      </w:tr>
      <w:tr>
        <w:trPr>
          <w:trHeight w:val="234"/>
        </w:trPr>
        <w:tc>
          <w:tcPr>
            <w:tcW w:w="18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3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29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right w:val="single" w:sz="8" w:color="auto"/>
            </w:tcBorders>
            <w:shd w:val="clear" w:color="auto" w:fill="CCEEFF"/>
          </w:tcPr>
          <w:p>
            <w:pPr>
              <w:spacing w:after="0"/>
              <w:rPr>
                <w:sz w:val="20"/>
                <w:szCs w:val="20"/>
                <w:color w:val="auto"/>
              </w:rPr>
            </w:pP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22, 2018</w:t>
            </w: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3.2</w:t>
            </w:r>
          </w:p>
        </w:tc>
        <w:tc>
          <w:tcPr>
            <w:tcW w:w="6600" w:type="dxa"/>
            <w:vAlign w:val="bottom"/>
            <w:tcBorders>
              <w:right w:val="single" w:sz="8" w:color="auto"/>
            </w:tcBorders>
            <w:gridSpan w:val="8"/>
          </w:tcPr>
          <w:p>
            <w:pPr>
              <w:spacing w:after="0" w:line="182"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Third Amended and Restated Bylaws</w:t>
              </w:r>
            </w:hyperlink>
          </w:p>
        </w:tc>
        <w:tc>
          <w:tcPr>
            <w:tcW w:w="284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Incorporated by reference to SUI's</w:t>
            </w:r>
          </w:p>
        </w:tc>
        <w:tc>
          <w:tcPr>
            <w:tcW w:w="0" w:type="dxa"/>
            <w:vAlign w:val="bottom"/>
          </w:tcPr>
          <w:p>
            <w:pPr>
              <w:spacing w:after="0"/>
              <w:rPr>
                <w:sz w:val="1"/>
                <w:szCs w:val="1"/>
                <w:color w:val="auto"/>
              </w:rPr>
            </w:pPr>
          </w:p>
        </w:tc>
      </w:tr>
      <w:tr>
        <w:trPr>
          <w:trHeight w:val="151"/>
        </w:trPr>
        <w:tc>
          <w:tcPr>
            <w:tcW w:w="1820" w:type="dxa"/>
            <w:vAlign w:val="bottom"/>
            <w:tcBorders>
              <w:left w:val="single" w:sz="8" w:color="auto"/>
              <w:right w:val="single" w:sz="8" w:color="auto"/>
            </w:tcBorders>
          </w:tcPr>
          <w:p>
            <w:pPr>
              <w:spacing w:after="0"/>
              <w:rPr>
                <w:sz w:val="13"/>
                <w:szCs w:val="13"/>
                <w:color w:val="auto"/>
              </w:rPr>
            </w:pPr>
          </w:p>
        </w:tc>
        <w:tc>
          <w:tcPr>
            <w:tcW w:w="23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840" w:type="dxa"/>
            <w:vAlign w:val="bottom"/>
            <w:tcBorders>
              <w:right w:val="single" w:sz="8" w:color="auto"/>
            </w:tcBorders>
          </w:tcPr>
          <w:p>
            <w:pPr>
              <w:ind w:left="20"/>
              <w:spacing w:after="0" w:line="150" w:lineRule="exact"/>
              <w:rPr>
                <w:sz w:val="20"/>
                <w:szCs w:val="20"/>
                <w:color w:val="auto"/>
              </w:rPr>
            </w:pPr>
            <w:r>
              <w:rPr>
                <w:rFonts w:ascii="Times New Roman" w:cs="Times New Roman" w:eastAsia="Times New Roman" w:hAnsi="Times New Roman"/>
                <w:sz w:val="17"/>
                <w:szCs w:val="17"/>
                <w:color w:val="auto"/>
              </w:rPr>
              <w:t>Current Report on Form 8-K filed on</w:t>
            </w:r>
          </w:p>
        </w:tc>
        <w:tc>
          <w:tcPr>
            <w:tcW w:w="0" w:type="dxa"/>
            <w:vAlign w:val="bottom"/>
          </w:tcPr>
          <w:p>
            <w:pPr>
              <w:spacing w:after="0"/>
              <w:rPr>
                <w:sz w:val="1"/>
                <w:szCs w:val="1"/>
                <w:color w:val="auto"/>
              </w:rPr>
            </w:pPr>
          </w:p>
        </w:tc>
      </w:tr>
      <w:tr>
        <w:trPr>
          <w:trHeight w:val="234"/>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May 12, 2017</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22.1</w:t>
            </w:r>
          </w:p>
        </w:tc>
        <w:tc>
          <w:tcPr>
            <w:tcW w:w="6600" w:type="dxa"/>
            <w:vAlign w:val="bottom"/>
            <w:tcBorders>
              <w:bottom w:val="single" w:sz="8" w:color="auto"/>
              <w:right w:val="single" w:sz="8" w:color="auto"/>
            </w:tcBorders>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List of issuers of guaranteed securities</w:t>
            </w:r>
          </w:p>
        </w:tc>
        <w:tc>
          <w:tcPr>
            <w:tcW w:w="2840" w:type="dxa"/>
            <w:vAlign w:val="bottom"/>
            <w:tcBorders>
              <w:bottom w:val="single" w:sz="8" w:color="auto"/>
              <w:right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6360" w:type="dxa"/>
            <w:vAlign w:val="bottom"/>
            <w:tcBorders>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Securities Exchange Act Rules 13a-</w:t>
            </w:r>
          </w:p>
        </w:tc>
        <w:tc>
          <w:tcPr>
            <w:tcW w:w="240" w:type="dxa"/>
            <w:vAlign w:val="bottom"/>
            <w:tcBorders>
              <w:right w:val="single" w:sz="8" w:color="auto"/>
            </w:tcBorders>
            <w:gridSpan w:val="2"/>
          </w:tcPr>
          <w:p>
            <w:pPr>
              <w:spacing w:after="0"/>
              <w:rPr>
                <w:sz w:val="15"/>
                <w:szCs w:val="15"/>
                <w:color w:val="auto"/>
              </w:rPr>
            </w:pPr>
          </w:p>
        </w:tc>
        <w:tc>
          <w:tcPr>
            <w:tcW w:w="284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56"/>
        </w:trPr>
        <w:tc>
          <w:tcPr>
            <w:tcW w:w="1820" w:type="dxa"/>
            <w:vAlign w:val="bottom"/>
            <w:tcBorders>
              <w:left w:val="single" w:sz="8" w:color="auto"/>
              <w:right w:val="single" w:sz="8" w:color="auto"/>
            </w:tcBorders>
          </w:tcPr>
          <w:p>
            <w:pPr>
              <w:spacing w:after="0"/>
              <w:rPr>
                <w:sz w:val="13"/>
                <w:szCs w:val="13"/>
                <w:color w:val="auto"/>
              </w:rPr>
            </w:pPr>
          </w:p>
        </w:tc>
        <w:tc>
          <w:tcPr>
            <w:tcW w:w="6600" w:type="dxa"/>
            <w:vAlign w:val="bottom"/>
            <w:tcBorders>
              <w:right w:val="single" w:sz="8" w:color="auto"/>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14(a)/15(d)-14(a), as adopted pursuant to Section 302 of the Sarbanes-Oxley Act of 2002.</w:t>
            </w:r>
          </w:p>
        </w:tc>
        <w:tc>
          <w:tcPr>
            <w:tcW w:w="2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9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31.2</w:t>
            </w:r>
          </w:p>
        </w:tc>
        <w:tc>
          <w:tcPr>
            <w:tcW w:w="6600" w:type="dxa"/>
            <w:vAlign w:val="bottom"/>
            <w:tcBorders>
              <w:right w:val="single" w:sz="8" w:color="auto"/>
            </w:tcBorders>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Rules 13a-</w:t>
            </w:r>
          </w:p>
        </w:tc>
        <w:tc>
          <w:tcPr>
            <w:tcW w:w="2840" w:type="dxa"/>
            <w:vAlign w:val="bottom"/>
            <w:tcBorders>
              <w:right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18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940" w:type="dxa"/>
            <w:vAlign w:val="bottom"/>
            <w:gridSpan w:val="4"/>
            <w:shd w:val="clear" w:color="auto" w:fill="0000FF"/>
          </w:tcPr>
          <w:p>
            <w:pPr>
              <w:spacing w:after="0" w:line="20" w:lineRule="exact"/>
              <w:rPr>
                <w:sz w:val="1"/>
                <w:szCs w:val="1"/>
                <w:color w:val="auto"/>
              </w:rPr>
            </w:pPr>
          </w:p>
        </w:tc>
        <w:tc>
          <w:tcPr>
            <w:tcW w:w="300" w:type="dxa"/>
            <w:vAlign w:val="bottom"/>
            <w:tcBorders>
              <w:right w:val="single" w:sz="8" w:color="auto"/>
            </w:tcBorders>
            <w:gridSpan w:val="3"/>
            <w:shd w:val="clear" w:color="auto" w:fill="CCEEFF"/>
          </w:tcPr>
          <w:p>
            <w:pPr>
              <w:spacing w:after="0" w:line="20" w:lineRule="exact"/>
              <w:rPr>
                <w:sz w:val="1"/>
                <w:szCs w:val="1"/>
                <w:color w:val="auto"/>
              </w:rPr>
            </w:pPr>
          </w:p>
        </w:tc>
        <w:tc>
          <w:tcPr>
            <w:tcW w:w="28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2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6600" w:type="dxa"/>
            <w:vAlign w:val="bottom"/>
            <w:tcBorders>
              <w:bottom w:val="single" w:sz="8" w:color="auto"/>
              <w:right w:val="single" w:sz="8" w:color="auto"/>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14(a)/15(d)-14(a), as adopted pursuant to Section 302 of the Sarbanes-Oxley Act of 2002.</w:t>
            </w:r>
          </w:p>
        </w:tc>
        <w:tc>
          <w:tcPr>
            <w:tcW w:w="28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32.1</w:t>
            </w:r>
          </w:p>
        </w:tc>
        <w:tc>
          <w:tcPr>
            <w:tcW w:w="6600" w:type="dxa"/>
            <w:vAlign w:val="bottom"/>
            <w:tcBorders>
              <w:right w:val="single" w:sz="8" w:color="auto"/>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w:t>
            </w:r>
          </w:p>
        </w:tc>
        <w:tc>
          <w:tcPr>
            <w:tcW w:w="284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56"/>
        </w:trPr>
        <w:tc>
          <w:tcPr>
            <w:tcW w:w="1820" w:type="dxa"/>
            <w:vAlign w:val="bottom"/>
            <w:tcBorders>
              <w:left w:val="single" w:sz="8" w:color="auto"/>
              <w:right w:val="single" w:sz="8" w:color="auto"/>
            </w:tcBorders>
          </w:tcPr>
          <w:p>
            <w:pPr>
              <w:spacing w:after="0"/>
              <w:rPr>
                <w:sz w:val="13"/>
                <w:szCs w:val="13"/>
                <w:color w:val="auto"/>
              </w:rPr>
            </w:pPr>
          </w:p>
        </w:tc>
        <w:tc>
          <w:tcPr>
            <w:tcW w:w="6600" w:type="dxa"/>
            <w:vAlign w:val="bottom"/>
            <w:tcBorders>
              <w:top w:val="single" w:sz="8" w:color="0000FF"/>
              <w:right w:val="single" w:sz="8" w:color="auto"/>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2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top w:val="single" w:sz="8" w:color="0000FF"/>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820" w:type="dxa"/>
            <w:vAlign w:val="bottom"/>
            <w:tcBorders>
              <w:left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101.INS</w:t>
            </w:r>
          </w:p>
        </w:tc>
        <w:tc>
          <w:tcPr>
            <w:tcW w:w="6600" w:type="dxa"/>
            <w:vAlign w:val="bottom"/>
            <w:tcBorders>
              <w:right w:val="single" w:sz="8" w:color="auto"/>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84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instance document does not</w:t>
            </w:r>
          </w:p>
        </w:tc>
        <w:tc>
          <w:tcPr>
            <w:tcW w:w="0" w:type="dxa"/>
            <w:vAlign w:val="bottom"/>
          </w:tcPr>
          <w:p>
            <w:pPr>
              <w:spacing w:after="0"/>
              <w:rPr>
                <w:sz w:val="1"/>
                <w:szCs w:val="1"/>
                <w:color w:val="auto"/>
              </w:rPr>
            </w:pPr>
          </w:p>
        </w:tc>
      </w:tr>
      <w:tr>
        <w:trPr>
          <w:trHeight w:val="36"/>
        </w:trPr>
        <w:tc>
          <w:tcPr>
            <w:tcW w:w="1820" w:type="dxa"/>
            <w:vAlign w:val="bottom"/>
            <w:tcBorders>
              <w:left w:val="single" w:sz="8" w:color="auto"/>
              <w:right w:val="single" w:sz="8" w:color="auto"/>
            </w:tcBorders>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right w:val="single" w:sz="8" w:color="auto"/>
            </w:tcBorders>
            <w:shd w:val="clear" w:color="auto" w:fill="CCEEFF"/>
          </w:tcPr>
          <w:p>
            <w:pPr>
              <w:spacing w:after="0"/>
              <w:rPr>
                <w:sz w:val="3"/>
                <w:szCs w:val="3"/>
                <w:color w:val="auto"/>
              </w:rPr>
            </w:pPr>
          </w:p>
        </w:tc>
        <w:tc>
          <w:tcPr>
            <w:tcW w:w="2840" w:type="dxa"/>
            <w:vAlign w:val="bottom"/>
            <w:tcBorders>
              <w:right w:val="single" w:sz="8" w:color="auto"/>
            </w:tcBorders>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820" w:type="dxa"/>
            <w:vAlign w:val="bottom"/>
            <w:tcBorders>
              <w:left w:val="single" w:sz="8" w:color="auto"/>
              <w:right w:val="single" w:sz="8" w:color="auto"/>
            </w:tcBorders>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2840" w:type="dxa"/>
            <w:vAlign w:val="bottom"/>
            <w:tcBorders>
              <w:right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appear in the Interactive Data File</w:t>
            </w:r>
          </w:p>
        </w:tc>
        <w:tc>
          <w:tcPr>
            <w:tcW w:w="0" w:type="dxa"/>
            <w:vAlign w:val="bottom"/>
          </w:tcPr>
          <w:p>
            <w:pPr>
              <w:spacing w:after="0"/>
              <w:rPr>
                <w:sz w:val="1"/>
                <w:szCs w:val="1"/>
                <w:color w:val="auto"/>
              </w:rPr>
            </w:pPr>
          </w:p>
        </w:tc>
      </w:tr>
      <w:tr>
        <w:trPr>
          <w:trHeight w:val="184"/>
        </w:trPr>
        <w:tc>
          <w:tcPr>
            <w:tcW w:w="1820" w:type="dxa"/>
            <w:vAlign w:val="bottom"/>
            <w:tcBorders>
              <w:left w:val="single" w:sz="8" w:color="auto"/>
              <w:right w:val="single" w:sz="8" w:color="auto"/>
            </w:tcBorders>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2840" w:type="dxa"/>
            <w:vAlign w:val="bottom"/>
            <w:tcBorders>
              <w:right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because its XBRL tags are embedded</w:t>
            </w:r>
          </w:p>
        </w:tc>
        <w:tc>
          <w:tcPr>
            <w:tcW w:w="0" w:type="dxa"/>
            <w:vAlign w:val="bottom"/>
          </w:tcPr>
          <w:p>
            <w:pPr>
              <w:spacing w:after="0"/>
              <w:rPr>
                <w:sz w:val="1"/>
                <w:szCs w:val="1"/>
                <w:color w:val="auto"/>
              </w:rPr>
            </w:pPr>
          </w:p>
        </w:tc>
      </w:tr>
      <w:tr>
        <w:trPr>
          <w:trHeight w:val="234"/>
        </w:trPr>
        <w:tc>
          <w:tcPr>
            <w:tcW w:w="1820" w:type="dxa"/>
            <w:vAlign w:val="bottom"/>
            <w:tcBorders>
              <w:left w:val="single" w:sz="8" w:color="auto"/>
              <w:right w:val="single" w:sz="8" w:color="auto"/>
            </w:tcBorders>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28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95"/>
        </w:trPr>
        <w:tc>
          <w:tcPr>
            <w:tcW w:w="182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23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290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right w:val="single" w:sz="8" w:color="auto"/>
            </w:tcBorders>
            <w:shd w:val="clear" w:color="auto" w:fill="CCEEFF"/>
          </w:tcPr>
          <w:p>
            <w:pPr>
              <w:spacing w:after="0"/>
              <w:rPr>
                <w:sz w:val="8"/>
                <w:szCs w:val="8"/>
                <w:color w:val="auto"/>
              </w:rPr>
            </w:pPr>
          </w:p>
        </w:tc>
        <w:tc>
          <w:tcPr>
            <w:tcW w:w="2840" w:type="dxa"/>
            <w:vAlign w:val="bottom"/>
            <w:tcBorders>
              <w:bottom w:val="single" w:sz="8" w:color="auto"/>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101.SCH</w:t>
            </w:r>
          </w:p>
        </w:tc>
        <w:tc>
          <w:tcPr>
            <w:tcW w:w="660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101.CAL</w:t>
            </w:r>
          </w:p>
        </w:tc>
        <w:tc>
          <w:tcPr>
            <w:tcW w:w="6600" w:type="dxa"/>
            <w:vAlign w:val="bottom"/>
            <w:tcBorders>
              <w:bottom w:val="single" w:sz="8" w:color="auto"/>
              <w:right w:val="single" w:sz="8" w:color="auto"/>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101.LAB</w:t>
            </w:r>
          </w:p>
        </w:tc>
        <w:tc>
          <w:tcPr>
            <w:tcW w:w="660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101.PRE</w:t>
            </w:r>
          </w:p>
        </w:tc>
        <w:tc>
          <w:tcPr>
            <w:tcW w:w="6600" w:type="dxa"/>
            <w:vAlign w:val="bottom"/>
            <w:tcBorders>
              <w:bottom w:val="single" w:sz="8" w:color="auto"/>
              <w:right w:val="single" w:sz="8" w:color="auto"/>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101.DEF</w:t>
            </w:r>
          </w:p>
        </w:tc>
        <w:tc>
          <w:tcPr>
            <w:tcW w:w="660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69"/>
        </w:trPr>
        <w:tc>
          <w:tcPr>
            <w:tcW w:w="1820" w:type="dxa"/>
            <w:vAlign w:val="bottom"/>
            <w:tcBorders>
              <w:left w:val="single" w:sz="8" w:color="auto"/>
              <w:right w:val="single" w:sz="8" w:color="auto"/>
            </w:tcBorders>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6600" w:type="dxa"/>
            <w:vAlign w:val="bottom"/>
            <w:tcBorders>
              <w:right w:val="single" w:sz="8" w:color="auto"/>
            </w:tcBorders>
            <w:gridSpan w:val="8"/>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contained</w:t>
            </w:r>
          </w:p>
        </w:tc>
        <w:tc>
          <w:tcPr>
            <w:tcW w:w="284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9"/>
        </w:trPr>
        <w:tc>
          <w:tcPr>
            <w:tcW w:w="18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6600" w:type="dxa"/>
            <w:vAlign w:val="bottom"/>
            <w:tcBorders>
              <w:bottom w:val="single" w:sz="8" w:color="auto"/>
              <w:right w:val="single" w:sz="8" w:color="auto"/>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284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89"/>
        </w:trPr>
        <w:tc>
          <w:tcPr>
            <w:tcW w:w="1820" w:type="dxa"/>
            <w:vAlign w:val="bottom"/>
          </w:tcPr>
          <w:p>
            <w:pPr>
              <w:spacing w:after="0"/>
              <w:rPr>
                <w:sz w:val="24"/>
                <w:szCs w:val="24"/>
                <w:color w:val="auto"/>
              </w:rPr>
            </w:pPr>
          </w:p>
        </w:tc>
        <w:tc>
          <w:tcPr>
            <w:tcW w:w="6300" w:type="dxa"/>
            <w:vAlign w:val="bottom"/>
            <w:gridSpan w:val="5"/>
          </w:tcPr>
          <w:p>
            <w:pPr>
              <w:ind w:left="3720"/>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51" w:right="31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20"/>
        <w:spacing w:after="0"/>
        <w:tabs>
          <w:tab w:leader="none" w:pos="4200" w:val="left"/>
          <w:tab w:leader="none" w:pos="4660" w:val="left"/>
        </w:tabs>
        <w:rPr>
          <w:sz w:val="20"/>
          <w:szCs w:val="20"/>
          <w:color w:val="auto"/>
        </w:rPr>
      </w:pPr>
      <w:r>
        <w:rPr>
          <w:rFonts w:ascii="Times New Roman" w:cs="Times New Roman" w:eastAsia="Times New Roman" w:hAnsi="Times New Roman"/>
          <w:sz w:val="18"/>
          <w:szCs w:val="18"/>
          <w:color w:val="auto"/>
        </w:rPr>
        <w:t>Dated: October 25,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Fernando Castro-Caratini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36175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Fernando Castro-Caratini, Chief Financial Officer and Secretary</w:t>
      </w:r>
    </w:p>
    <w:p>
      <w:pPr>
        <w:ind w:left="468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360"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List of Issuers of Guaranteed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25, 2022, the debt instruments indicated below are fully and unconditionally guaranteed by Sun Communities, Inc.</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Debt Instrument</w:t>
            </w: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23"/>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 Senior Notes due 2028</w:t>
            </w:r>
          </w:p>
        </w:tc>
        <w:tc>
          <w:tcPr>
            <w:tcW w:w="80" w:type="dxa"/>
            <w:vAlign w:val="bottom"/>
            <w:tcBorders>
              <w:top w:val="single" w:sz="8" w:color="CCEEFF"/>
            </w:tcBorders>
            <w:shd w:val="clear" w:color="auto" w:fill="CCEEFF"/>
          </w:tcPr>
          <w:p>
            <w:pPr>
              <w:spacing w:after="0"/>
              <w:rPr>
                <w:sz w:val="19"/>
                <w:szCs w:val="19"/>
                <w:color w:val="auto"/>
              </w:rPr>
            </w:pPr>
          </w:p>
        </w:tc>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 Communities Operating Limited Partnership</w:t>
            </w:r>
          </w:p>
        </w:tc>
        <w:tc>
          <w:tcPr>
            <w:tcW w:w="10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r>
      <w:tr>
        <w:trPr>
          <w:trHeight w:val="23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2.7% Senior Notes due 2031</w:t>
            </w: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Sun Communities Operating Limited Partnership</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r>
      <w:tr>
        <w:trPr>
          <w:trHeight w:val="22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 Senior Notes due 2032</w:t>
            </w:r>
          </w:p>
        </w:tc>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 Communities Operating Limited Partnership</w:t>
            </w: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r>
    </w:tbl>
    <w:p>
      <w:pPr>
        <w:sectPr>
          <w:pgSz w:w="11900" w:h="16838" w:orient="portrait"/>
          <w:cols w:equalWidth="0" w:num="1">
            <w:col w:w="11240"/>
          </w:cols>
          <w:pgMar w:left="320" w:top="1400"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Under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A. Shiffman, certify that:</w:t>
      </w:r>
    </w:p>
    <w:p>
      <w:pPr>
        <w:spacing w:after="0" w:line="252"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Communities,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1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060" w:right="20" w:hanging="323"/>
        <w:spacing w:after="0" w:line="266" w:lineRule="auto"/>
        <w:tabs>
          <w:tab w:leader="none" w:pos="108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2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60" w:hanging="323"/>
        <w:spacing w:after="0" w:line="282" w:lineRule="auto"/>
        <w:tabs>
          <w:tab w:leader="none" w:pos="114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4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18"/>
          <w:szCs w:val="18"/>
          <w:color w:val="auto"/>
        </w:rPr>
      </w:pPr>
    </w:p>
    <w:p>
      <w:pPr>
        <w:ind w:left="1100" w:hanging="323"/>
        <w:spacing w:after="0" w:line="282" w:lineRule="auto"/>
        <w:tabs>
          <w:tab w:leader="none" w:pos="1206"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00" w:hanging="323"/>
        <w:spacing w:after="0" w:line="282" w:lineRule="auto"/>
        <w:tabs>
          <w:tab w:leader="none" w:pos="1157"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420"/>
        <w:spacing w:after="0"/>
        <w:tabs>
          <w:tab w:leader="none" w:pos="4800" w:val="left"/>
        </w:tabs>
        <w:rPr>
          <w:sz w:val="20"/>
          <w:szCs w:val="20"/>
          <w:color w:val="auto"/>
        </w:rPr>
      </w:pPr>
      <w:r>
        <w:rPr>
          <w:rFonts w:ascii="Times New Roman" w:cs="Times New Roman" w:eastAsia="Times New Roman" w:hAnsi="Times New Roman"/>
          <w:sz w:val="18"/>
          <w:szCs w:val="18"/>
          <w:color w:val="auto"/>
        </w:rPr>
        <w:t>Dated: October 25, 2022</w:t>
      </w:r>
      <w:r>
        <w:rPr>
          <w:sz w:val="20"/>
          <w:szCs w:val="20"/>
          <w:color w:val="auto"/>
        </w:rPr>
        <w:tab/>
      </w:r>
      <w:r>
        <w:rPr>
          <w:rFonts w:ascii="Times New Roman" w:cs="Times New Roman" w:eastAsia="Times New Roman" w:hAnsi="Times New Roman"/>
          <w:sz w:val="17"/>
          <w:szCs w:val="17"/>
          <w:color w:val="auto"/>
        </w:rPr>
        <w:t>/s/ Gary A. Shiffman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17145</wp:posOffset>
            </wp:positionV>
            <wp:extent cx="36436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643630" cy="8890"/>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Gary A. Shiffman, Chief Executive Officer</w:t>
      </w:r>
    </w:p>
    <w:p>
      <w:pPr>
        <w:sectPr>
          <w:pgSz w:w="11900" w:h="16838" w:orient="portrait"/>
          <w:cols w:equalWidth="0" w:num="1">
            <w:col w:w="11240"/>
          </w:cols>
          <w:pgMar w:left="320" w:top="89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Under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Fernando Castro-Caratini, certify that:</w:t>
      </w:r>
    </w:p>
    <w:p>
      <w:pPr>
        <w:spacing w:after="0" w:line="252"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Sun Communities, Inc.</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060" w:right="20" w:hanging="323"/>
        <w:spacing w:after="0" w:line="266" w:lineRule="auto"/>
        <w:tabs>
          <w:tab w:leader="none" w:pos="108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2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60" w:right="20" w:hanging="323"/>
        <w:spacing w:after="0" w:line="282" w:lineRule="auto"/>
        <w:tabs>
          <w:tab w:leader="none" w:pos="114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14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18"/>
          <w:szCs w:val="18"/>
          <w:color w:val="auto"/>
        </w:rPr>
      </w:pPr>
    </w:p>
    <w:p>
      <w:pPr>
        <w:ind w:left="1100" w:hanging="323"/>
        <w:spacing w:after="0" w:line="282" w:lineRule="auto"/>
        <w:tabs>
          <w:tab w:leader="none" w:pos="1206"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00" w:right="20" w:hanging="323"/>
        <w:spacing w:after="0" w:line="282" w:lineRule="auto"/>
        <w:tabs>
          <w:tab w:leader="none" w:pos="1152"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5300" w:val="left"/>
        </w:tabs>
        <w:rPr>
          <w:sz w:val="20"/>
          <w:szCs w:val="20"/>
          <w:color w:val="auto"/>
        </w:rPr>
      </w:pPr>
      <w:r>
        <w:rPr>
          <w:rFonts w:ascii="Times New Roman" w:cs="Times New Roman" w:eastAsia="Times New Roman" w:hAnsi="Times New Roman"/>
          <w:sz w:val="18"/>
          <w:szCs w:val="18"/>
          <w:color w:val="auto"/>
        </w:rPr>
        <w:t>Dated: October 25, 2022</w:t>
      </w:r>
      <w:r>
        <w:rPr>
          <w:sz w:val="20"/>
          <w:szCs w:val="20"/>
          <w:color w:val="auto"/>
        </w:rPr>
        <w:tab/>
      </w:r>
      <w:r>
        <w:rPr>
          <w:rFonts w:ascii="Times New Roman" w:cs="Times New Roman" w:eastAsia="Times New Roman" w:hAnsi="Times New Roman"/>
          <w:sz w:val="17"/>
          <w:szCs w:val="17"/>
          <w:color w:val="auto"/>
        </w:rPr>
        <w:t>/s/ Fernando Castro-Caratini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5833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Fernando Castro-Caratini, Chief Financial Officer</w:t>
      </w:r>
    </w:p>
    <w:p>
      <w:pPr>
        <w:sectPr>
          <w:pgSz w:w="11900" w:h="16838" w:orient="portrait"/>
          <w:cols w:equalWidth="0" w:num="1">
            <w:col w:w="11240"/>
          </w:cols>
          <w:pgMar w:left="320" w:top="769"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5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(Adopted Under 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officers, Gary A. Shiffman and Fernando Castro-Caratini, hereby certify that to the best of their knowledge: (a) this Quarterly Report on Form 10-Q of Sun Communities, Inc., for the period ended September 30, 2022,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60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6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Gary A. Shiffman</w:t>
            </w:r>
          </w:p>
        </w:tc>
        <w:tc>
          <w:tcPr>
            <w:tcW w:w="2700" w:type="dxa"/>
            <w:vAlign w:val="bottom"/>
            <w:gridSpan w:val="3"/>
          </w:tcPr>
          <w:p>
            <w:pPr>
              <w:jc w:val="center"/>
              <w:ind w:left="1350"/>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A. Shiffman, Chief Executive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95"/>
        </w:trPr>
        <w:tc>
          <w:tcPr>
            <w:tcW w:w="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Fernando Castro-Caratini</w:t>
            </w:r>
          </w:p>
        </w:tc>
        <w:tc>
          <w:tcPr>
            <w:tcW w:w="2700" w:type="dxa"/>
            <w:vAlign w:val="bottom"/>
            <w:gridSpan w:val="3"/>
          </w:tcPr>
          <w:p>
            <w:pPr>
              <w:jc w:val="center"/>
              <w:ind w:left="1350"/>
              <w:spacing w:after="0"/>
              <w:rPr>
                <w:sz w:val="20"/>
                <w:szCs w:val="20"/>
                <w:color w:val="auto"/>
              </w:rPr>
            </w:pPr>
            <w:r>
              <w:rPr>
                <w:rFonts w:ascii="Times New Roman" w:cs="Times New Roman" w:eastAsia="Times New Roman" w:hAnsi="Times New Roman"/>
                <w:sz w:val="18"/>
                <w:szCs w:val="18"/>
                <w:color w:val="auto"/>
              </w:rPr>
              <w:t>October 25, 2022</w:t>
            </w:r>
          </w:p>
        </w:tc>
      </w:tr>
      <w:tr>
        <w:trPr>
          <w:trHeight w:val="228"/>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Fernando Castro-Caratini, Chief Financial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pacing w:after="0" w:line="3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Sun Communities, Inc. and will be retained by Sun Communities, Inc. and furnished to the Securities and Exchange Commission or its staff upon request.</w:t>
      </w:r>
    </w:p>
    <w:sectPr>
      <w:pgSz w:w="11900" w:h="16838" w:orient="portrait"/>
      <w:cols w:equalWidth="0" w:num="1">
        <w:col w:w="11240"/>
      </w:cols>
      <w:pgMar w:left="320" w:top="6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5"/>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1" Type="http://schemas.openxmlformats.org/officeDocument/2006/relationships/hyperlink" Target="http://www.sec.gov/Archives/edgar/data/912593/000091259318000049/exhibit31-suncommunitiesin.htm" TargetMode="External"/><Relationship Id="rId92" Type="http://schemas.openxmlformats.org/officeDocument/2006/relationships/hyperlink" Target="http://www.sec.gov/Archives/edgar/data/912593/000091259317000078/exhibit31-thirdamendedand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2022-10-25T13:22:07Z</dcterms:created>
  <dcterms:modified xsi:type="dcterms:W3CDTF">2022-10-25T13:22:07Z</dcterms:modified>
</cp:coreProperties>
</file>