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4"/>
        <w:spacing w:after="0"/>
        <w:rPr>
          <w:sz w:val="20"/>
          <w:szCs w:val="20"/>
          <w:color w:val="auto"/>
        </w:rPr>
      </w:pPr>
      <w:r>
        <w:rPr>
          <w:rFonts w:ascii="Arial" w:cs="Arial" w:eastAsia="Arial" w:hAnsi="Arial"/>
          <w:sz w:val="18"/>
          <w:szCs w:val="18"/>
          <w:b w:val="1"/>
          <w:bCs w:val="1"/>
          <w:color w:val="auto"/>
        </w:rPr>
        <w:t>UNITED STATES</w:t>
      </w:r>
    </w:p>
    <w:p>
      <w:pPr>
        <w:jc w:val="center"/>
        <w:ind w:right="-124"/>
        <w:spacing w:after="0" w:line="221"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ind w:right="-124"/>
        <w:spacing w:after="0"/>
        <w:rPr>
          <w:sz w:val="20"/>
          <w:szCs w:val="20"/>
          <w:color w:val="auto"/>
        </w:rPr>
      </w:pPr>
      <w:r>
        <w:rPr>
          <w:rFonts w:ascii="Arial" w:cs="Arial" w:eastAsia="Arial" w:hAnsi="Arial"/>
          <w:sz w:val="18"/>
          <w:szCs w:val="18"/>
          <w:b w:val="1"/>
          <w:bCs w:val="1"/>
          <w:color w:val="auto"/>
        </w:rPr>
        <w:t>WASHINGTON, D.C. 20549</w:t>
      </w:r>
    </w:p>
    <w:p>
      <w:pPr>
        <w:spacing w:after="0" w:line="147" w:lineRule="exact"/>
        <w:rPr>
          <w:sz w:val="24"/>
          <w:szCs w:val="24"/>
          <w:color w:val="auto"/>
        </w:rPr>
      </w:pPr>
    </w:p>
    <w:p>
      <w:pPr>
        <w:jc w:val="center"/>
        <w:ind w:right="-124"/>
        <w:spacing w:after="0" w:line="288" w:lineRule="exact"/>
        <w:rPr>
          <w:sz w:val="20"/>
          <w:szCs w:val="20"/>
          <w:color w:val="auto"/>
        </w:rPr>
      </w:pPr>
      <w:r>
        <w:rPr>
          <w:rFonts w:ascii="Arial" w:cs="Arial" w:eastAsia="Arial" w:hAnsi="Arial"/>
          <w:sz w:val="25"/>
          <w:szCs w:val="25"/>
          <w:b w:val="1"/>
          <w:bCs w:val="1"/>
          <w:color w:val="auto"/>
        </w:rPr>
        <w:t>FORM 8</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K</w:t>
      </w:r>
    </w:p>
    <w:p>
      <w:pPr>
        <w:spacing w:after="0" w:line="370" w:lineRule="exact"/>
        <w:rPr>
          <w:sz w:val="24"/>
          <w:szCs w:val="24"/>
          <w:color w:val="auto"/>
        </w:rPr>
      </w:pPr>
    </w:p>
    <w:p>
      <w:pPr>
        <w:jc w:val="center"/>
        <w:ind w:right="-124"/>
        <w:spacing w:after="0"/>
        <w:rPr>
          <w:sz w:val="20"/>
          <w:szCs w:val="20"/>
          <w:color w:val="auto"/>
        </w:rPr>
      </w:pPr>
      <w:r>
        <w:rPr>
          <w:rFonts w:ascii="Arial" w:cs="Arial" w:eastAsia="Arial" w:hAnsi="Arial"/>
          <w:sz w:val="22"/>
          <w:szCs w:val="22"/>
          <w:b w:val="1"/>
          <w:bCs w:val="1"/>
          <w:color w:val="auto"/>
        </w:rPr>
        <w:t>CURRENT REPORT</w:t>
      </w:r>
    </w:p>
    <w:p>
      <w:pPr>
        <w:spacing w:after="0" w:line="1" w:lineRule="exact"/>
        <w:rPr>
          <w:sz w:val="24"/>
          <w:szCs w:val="24"/>
          <w:color w:val="auto"/>
        </w:rPr>
      </w:pPr>
    </w:p>
    <w:p>
      <w:pPr>
        <w:jc w:val="center"/>
        <w:ind w:right="-124"/>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4" w:lineRule="exact"/>
        <w:rPr>
          <w:sz w:val="24"/>
          <w:szCs w:val="24"/>
          <w:color w:val="auto"/>
        </w:rPr>
      </w:pPr>
    </w:p>
    <w:p>
      <w:pPr>
        <w:jc w:val="center"/>
        <w:ind w:right="-124"/>
        <w:spacing w:after="0"/>
        <w:rPr>
          <w:sz w:val="20"/>
          <w:szCs w:val="20"/>
          <w:color w:val="auto"/>
        </w:rPr>
      </w:pPr>
      <w:r>
        <w:rPr>
          <w:rFonts w:ascii="Arial" w:cs="Arial" w:eastAsia="Arial" w:hAnsi="Arial"/>
          <w:sz w:val="22"/>
          <w:szCs w:val="22"/>
          <w:b w:val="1"/>
          <w:bCs w:val="1"/>
          <w:color w:val="auto"/>
        </w:rPr>
        <w:t>Date of Report: July 24, 2014</w:t>
      </w:r>
    </w:p>
    <w:p>
      <w:pPr>
        <w:spacing w:after="0" w:line="14" w:lineRule="exact"/>
        <w:rPr>
          <w:sz w:val="24"/>
          <w:szCs w:val="24"/>
          <w:color w:val="auto"/>
        </w:rPr>
      </w:pPr>
    </w:p>
    <w:p>
      <w:pPr>
        <w:jc w:val="center"/>
        <w:ind w:right="-124"/>
        <w:spacing w:after="0"/>
        <w:rPr>
          <w:sz w:val="20"/>
          <w:szCs w:val="20"/>
          <w:color w:val="auto"/>
        </w:rPr>
      </w:pPr>
      <w:r>
        <w:rPr>
          <w:rFonts w:ascii="Arial" w:cs="Arial" w:eastAsia="Arial" w:hAnsi="Arial"/>
          <w:sz w:val="17"/>
          <w:szCs w:val="17"/>
          <w:color w:val="auto"/>
        </w:rPr>
        <w:t>(Date of earliest event reported)</w:t>
      </w:r>
    </w:p>
    <w:p>
      <w:pPr>
        <w:spacing w:after="0" w:line="245" w:lineRule="exact"/>
        <w:rPr>
          <w:sz w:val="24"/>
          <w:szCs w:val="24"/>
          <w:color w:val="auto"/>
        </w:rPr>
      </w:pPr>
    </w:p>
    <w:p>
      <w:pPr>
        <w:jc w:val="center"/>
        <w:ind w:right="-124"/>
        <w:spacing w:after="0"/>
        <w:rPr>
          <w:sz w:val="20"/>
          <w:szCs w:val="20"/>
          <w:color w:val="auto"/>
        </w:rPr>
      </w:pPr>
      <w:r>
        <w:rPr>
          <w:rFonts w:ascii="Arial" w:cs="Arial" w:eastAsia="Arial" w:hAnsi="Arial"/>
          <w:sz w:val="25"/>
          <w:szCs w:val="25"/>
          <w:b w:val="1"/>
          <w:bCs w:val="1"/>
          <w:color w:val="auto"/>
        </w:rPr>
        <w:t>SUN COMMUNITIES, INC.</w:t>
      </w:r>
    </w:p>
    <w:p>
      <w:pPr>
        <w:spacing w:after="0" w:line="29" w:lineRule="exact"/>
        <w:rPr>
          <w:sz w:val="24"/>
          <w:szCs w:val="24"/>
          <w:color w:val="auto"/>
        </w:rPr>
      </w:pPr>
    </w:p>
    <w:p>
      <w:pPr>
        <w:jc w:val="center"/>
        <w:ind w:right="-124"/>
        <w:spacing w:after="0"/>
        <w:rPr>
          <w:sz w:val="20"/>
          <w:szCs w:val="20"/>
          <w:color w:val="auto"/>
        </w:rPr>
      </w:pPr>
      <w:r>
        <w:rPr>
          <w:rFonts w:ascii="Arial" w:cs="Arial" w:eastAsia="Arial" w:hAnsi="Arial"/>
          <w:sz w:val="17"/>
          <w:szCs w:val="17"/>
          <w:color w:val="auto"/>
        </w:rPr>
        <w:t>(Exact name of registrant as specified in its charter)</w:t>
      </w:r>
    </w:p>
    <w:p>
      <w:pPr>
        <w:spacing w:after="0" w:line="200" w:lineRule="exact"/>
        <w:rPr>
          <w:sz w:val="24"/>
          <w:szCs w:val="24"/>
          <w:color w:val="auto"/>
        </w:rPr>
      </w:pPr>
    </w:p>
    <w:p>
      <w:pPr>
        <w:spacing w:after="0" w:line="391" w:lineRule="exact"/>
        <w:rPr>
          <w:sz w:val="24"/>
          <w:szCs w:val="24"/>
          <w:color w:val="auto"/>
        </w:rPr>
      </w:pPr>
    </w:p>
    <w:tbl>
      <w:tblPr>
        <w:tblLayout w:type="fixed"/>
        <w:tblInd w:w="445" w:type="dxa"/>
        <w:tblCellMar>
          <w:top w:w="0" w:type="dxa"/>
          <w:left w:w="0" w:type="dxa"/>
          <w:bottom w:w="0" w:type="dxa"/>
          <w:right w:w="0" w:type="dxa"/>
        </w:tblCellMar>
      </w:tblPr>
      <w:tr>
        <w:trPr>
          <w:trHeight w:val="291"/>
        </w:trPr>
        <w:tc>
          <w:tcPr>
            <w:tcW w:w="20" w:type="dxa"/>
            <w:vAlign w:val="bottom"/>
          </w:tcPr>
          <w:p>
            <w:pPr>
              <w:spacing w:after="0"/>
              <w:rPr>
                <w:sz w:val="24"/>
                <w:szCs w:val="24"/>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Maryland</w:t>
            </w:r>
          </w:p>
        </w:tc>
        <w:tc>
          <w:tcPr>
            <w:tcW w:w="860" w:type="dxa"/>
            <w:vAlign w:val="bottom"/>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b w:val="1"/>
                <w:bCs w:val="1"/>
                <w:color w:val="auto"/>
              </w:rPr>
              <w:t>1-12616</w:t>
            </w:r>
          </w:p>
        </w:tc>
        <w:tc>
          <w:tcPr>
            <w:tcW w:w="86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040" w:type="dxa"/>
            <w:vAlign w:val="bottom"/>
            <w:tcBorders>
              <w:bottom w:val="single" w:sz="8" w:color="auto"/>
            </w:tcBorders>
          </w:tcPr>
          <w:p>
            <w:pPr>
              <w:jc w:val="right"/>
              <w:ind w:right="903"/>
              <w:spacing w:after="0"/>
              <w:rPr>
                <w:sz w:val="20"/>
                <w:szCs w:val="20"/>
                <w:color w:val="auto"/>
              </w:rPr>
            </w:pPr>
            <w:r>
              <w:rPr>
                <w:rFonts w:ascii="Arial" w:cs="Arial" w:eastAsia="Arial" w:hAnsi="Arial"/>
                <w:sz w:val="22"/>
                <w:szCs w:val="22"/>
                <w:b w:val="1"/>
                <w:bCs w:val="1"/>
                <w:color w:val="auto"/>
              </w:rPr>
              <w:t>38-2730780</w:t>
            </w:r>
          </w:p>
        </w:tc>
        <w:tc>
          <w:tcPr>
            <w:tcW w:w="20" w:type="dxa"/>
            <w:vAlign w:val="bottom"/>
          </w:tcPr>
          <w:p>
            <w:pPr>
              <w:spacing w:after="0"/>
              <w:rPr>
                <w:sz w:val="24"/>
                <w:szCs w:val="24"/>
                <w:color w:val="auto"/>
              </w:rPr>
            </w:pPr>
          </w:p>
        </w:tc>
      </w:tr>
      <w:tr>
        <w:trPr>
          <w:trHeight w:val="305"/>
        </w:trPr>
        <w:tc>
          <w:tcPr>
            <w:tcW w:w="20" w:type="dxa"/>
            <w:vAlign w:val="bottom"/>
          </w:tcPr>
          <w:p>
            <w:pPr>
              <w:spacing w:after="0"/>
              <w:rPr>
                <w:sz w:val="24"/>
                <w:szCs w:val="24"/>
                <w:color w:val="auto"/>
              </w:rPr>
            </w:pPr>
          </w:p>
        </w:tc>
        <w:tc>
          <w:tcPr>
            <w:tcW w:w="4440" w:type="dxa"/>
            <w:vAlign w:val="bottom"/>
            <w:gridSpan w:val="2"/>
          </w:tcPr>
          <w:p>
            <w:pPr>
              <w:jc w:val="center"/>
              <w:ind w:right="880"/>
              <w:spacing w:after="0"/>
              <w:rPr>
                <w:sz w:val="20"/>
                <w:szCs w:val="20"/>
                <w:color w:val="auto"/>
              </w:rPr>
            </w:pPr>
            <w:r>
              <w:rPr>
                <w:rFonts w:ascii="Arial" w:cs="Arial" w:eastAsia="Arial" w:hAnsi="Arial"/>
                <w:sz w:val="16"/>
                <w:szCs w:val="16"/>
                <w:color w:val="auto"/>
                <w:w w:val="93"/>
              </w:rPr>
              <w:t>(State or other jurisdiction of incorporation)</w:t>
            </w:r>
          </w:p>
        </w:tc>
        <w:tc>
          <w:tcPr>
            <w:tcW w:w="3040" w:type="dxa"/>
            <w:vAlign w:val="bottom"/>
            <w:gridSpan w:val="4"/>
          </w:tcPr>
          <w:p>
            <w:pPr>
              <w:jc w:val="center"/>
              <w:ind w:right="640"/>
              <w:spacing w:after="0"/>
              <w:rPr>
                <w:sz w:val="20"/>
                <w:szCs w:val="20"/>
                <w:color w:val="auto"/>
              </w:rPr>
            </w:pPr>
            <w:r>
              <w:rPr>
                <w:rFonts w:ascii="Arial" w:cs="Arial" w:eastAsia="Arial" w:hAnsi="Arial"/>
                <w:sz w:val="16"/>
                <w:szCs w:val="16"/>
                <w:color w:val="auto"/>
                <w:w w:val="94"/>
              </w:rPr>
              <w:t>(Commission File Number)</w:t>
            </w:r>
          </w:p>
        </w:tc>
        <w:tc>
          <w:tcPr>
            <w:tcW w:w="3040" w:type="dxa"/>
            <w:vAlign w:val="bottom"/>
          </w:tcPr>
          <w:p>
            <w:pPr>
              <w:ind w:left="400"/>
              <w:spacing w:after="0"/>
              <w:rPr>
                <w:sz w:val="20"/>
                <w:szCs w:val="20"/>
                <w:color w:val="auto"/>
              </w:rPr>
            </w:pPr>
            <w:r>
              <w:rPr>
                <w:rFonts w:ascii="Arial" w:cs="Arial" w:eastAsia="Arial" w:hAnsi="Arial"/>
                <w:sz w:val="16"/>
                <w:szCs w:val="16"/>
                <w:color w:val="auto"/>
              </w:rPr>
              <w:t>(IRS Employer Identification No.)</w:t>
            </w:r>
          </w:p>
        </w:tc>
        <w:tc>
          <w:tcPr>
            <w:tcW w:w="20" w:type="dxa"/>
            <w:vAlign w:val="bottom"/>
          </w:tcPr>
          <w:p>
            <w:pPr>
              <w:spacing w:after="0"/>
              <w:rPr>
                <w:sz w:val="24"/>
                <w:szCs w:val="24"/>
                <w:color w:val="auto"/>
              </w:rPr>
            </w:pPr>
          </w:p>
        </w:tc>
      </w:tr>
      <w:tr>
        <w:trPr>
          <w:trHeight w:val="813"/>
        </w:trPr>
        <w:tc>
          <w:tcPr>
            <w:tcW w:w="20" w:type="dxa"/>
            <w:vAlign w:val="bottom"/>
          </w:tcPr>
          <w:p>
            <w:pPr>
              <w:spacing w:after="0"/>
              <w:rPr>
                <w:sz w:val="24"/>
                <w:szCs w:val="24"/>
                <w:color w:val="auto"/>
              </w:rPr>
            </w:pPr>
          </w:p>
        </w:tc>
        <w:tc>
          <w:tcPr>
            <w:tcW w:w="4440" w:type="dxa"/>
            <w:vAlign w:val="bottom"/>
            <w:gridSpan w:val="2"/>
          </w:tcPr>
          <w:p>
            <w:pPr>
              <w:jc w:val="center"/>
              <w:ind w:left="259"/>
              <w:spacing w:after="0"/>
              <w:rPr>
                <w:sz w:val="20"/>
                <w:szCs w:val="20"/>
                <w:color w:val="auto"/>
              </w:rPr>
            </w:pPr>
            <w:r>
              <w:rPr>
                <w:rFonts w:ascii="Arial" w:cs="Arial" w:eastAsia="Arial" w:hAnsi="Arial"/>
                <w:sz w:val="22"/>
                <w:szCs w:val="22"/>
                <w:b w:val="1"/>
                <w:bCs w:val="1"/>
                <w:color w:val="auto"/>
                <w:w w:val="92"/>
              </w:rPr>
              <w:t>27777 Franklin Rd.</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4440" w:type="dxa"/>
            <w:vAlign w:val="bottom"/>
            <w:gridSpan w:val="2"/>
          </w:tcPr>
          <w:p>
            <w:pPr>
              <w:jc w:val="center"/>
              <w:ind w:left="259"/>
              <w:spacing w:after="0"/>
              <w:rPr>
                <w:sz w:val="20"/>
                <w:szCs w:val="20"/>
                <w:color w:val="auto"/>
              </w:rPr>
            </w:pPr>
            <w:r>
              <w:rPr>
                <w:rFonts w:ascii="Arial" w:cs="Arial" w:eastAsia="Arial" w:hAnsi="Arial"/>
                <w:sz w:val="22"/>
                <w:szCs w:val="22"/>
                <w:b w:val="1"/>
                <w:bCs w:val="1"/>
                <w:color w:val="auto"/>
                <w:w w:val="86"/>
              </w:rPr>
              <w:t>Suite 200</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8"/>
        </w:trPr>
        <w:tc>
          <w:tcPr>
            <w:tcW w:w="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2"/>
          </w:tcPr>
          <w:p>
            <w:pPr>
              <w:jc w:val="center"/>
              <w:ind w:left="279"/>
              <w:spacing w:after="0"/>
              <w:rPr>
                <w:sz w:val="20"/>
                <w:szCs w:val="20"/>
                <w:color w:val="auto"/>
              </w:rPr>
            </w:pPr>
            <w:r>
              <w:rPr>
                <w:rFonts w:ascii="Arial" w:cs="Arial" w:eastAsia="Arial" w:hAnsi="Arial"/>
                <w:sz w:val="22"/>
                <w:szCs w:val="22"/>
                <w:b w:val="1"/>
                <w:bCs w:val="1"/>
                <w:color w:val="auto"/>
                <w:w w:val="90"/>
              </w:rPr>
              <w:t>Southfield, Michigan</w:t>
            </w:r>
          </w:p>
        </w:tc>
        <w:tc>
          <w:tcPr>
            <w:tcW w:w="40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right"/>
              <w:ind w:right="1883"/>
              <w:spacing w:after="0"/>
              <w:rPr>
                <w:sz w:val="20"/>
                <w:szCs w:val="20"/>
                <w:color w:val="auto"/>
              </w:rPr>
            </w:pPr>
            <w:r>
              <w:rPr>
                <w:rFonts w:ascii="Arial" w:cs="Arial" w:eastAsia="Arial" w:hAnsi="Arial"/>
                <w:sz w:val="22"/>
                <w:szCs w:val="22"/>
                <w:b w:val="1"/>
                <w:bCs w:val="1"/>
                <w:color w:val="auto"/>
              </w:rPr>
              <w:t>48034</w:t>
            </w:r>
          </w:p>
        </w:tc>
        <w:tc>
          <w:tcPr>
            <w:tcW w:w="20" w:type="dxa"/>
            <w:vAlign w:val="bottom"/>
            <w:tcBorders>
              <w:bottom w:val="single" w:sz="8" w:color="auto"/>
            </w:tcBorders>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440" w:type="dxa"/>
            <w:vAlign w:val="bottom"/>
            <w:gridSpan w:val="2"/>
          </w:tcPr>
          <w:p>
            <w:pPr>
              <w:jc w:val="center"/>
              <w:ind w:left="279"/>
              <w:spacing w:after="0"/>
              <w:rPr>
                <w:sz w:val="20"/>
                <w:szCs w:val="20"/>
                <w:color w:val="auto"/>
              </w:rPr>
            </w:pPr>
            <w:r>
              <w:rPr>
                <w:rFonts w:ascii="Arial" w:cs="Arial" w:eastAsia="Arial" w:hAnsi="Arial"/>
                <w:sz w:val="18"/>
                <w:szCs w:val="18"/>
                <w:color w:val="auto"/>
                <w:w w:val="92"/>
              </w:rPr>
              <w:t>(Address of Principal Executive Offices)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40" w:type="dxa"/>
            <w:vAlign w:val="bottom"/>
          </w:tcPr>
          <w:p>
            <w:pPr>
              <w:ind w:left="380"/>
              <w:spacing w:after="0"/>
              <w:rPr>
                <w:sz w:val="20"/>
                <w:szCs w:val="20"/>
                <w:color w:val="auto"/>
              </w:rPr>
            </w:pPr>
            <w:r>
              <w:rPr>
                <w:rFonts w:ascii="Arial" w:cs="Arial" w:eastAsia="Arial" w:hAnsi="Arial"/>
                <w:sz w:val="18"/>
                <w:szCs w:val="18"/>
                <w:color w:val="auto"/>
              </w:rPr>
              <w:t>(Zip Code)</w:t>
            </w:r>
          </w:p>
        </w:tc>
        <w:tc>
          <w:tcPr>
            <w:tcW w:w="20" w:type="dxa"/>
            <w:vAlign w:val="bottom"/>
          </w:tcPr>
          <w:p>
            <w:pPr>
              <w:spacing w:after="0"/>
              <w:rPr>
                <w:sz w:val="21"/>
                <w:szCs w:val="21"/>
                <w:color w:val="auto"/>
              </w:rPr>
            </w:pPr>
          </w:p>
        </w:tc>
      </w:tr>
    </w:tbl>
    <w:p>
      <w:pPr>
        <w:spacing w:after="0" w:line="200" w:lineRule="exact"/>
        <w:rPr>
          <w:sz w:val="24"/>
          <w:szCs w:val="24"/>
          <w:color w:val="auto"/>
        </w:rPr>
      </w:pPr>
    </w:p>
    <w:p>
      <w:pPr>
        <w:spacing w:after="0" w:line="286" w:lineRule="exact"/>
        <w:rPr>
          <w:sz w:val="24"/>
          <w:szCs w:val="24"/>
          <w:color w:val="auto"/>
        </w:rPr>
      </w:pPr>
    </w:p>
    <w:p>
      <w:pPr>
        <w:jc w:val="center"/>
        <w:ind w:right="-124"/>
        <w:spacing w:after="0"/>
        <w:rPr>
          <w:sz w:val="20"/>
          <w:szCs w:val="20"/>
          <w:color w:val="auto"/>
        </w:rPr>
      </w:pPr>
      <w:r>
        <w:rPr>
          <w:rFonts w:ascii="Arial" w:cs="Arial" w:eastAsia="Arial" w:hAnsi="Arial"/>
          <w:sz w:val="22"/>
          <w:szCs w:val="22"/>
          <w:b w:val="1"/>
          <w:bCs w:val="1"/>
          <w:color w:val="auto"/>
        </w:rPr>
        <w:t>(248) 208-2500</w:t>
      </w:r>
    </w:p>
    <w:p>
      <w:pPr>
        <w:spacing w:after="0" w:line="44" w:lineRule="exact"/>
        <w:rPr>
          <w:sz w:val="24"/>
          <w:szCs w:val="24"/>
          <w:color w:val="auto"/>
        </w:rPr>
      </w:pPr>
    </w:p>
    <w:p>
      <w:pPr>
        <w:jc w:val="center"/>
        <w:ind w:right="-124"/>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wp:posOffset>
            </wp:positionH>
            <wp:positionV relativeFrom="paragraph">
              <wp:posOffset>-130175</wp:posOffset>
            </wp:positionV>
            <wp:extent cx="67062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623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5"/>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305"/>
          </w:cols>
          <w:pgMar w:left="235" w:top="675" w:right="35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24, 2014, Sun Communities, Inc. (the “Company”) issued a press release, furnished as Exhibit 99.1 and incorporated herein by reference, announcing its financial results for the period ended June 30, 2014, and certain other information.</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will hold an investor conference call and webcast at 11:00 a.m. EDT on July 24, 2014 to disclose and discuss the financial results for the period ended June 30, 2014.</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contained in this Current Report on Form 8-K, including the exhibit attached hereto, is being furnished and shall not be deemed to be “filed” for purposes of the Securities Exchange Act of 1934, as amended.</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9.01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ectPr>
          <w:pgSz w:w="11900" w:h="16838" w:orient="portrait"/>
          <w:cols w:equalWidth="0" w:num="2">
            <w:col w:w="760" w:space="660"/>
            <w:col w:w="10000"/>
          </w:cols>
          <w:pgMar w:left="240" w:top="742" w:right="239"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Exhibits.</w:t>
      </w:r>
    </w:p>
    <w:p>
      <w:pPr>
        <w:spacing w:after="0" w:line="86" w:lineRule="exact"/>
        <w:rPr>
          <w:sz w:val="20"/>
          <w:szCs w:val="20"/>
          <w:color w:val="auto"/>
        </w:rPr>
      </w:pPr>
    </w:p>
    <w:p>
      <w:pPr>
        <w:sectPr>
          <w:pgSz w:w="11900" w:h="16838" w:orient="portrait"/>
          <w:cols w:equalWidth="0" w:num="2">
            <w:col w:w="700" w:space="720"/>
            <w:col w:w="10000"/>
          </w:cols>
          <w:pgMar w:left="240" w:top="74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issued July 24, 2014</w:t>
      </w:r>
    </w:p>
    <w:p>
      <w:pPr>
        <w:sectPr>
          <w:pgSz w:w="11900" w:h="16838" w:orient="portrait"/>
          <w:cols w:equalWidth="0" w:num="2">
            <w:col w:w="700" w:space="720"/>
            <w:col w:w="10000"/>
          </w:cols>
          <w:pgMar w:left="240" w:top="742" w:right="2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6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 COMMUNITIES, INC.</w:t>
      </w:r>
    </w:p>
    <w:p>
      <w:pPr>
        <w:spacing w:after="0" w:line="279" w:lineRule="exact"/>
        <w:rPr>
          <w:sz w:val="20"/>
          <w:szCs w:val="20"/>
          <w:color w:val="auto"/>
        </w:rPr>
      </w:pPr>
    </w:p>
    <w:p>
      <w:pPr>
        <w:ind w:left="40"/>
        <w:spacing w:after="0"/>
        <w:tabs>
          <w:tab w:leader="none" w:pos="6180" w:val="left"/>
          <w:tab w:leader="none" w:pos="6860" w:val="left"/>
        </w:tabs>
        <w:rPr>
          <w:sz w:val="20"/>
          <w:szCs w:val="20"/>
          <w:color w:val="auto"/>
        </w:rPr>
      </w:pPr>
      <w:r>
        <w:rPr>
          <w:rFonts w:ascii="Arial" w:cs="Arial" w:eastAsia="Arial" w:hAnsi="Arial"/>
          <w:sz w:val="18"/>
          <w:szCs w:val="18"/>
          <w:color w:val="auto"/>
        </w:rPr>
        <w:t>Dated: July 24,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Karen J. Dearing, Executive Vice President,</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 Secretary and Treasurer</w:t>
      </w:r>
    </w:p>
    <w:p>
      <w:pPr>
        <w:sectPr>
          <w:pgSz w:w="11900" w:h="16838" w:orient="portrait"/>
          <w:cols w:equalWidth="0" w:num="1">
            <w:col w:w="11420"/>
          </w:cols>
          <w:pgMar w:left="240" w:top="567"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179"/>
          </w:cols>
          <w:pgMar w:left="280" w:top="580"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90" w:lineRule="exact"/>
        <w:rPr>
          <w:sz w:val="20"/>
          <w:szCs w:val="20"/>
          <w:color w:val="auto"/>
        </w:rPr>
      </w:pPr>
    </w:p>
    <w:p>
      <w:pPr>
        <w:sectPr>
          <w:pgSz w:w="11900" w:h="16838" w:orient="portrait"/>
          <w:cols w:equalWidth="0" w:num="2">
            <w:col w:w="1340" w:space="720"/>
            <w:col w:w="8119"/>
          </w:cols>
          <w:pgMar w:left="280" w:top="5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issued July 24, 2014</w:t>
      </w:r>
    </w:p>
    <w:p>
      <w:pPr>
        <w:sectPr>
          <w:pgSz w:w="11900" w:h="16838" w:orient="portrait"/>
          <w:cols w:equalWidth="0" w:num="2">
            <w:col w:w="1340" w:space="720"/>
            <w:col w:w="8119"/>
          </w:cols>
          <w:pgMar w:left="280" w:top="580" w:right="1440" w:bottom="144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680720</wp:posOffset>
            </wp:positionH>
            <wp:positionV relativeFrom="page">
              <wp:posOffset>380365</wp:posOffset>
            </wp:positionV>
            <wp:extent cx="5848985" cy="7572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NEWS RELEASE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July 24, 2014</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UPDATED : Sun Communities, Inc. Reports 2014 Second Quarter Results</w:t>
      </w:r>
    </w:p>
    <w:p>
      <w:pPr>
        <w:spacing w:after="0" w:line="235" w:lineRule="exact"/>
        <w:rPr>
          <w:sz w:val="20"/>
          <w:szCs w:val="20"/>
          <w:color w:val="auto"/>
        </w:rPr>
      </w:pPr>
    </w:p>
    <w:p>
      <w:pPr>
        <w:spacing w:after="0" w:line="364" w:lineRule="auto"/>
        <w:rPr>
          <w:sz w:val="20"/>
          <w:szCs w:val="20"/>
          <w:color w:val="auto"/>
        </w:rPr>
      </w:pPr>
      <w:r>
        <w:rPr>
          <w:rFonts w:ascii="Arial" w:cs="Arial" w:eastAsia="Arial" w:hAnsi="Arial"/>
          <w:sz w:val="19"/>
          <w:szCs w:val="19"/>
          <w:b w:val="1"/>
          <w:bCs w:val="1"/>
          <w:color w:val="auto"/>
        </w:rPr>
        <w:t xml:space="preserve">Southfield, MI, July 24, 2014 - Sun Communities, Inc. (NYSE: SUI) </w:t>
      </w:r>
      <w:r>
        <w:rPr>
          <w:rFonts w:ascii="Arial" w:cs="Arial" w:eastAsia="Arial" w:hAnsi="Arial"/>
          <w:sz w:val="19"/>
          <w:szCs w:val="19"/>
          <w:color w:val="auto"/>
        </w:rPr>
        <w:t>(the “Company”)</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 real estate investment trust (“REIT”)</w:t>
      </w:r>
      <w:r>
        <w:rPr>
          <w:rFonts w:ascii="Arial" w:cs="Arial" w:eastAsia="Arial" w:hAnsi="Arial"/>
          <w:sz w:val="19"/>
          <w:szCs w:val="19"/>
          <w:b w:val="1"/>
          <w:bCs w:val="1"/>
          <w:color w:val="auto"/>
        </w:rPr>
        <w:t xml:space="preserve"> </w:t>
      </w:r>
      <w:r>
        <w:rPr>
          <w:rFonts w:ascii="Arial" w:cs="Arial" w:eastAsia="Arial" w:hAnsi="Arial"/>
          <w:sz w:val="19"/>
          <w:szCs w:val="19"/>
          <w:color w:val="auto"/>
        </w:rPr>
        <w:t>that owns and operates manufactured housing and recreational vehicle communities, today reported its second quarter results.</w:t>
      </w:r>
    </w:p>
    <w:p>
      <w:pPr>
        <w:spacing w:after="0" w:line="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Highlights: Three Months Ended June 30, 2014</w:t>
      </w:r>
    </w:p>
    <w:p>
      <w:pPr>
        <w:spacing w:after="0" w:line="275" w:lineRule="exact"/>
        <w:rPr>
          <w:sz w:val="20"/>
          <w:szCs w:val="20"/>
          <w:color w:val="auto"/>
        </w:rPr>
      </w:pPr>
    </w:p>
    <w:p>
      <w:pPr>
        <w:ind w:left="660" w:hanging="652"/>
        <w:spacing w:after="0" w:line="238"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FFO</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excluding transaction costs was $0.78 per diluted share and OP unit ("Share") for the three months ended June 30, 2014.</w:t>
      </w:r>
    </w:p>
    <w:p>
      <w:pPr>
        <w:spacing w:after="0" w:line="233" w:lineRule="exact"/>
        <w:rPr>
          <w:rFonts w:ascii="Arial" w:cs="Arial" w:eastAsia="Arial" w:hAnsi="Arial"/>
          <w:sz w:val="22"/>
          <w:szCs w:val="22"/>
          <w:color w:val="auto"/>
        </w:rPr>
      </w:pPr>
    </w:p>
    <w:p>
      <w:pPr>
        <w:ind w:left="660" w:hanging="652"/>
        <w:spacing w:after="0"/>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Same site Net Operating Income (“NOI”)</w:t>
      </w:r>
      <w:r>
        <w:rPr>
          <w:rFonts w:ascii="Arial" w:cs="Arial" w:eastAsia="Arial" w:hAnsi="Arial"/>
          <w:sz w:val="22"/>
          <w:szCs w:val="22"/>
          <w:color w:val="auto"/>
          <w:vertAlign w:val="superscript"/>
        </w:rPr>
        <w:t>(2)</w:t>
      </w:r>
      <w:r>
        <w:rPr>
          <w:rFonts w:ascii="Arial" w:cs="Arial" w:eastAsia="Arial" w:hAnsi="Arial"/>
          <w:sz w:val="19"/>
          <w:szCs w:val="19"/>
          <w:color w:val="auto"/>
        </w:rPr>
        <w:t xml:space="preserve"> increased by 8.5 percent as compared to the three months ended June 30, 2013.</w:t>
      </w:r>
    </w:p>
    <w:p>
      <w:pPr>
        <w:spacing w:after="0" w:line="280" w:lineRule="exact"/>
        <w:rPr>
          <w:rFonts w:ascii="Arial" w:cs="Arial" w:eastAsia="Arial" w:hAnsi="Arial"/>
          <w:sz w:val="19"/>
          <w:szCs w:val="19"/>
          <w:color w:val="auto"/>
        </w:rPr>
      </w:pPr>
    </w:p>
    <w:p>
      <w:pPr>
        <w:ind w:left="660" w:hanging="652"/>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 producing sites increased by 427 sites bringing total portfolio occupancy to 91.0 percent.</w:t>
      </w:r>
    </w:p>
    <w:p>
      <w:pPr>
        <w:spacing w:after="0" w:line="260" w:lineRule="exact"/>
        <w:rPr>
          <w:rFonts w:ascii="Arial" w:cs="Arial" w:eastAsia="Arial" w:hAnsi="Arial"/>
          <w:sz w:val="22"/>
          <w:szCs w:val="22"/>
          <w:color w:val="auto"/>
        </w:rPr>
      </w:pPr>
    </w:p>
    <w:p>
      <w:pPr>
        <w:ind w:left="660" w:hanging="652"/>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Two recreational vehicle communities were acquired during the second quarter of 2014 for $34.4 million.</w:t>
      </w:r>
    </w:p>
    <w:p>
      <w:pPr>
        <w:spacing w:after="0" w:line="260"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Five communities, 4 located in Michigan and 1 in Nevada, were sold for total proceeds of $15.8 million. One of the communities was sold subsequent to quarter end.</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“It was a strong second quarter and first half of 2014 with contributions from all of our business components. Our same site NOI growth of 8.5% in the second quarter was powered by the performance of both our manufactured housing and recreational vehicle communities. Same site net operating income grew 8.2% for the quarter in our MH communities driven by a combination of higher than budgeted revenues and lower than forecasted expenses. Our same site RV communities exceeded budgeted occupancy gains by 230 annual/seasonal sites and generated 10.1% same site NOI growth for the quarter and 6.4% growth year to date,” said Gary A. Shiffman, Chairman and CEO. “The properties outside of same site also added to our strong results including NOI growth from the 11 property RV portfolio acquisition completed in early 2013 of over 20% for both the quarter and the year. Subsequent to quarter end we see continued strength as transient RV revenue from the 2014 Fourth of July weekend grew by nearly 30% from the 2013 holiday weekend for properties owned in both years,” Shiffman added.</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Funds from Operations (“FFO”)</w:t>
      </w:r>
      <w:r>
        <w:rPr>
          <w:rFonts w:ascii="Arial" w:cs="Arial" w:eastAsia="Arial" w:hAnsi="Arial"/>
          <w:sz w:val="28"/>
          <w:szCs w:val="28"/>
          <w:b w:val="1"/>
          <w:bCs w:val="1"/>
          <w:color w:val="auto"/>
          <w:vertAlign w:val="superscript"/>
        </w:rPr>
        <w:t>(1)</w:t>
      </w:r>
    </w:p>
    <w:p>
      <w:pPr>
        <w:jc w:val="both"/>
        <w:spacing w:after="0" w:line="235" w:lineRule="auto"/>
        <w:rPr>
          <w:sz w:val="20"/>
          <w:szCs w:val="20"/>
          <w:color w:val="auto"/>
        </w:rPr>
      </w:pPr>
      <w:r>
        <w:rPr>
          <w:rFonts w:ascii="Arial" w:cs="Arial" w:eastAsia="Arial" w:hAnsi="Arial"/>
          <w:sz w:val="22"/>
          <w:szCs w:val="22"/>
          <w:color w:val="auto"/>
        </w:rPr>
        <w:t>FFO</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excluding transaction costs was $34.7 million and $27.0 million, or $0.78 and $0.69 per Share for the three months ended June 30, 2014 and 2013, respectively. For the six months ended June 30, 2014 and 2013 FFO</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excluding transaction costs was $72.9 million and $58.7 million, or $1.73 and $1.62 per Share,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Net Income Attributable to Common Stockholders</w:t>
      </w:r>
    </w:p>
    <w:p>
      <w:pPr>
        <w:spacing w:after="0" w:line="241"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Net income attributable to common stockholders for the second quarter of 2014 was $4.9 million, or $0.12 per diluted common share, as compared to net income of $1.0 million, or $0.03 per diluted common share, for the second quarter of 2013.</w:t>
      </w:r>
    </w:p>
    <w:p>
      <w:pPr>
        <w:spacing w:after="0" w:line="382"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Sun Communities, Inc. 2nd Quarter 2014</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1420"/>
          </w:cols>
          <w:pgMar w:left="240" w:top="369" w:right="239" w:bottom="1440" w:gutter="0" w:footer="0" w:header="0"/>
        </w:sectPr>
      </w:pPr>
    </w:p>
    <w:bookmarkStart w:id="6" w:name="page7"/>
    <w:bookmarkEnd w:id="6"/>
    <w:p>
      <w:pPr>
        <w:jc w:val="both"/>
        <w:ind w:right="20"/>
        <w:spacing w:after="0" w:line="253" w:lineRule="auto"/>
        <w:rPr>
          <w:sz w:val="20"/>
          <w:szCs w:val="20"/>
          <w:color w:val="auto"/>
        </w:rPr>
      </w:pPr>
      <w:r>
        <w:rPr>
          <w:rFonts w:ascii="Arial" w:cs="Arial" w:eastAsia="Arial" w:hAnsi="Arial"/>
          <w:sz w:val="22"/>
          <w:szCs w:val="22"/>
          <w:color w:val="auto"/>
        </w:rPr>
        <w:t>Net income attributable to common stockholders for the six months ended June 30, 2014 was $12.8 million, or $0.33 per diluted common share, as compared to net income of $6.8 million, or $0.20 per diluted common share, for the six months ended June 30, 2013.</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Community Occupancy</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Total portfolio occupancy increased to 91.0 percent at June 30, 2014 from 89.2 percent at June 30, 2013. During the second quarter of 2014, revenue producing sites increased by 427 sites as compared to 494 revenue producing sites gained in the second quarter of 2013.</w:t>
      </w:r>
    </w:p>
    <w:p>
      <w:pPr>
        <w:spacing w:after="0" w:line="22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During the six months ended June 30, 2014, revenue producing sites increased by 987 sites as compared to an increase of 1,115 sites during the six months ended June 30, 2013.</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Same Site Results</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For the 169 communities owned throughout 2014 and 2013, second quarter 2014 total revenues increased 6.2 percent and total expenses increased 1.5 percent, resulting in an increase in NOI</w:t>
      </w:r>
      <w:r>
        <w:rPr>
          <w:rFonts w:ascii="Arial" w:cs="Arial" w:eastAsia="Arial" w:hAnsi="Arial"/>
          <w:sz w:val="24"/>
          <w:szCs w:val="24"/>
          <w:color w:val="auto"/>
          <w:vertAlign w:val="superscript"/>
        </w:rPr>
        <w:t>(2)</w:t>
      </w:r>
      <w:r>
        <w:rPr>
          <w:rFonts w:ascii="Arial" w:cs="Arial" w:eastAsia="Arial" w:hAnsi="Arial"/>
          <w:sz w:val="21"/>
          <w:szCs w:val="21"/>
          <w:color w:val="auto"/>
        </w:rPr>
        <w:t xml:space="preserve"> of 8.5 percent over the second quarter of 2013. Same site occupancy increased to 91.3 percent at June 30, 2014 from 90.0 percent at June 30, 2013.</w:t>
      </w:r>
    </w:p>
    <w:p>
      <w:pPr>
        <w:spacing w:after="0" w:line="223" w:lineRule="exact"/>
        <w:rPr>
          <w:sz w:val="20"/>
          <w:szCs w:val="20"/>
          <w:color w:val="auto"/>
        </w:rPr>
      </w:pPr>
    </w:p>
    <w:p>
      <w:pPr>
        <w:jc w:val="both"/>
        <w:ind w:right="20"/>
        <w:spacing w:after="0" w:line="272" w:lineRule="auto"/>
        <w:rPr>
          <w:sz w:val="20"/>
          <w:szCs w:val="20"/>
          <w:color w:val="auto"/>
        </w:rPr>
      </w:pPr>
      <w:r>
        <w:rPr>
          <w:rFonts w:ascii="Arial" w:cs="Arial" w:eastAsia="Arial" w:hAnsi="Arial"/>
          <w:sz w:val="22"/>
          <w:szCs w:val="22"/>
          <w:color w:val="auto"/>
        </w:rPr>
        <w:t>For the six months ended June 30, 2014, total revenues increased 6.6 percent and total expenses increased 4.3 percent, resulting in an increase in NOI</w:t>
      </w:r>
      <w:r>
        <w:rPr>
          <w:rFonts w:ascii="Arial" w:cs="Arial" w:eastAsia="Arial" w:hAnsi="Arial"/>
          <w:sz w:val="25"/>
          <w:szCs w:val="25"/>
          <w:color w:val="auto"/>
          <w:vertAlign w:val="superscript"/>
        </w:rPr>
        <w:t>(2)</w:t>
      </w:r>
      <w:r>
        <w:rPr>
          <w:rFonts w:ascii="Arial" w:cs="Arial" w:eastAsia="Arial" w:hAnsi="Arial"/>
          <w:sz w:val="22"/>
          <w:szCs w:val="22"/>
          <w:color w:val="auto"/>
        </w:rPr>
        <w:t xml:space="preserve"> of 7.6 percent over the six months ended June 30, 2013.</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Home Sales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During the second quarter of 2014, 521 homes were sold as compared to the 480 homes sold during the second quarter of 2013. Rental home sales, which are included in total home sales, were 220 and 214 for the second quarters of 2014 and 2013, respectively.</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During the six months ended June 30, 2014, 890 homes were sold compared to the 946 homes sold during the six months ended June 30, 2013. For the 54 new homes and 836 pre-owned homes sold during the first six months of the year, the average selling price was $84,730 and $24,354, respectively. Rental home sales, which are included in total home sales, were 354 and 450 for the six months ended June 30, 2014 and 2013,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Acquisitions</w:t>
      </w: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previously announced, on April 25, 2014, the Company acquired a recreational vehicle community consisting of 127 sites located in Saco, Maine for a purchase price of $4.4 million.</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On June 4, 2014, the Company acquired a recreational vehicle community consisting of 501 sites located in Santa Claus, Indiana for a purchase price of $30.0 million.</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Sale of Communities</w:t>
      </w:r>
    </w:p>
    <w:p>
      <w:pPr>
        <w:spacing w:after="0" w:line="261"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Sun Communities, Inc. 2nd Quarter 2014</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420"/>
          </w:cols>
          <w:pgMar w:left="240" w:top="375" w:right="239" w:bottom="1440" w:gutter="0" w:footer="0" w:header="0"/>
        </w:sectPr>
      </w:pPr>
    </w:p>
    <w:bookmarkStart w:id="7" w:name="page8"/>
    <w:bookmarkEnd w:id="7"/>
    <w:p>
      <w:pPr>
        <w:ind w:right="120"/>
        <w:spacing w:after="0" w:line="253" w:lineRule="auto"/>
        <w:rPr>
          <w:sz w:val="20"/>
          <w:szCs w:val="20"/>
          <w:color w:val="auto"/>
        </w:rPr>
      </w:pPr>
      <w:r>
        <w:rPr>
          <w:rFonts w:ascii="Arial" w:cs="Arial" w:eastAsia="Arial" w:hAnsi="Arial"/>
          <w:sz w:val="22"/>
          <w:szCs w:val="22"/>
          <w:color w:val="auto"/>
        </w:rPr>
        <w:t>The Company completed the sale of four manufactured housing communities during the quarter and one community subsequent to quarter end for a total of $15.8 million. Four of the communities were located in Michigan and one community was located in Nevada.</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Financing</w:t>
      </w:r>
    </w:p>
    <w:p>
      <w:pPr>
        <w:spacing w:after="0" w:line="281"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Subsequent to quarter end, the Company entered into a ten year loan agreement for $26.9 million at a rate of 4.57% which is collateralized by two recreational vehicle communities. The proceeds were used to pay down the Company’s line of credit.</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Guidance</w:t>
      </w:r>
    </w:p>
    <w:p>
      <w:pPr>
        <w:spacing w:after="0" w:line="270" w:lineRule="exact"/>
        <w:rPr>
          <w:sz w:val="20"/>
          <w:szCs w:val="20"/>
          <w:color w:val="auto"/>
        </w:rPr>
      </w:pPr>
    </w:p>
    <w:p>
      <w:pPr>
        <w:ind w:right="360"/>
        <w:spacing w:after="0" w:line="235" w:lineRule="auto"/>
        <w:rPr>
          <w:sz w:val="20"/>
          <w:szCs w:val="20"/>
          <w:color w:val="auto"/>
        </w:rPr>
      </w:pPr>
      <w:r>
        <w:rPr>
          <w:rFonts w:ascii="Arial" w:cs="Arial" w:eastAsia="Arial" w:hAnsi="Arial"/>
          <w:sz w:val="21"/>
          <w:szCs w:val="21"/>
          <w:color w:val="auto"/>
        </w:rPr>
        <w:t>Based on the expectation of continued strong portfolio performance, the Company has increased FFO</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guidance for the year to $3.42 - $3.48 per Share from $3.33 - $3.43 per Share. Further details are provided below.</w:t>
      </w:r>
    </w:p>
    <w:p>
      <w:pPr>
        <w:spacing w:after="0" w:line="392"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4160" w:type="dxa"/>
            <w:vAlign w:val="bottom"/>
          </w:tcPr>
          <w:p>
            <w:pPr>
              <w:ind w:left="2840"/>
              <w:spacing w:after="0"/>
              <w:rPr>
                <w:sz w:val="20"/>
                <w:szCs w:val="20"/>
                <w:color w:val="auto"/>
              </w:rPr>
            </w:pPr>
            <w:r>
              <w:rPr>
                <w:rFonts w:ascii="Arial" w:cs="Arial" w:eastAsia="Arial" w:hAnsi="Arial"/>
                <w:sz w:val="18"/>
                <w:szCs w:val="18"/>
                <w:b w:val="1"/>
                <w:bCs w:val="1"/>
                <w:color w:val="auto"/>
              </w:rPr>
              <w:t>Q3 2014</w:t>
            </w:r>
          </w:p>
        </w:tc>
        <w:tc>
          <w:tcPr>
            <w:tcW w:w="2340" w:type="dxa"/>
            <w:vAlign w:val="bottom"/>
          </w:tcPr>
          <w:p>
            <w:pPr>
              <w:jc w:val="right"/>
              <w:ind w:right="830"/>
              <w:spacing w:after="0"/>
              <w:rPr>
                <w:sz w:val="20"/>
                <w:szCs w:val="20"/>
                <w:color w:val="auto"/>
              </w:rPr>
            </w:pPr>
            <w:r>
              <w:rPr>
                <w:rFonts w:ascii="Arial" w:cs="Arial" w:eastAsia="Arial" w:hAnsi="Arial"/>
                <w:sz w:val="18"/>
                <w:szCs w:val="18"/>
                <w:b w:val="1"/>
                <w:bCs w:val="1"/>
                <w:color w:val="auto"/>
              </w:rPr>
              <w:t>2014</w:t>
            </w:r>
          </w:p>
        </w:tc>
      </w:tr>
      <w:tr>
        <w:trPr>
          <w:trHeight w:val="27"/>
        </w:trPr>
        <w:tc>
          <w:tcPr>
            <w:tcW w:w="46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4640" w:type="dxa"/>
            <w:vAlign w:val="bottom"/>
            <w:shd w:val="clear" w:color="auto" w:fill="EAF9E8"/>
          </w:tcPr>
          <w:p>
            <w:pPr>
              <w:ind w:left="40"/>
              <w:spacing w:after="0" w:line="270" w:lineRule="exact"/>
              <w:rPr>
                <w:sz w:val="20"/>
                <w:szCs w:val="20"/>
                <w:color w:val="auto"/>
              </w:rPr>
            </w:pPr>
            <w:r>
              <w:rPr>
                <w:rFonts w:ascii="Arial" w:cs="Arial" w:eastAsia="Arial" w:hAnsi="Arial"/>
                <w:sz w:val="18"/>
                <w:szCs w:val="18"/>
                <w:color w:val="auto"/>
              </w:rPr>
              <w:t xml:space="preserve">FFO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excluding transaction costs</w:t>
            </w:r>
          </w:p>
        </w:tc>
        <w:tc>
          <w:tcPr>
            <w:tcW w:w="4160" w:type="dxa"/>
            <w:vAlign w:val="bottom"/>
            <w:shd w:val="clear" w:color="auto" w:fill="EAF9E8"/>
          </w:tcPr>
          <w:p>
            <w:pPr>
              <w:ind w:left="2080"/>
              <w:spacing w:after="0"/>
              <w:rPr>
                <w:sz w:val="20"/>
                <w:szCs w:val="20"/>
                <w:color w:val="auto"/>
              </w:rPr>
            </w:pPr>
            <w:r>
              <w:rPr>
                <w:rFonts w:ascii="Arial" w:cs="Arial" w:eastAsia="Arial" w:hAnsi="Arial"/>
                <w:sz w:val="18"/>
                <w:szCs w:val="18"/>
                <w:color w:val="auto"/>
              </w:rPr>
              <w:t>$0.93 - $0.96 per Share</w:t>
            </w:r>
          </w:p>
        </w:tc>
        <w:tc>
          <w:tcPr>
            <w:tcW w:w="2340" w:type="dxa"/>
            <w:vAlign w:val="bottom"/>
            <w:shd w:val="clear" w:color="auto" w:fill="EAF9E8"/>
          </w:tcPr>
          <w:p>
            <w:pPr>
              <w:jc w:val="center"/>
              <w:ind w:left="30"/>
              <w:spacing w:after="0"/>
              <w:rPr>
                <w:sz w:val="20"/>
                <w:szCs w:val="20"/>
                <w:color w:val="auto"/>
              </w:rPr>
            </w:pPr>
            <w:r>
              <w:rPr>
                <w:rFonts w:ascii="Arial" w:cs="Arial" w:eastAsia="Arial" w:hAnsi="Arial"/>
                <w:sz w:val="18"/>
                <w:szCs w:val="18"/>
                <w:color w:val="auto"/>
                <w:w w:val="89"/>
              </w:rPr>
              <w:t>$3.42 - $3.48 per Share</w:t>
            </w:r>
          </w:p>
        </w:tc>
      </w:tr>
    </w:tbl>
    <w:p>
      <w:pPr>
        <w:spacing w:after="0" w:line="24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Guidance is inclusive of acquisitions completed through June 30, 2014. No prospective acquisitions or prospective transaction costs are included in guidance.</w:t>
      </w:r>
    </w:p>
    <w:p>
      <w:pPr>
        <w:spacing w:after="0" w:line="209" w:lineRule="exact"/>
        <w:rPr>
          <w:sz w:val="20"/>
          <w:szCs w:val="20"/>
          <w:color w:val="auto"/>
        </w:rPr>
      </w:pPr>
    </w:p>
    <w:p>
      <w:pPr>
        <w:jc w:val="both"/>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Same Site Portfolio: </w:t>
      </w:r>
      <w:r>
        <w:rPr>
          <w:rFonts w:ascii="Arial" w:cs="Arial" w:eastAsia="Arial" w:hAnsi="Arial"/>
          <w:sz w:val="22"/>
          <w:szCs w:val="22"/>
          <w:color w:val="auto"/>
        </w:rPr>
        <w:t>At the midpoint of guidance the Company's same property portfolio of 169 communities is expected</w:t>
      </w:r>
      <w:r>
        <w:rPr>
          <w:rFonts w:ascii="Arial" w:cs="Arial" w:eastAsia="Arial" w:hAnsi="Arial"/>
          <w:sz w:val="22"/>
          <w:szCs w:val="22"/>
          <w:b w:val="1"/>
          <w:bCs w:val="1"/>
          <w:color w:val="auto"/>
        </w:rPr>
        <w:t xml:space="preserve"> </w:t>
      </w:r>
      <w:r>
        <w:rPr>
          <w:rFonts w:ascii="Arial" w:cs="Arial" w:eastAsia="Arial" w:hAnsi="Arial"/>
          <w:sz w:val="22"/>
          <w:szCs w:val="22"/>
          <w:color w:val="auto"/>
        </w:rPr>
        <w:t>to generate revenue growth of approximately 6.3% and property and operating expense growth of 2.9% resulting in NOI</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growth of approximately 7.8%.</w:t>
      </w:r>
    </w:p>
    <w:p>
      <w:pPr>
        <w:spacing w:after="0" w:line="391"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4380" w:type="dxa"/>
            <w:vAlign w:val="bottom"/>
            <w:gridSpan w:val="2"/>
          </w:tcPr>
          <w:p>
            <w:pPr>
              <w:ind w:left="20"/>
              <w:spacing w:after="0"/>
              <w:rPr>
                <w:sz w:val="20"/>
                <w:szCs w:val="20"/>
                <w:color w:val="auto"/>
              </w:rPr>
            </w:pPr>
            <w:r>
              <w:rPr>
                <w:rFonts w:ascii="Arial" w:cs="Arial" w:eastAsia="Arial" w:hAnsi="Arial"/>
                <w:sz w:val="18"/>
                <w:szCs w:val="18"/>
                <w:b w:val="1"/>
                <w:bCs w:val="1"/>
                <w:color w:val="auto"/>
              </w:rPr>
              <w:t>SAME SITE PORTFOLIO (169 communities)</w:t>
            </w:r>
          </w:p>
        </w:tc>
        <w:tc>
          <w:tcPr>
            <w:tcW w:w="340" w:type="dxa"/>
            <w:vAlign w:val="bottom"/>
          </w:tcPr>
          <w:p>
            <w:pPr>
              <w:spacing w:after="0"/>
              <w:rPr>
                <w:sz w:val="20"/>
                <w:szCs w:val="20"/>
                <w:color w:val="auto"/>
              </w:rPr>
            </w:pPr>
          </w:p>
        </w:tc>
        <w:tc>
          <w:tcPr>
            <w:tcW w:w="14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920" w:type="dxa"/>
            <w:vAlign w:val="bottom"/>
            <w:gridSpan w:val="2"/>
          </w:tcPr>
          <w:p>
            <w:pPr>
              <w:ind w:left="480"/>
              <w:spacing w:after="0"/>
              <w:rPr>
                <w:sz w:val="20"/>
                <w:szCs w:val="20"/>
                <w:color w:val="auto"/>
              </w:rPr>
            </w:pPr>
            <w:r>
              <w:rPr>
                <w:rFonts w:ascii="Arial" w:cs="Arial" w:eastAsia="Arial" w:hAnsi="Arial"/>
                <w:sz w:val="18"/>
                <w:szCs w:val="18"/>
                <w:b w:val="1"/>
                <w:bCs w:val="1"/>
                <w:color w:val="auto"/>
              </w:rPr>
              <w:t>Forecasted</w:t>
            </w:r>
          </w:p>
        </w:tc>
        <w:tc>
          <w:tcPr>
            <w:tcW w:w="180" w:type="dxa"/>
            <w:vAlign w:val="bottom"/>
          </w:tcPr>
          <w:p>
            <w:pPr>
              <w:spacing w:after="0"/>
              <w:rPr>
                <w:sz w:val="20"/>
                <w:szCs w:val="20"/>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Forecasted 2014</w:t>
            </w:r>
          </w:p>
        </w:tc>
      </w:tr>
      <w:tr>
        <w:trPr>
          <w:trHeight w:val="270"/>
        </w:trPr>
        <w:tc>
          <w:tcPr>
            <w:tcW w:w="43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 amounts in millions)</w:t>
            </w:r>
          </w:p>
        </w:tc>
        <w:tc>
          <w:tcPr>
            <w:tcW w:w="340" w:type="dxa"/>
            <w:vAlign w:val="bottom"/>
          </w:tcPr>
          <w:p>
            <w:pPr>
              <w:spacing w:after="0"/>
              <w:rPr>
                <w:sz w:val="23"/>
                <w:szCs w:val="23"/>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Actuals</w:t>
            </w:r>
          </w:p>
        </w:tc>
        <w:tc>
          <w:tcPr>
            <w:tcW w:w="100" w:type="dxa"/>
            <w:vAlign w:val="bottom"/>
          </w:tcPr>
          <w:p>
            <w:pPr>
              <w:spacing w:after="0"/>
              <w:rPr>
                <w:sz w:val="23"/>
                <w:szCs w:val="23"/>
                <w:color w:val="auto"/>
              </w:rPr>
            </w:pPr>
          </w:p>
        </w:tc>
        <w:tc>
          <w:tcPr>
            <w:tcW w:w="1920" w:type="dxa"/>
            <w:vAlign w:val="bottom"/>
            <w:gridSpan w:val="2"/>
          </w:tcPr>
          <w:p>
            <w:pPr>
              <w:ind w:left="480"/>
              <w:spacing w:after="0"/>
              <w:rPr>
                <w:sz w:val="20"/>
                <w:szCs w:val="20"/>
                <w:color w:val="auto"/>
              </w:rPr>
            </w:pPr>
            <w:r>
              <w:rPr>
                <w:rFonts w:ascii="Arial" w:cs="Arial" w:eastAsia="Arial" w:hAnsi="Arial"/>
                <w:sz w:val="18"/>
                <w:szCs w:val="18"/>
                <w:b w:val="1"/>
                <w:bCs w:val="1"/>
                <w:color w:val="auto"/>
              </w:rPr>
              <w:t>% Growth</w:t>
            </w:r>
          </w:p>
        </w:tc>
        <w:tc>
          <w:tcPr>
            <w:tcW w:w="180" w:type="dxa"/>
            <w:vAlign w:val="bottom"/>
          </w:tcPr>
          <w:p>
            <w:pPr>
              <w:spacing w:after="0"/>
              <w:rPr>
                <w:sz w:val="23"/>
                <w:szCs w:val="23"/>
                <w:color w:val="auto"/>
              </w:rPr>
            </w:pPr>
          </w:p>
        </w:tc>
        <w:tc>
          <w:tcPr>
            <w:tcW w:w="1620" w:type="dxa"/>
            <w:vAlign w:val="bottom"/>
          </w:tcPr>
          <w:p>
            <w:pPr>
              <w:jc w:val="right"/>
              <w:ind w:right="450"/>
              <w:spacing w:after="0"/>
              <w:rPr>
                <w:sz w:val="20"/>
                <w:szCs w:val="20"/>
                <w:color w:val="auto"/>
              </w:rPr>
            </w:pPr>
            <w:r>
              <w:rPr>
                <w:rFonts w:ascii="Arial" w:cs="Arial" w:eastAsia="Arial" w:hAnsi="Arial"/>
                <w:sz w:val="18"/>
                <w:szCs w:val="18"/>
                <w:b w:val="1"/>
                <w:bCs w:val="1"/>
                <w:color w:val="auto"/>
              </w:rPr>
              <w:t>Midpoint</w:t>
            </w:r>
          </w:p>
        </w:tc>
      </w:tr>
      <w:tr>
        <w:trPr>
          <w:trHeight w:val="27"/>
        </w:trPr>
        <w:tc>
          <w:tcPr>
            <w:tcW w:w="4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620" w:type="dxa"/>
            <w:vAlign w:val="bottom"/>
            <w:tcBorders>
              <w:bottom w:val="single" w:sz="8" w:color="EAF9E8"/>
            </w:tcBorders>
            <w:shd w:val="clear" w:color="auto" w:fill="EAF9E8"/>
          </w:tcPr>
          <w:p>
            <w:pPr>
              <w:spacing w:after="0"/>
              <w:rPr>
                <w:sz w:val="21"/>
                <w:szCs w:val="21"/>
                <w:color w:val="auto"/>
              </w:rPr>
            </w:pPr>
          </w:p>
        </w:tc>
      </w:tr>
      <w:tr>
        <w:trPr>
          <w:trHeight w:val="243"/>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Revenue - annual and seasonal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253.0</w:t>
            </w:r>
          </w:p>
        </w:tc>
        <w:tc>
          <w:tcPr>
            <w:tcW w:w="19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268.6</w:t>
            </w: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38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Revenue - transient</w:t>
            </w:r>
          </w:p>
        </w:tc>
        <w:tc>
          <w:tcPr>
            <w:tcW w:w="3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w:t>
            </w:r>
          </w:p>
        </w:tc>
        <w:tc>
          <w:tcPr>
            <w:tcW w:w="1900" w:type="dxa"/>
            <w:vAlign w:val="bottom"/>
            <w:tcBorders>
              <w:bottom w:val="single" w:sz="8" w:color="EAF9E8"/>
            </w:tcBorders>
            <w:gridSpan w:val="2"/>
            <w:shd w:val="clear" w:color="auto" w:fill="EAF9E8"/>
          </w:tcPr>
          <w:p>
            <w:pPr>
              <w:jc w:val="center"/>
              <w:ind w:left="10"/>
              <w:spacing w:after="0"/>
              <w:rPr>
                <w:sz w:val="20"/>
                <w:szCs w:val="20"/>
                <w:color w:val="auto"/>
              </w:rPr>
            </w:pPr>
            <w:r>
              <w:rPr>
                <w:rFonts w:ascii="Arial" w:cs="Arial" w:eastAsia="Arial" w:hAnsi="Arial"/>
                <w:sz w:val="18"/>
                <w:szCs w:val="18"/>
                <w:color w:val="auto"/>
                <w:w w:val="93"/>
              </w:rPr>
              <w:t>12.4%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6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Other property income</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9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42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438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Income from property *</w:t>
            </w:r>
          </w:p>
        </w:tc>
        <w:tc>
          <w:tcPr>
            <w:tcW w:w="34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279.3</w:t>
            </w:r>
          </w:p>
        </w:tc>
        <w:tc>
          <w:tcPr>
            <w:tcW w:w="1900" w:type="dxa"/>
            <w:vAlign w:val="bottom"/>
            <w:tcBorders>
              <w:bottom w:val="single" w:sz="8" w:color="EAF9E8"/>
            </w:tcBorders>
            <w:gridSpan w:val="2"/>
            <w:shd w:val="clear" w:color="auto" w:fill="EAF9E8"/>
          </w:tcPr>
          <w:p>
            <w:pPr>
              <w:jc w:val="center"/>
              <w:ind w:left="10"/>
              <w:spacing w:after="0"/>
              <w:rPr>
                <w:sz w:val="20"/>
                <w:szCs w:val="20"/>
                <w:color w:val="auto"/>
              </w:rPr>
            </w:pPr>
            <w:r>
              <w:rPr>
                <w:rFonts w:ascii="Arial" w:cs="Arial" w:eastAsia="Arial" w:hAnsi="Arial"/>
                <w:sz w:val="18"/>
                <w:szCs w:val="18"/>
                <w:color w:val="auto"/>
                <w:w w:val="87"/>
              </w:rPr>
              <w:t>6.3%</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6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297.0</w:t>
            </w:r>
          </w:p>
        </w:tc>
      </w:tr>
      <w:tr>
        <w:trPr>
          <w:trHeight w:val="318"/>
        </w:trPr>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250"/>
        </w:trPr>
        <w:tc>
          <w:tcPr>
            <w:tcW w:w="438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b w:val="1"/>
                <w:bCs w:val="1"/>
                <w:color w:val="auto"/>
              </w:rPr>
              <w:t>PROPERTY OPERATING EXPENSES:</w:t>
            </w:r>
          </w:p>
        </w:tc>
        <w:tc>
          <w:tcPr>
            <w:tcW w:w="3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620" w:type="dxa"/>
            <w:vAlign w:val="bottom"/>
            <w:tcBorders>
              <w:bottom w:val="single" w:sz="8" w:color="EAF9E8"/>
            </w:tcBorders>
            <w:shd w:val="clear" w:color="auto" w:fill="EAF9E8"/>
          </w:tcPr>
          <w:p>
            <w:pPr>
              <w:spacing w:after="0"/>
              <w:rPr>
                <w:sz w:val="21"/>
                <w:szCs w:val="21"/>
                <w:color w:val="auto"/>
              </w:rPr>
            </w:pPr>
          </w:p>
        </w:tc>
      </w:tr>
      <w:tr>
        <w:trPr>
          <w:trHeight w:val="243"/>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Real estate tax</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9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22.3</w:t>
            </w:r>
          </w:p>
        </w:tc>
      </w:tr>
      <w:tr>
        <w:trPr>
          <w:trHeight w:val="27"/>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438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Property operating and maintenance *</w:t>
            </w:r>
          </w:p>
        </w:tc>
        <w:tc>
          <w:tcPr>
            <w:tcW w:w="3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62.4</w:t>
            </w:r>
          </w:p>
        </w:tc>
        <w:tc>
          <w:tcPr>
            <w:tcW w:w="1900" w:type="dxa"/>
            <w:vAlign w:val="bottom"/>
            <w:tcBorders>
              <w:bottom w:val="single" w:sz="8" w:color="EAF9E8"/>
            </w:tcBorders>
            <w:gridSpan w:val="2"/>
            <w:shd w:val="clear" w:color="auto" w:fill="EAF9E8"/>
          </w:tcPr>
          <w:p>
            <w:pPr>
              <w:jc w:val="center"/>
              <w:ind w:left="10"/>
              <w:spacing w:after="0"/>
              <w:rPr>
                <w:sz w:val="20"/>
                <w:szCs w:val="20"/>
                <w:color w:val="auto"/>
              </w:rPr>
            </w:pPr>
            <w:r>
              <w:rPr>
                <w:rFonts w:ascii="Arial" w:cs="Arial" w:eastAsia="Arial" w:hAnsi="Arial"/>
                <w:sz w:val="18"/>
                <w:szCs w:val="18"/>
                <w:color w:val="auto"/>
                <w:w w:val="87"/>
              </w:rPr>
              <w:t>2.6%</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6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64.0</w:t>
            </w:r>
          </w:p>
        </w:tc>
      </w:tr>
      <w:tr>
        <w:trPr>
          <w:trHeight w:val="237"/>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Total operating expense</w:t>
            </w:r>
          </w:p>
        </w:tc>
        <w:tc>
          <w:tcPr>
            <w:tcW w:w="3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83.9</w:t>
            </w:r>
          </w:p>
        </w:tc>
        <w:tc>
          <w:tcPr>
            <w:tcW w:w="19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w:t>
            </w:r>
          </w:p>
        </w:tc>
      </w:tr>
      <w:tr>
        <w:trPr>
          <w:trHeight w:val="27"/>
        </w:trPr>
        <w:tc>
          <w:tcPr>
            <w:tcW w:w="42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318"/>
        </w:trPr>
        <w:tc>
          <w:tcPr>
            <w:tcW w:w="4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620" w:type="dxa"/>
            <w:vAlign w:val="bottom"/>
            <w:shd w:val="clear" w:color="auto" w:fill="EAF9E8"/>
          </w:tcPr>
          <w:p>
            <w:pPr>
              <w:spacing w:after="0"/>
              <w:rPr>
                <w:sz w:val="24"/>
                <w:szCs w:val="24"/>
                <w:color w:val="auto"/>
              </w:rPr>
            </w:pPr>
          </w:p>
        </w:tc>
      </w:tr>
      <w:tr>
        <w:trPr>
          <w:trHeight w:val="270"/>
        </w:trPr>
        <w:tc>
          <w:tcPr>
            <w:tcW w:w="43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NOI</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from Real Property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195.4</w:t>
            </w:r>
          </w:p>
        </w:tc>
        <w:tc>
          <w:tcPr>
            <w:tcW w:w="19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7.8%</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210.7</w:t>
            </w:r>
          </w:p>
        </w:tc>
      </w:tr>
      <w:tr>
        <w:trPr>
          <w:trHeight w:val="20"/>
        </w:trPr>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foregoing table nets $19.2 million of utility revenue against the related utility expense in property operating and maintenance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Sun Communities, Inc. 2nd Quarter 2014</w:t>
      </w:r>
      <w:r>
        <w:rPr>
          <w:sz w:val="20"/>
          <w:szCs w:val="20"/>
          <w:color w:val="auto"/>
        </w:rPr>
        <w:tab/>
      </w:r>
      <w:r>
        <w:rPr>
          <w:rFonts w:ascii="Arial" w:cs="Arial" w:eastAsia="Arial" w:hAnsi="Arial"/>
          <w:sz w:val="15"/>
          <w:szCs w:val="15"/>
          <w:color w:val="auto"/>
        </w:rPr>
        <w:t>Page 4</w:t>
      </w:r>
    </w:p>
    <w:p>
      <w:pPr>
        <w:sectPr>
          <w:pgSz w:w="11900" w:h="16838" w:orient="portrait"/>
          <w:cols w:equalWidth="0" w:num="1">
            <w:col w:w="11420"/>
          </w:cols>
          <w:pgMar w:left="240" w:top="631" w:right="239" w:bottom="1440" w:gutter="0" w:footer="0" w:header="0"/>
        </w:sectPr>
      </w:pPr>
    </w:p>
    <w:bookmarkStart w:id="8" w:name="page9"/>
    <w:bookmarkEnd w:id="8"/>
    <w:p>
      <w:pPr>
        <w:spacing w:after="0" w:line="212" w:lineRule="exact"/>
        <w:rPr>
          <w:sz w:val="20"/>
          <w:szCs w:val="20"/>
          <w:color w:val="auto"/>
        </w:rPr>
      </w:pPr>
    </w:p>
    <w:p>
      <w:pPr>
        <w:ind w:left="660" w:hanging="328"/>
        <w:spacing w:after="0" w:line="269"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Acquisition Portfolio: </w:t>
      </w:r>
      <w:r>
        <w:rPr>
          <w:rFonts w:ascii="Arial" w:cs="Arial" w:eastAsia="Arial" w:hAnsi="Arial"/>
          <w:sz w:val="22"/>
          <w:szCs w:val="22"/>
          <w:color w:val="auto"/>
        </w:rPr>
        <w:t>Information pertaining to the 21 properties excluded from the Company's same site portfolio is</w:t>
      </w:r>
      <w:r>
        <w:rPr>
          <w:rFonts w:ascii="Arial" w:cs="Arial" w:eastAsia="Arial" w:hAnsi="Arial"/>
          <w:sz w:val="22"/>
          <w:szCs w:val="22"/>
          <w:b w:val="1"/>
          <w:bCs w:val="1"/>
          <w:color w:val="auto"/>
        </w:rPr>
        <w:t xml:space="preserve"> </w:t>
      </w:r>
      <w:r>
        <w:rPr>
          <w:rFonts w:ascii="Arial" w:cs="Arial" w:eastAsia="Arial" w:hAnsi="Arial"/>
          <w:sz w:val="22"/>
          <w:szCs w:val="22"/>
          <w:color w:val="auto"/>
        </w:rPr>
        <w:t>presented in the table below.</w:t>
      </w:r>
    </w:p>
    <w:p>
      <w:pPr>
        <w:spacing w:after="0" w:line="360" w:lineRule="exact"/>
        <w:rPr>
          <w:sz w:val="20"/>
          <w:szCs w:val="20"/>
          <w:color w:val="auto"/>
        </w:rPr>
      </w:pPr>
    </w:p>
    <w:tbl>
      <w:tblPr>
        <w:tblLayout w:type="fixed"/>
        <w:tblInd w:w="2700" w:type="dxa"/>
        <w:tblCellMar>
          <w:top w:w="0" w:type="dxa"/>
          <w:left w:w="0" w:type="dxa"/>
          <w:bottom w:w="0" w:type="dxa"/>
          <w:right w:w="0" w:type="dxa"/>
        </w:tblCellMar>
      </w:tblPr>
      <w:tr>
        <w:trPr>
          <w:trHeight w:val="234"/>
        </w:trPr>
        <w:tc>
          <w:tcPr>
            <w:tcW w:w="4520" w:type="dxa"/>
            <w:vAlign w:val="bottom"/>
            <w:gridSpan w:val="2"/>
          </w:tcPr>
          <w:p>
            <w:pPr>
              <w:ind w:left="40"/>
              <w:spacing w:after="0"/>
              <w:rPr>
                <w:sz w:val="20"/>
                <w:szCs w:val="20"/>
                <w:color w:val="auto"/>
              </w:rPr>
            </w:pPr>
            <w:r>
              <w:rPr>
                <w:rFonts w:ascii="Arial" w:cs="Arial" w:eastAsia="Arial" w:hAnsi="Arial"/>
                <w:sz w:val="18"/>
                <w:szCs w:val="18"/>
                <w:b w:val="1"/>
                <w:bCs w:val="1"/>
                <w:color w:val="auto"/>
              </w:rPr>
              <w:t>ACQUISITION PORTFOLIO (21 communities)</w:t>
            </w:r>
          </w:p>
        </w:tc>
        <w:tc>
          <w:tcPr>
            <w:tcW w:w="1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Forecasted 2014</w:t>
            </w:r>
          </w:p>
        </w:tc>
      </w:tr>
      <w:tr>
        <w:trPr>
          <w:trHeight w:val="270"/>
        </w:trPr>
        <w:tc>
          <w:tcPr>
            <w:tcW w:w="452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 amounts in millions)</w:t>
            </w:r>
          </w:p>
        </w:tc>
        <w:tc>
          <w:tcPr>
            <w:tcW w:w="120" w:type="dxa"/>
            <w:vAlign w:val="bottom"/>
          </w:tcPr>
          <w:p>
            <w:pPr>
              <w:spacing w:after="0"/>
              <w:rPr>
                <w:sz w:val="23"/>
                <w:szCs w:val="23"/>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Midpoint</w:t>
            </w:r>
          </w:p>
        </w:tc>
      </w:tr>
      <w:tr>
        <w:trPr>
          <w:trHeight w:val="27"/>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Revenue - annual and seasonal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Revenue - transient</w:t>
            </w: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Other property income</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4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Income from property</w:t>
            </w:r>
          </w:p>
        </w:tc>
        <w:tc>
          <w:tcPr>
            <w:tcW w:w="12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35.7</w:t>
            </w:r>
          </w:p>
        </w:tc>
      </w:tr>
      <w:tr>
        <w:trPr>
          <w:trHeight w:val="318"/>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4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PROPERTY OPERATING EXPENSES:</w:t>
            </w: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Real estate tax</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Property operating and maintenance</w:t>
            </w:r>
          </w:p>
        </w:tc>
        <w:tc>
          <w:tcPr>
            <w:tcW w:w="1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15.3</w:t>
            </w:r>
          </w:p>
        </w:tc>
      </w:tr>
      <w:tr>
        <w:trPr>
          <w:trHeight w:val="237"/>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Total operating expense</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44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318"/>
        </w:trPr>
        <w:tc>
          <w:tcPr>
            <w:tcW w:w="44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80" w:type="dxa"/>
            <w:vAlign w:val="bottom"/>
            <w:shd w:val="clear" w:color="auto" w:fill="EAF9E8"/>
          </w:tcPr>
          <w:p>
            <w:pPr>
              <w:spacing w:after="0"/>
              <w:rPr>
                <w:sz w:val="24"/>
                <w:szCs w:val="24"/>
                <w:color w:val="auto"/>
              </w:rPr>
            </w:pPr>
          </w:p>
        </w:tc>
      </w:tr>
      <w:tr>
        <w:trPr>
          <w:trHeight w:val="270"/>
        </w:trPr>
        <w:tc>
          <w:tcPr>
            <w:tcW w:w="45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NOI</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from Real Property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ind w:left="660" w:hanging="328"/>
        <w:spacing w:after="0" w:line="267" w:lineRule="auto"/>
        <w:tabs>
          <w:tab w:leader="none" w:pos="660"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Recreational Vehicle Revenue: </w:t>
      </w:r>
      <w:r>
        <w:rPr>
          <w:rFonts w:ascii="Arial" w:cs="Arial" w:eastAsia="Arial" w:hAnsi="Arial"/>
          <w:sz w:val="21"/>
          <w:szCs w:val="21"/>
          <w:color w:val="auto"/>
        </w:rPr>
        <w:t>Revenue from the Company's recreational vehicle communities contains a component of</w:t>
      </w:r>
      <w:r>
        <w:rPr>
          <w:rFonts w:ascii="Arial" w:cs="Arial" w:eastAsia="Arial" w:hAnsi="Arial"/>
          <w:sz w:val="21"/>
          <w:szCs w:val="21"/>
          <w:b w:val="1"/>
          <w:bCs w:val="1"/>
          <w:color w:val="auto"/>
        </w:rPr>
        <w:t xml:space="preserve"> </w:t>
      </w:r>
      <w:r>
        <w:rPr>
          <w:rFonts w:ascii="Arial" w:cs="Arial" w:eastAsia="Arial" w:hAnsi="Arial"/>
          <w:sz w:val="21"/>
          <w:szCs w:val="21"/>
          <w:color w:val="auto"/>
        </w:rPr>
        <w:t>transient revenue from guest stays that are other than a full year or full season. Transient revenue is expected to be approximately $31.6 million, of which 25.3% was earned in the first quarter, 18.3% was earned in the second quarter, and 42.9% and 13.5% is expected to be earned in the third and fourth quarters, respectively.</w:t>
      </w:r>
    </w:p>
    <w:p>
      <w:pPr>
        <w:spacing w:after="0" w:line="208" w:lineRule="exact"/>
        <w:rPr>
          <w:rFonts w:ascii="Arial" w:cs="Arial" w:eastAsia="Arial" w:hAnsi="Arial"/>
          <w:sz w:val="21"/>
          <w:szCs w:val="21"/>
          <w:b w:val="1"/>
          <w:bCs w:val="1"/>
          <w:color w:val="auto"/>
        </w:rPr>
      </w:pPr>
    </w:p>
    <w:p>
      <w:pPr>
        <w:jc w:val="both"/>
        <w:ind w:left="660" w:hanging="328"/>
        <w:spacing w:after="0" w:line="26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Home Sales: </w:t>
      </w:r>
      <w:r>
        <w:rPr>
          <w:rFonts w:ascii="Arial" w:cs="Arial" w:eastAsia="Arial" w:hAnsi="Arial"/>
          <w:sz w:val="22"/>
          <w:szCs w:val="22"/>
          <w:color w:val="auto"/>
        </w:rPr>
        <w:t>The Company expects to sell approximately 1,930 homes. The budgeted average gross profit per home sale is</w:t>
      </w:r>
      <w:r>
        <w:rPr>
          <w:rFonts w:ascii="Arial" w:cs="Arial" w:eastAsia="Arial" w:hAnsi="Arial"/>
          <w:sz w:val="22"/>
          <w:szCs w:val="22"/>
          <w:b w:val="1"/>
          <w:bCs w:val="1"/>
          <w:color w:val="auto"/>
        </w:rPr>
        <w:t xml:space="preserve"> </w:t>
      </w:r>
      <w:r>
        <w:rPr>
          <w:rFonts w:ascii="Arial" w:cs="Arial" w:eastAsia="Arial" w:hAnsi="Arial"/>
          <w:sz w:val="22"/>
          <w:szCs w:val="22"/>
          <w:color w:val="auto"/>
        </w:rPr>
        <w:t>$6,250. Total home sales include the sale of approximately 860 rentals homes. The profit from rental home sales is removed from the calculation of FFO</w:t>
      </w:r>
      <w:r>
        <w:rPr>
          <w:rFonts w:ascii="Arial" w:cs="Arial" w:eastAsia="Arial" w:hAnsi="Arial"/>
          <w:sz w:val="28"/>
          <w:szCs w:val="28"/>
          <w:color w:val="auto"/>
          <w:vertAlign w:val="superscript"/>
        </w:rPr>
        <w:t>(1)</w:t>
      </w:r>
      <w:r>
        <w:rPr>
          <w:rFonts w:ascii="Arial" w:cs="Arial" w:eastAsia="Arial" w:hAnsi="Arial"/>
          <w:sz w:val="22"/>
          <w:szCs w:val="22"/>
          <w:color w:val="auto"/>
        </w:rPr>
        <w:t>.</w:t>
      </w:r>
    </w:p>
    <w:p>
      <w:pPr>
        <w:spacing w:after="0" w:line="114" w:lineRule="exact"/>
        <w:rPr>
          <w:rFonts w:ascii="Arial" w:cs="Arial" w:eastAsia="Arial" w:hAnsi="Arial"/>
          <w:sz w:val="22"/>
          <w:szCs w:val="22"/>
          <w:color w:val="auto"/>
        </w:rPr>
      </w:pPr>
    </w:p>
    <w:p>
      <w:pPr>
        <w:ind w:left="660" w:hanging="328"/>
        <w:spacing w:after="0" w:line="226"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Community Dispositions: </w:t>
      </w:r>
      <w:r>
        <w:rPr>
          <w:rFonts w:ascii="Arial" w:cs="Arial" w:eastAsia="Arial" w:hAnsi="Arial"/>
          <w:sz w:val="22"/>
          <w:szCs w:val="22"/>
          <w:color w:val="auto"/>
        </w:rPr>
        <w:t>Guidance includes the FFO</w:t>
      </w:r>
      <w:r>
        <w:rPr>
          <w:rFonts w:ascii="Arial" w:cs="Arial" w:eastAsia="Arial" w:hAnsi="Arial"/>
          <w:sz w:val="28"/>
          <w:szCs w:val="28"/>
          <w:color w:val="auto"/>
          <w:vertAlign w:val="superscript"/>
        </w:rPr>
        <w:t>(1)</w:t>
      </w:r>
      <w:r>
        <w:rPr>
          <w:rFonts w:ascii="Arial" w:cs="Arial" w:eastAsia="Arial" w:hAnsi="Arial"/>
          <w:sz w:val="22"/>
          <w:szCs w:val="22"/>
          <w:b w:val="1"/>
          <w:bCs w:val="1"/>
          <w:color w:val="auto"/>
        </w:rPr>
        <w:t xml:space="preserve"> </w:t>
      </w:r>
      <w:r>
        <w:rPr>
          <w:rFonts w:ascii="Arial" w:cs="Arial" w:eastAsia="Arial" w:hAnsi="Arial"/>
          <w:sz w:val="22"/>
          <w:szCs w:val="22"/>
          <w:color w:val="auto"/>
        </w:rPr>
        <w:t>impact from the expected future sale of seven additional</w:t>
      </w:r>
      <w:r>
        <w:rPr>
          <w:rFonts w:ascii="Arial" w:cs="Arial" w:eastAsia="Arial" w:hAnsi="Arial"/>
          <w:sz w:val="22"/>
          <w:szCs w:val="22"/>
          <w:b w:val="1"/>
          <w:bCs w:val="1"/>
          <w:color w:val="auto"/>
        </w:rPr>
        <w:t xml:space="preserve"> </w:t>
      </w:r>
      <w:r>
        <w:rPr>
          <w:rFonts w:ascii="Arial" w:cs="Arial" w:eastAsia="Arial" w:hAnsi="Arial"/>
          <w:sz w:val="22"/>
          <w:szCs w:val="22"/>
          <w:color w:val="auto"/>
        </w:rPr>
        <w:t>communities.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estimates and assumptions are forward looking based on the Company's current assessment of economic and market conditions, but may be affected by the risks outlined below under the caption "Forward-Looking Statements" and may differ materially from actual results.</w:t>
      </w:r>
    </w:p>
    <w:p>
      <w:pPr>
        <w:spacing w:after="0" w:line="20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Sun Communities, Inc. 2nd Quarter 2014</w:t>
      </w:r>
      <w:r>
        <w:rPr>
          <w:sz w:val="20"/>
          <w:szCs w:val="20"/>
          <w:color w:val="auto"/>
        </w:rPr>
        <w:tab/>
      </w:r>
      <w:r>
        <w:rPr>
          <w:rFonts w:ascii="Arial" w:cs="Arial" w:eastAsia="Arial" w:hAnsi="Arial"/>
          <w:sz w:val="15"/>
          <w:szCs w:val="15"/>
          <w:color w:val="auto"/>
        </w:rPr>
        <w:t>Page 5</w:t>
      </w:r>
    </w:p>
    <w:p>
      <w:pPr>
        <w:sectPr>
          <w:pgSz w:w="11900" w:h="16838" w:orient="portrait"/>
          <w:cols w:equalWidth="0" w:num="1">
            <w:col w:w="11420"/>
          </w:cols>
          <w:pgMar w:left="240" w:top="1440" w:right="23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color w:val="auto"/>
        </w:rPr>
        <w:t>Earnings Conference Call</w:t>
      </w: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 conference call to discuss second quarter operating results will be held on Thursday, July 24, 2014 at 11:00 A.M. (EDT). To participate, call toll-free 888-401-4668. Callers outside the U.S. or Canada can access the call at 719-457-2727. A replay will be available following the call through August 7, 2014, and can be accessed toll-free by calling 888-203-1112 or by calling 719-457-0820. The Conference ID number for the call and the replay is 9051999. The conference call will be available live on Sun Communities website www.suncommunities.com. Replay will also be available on the website.</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Sun Communities, Inc. is a REIT that currently owns and operates a portfolio of 189 communities comprising approximately 71,500 developed sites.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about Sun Communities, Inc., please visit our website at www.suncommunities.com.</w:t>
      </w: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w:t>
      </w:r>
    </w:p>
    <w:p>
      <w:pPr>
        <w:spacing w:after="0" w:line="32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Please address all inquiries to our investor relations department, at our website www.suncommunities.com, by phone (248) 208-2500, by email investorrelations@suncommunities.com or by mail Sun Communities, Inc. Investor Relations, 27777 Franklin Road, Ste. 200, Southfield, MI 48034.</w:t>
      </w:r>
    </w:p>
    <w:p>
      <w:pPr>
        <w:spacing w:after="0" w:line="200" w:lineRule="exact"/>
        <w:rPr>
          <w:sz w:val="20"/>
          <w:szCs w:val="20"/>
          <w:color w:val="auto"/>
        </w:rPr>
      </w:pPr>
    </w:p>
    <w:p>
      <w:pPr>
        <w:spacing w:after="0" w:line="263"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Sun Communities, Inc. 2nd Quarter 2014</w:t>
      </w:r>
      <w:r>
        <w:rPr>
          <w:sz w:val="20"/>
          <w:szCs w:val="20"/>
          <w:color w:val="auto"/>
        </w:rPr>
        <w:tab/>
      </w:r>
      <w:r>
        <w:rPr>
          <w:rFonts w:ascii="Arial" w:cs="Arial" w:eastAsia="Arial" w:hAnsi="Arial"/>
          <w:sz w:val="15"/>
          <w:szCs w:val="15"/>
          <w:color w:val="auto"/>
        </w:rPr>
        <w:t>Page 6</w:t>
      </w:r>
    </w:p>
    <w:p>
      <w:pPr>
        <w:sectPr>
          <w:pgSz w:w="11900" w:h="16838" w:orient="portrait"/>
          <w:cols w:equalWidth="0" w:num="1">
            <w:col w:w="11420"/>
          </w:cols>
          <w:pgMar w:left="240" w:top="360"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Forward-Looking Statements</w:t>
      </w:r>
    </w:p>
    <w:p>
      <w:pPr>
        <w:spacing w:after="0" w:line="2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This press release contains various “forward-looking statements” within the meaning of the Securities Act of 1933, as amended, and the Securities Exchange Act of 1934, as amended, and the Company intends that such forward-looking statements will be subject to the safe harbors created thereby. Forward-looking statements can be identified by words such as “will,” “may,” “could,” “expect,” “anticipate,” “believes,” “intends,” “should,” “plans,” “estimates,” “approximate”, “guidance” and similar expressions in this press release that predict or indicate future events and trends and that do not report historical matters.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These forward-looking statements reflect the Company’s current views with respect to future events and financial performance, but involve known and unknown risks, uncertainties, and other factors, some of which are beyond our control. These risks, uncertainties, and other factors may cause the actual results of the Company to be materially different from any future results expressed or implied by such forward-looking statements. Such risks and uncertainties include national, regional and local economic climates, the ability to maintain rental rates and occupancy levels, competitive market forces, the performance of the recent acquisitions, the ability to integrate future acquisitions smoothly and efficiently, the closing of the anticipated dispositions on expected time frames and terms, changes in market rates of interest, the ability of manufactured home buyers to obtain financing, the level of repossessions by manufactured home lenders and those risks and uncertainties referenced under the headings entitled “Risk Factors” contained in our 2013 Annual Report, and the Company’s other periodic filings with the Securities and Exchange Commission.</w:t>
      </w:r>
    </w:p>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forward-looking statements contained in this press release speak only as of the date hereof and the Company expressly disclaims any obligation to provide public updates, revisions or amendments to any forward- looking statements made herein to reflect changes in the Company’s assumptions, expectations of future events, or trends.</w:t>
      </w:r>
    </w:p>
    <w:p>
      <w:pPr>
        <w:spacing w:after="0" w:line="200" w:lineRule="exact"/>
        <w:rPr>
          <w:sz w:val="20"/>
          <w:szCs w:val="20"/>
          <w:color w:val="auto"/>
        </w:rPr>
      </w:pPr>
    </w:p>
    <w:p>
      <w:pPr>
        <w:spacing w:after="0" w:line="263"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Sun Communities, Inc. 2nd Quarter 2014</w:t>
      </w:r>
      <w:r>
        <w:rPr>
          <w:sz w:val="20"/>
          <w:szCs w:val="20"/>
          <w:color w:val="auto"/>
        </w:rPr>
        <w:tab/>
      </w:r>
      <w:r>
        <w:rPr>
          <w:rFonts w:ascii="Arial" w:cs="Arial" w:eastAsia="Arial" w:hAnsi="Arial"/>
          <w:sz w:val="15"/>
          <w:szCs w:val="15"/>
          <w:color w:val="auto"/>
        </w:rPr>
        <w:t>Page 7</w:t>
      </w:r>
    </w:p>
    <w:p>
      <w:pPr>
        <w:sectPr>
          <w:pgSz w:w="11900" w:h="16838" w:orient="portrait"/>
          <w:cols w:equalWidth="0" w:num="1">
            <w:col w:w="11420"/>
          </w:cols>
          <w:pgMar w:left="240" w:top="369" w:right="239" w:bottom="1440" w:gutter="0" w:footer="0" w:header="0"/>
        </w:sectPr>
      </w:pPr>
    </w:p>
    <w:bookmarkStart w:id="11" w:name="page12"/>
    <w:bookmarkEnd w:id="11"/>
    <w:p>
      <w:pPr>
        <w:jc w:val="both"/>
        <w:ind w:left="660" w:hanging="260"/>
        <w:spacing w:after="0" w:line="284" w:lineRule="auto"/>
        <w:tabs>
          <w:tab w:leader="none" w:pos="660" w:val="left"/>
        </w:tabs>
        <w:numPr>
          <w:ilvl w:val="0"/>
          <w:numId w:val="6"/>
        </w:numPr>
        <w:rPr>
          <w:rFonts w:ascii="Arial" w:cs="Arial" w:eastAsia="Arial" w:hAnsi="Arial"/>
          <w:sz w:val="16"/>
          <w:szCs w:val="16"/>
          <w:color w:val="auto"/>
          <w:vertAlign w:val="superscript"/>
        </w:rPr>
      </w:pPr>
      <w:r>
        <w:rPr>
          <w:rFonts w:ascii="Arial" w:cs="Arial" w:eastAsia="Arial" w:hAnsi="Arial"/>
          <w:sz w:val="14"/>
          <w:szCs w:val="14"/>
          <w:color w:val="auto"/>
        </w:rPr>
        <w:t>Funds from operations (“FFO”) is defined by the National Association of Real Estate Investment Trusts (“NAREIT”) as net income (loss) (computed in accordance with generally accepted accounting principles “GAAP”), excluding gains (or losses) from sales of depreciable operating property, plus real estate-related depreciation and amortization, and after adjustments for unconsolidated partnerships and joint ventures. FFO is a non-GAAP financial measure that management believes is a useful supplemental measure of the Company's operating performance. Management generally considers FFO to be a useful measure for reviewing comparative operating and financial performance because, by excluding gains and losses related to sales of previously depreciated operating real estate assets, impairment and excluding real estate asset depreciation and amortization (which can vary among owners of identical assets in similar condition based on historical cost accounting and useful life estimates), FFO provides a performance measure that, when compared year over year, reflects the impact to operations from trends in occupancy rates, rental rates and operating costs, providing perspective not readily apparent from net loss. Management believes that the use of FFO has been beneficial in improving the understanding of operating results of REITs among the investing public and making comparisons of REIT operating results more meaningful. FFO is computed in accordance with the Company's interpretation of standards established by NAREIT, which may not be comparable to FFO reported by other REITs that do not define the term in accordance with the current NAREIT definition or that interpret the current NAREIT definition differently than the Company.</w:t>
      </w:r>
    </w:p>
    <w:p>
      <w:pPr>
        <w:spacing w:after="0" w:line="173" w:lineRule="exact"/>
        <w:rPr>
          <w:rFonts w:ascii="Arial" w:cs="Arial" w:eastAsia="Arial" w:hAnsi="Arial"/>
          <w:sz w:val="16"/>
          <w:szCs w:val="16"/>
          <w:color w:val="auto"/>
          <w:vertAlign w:val="superscript"/>
        </w:rPr>
      </w:pPr>
    </w:p>
    <w:p>
      <w:pPr>
        <w:jc w:val="both"/>
        <w:ind w:left="660"/>
        <w:spacing w:after="0" w:line="274" w:lineRule="auto"/>
        <w:rPr>
          <w:rFonts w:ascii="Arial" w:cs="Arial" w:eastAsia="Arial" w:hAnsi="Arial"/>
          <w:sz w:val="16"/>
          <w:szCs w:val="16"/>
          <w:color w:val="auto"/>
          <w:vertAlign w:val="superscript"/>
        </w:rPr>
      </w:pPr>
      <w:r>
        <w:rPr>
          <w:rFonts w:ascii="Arial" w:cs="Arial" w:eastAsia="Arial" w:hAnsi="Arial"/>
          <w:sz w:val="15"/>
          <w:szCs w:val="15"/>
          <w:color w:val="auto"/>
        </w:rPr>
        <w:t>Because FFO excludes significant economic components of net income (loss) including depreciation and amortization, FFO should be used as an adjunct to net income (loss) and not as an alternative to net income (loss). The principal limitation of FFO is that it does not represent cash flow from operations as defined by GAAP and is a supplemental measure of performance that does not replace net income (loss) as a measure of performance or net cash provided by operating activities as a measure of liquidity. In addition, FFO is not intended as a measure of a REIT's ability to meet debt principal repayments and other cash requirements, nor as a measure of working capital. FFO only provides investors with an additional performance measure.</w:t>
      </w:r>
    </w:p>
    <w:p>
      <w:pPr>
        <w:spacing w:after="0" w:line="176" w:lineRule="exact"/>
        <w:rPr>
          <w:rFonts w:ascii="Arial" w:cs="Arial" w:eastAsia="Arial" w:hAnsi="Arial"/>
          <w:sz w:val="16"/>
          <w:szCs w:val="16"/>
          <w:color w:val="auto"/>
          <w:vertAlign w:val="superscript"/>
        </w:rPr>
      </w:pPr>
    </w:p>
    <w:p>
      <w:pPr>
        <w:jc w:val="both"/>
        <w:ind w:left="660" w:hanging="260"/>
        <w:spacing w:after="0" w:line="264" w:lineRule="auto"/>
        <w:tabs>
          <w:tab w:leader="none" w:pos="660" w:val="left"/>
        </w:tabs>
        <w:numPr>
          <w:ilvl w:val="0"/>
          <w:numId w:val="6"/>
        </w:numPr>
        <w:rPr>
          <w:rFonts w:ascii="Arial" w:cs="Arial" w:eastAsia="Arial" w:hAnsi="Arial"/>
          <w:sz w:val="17"/>
          <w:szCs w:val="17"/>
          <w:color w:val="auto"/>
          <w:vertAlign w:val="superscript"/>
        </w:rPr>
      </w:pPr>
      <w:r>
        <w:rPr>
          <w:rFonts w:ascii="Arial" w:cs="Arial" w:eastAsia="Arial" w:hAnsi="Arial"/>
          <w:sz w:val="15"/>
          <w:szCs w:val="15"/>
          <w:color w:val="auto"/>
        </w:rPr>
        <w:t>Investors in and analysts following the real estate industry utilize NOI as a supplemental performance measure. NOI is derived from revenues minus property operating expenses and real estate taxes. NOI does not represent cash generated from operating activities in accordance with GAAP and should not be considered to be an alternative to net income (loss) (determined in accordance with GAAP) as an indication of the Company's financial performance or to be an alternative to cash flow from operating activities (determined in accordance with GAAP) as a measure of the Company's liquidity; nor is it indicative of funds available for the Company's cash needs, including its ability to make cash distributions. The Company believes that net income (loss) is the most directly comparable GAAP measurement to NOI. Net income (loss) includes interest and depreciation and amortization which often have no effect on the market value of a property and therefore limit its use as a performance measure. In addition, such expenses are often incurred at a parent company level and therefore are not necessarily linked to the performance of a real estate asset. The Company believes that NOI is helpful to investors as a measure of operating performance because it is an indicator of the return on property investment, and provides a method of comparing property performance over time. The Company uses NOI as a key management tool when evaluating performance and growth of particular properties and/or groups of properties. The principal limitation of NOI is that it excludes depreciation, amortization, interest expense, and non-property specific expenses such as general and administrative expenses, all of which are significant costs, and therefore, NOI is a measure of the operating performance of the properties of the Company rather than of the Company overall.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Sun Communities, Inc. 2nd Quarter 2014</w:t>
      </w:r>
      <w:r>
        <w:rPr>
          <w:sz w:val="20"/>
          <w:szCs w:val="20"/>
          <w:color w:val="auto"/>
        </w:rPr>
        <w:tab/>
      </w:r>
      <w:r>
        <w:rPr>
          <w:rFonts w:ascii="Arial" w:cs="Arial" w:eastAsia="Arial" w:hAnsi="Arial"/>
          <w:sz w:val="15"/>
          <w:szCs w:val="15"/>
          <w:color w:val="auto"/>
        </w:rPr>
        <w:t>Page 8</w:t>
      </w:r>
    </w:p>
    <w:p>
      <w:pPr>
        <w:sectPr>
          <w:pgSz w:w="11900" w:h="16838" w:orient="portrait"/>
          <w:cols w:equalWidth="0" w:num="1">
            <w:col w:w="11420"/>
          </w:cols>
          <w:pgMar w:left="240" w:top="373"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Consolidated Balance Sheets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(unaudited)</w:t>
            </w: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192"/>
        </w:trPr>
        <w:tc>
          <w:tcPr>
            <w:tcW w:w="44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2014</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41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580" w:type="dxa"/>
            <w:vAlign w:val="bottom"/>
            <w:gridSpan w:val="2"/>
            <w:shd w:val="clear" w:color="auto" w:fill="EAF9E8"/>
          </w:tcPr>
          <w:p>
            <w:pPr>
              <w:ind w:left="380"/>
              <w:spacing w:after="0"/>
              <w:rPr>
                <w:sz w:val="20"/>
                <w:szCs w:val="20"/>
                <w:color w:val="auto"/>
              </w:rPr>
            </w:pPr>
            <w:r>
              <w:rPr>
                <w:rFonts w:ascii="Arial" w:cs="Arial" w:eastAsia="Arial" w:hAnsi="Arial"/>
                <w:sz w:val="18"/>
                <w:szCs w:val="18"/>
                <w:color w:val="auto"/>
                <w:w w:val="93"/>
              </w:rPr>
              <w:t>Investment property, net (including $56,002 and $56,805 for consolidated variable interest entities at June 30,</w:t>
            </w:r>
          </w:p>
        </w:tc>
        <w:tc>
          <w:tcPr>
            <w:tcW w:w="200" w:type="dxa"/>
            <w:vAlign w:val="bottom"/>
            <w:shd w:val="clear" w:color="auto" w:fill="EAF9E8"/>
          </w:tcPr>
          <w:p>
            <w:pPr>
              <w:spacing w:after="0"/>
              <w:rPr>
                <w:sz w:val="20"/>
                <w:szCs w:val="20"/>
                <w:color w:val="auto"/>
              </w:rPr>
            </w:pPr>
          </w:p>
        </w:tc>
        <w:tc>
          <w:tcPr>
            <w:tcW w:w="116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04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EAF9E8"/>
          </w:tcPr>
          <w:p>
            <w:pPr>
              <w:ind w:left="380"/>
              <w:spacing w:after="0"/>
              <w:rPr>
                <w:sz w:val="20"/>
                <w:szCs w:val="20"/>
                <w:color w:val="auto"/>
              </w:rPr>
            </w:pPr>
            <w:r>
              <w:rPr>
                <w:rFonts w:ascii="Arial" w:cs="Arial" w:eastAsia="Arial" w:hAnsi="Arial"/>
                <w:sz w:val="18"/>
                <w:szCs w:val="18"/>
                <w:color w:val="auto"/>
              </w:rPr>
              <w:t>2014 and December 31, 2013)</w:t>
            </w:r>
          </w:p>
        </w:tc>
        <w:tc>
          <w:tcPr>
            <w:tcW w:w="4140" w:type="dxa"/>
            <w:vAlign w:val="bottom"/>
            <w:shd w:val="clear" w:color="auto" w:fill="EAF9E8"/>
          </w:tcPr>
          <w:p>
            <w:pPr>
              <w:spacing w:after="0"/>
              <w:rPr>
                <w:sz w:val="22"/>
                <w:szCs w:val="22"/>
                <w:color w:val="auto"/>
              </w:rPr>
            </w:pPr>
          </w:p>
        </w:tc>
        <w:tc>
          <w:tcPr>
            <w:tcW w:w="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1,899,783</w:t>
            </w: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1,755,052</w:t>
            </w:r>
          </w:p>
        </w:tc>
        <w:tc>
          <w:tcPr>
            <w:tcW w:w="0" w:type="dxa"/>
            <w:vAlign w:val="bottom"/>
          </w:tcPr>
          <w:p>
            <w:pPr>
              <w:spacing w:after="0"/>
              <w:rPr>
                <w:sz w:val="1"/>
                <w:szCs w:val="1"/>
                <w:color w:val="auto"/>
              </w:rPr>
            </w:pPr>
          </w:p>
        </w:tc>
      </w:tr>
      <w:tr>
        <w:trPr>
          <w:trHeight w:val="263"/>
        </w:trPr>
        <w:tc>
          <w:tcPr>
            <w:tcW w:w="44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4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7,620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77"/>
        </w:trPr>
        <w:tc>
          <w:tcPr>
            <w:tcW w:w="4440" w:type="dxa"/>
            <w:vAlign w:val="bottom"/>
            <w:shd w:val="clear" w:color="auto" w:fill="EAF9E8"/>
          </w:tcPr>
          <w:p>
            <w:pPr>
              <w:ind w:left="360"/>
              <w:spacing w:after="0"/>
              <w:rPr>
                <w:sz w:val="20"/>
                <w:szCs w:val="20"/>
                <w:color w:val="auto"/>
              </w:rPr>
            </w:pPr>
            <w:r>
              <w:rPr>
                <w:rFonts w:ascii="Arial" w:cs="Arial" w:eastAsia="Arial" w:hAnsi="Arial"/>
                <w:sz w:val="18"/>
                <w:szCs w:val="18"/>
                <w:color w:val="auto"/>
              </w:rPr>
              <w:t>Inventory of manufactured homes</w:t>
            </w:r>
          </w:p>
        </w:tc>
        <w:tc>
          <w:tcPr>
            <w:tcW w:w="414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6,226</w:t>
            </w: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5,810</w:t>
            </w:r>
          </w:p>
        </w:tc>
        <w:tc>
          <w:tcPr>
            <w:tcW w:w="0" w:type="dxa"/>
            <w:vAlign w:val="bottom"/>
          </w:tcPr>
          <w:p>
            <w:pPr>
              <w:spacing w:after="0"/>
              <w:rPr>
                <w:sz w:val="1"/>
                <w:szCs w:val="1"/>
                <w:color w:val="auto"/>
              </w:rPr>
            </w:pPr>
          </w:p>
        </w:tc>
      </w:tr>
      <w:tr>
        <w:trPr>
          <w:trHeight w:val="263"/>
        </w:trPr>
        <w:tc>
          <w:tcPr>
            <w:tcW w:w="4440" w:type="dxa"/>
            <w:vAlign w:val="bottom"/>
          </w:tcPr>
          <w:p>
            <w:pPr>
              <w:ind w:left="360"/>
              <w:spacing w:after="0"/>
              <w:rPr>
                <w:sz w:val="20"/>
                <w:szCs w:val="20"/>
                <w:color w:val="auto"/>
              </w:rPr>
            </w:pPr>
            <w:r>
              <w:rPr>
                <w:rFonts w:ascii="Arial" w:cs="Arial" w:eastAsia="Arial" w:hAnsi="Arial"/>
                <w:sz w:val="18"/>
                <w:szCs w:val="18"/>
                <w:color w:val="auto"/>
              </w:rPr>
              <w:t>Notes and other receivables, net</w:t>
            </w:r>
          </w:p>
        </w:tc>
        <w:tc>
          <w:tcPr>
            <w:tcW w:w="4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164,430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164,685</w:t>
            </w:r>
          </w:p>
        </w:tc>
        <w:tc>
          <w:tcPr>
            <w:tcW w:w="0" w:type="dxa"/>
            <w:vAlign w:val="bottom"/>
          </w:tcPr>
          <w:p>
            <w:pPr>
              <w:spacing w:after="0"/>
              <w:rPr>
                <w:sz w:val="1"/>
                <w:szCs w:val="1"/>
                <w:color w:val="auto"/>
              </w:rPr>
            </w:pPr>
          </w:p>
        </w:tc>
      </w:tr>
      <w:tr>
        <w:trPr>
          <w:trHeight w:val="270"/>
        </w:trPr>
        <w:tc>
          <w:tcPr>
            <w:tcW w:w="4440" w:type="dxa"/>
            <w:vAlign w:val="bottom"/>
            <w:shd w:val="clear" w:color="auto" w:fill="EAF9E8"/>
          </w:tcPr>
          <w:p>
            <w:pPr>
              <w:ind w:left="360"/>
              <w:spacing w:after="0"/>
              <w:rPr>
                <w:sz w:val="20"/>
                <w:szCs w:val="20"/>
                <w:color w:val="auto"/>
              </w:rPr>
            </w:pPr>
            <w:r>
              <w:rPr>
                <w:rFonts w:ascii="Arial" w:cs="Arial" w:eastAsia="Arial" w:hAnsi="Arial"/>
                <w:sz w:val="18"/>
                <w:szCs w:val="18"/>
                <w:color w:val="auto"/>
              </w:rPr>
              <w:t>Other assets</w:t>
            </w:r>
          </w:p>
        </w:tc>
        <w:tc>
          <w:tcPr>
            <w:tcW w:w="414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116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65,921</w:t>
            </w:r>
          </w:p>
        </w:tc>
        <w:tc>
          <w:tcPr>
            <w:tcW w:w="120" w:type="dxa"/>
            <w:vAlign w:val="bottom"/>
            <w:shd w:val="clear" w:color="auto" w:fill="EAF9E8"/>
          </w:tcPr>
          <w:p>
            <w:pPr>
              <w:spacing w:after="0"/>
              <w:rPr>
                <w:sz w:val="23"/>
                <w:szCs w:val="23"/>
                <w:color w:val="auto"/>
              </w:rPr>
            </w:pPr>
          </w:p>
        </w:tc>
        <w:tc>
          <w:tcPr>
            <w:tcW w:w="320" w:type="dxa"/>
            <w:vAlign w:val="bottom"/>
            <w:tcBorders>
              <w:bottom w:val="single" w:sz="8" w:color="auto"/>
            </w:tcBorders>
            <w:shd w:val="clear" w:color="auto" w:fill="EAF9E8"/>
          </w:tcPr>
          <w:p>
            <w:pPr>
              <w:spacing w:after="0"/>
              <w:rPr>
                <w:sz w:val="23"/>
                <w:szCs w:val="23"/>
                <w:color w:val="auto"/>
              </w:rPr>
            </w:pP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68,936</w:t>
            </w:r>
          </w:p>
        </w:tc>
        <w:tc>
          <w:tcPr>
            <w:tcW w:w="0" w:type="dxa"/>
            <w:vAlign w:val="bottom"/>
          </w:tcPr>
          <w:p>
            <w:pPr>
              <w:spacing w:after="0"/>
              <w:rPr>
                <w:sz w:val="1"/>
                <w:szCs w:val="1"/>
                <w:color w:val="auto"/>
              </w:rPr>
            </w:pPr>
          </w:p>
        </w:tc>
      </w:tr>
      <w:tr>
        <w:trPr>
          <w:trHeight w:val="297"/>
        </w:trPr>
        <w:tc>
          <w:tcPr>
            <w:tcW w:w="4440" w:type="dxa"/>
            <w:vAlign w:val="bottom"/>
            <w:tcBorders>
              <w:bottom w:val="single" w:sz="8" w:color="EAF9E8"/>
            </w:tcBorders>
          </w:tcPr>
          <w:p>
            <w:pPr>
              <w:ind w:left="840"/>
              <w:spacing w:after="0"/>
              <w:rPr>
                <w:sz w:val="20"/>
                <w:szCs w:val="20"/>
                <w:color w:val="auto"/>
              </w:rPr>
            </w:pPr>
            <w:r>
              <w:rPr>
                <w:rFonts w:ascii="Arial" w:cs="Arial" w:eastAsia="Arial" w:hAnsi="Arial"/>
                <w:sz w:val="18"/>
                <w:szCs w:val="18"/>
                <w:b w:val="1"/>
                <w:bCs w:val="1"/>
                <w:color w:val="auto"/>
              </w:rPr>
              <w:t>TOTAL ASSETS</w:t>
            </w:r>
          </w:p>
        </w:tc>
        <w:tc>
          <w:tcPr>
            <w:tcW w:w="414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2,143,980</w:t>
            </w:r>
          </w:p>
        </w:tc>
        <w:tc>
          <w:tcPr>
            <w:tcW w:w="120" w:type="dxa"/>
            <w:vAlign w:val="bottom"/>
            <w:tcBorders>
              <w:bottom w:val="single" w:sz="8" w:color="EAF9E8"/>
            </w:tcBorders>
          </w:tcPr>
          <w:p>
            <w:pPr>
              <w:spacing w:after="0"/>
              <w:rPr>
                <w:sz w:val="24"/>
                <w:szCs w:val="24"/>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1,999,236</w:t>
            </w:r>
          </w:p>
        </w:tc>
        <w:tc>
          <w:tcPr>
            <w:tcW w:w="0" w:type="dxa"/>
            <w:vAlign w:val="bottom"/>
          </w:tcPr>
          <w:p>
            <w:pPr>
              <w:spacing w:after="0"/>
              <w:rPr>
                <w:sz w:val="1"/>
                <w:szCs w:val="1"/>
                <w:color w:val="auto"/>
              </w:rPr>
            </w:pPr>
          </w:p>
        </w:tc>
      </w:tr>
      <w:tr>
        <w:trPr>
          <w:trHeight w:val="251"/>
        </w:trPr>
        <w:tc>
          <w:tcPr>
            <w:tcW w:w="444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LIABILITIES</w:t>
            </w:r>
          </w:p>
        </w:tc>
        <w:tc>
          <w:tcPr>
            <w:tcW w:w="41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04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gridSpan w:val="2"/>
          </w:tcPr>
          <w:p>
            <w:pPr>
              <w:ind w:left="380"/>
              <w:spacing w:after="0"/>
              <w:rPr>
                <w:sz w:val="20"/>
                <w:szCs w:val="20"/>
                <w:color w:val="auto"/>
              </w:rPr>
            </w:pPr>
            <w:r>
              <w:rPr>
                <w:rFonts w:ascii="Arial" w:cs="Arial" w:eastAsia="Arial" w:hAnsi="Arial"/>
                <w:sz w:val="18"/>
                <w:szCs w:val="18"/>
                <w:color w:val="auto"/>
                <w:w w:val="92"/>
              </w:rPr>
              <w:t>Debt (including $44,848 and $45,209 for consolidated variable interest entities at June 30, 2014 and December</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440" w:type="dxa"/>
            <w:vAlign w:val="bottom"/>
          </w:tcPr>
          <w:p>
            <w:pPr>
              <w:ind w:left="380"/>
              <w:spacing w:after="0"/>
              <w:rPr>
                <w:sz w:val="20"/>
                <w:szCs w:val="20"/>
                <w:color w:val="auto"/>
              </w:rPr>
            </w:pPr>
            <w:r>
              <w:rPr>
                <w:rFonts w:ascii="Arial" w:cs="Arial" w:eastAsia="Arial" w:hAnsi="Arial"/>
                <w:sz w:val="18"/>
                <w:szCs w:val="18"/>
                <w:color w:val="auto"/>
              </w:rPr>
              <w:t>31, 2013)</w:t>
            </w:r>
          </w:p>
        </w:tc>
        <w:tc>
          <w:tcPr>
            <w:tcW w:w="4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1,407,317</w:t>
            </w:r>
          </w:p>
        </w:tc>
        <w:tc>
          <w:tcPr>
            <w:tcW w:w="12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1,311,437</w:t>
            </w:r>
          </w:p>
        </w:tc>
        <w:tc>
          <w:tcPr>
            <w:tcW w:w="0" w:type="dxa"/>
            <w:vAlign w:val="bottom"/>
          </w:tcPr>
          <w:p>
            <w:pPr>
              <w:spacing w:after="0"/>
              <w:rPr>
                <w:sz w:val="1"/>
                <w:szCs w:val="1"/>
                <w:color w:val="auto"/>
              </w:rPr>
            </w:pPr>
          </w:p>
        </w:tc>
      </w:tr>
      <w:tr>
        <w:trPr>
          <w:trHeight w:val="277"/>
        </w:trPr>
        <w:tc>
          <w:tcPr>
            <w:tcW w:w="4440" w:type="dxa"/>
            <w:vAlign w:val="bottom"/>
            <w:shd w:val="clear" w:color="auto" w:fill="EAF9E8"/>
          </w:tcPr>
          <w:p>
            <w:pPr>
              <w:ind w:left="360"/>
              <w:spacing w:after="0"/>
              <w:rPr>
                <w:sz w:val="20"/>
                <w:szCs w:val="20"/>
                <w:color w:val="auto"/>
              </w:rPr>
            </w:pPr>
            <w:r>
              <w:rPr>
                <w:rFonts w:ascii="Arial" w:cs="Arial" w:eastAsia="Arial" w:hAnsi="Arial"/>
                <w:sz w:val="18"/>
                <w:szCs w:val="18"/>
                <w:color w:val="auto"/>
              </w:rPr>
              <w:t>Lines of credit</w:t>
            </w:r>
          </w:p>
        </w:tc>
        <w:tc>
          <w:tcPr>
            <w:tcW w:w="414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38,461</w:t>
            </w: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181,383</w:t>
            </w:r>
          </w:p>
        </w:tc>
        <w:tc>
          <w:tcPr>
            <w:tcW w:w="0" w:type="dxa"/>
            <w:vAlign w:val="bottom"/>
          </w:tcPr>
          <w:p>
            <w:pPr>
              <w:spacing w:after="0"/>
              <w:rPr>
                <w:sz w:val="1"/>
                <w:szCs w:val="1"/>
                <w:color w:val="auto"/>
              </w:rPr>
            </w:pPr>
          </w:p>
        </w:tc>
      </w:tr>
      <w:tr>
        <w:trPr>
          <w:trHeight w:val="264"/>
        </w:trPr>
        <w:tc>
          <w:tcPr>
            <w:tcW w:w="4440" w:type="dxa"/>
            <w:vAlign w:val="bottom"/>
            <w:tcBorders>
              <w:bottom w:val="single" w:sz="8" w:color="EAF9E8"/>
            </w:tcBorders>
          </w:tcPr>
          <w:p>
            <w:pPr>
              <w:ind w:left="360"/>
              <w:spacing w:after="0"/>
              <w:rPr>
                <w:sz w:val="20"/>
                <w:szCs w:val="20"/>
                <w:color w:val="auto"/>
              </w:rPr>
            </w:pPr>
            <w:r>
              <w:rPr>
                <w:rFonts w:ascii="Arial" w:cs="Arial" w:eastAsia="Arial" w:hAnsi="Arial"/>
                <w:sz w:val="18"/>
                <w:szCs w:val="18"/>
                <w:color w:val="auto"/>
              </w:rPr>
              <w:t>Other liabilities</w:t>
            </w:r>
          </w:p>
        </w:tc>
        <w:tc>
          <w:tcPr>
            <w:tcW w:w="4140" w:type="dxa"/>
            <w:vAlign w:val="bottom"/>
            <w:tcBorders>
              <w:bottom w:val="single" w:sz="8" w:color="EAF9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126,598</w:t>
            </w:r>
          </w:p>
        </w:tc>
        <w:tc>
          <w:tcPr>
            <w:tcW w:w="120" w:type="dxa"/>
            <w:vAlign w:val="bottom"/>
            <w:tcBorders>
              <w:bottom w:val="single" w:sz="8" w:color="EAF9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109,342</w:t>
            </w:r>
          </w:p>
        </w:tc>
        <w:tc>
          <w:tcPr>
            <w:tcW w:w="0" w:type="dxa"/>
            <w:vAlign w:val="bottom"/>
          </w:tcPr>
          <w:p>
            <w:pPr>
              <w:spacing w:after="0"/>
              <w:rPr>
                <w:sz w:val="1"/>
                <w:szCs w:val="1"/>
                <w:color w:val="auto"/>
              </w:rPr>
            </w:pPr>
          </w:p>
        </w:tc>
      </w:tr>
      <w:tr>
        <w:trPr>
          <w:trHeight w:val="257"/>
        </w:trPr>
        <w:tc>
          <w:tcPr>
            <w:tcW w:w="4440" w:type="dxa"/>
            <w:vAlign w:val="bottom"/>
            <w:shd w:val="clear" w:color="auto" w:fill="EAF9E8"/>
          </w:tcPr>
          <w:p>
            <w:pPr>
              <w:ind w:left="840"/>
              <w:spacing w:after="0"/>
              <w:rPr>
                <w:sz w:val="20"/>
                <w:szCs w:val="20"/>
                <w:color w:val="auto"/>
              </w:rPr>
            </w:pPr>
            <w:r>
              <w:rPr>
                <w:rFonts w:ascii="Arial" w:cs="Arial" w:eastAsia="Arial" w:hAnsi="Arial"/>
                <w:sz w:val="18"/>
                <w:szCs w:val="18"/>
                <w:b w:val="1"/>
                <w:bCs w:val="1"/>
                <w:color w:val="auto"/>
              </w:rPr>
              <w:t>TOTAL LIABILITIES</w:t>
            </w:r>
          </w:p>
        </w:tc>
        <w:tc>
          <w:tcPr>
            <w:tcW w:w="4140" w:type="dxa"/>
            <w:vAlign w:val="bottom"/>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1,572,376</w:t>
            </w:r>
          </w:p>
        </w:tc>
        <w:tc>
          <w:tcPr>
            <w:tcW w:w="120" w:type="dxa"/>
            <w:vAlign w:val="bottom"/>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1,602,162</w:t>
            </w:r>
          </w:p>
        </w:tc>
        <w:tc>
          <w:tcPr>
            <w:tcW w:w="0" w:type="dxa"/>
            <w:vAlign w:val="bottom"/>
          </w:tcPr>
          <w:p>
            <w:pPr>
              <w:spacing w:after="0"/>
              <w:rPr>
                <w:sz w:val="1"/>
                <w:szCs w:val="1"/>
                <w:color w:val="auto"/>
              </w:rPr>
            </w:pPr>
          </w:p>
        </w:tc>
      </w:tr>
      <w:tr>
        <w:trPr>
          <w:trHeight w:val="257"/>
        </w:trPr>
        <w:tc>
          <w:tcPr>
            <w:tcW w:w="4440" w:type="dxa"/>
            <w:vAlign w:val="bottom"/>
          </w:tcPr>
          <w:p>
            <w:pPr>
              <w:ind w:left="360"/>
              <w:spacing w:after="0"/>
              <w:rPr>
                <w:sz w:val="20"/>
                <w:szCs w:val="20"/>
                <w:color w:val="auto"/>
              </w:rPr>
            </w:pPr>
            <w:r>
              <w:rPr>
                <w:rFonts w:ascii="Arial" w:cs="Arial" w:eastAsia="Arial" w:hAnsi="Arial"/>
                <w:sz w:val="18"/>
                <w:szCs w:val="18"/>
                <w:color w:val="auto"/>
              </w:rPr>
              <w:t>Commitments and contingencies</w:t>
            </w:r>
          </w:p>
        </w:tc>
        <w:tc>
          <w:tcPr>
            <w:tcW w:w="4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414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Preferred stock, $0.01 par value, Authorized: 10,000 shares;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Issued and outstanding: 3,400 shares at June 30, 2014 and December 31, 2013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6"/>
        </w:trPr>
        <w:tc>
          <w:tcPr>
            <w:tcW w:w="8580" w:type="dxa"/>
            <w:vAlign w:val="bottom"/>
            <w:gridSpan w:val="2"/>
            <w:shd w:val="clear" w:color="auto" w:fill="EAF9E8"/>
          </w:tcPr>
          <w:p>
            <w:pPr>
              <w:ind w:left="380"/>
              <w:spacing w:after="0"/>
              <w:rPr>
                <w:sz w:val="20"/>
                <w:szCs w:val="20"/>
                <w:color w:val="auto"/>
              </w:rPr>
            </w:pPr>
            <w:r>
              <w:rPr>
                <w:rFonts w:ascii="Arial" w:cs="Arial" w:eastAsia="Arial" w:hAnsi="Arial"/>
                <w:sz w:val="18"/>
                <w:szCs w:val="18"/>
                <w:color w:val="auto"/>
              </w:rPr>
              <w:t>Common stock, $0.01 par value. Authorized: 90,000 shares;</w:t>
            </w:r>
          </w:p>
        </w:tc>
        <w:tc>
          <w:tcPr>
            <w:tcW w:w="200" w:type="dxa"/>
            <w:vAlign w:val="bottom"/>
            <w:shd w:val="clear" w:color="auto" w:fill="EAF9E8"/>
          </w:tcPr>
          <w:p>
            <w:pPr>
              <w:spacing w:after="0"/>
              <w:rPr>
                <w:sz w:val="20"/>
                <w:szCs w:val="20"/>
                <w:color w:val="auto"/>
              </w:rPr>
            </w:pPr>
          </w:p>
        </w:tc>
        <w:tc>
          <w:tcPr>
            <w:tcW w:w="116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04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580" w:type="dxa"/>
            <w:vAlign w:val="bottom"/>
            <w:gridSpan w:val="2"/>
            <w:shd w:val="clear" w:color="auto" w:fill="EAF9E8"/>
          </w:tcPr>
          <w:p>
            <w:pPr>
              <w:ind w:left="380"/>
              <w:spacing w:after="0"/>
              <w:rPr>
                <w:sz w:val="20"/>
                <w:szCs w:val="20"/>
                <w:color w:val="auto"/>
              </w:rPr>
            </w:pPr>
            <w:r>
              <w:rPr>
                <w:rFonts w:ascii="Arial" w:cs="Arial" w:eastAsia="Arial" w:hAnsi="Arial"/>
                <w:sz w:val="18"/>
                <w:szCs w:val="18"/>
                <w:color w:val="auto"/>
              </w:rPr>
              <w:t>Issued and outstanding: 41,108 at June 30, 2014 and 36,140 shares at December 31, 2013</w:t>
            </w:r>
          </w:p>
        </w:tc>
        <w:tc>
          <w:tcPr>
            <w:tcW w:w="200" w:type="dxa"/>
            <w:vAlign w:val="bottom"/>
            <w:shd w:val="clear" w:color="auto" w:fill="EAF9E8"/>
          </w:tcPr>
          <w:p>
            <w:pPr>
              <w:spacing w:after="0"/>
              <w:rPr>
                <w:sz w:val="22"/>
                <w:szCs w:val="22"/>
                <w:color w:val="auto"/>
              </w:rPr>
            </w:pPr>
          </w:p>
        </w:tc>
        <w:tc>
          <w:tcPr>
            <w:tcW w:w="11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63"/>
        </w:trPr>
        <w:tc>
          <w:tcPr>
            <w:tcW w:w="44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4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1,359,315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1,141,590</w:t>
            </w:r>
          </w:p>
        </w:tc>
        <w:tc>
          <w:tcPr>
            <w:tcW w:w="0" w:type="dxa"/>
            <w:vAlign w:val="bottom"/>
          </w:tcPr>
          <w:p>
            <w:pPr>
              <w:spacing w:after="0"/>
              <w:rPr>
                <w:sz w:val="1"/>
                <w:szCs w:val="1"/>
                <w:color w:val="auto"/>
              </w:rPr>
            </w:pPr>
          </w:p>
        </w:tc>
      </w:tr>
      <w:tr>
        <w:trPr>
          <w:trHeight w:val="277"/>
        </w:trPr>
        <w:tc>
          <w:tcPr>
            <w:tcW w:w="4440" w:type="dxa"/>
            <w:vAlign w:val="bottom"/>
            <w:shd w:val="clear" w:color="auto" w:fill="EAF9E8"/>
          </w:tcPr>
          <w:p>
            <w:pPr>
              <w:ind w:left="360"/>
              <w:spacing w:after="0"/>
              <w:rPr>
                <w:sz w:val="20"/>
                <w:szCs w:val="20"/>
                <w:color w:val="auto"/>
              </w:rPr>
            </w:pPr>
            <w:r>
              <w:rPr>
                <w:rFonts w:ascii="Arial" w:cs="Arial" w:eastAsia="Arial" w:hAnsi="Arial"/>
                <w:sz w:val="18"/>
                <w:szCs w:val="18"/>
                <w:color w:val="auto"/>
              </w:rPr>
              <w:t>Accumulated other comprehensive loss</w:t>
            </w:r>
          </w:p>
        </w:tc>
        <w:tc>
          <w:tcPr>
            <w:tcW w:w="414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64"/>
        </w:trPr>
        <w:tc>
          <w:tcPr>
            <w:tcW w:w="4440" w:type="dxa"/>
            <w:vAlign w:val="bottom"/>
            <w:tcBorders>
              <w:bottom w:val="single" w:sz="8" w:color="EAF9E8"/>
            </w:tcBorders>
          </w:tcPr>
          <w:p>
            <w:pPr>
              <w:ind w:left="360"/>
              <w:spacing w:after="0"/>
              <w:rPr>
                <w:sz w:val="20"/>
                <w:szCs w:val="20"/>
                <w:color w:val="auto"/>
              </w:rPr>
            </w:pPr>
            <w:r>
              <w:rPr>
                <w:rFonts w:ascii="Arial" w:cs="Arial" w:eastAsia="Arial" w:hAnsi="Arial"/>
                <w:sz w:val="18"/>
                <w:szCs w:val="18"/>
                <w:color w:val="auto"/>
              </w:rPr>
              <w:t>Distributions in excess of accumulated earnings</w:t>
            </w:r>
          </w:p>
        </w:tc>
        <w:tc>
          <w:tcPr>
            <w:tcW w:w="4140" w:type="dxa"/>
            <w:vAlign w:val="bottom"/>
            <w:tcBorders>
              <w:bottom w:val="single" w:sz="8" w:color="EAF9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(799,805)</w:t>
            </w:r>
          </w:p>
        </w:tc>
        <w:tc>
          <w:tcPr>
            <w:tcW w:w="120" w:type="dxa"/>
            <w:vAlign w:val="bottom"/>
            <w:tcBorders>
              <w:bottom w:val="single" w:sz="8" w:color="EAF9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(761,112)</w:t>
            </w:r>
          </w:p>
        </w:tc>
        <w:tc>
          <w:tcPr>
            <w:tcW w:w="0" w:type="dxa"/>
            <w:vAlign w:val="bottom"/>
          </w:tcPr>
          <w:p>
            <w:pPr>
              <w:spacing w:after="0"/>
              <w:rPr>
                <w:sz w:val="1"/>
                <w:szCs w:val="1"/>
                <w:color w:val="auto"/>
              </w:rPr>
            </w:pPr>
          </w:p>
        </w:tc>
      </w:tr>
      <w:tr>
        <w:trPr>
          <w:trHeight w:val="257"/>
        </w:trPr>
        <w:tc>
          <w:tcPr>
            <w:tcW w:w="4440" w:type="dxa"/>
            <w:vAlign w:val="bottom"/>
            <w:shd w:val="clear" w:color="auto" w:fill="EAF9E8"/>
          </w:tcPr>
          <w:p>
            <w:pPr>
              <w:ind w:left="840"/>
              <w:spacing w:after="0"/>
              <w:rPr>
                <w:sz w:val="20"/>
                <w:szCs w:val="20"/>
                <w:color w:val="auto"/>
              </w:rPr>
            </w:pPr>
            <w:r>
              <w:rPr>
                <w:rFonts w:ascii="Arial" w:cs="Arial" w:eastAsia="Arial" w:hAnsi="Arial"/>
                <w:sz w:val="18"/>
                <w:szCs w:val="18"/>
                <w:color w:val="auto"/>
                <w:w w:val="92"/>
              </w:rPr>
              <w:t>Total Sun Communities, Inc. stockholders' equity</w:t>
            </w:r>
          </w:p>
        </w:tc>
        <w:tc>
          <w:tcPr>
            <w:tcW w:w="414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11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559,678</w:t>
            </w: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380,507</w:t>
            </w:r>
          </w:p>
        </w:tc>
        <w:tc>
          <w:tcPr>
            <w:tcW w:w="0" w:type="dxa"/>
            <w:vAlign w:val="bottom"/>
          </w:tcPr>
          <w:p>
            <w:pPr>
              <w:spacing w:after="0"/>
              <w:rPr>
                <w:sz w:val="1"/>
                <w:szCs w:val="1"/>
                <w:color w:val="auto"/>
              </w:rPr>
            </w:pPr>
          </w:p>
        </w:tc>
      </w:tr>
      <w:tr>
        <w:trPr>
          <w:trHeight w:val="263"/>
        </w:trPr>
        <w:tc>
          <w:tcPr>
            <w:tcW w:w="444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4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440" w:type="dxa"/>
            <w:vAlign w:val="bottom"/>
            <w:shd w:val="clear" w:color="auto" w:fill="EAF9E8"/>
          </w:tcPr>
          <w:p>
            <w:pPr>
              <w:ind w:left="520"/>
              <w:spacing w:after="0"/>
              <w:rPr>
                <w:sz w:val="20"/>
                <w:szCs w:val="20"/>
                <w:color w:val="auto"/>
              </w:rPr>
            </w:pPr>
            <w:r>
              <w:rPr>
                <w:rFonts w:ascii="Arial" w:cs="Arial" w:eastAsia="Arial" w:hAnsi="Arial"/>
                <w:sz w:val="18"/>
                <w:szCs w:val="18"/>
                <w:color w:val="auto"/>
              </w:rPr>
              <w:t>Series A-1 preferred OP units</w:t>
            </w:r>
          </w:p>
        </w:tc>
        <w:tc>
          <w:tcPr>
            <w:tcW w:w="414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43,840</w:t>
            </w: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45,548</w:t>
            </w:r>
          </w:p>
        </w:tc>
        <w:tc>
          <w:tcPr>
            <w:tcW w:w="0" w:type="dxa"/>
            <w:vAlign w:val="bottom"/>
          </w:tcPr>
          <w:p>
            <w:pPr>
              <w:spacing w:after="0"/>
              <w:rPr>
                <w:sz w:val="1"/>
                <w:szCs w:val="1"/>
                <w:color w:val="auto"/>
              </w:rPr>
            </w:pPr>
          </w:p>
        </w:tc>
      </w:tr>
      <w:tr>
        <w:trPr>
          <w:trHeight w:val="263"/>
        </w:trPr>
        <w:tc>
          <w:tcPr>
            <w:tcW w:w="4440" w:type="dxa"/>
            <w:vAlign w:val="bottom"/>
          </w:tcPr>
          <w:p>
            <w:pPr>
              <w:ind w:left="520"/>
              <w:spacing w:after="0"/>
              <w:rPr>
                <w:sz w:val="20"/>
                <w:szCs w:val="20"/>
                <w:color w:val="auto"/>
              </w:rPr>
            </w:pPr>
            <w:r>
              <w:rPr>
                <w:rFonts w:ascii="Arial" w:cs="Arial" w:eastAsia="Arial" w:hAnsi="Arial"/>
                <w:sz w:val="18"/>
                <w:szCs w:val="18"/>
                <w:color w:val="auto"/>
              </w:rPr>
              <w:t>Series A-3 preferred OP units</w:t>
            </w:r>
          </w:p>
        </w:tc>
        <w:tc>
          <w:tcPr>
            <w:tcW w:w="4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3,463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77"/>
        </w:trPr>
        <w:tc>
          <w:tcPr>
            <w:tcW w:w="4440" w:type="dxa"/>
            <w:vAlign w:val="bottom"/>
            <w:shd w:val="clear" w:color="auto" w:fill="EAF9E8"/>
          </w:tcPr>
          <w:p>
            <w:pPr>
              <w:ind w:left="520"/>
              <w:spacing w:after="0"/>
              <w:rPr>
                <w:sz w:val="20"/>
                <w:szCs w:val="20"/>
                <w:color w:val="auto"/>
              </w:rPr>
            </w:pPr>
            <w:r>
              <w:rPr>
                <w:rFonts w:ascii="Arial" w:cs="Arial" w:eastAsia="Arial" w:hAnsi="Arial"/>
                <w:sz w:val="18"/>
                <w:szCs w:val="18"/>
                <w:color w:val="auto"/>
              </w:rPr>
              <w:t>Common OP units</w:t>
            </w:r>
          </w:p>
        </w:tc>
        <w:tc>
          <w:tcPr>
            <w:tcW w:w="414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(35,109)</w:t>
            </w: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(31,907)</w:t>
            </w:r>
          </w:p>
        </w:tc>
        <w:tc>
          <w:tcPr>
            <w:tcW w:w="0" w:type="dxa"/>
            <w:vAlign w:val="bottom"/>
          </w:tcPr>
          <w:p>
            <w:pPr>
              <w:spacing w:after="0"/>
              <w:rPr>
                <w:sz w:val="1"/>
                <w:szCs w:val="1"/>
                <w:color w:val="auto"/>
              </w:rPr>
            </w:pPr>
          </w:p>
        </w:tc>
      </w:tr>
      <w:tr>
        <w:trPr>
          <w:trHeight w:val="264"/>
        </w:trPr>
        <w:tc>
          <w:tcPr>
            <w:tcW w:w="4440" w:type="dxa"/>
            <w:vAlign w:val="bottom"/>
            <w:tcBorders>
              <w:bottom w:val="single" w:sz="8" w:color="EAF9E8"/>
            </w:tcBorders>
          </w:tcPr>
          <w:p>
            <w:pPr>
              <w:ind w:left="520"/>
              <w:spacing w:after="0"/>
              <w:rPr>
                <w:sz w:val="20"/>
                <w:szCs w:val="20"/>
                <w:color w:val="auto"/>
              </w:rPr>
            </w:pPr>
            <w:r>
              <w:rPr>
                <w:rFonts w:ascii="Arial" w:cs="Arial" w:eastAsia="Arial" w:hAnsi="Arial"/>
                <w:sz w:val="18"/>
                <w:szCs w:val="18"/>
                <w:color w:val="auto"/>
              </w:rPr>
              <w:t>Consolidated variable interest entities</w:t>
            </w:r>
          </w:p>
        </w:tc>
        <w:tc>
          <w:tcPr>
            <w:tcW w:w="4140" w:type="dxa"/>
            <w:vAlign w:val="bottom"/>
            <w:tcBorders>
              <w:bottom w:val="single" w:sz="8" w:color="EAF9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EAF9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50"/>
        </w:trPr>
        <w:tc>
          <w:tcPr>
            <w:tcW w:w="4440" w:type="dxa"/>
            <w:vAlign w:val="bottom"/>
            <w:shd w:val="clear" w:color="auto" w:fill="EAF9E8"/>
          </w:tcPr>
          <w:p>
            <w:pPr>
              <w:ind w:left="840"/>
              <w:spacing w:after="0"/>
              <w:rPr>
                <w:sz w:val="20"/>
                <w:szCs w:val="20"/>
                <w:color w:val="auto"/>
              </w:rPr>
            </w:pPr>
            <w:r>
              <w:rPr>
                <w:rFonts w:ascii="Arial" w:cs="Arial" w:eastAsia="Arial" w:hAnsi="Arial"/>
                <w:sz w:val="18"/>
                <w:szCs w:val="18"/>
                <w:color w:val="auto"/>
              </w:rPr>
              <w:t>Total noncontrolling interest</w:t>
            </w:r>
          </w:p>
        </w:tc>
        <w:tc>
          <w:tcPr>
            <w:tcW w:w="4140" w:type="dxa"/>
            <w:vAlign w:val="bottom"/>
            <w:shd w:val="clear" w:color="auto" w:fill="EAF9E8"/>
          </w:tcPr>
          <w:p>
            <w:pPr>
              <w:spacing w:after="0"/>
              <w:rPr>
                <w:sz w:val="21"/>
                <w:szCs w:val="21"/>
                <w:color w:val="auto"/>
              </w:rPr>
            </w:pPr>
          </w:p>
        </w:tc>
        <w:tc>
          <w:tcPr>
            <w:tcW w:w="200" w:type="dxa"/>
            <w:vAlign w:val="bottom"/>
            <w:tcBorders>
              <w:bottom w:val="single" w:sz="8" w:color="auto"/>
            </w:tcBorders>
            <w:shd w:val="clear" w:color="auto" w:fill="EAF9E8"/>
          </w:tcPr>
          <w:p>
            <w:pPr>
              <w:spacing w:after="0"/>
              <w:rPr>
                <w:sz w:val="21"/>
                <w:szCs w:val="21"/>
                <w:color w:val="auto"/>
              </w:rPr>
            </w:pPr>
          </w:p>
        </w:tc>
        <w:tc>
          <w:tcPr>
            <w:tcW w:w="116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11,926</w:t>
            </w:r>
          </w:p>
        </w:tc>
        <w:tc>
          <w:tcPr>
            <w:tcW w:w="120" w:type="dxa"/>
            <w:vAlign w:val="bottom"/>
            <w:shd w:val="clear" w:color="auto" w:fill="EAF9E8"/>
          </w:tcPr>
          <w:p>
            <w:pPr>
              <w:spacing w:after="0"/>
              <w:rPr>
                <w:sz w:val="21"/>
                <w:szCs w:val="21"/>
                <w:color w:val="auto"/>
              </w:rPr>
            </w:pPr>
          </w:p>
        </w:tc>
        <w:tc>
          <w:tcPr>
            <w:tcW w:w="320" w:type="dxa"/>
            <w:vAlign w:val="bottom"/>
            <w:tcBorders>
              <w:bottom w:val="single" w:sz="8" w:color="auto"/>
            </w:tcBorders>
            <w:shd w:val="clear" w:color="auto" w:fill="EAF9E8"/>
          </w:tcPr>
          <w:p>
            <w:pPr>
              <w:spacing w:after="0"/>
              <w:rPr>
                <w:sz w:val="21"/>
                <w:szCs w:val="21"/>
                <w:color w:val="auto"/>
              </w:rPr>
            </w:pP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16,567</w:t>
            </w:r>
          </w:p>
        </w:tc>
        <w:tc>
          <w:tcPr>
            <w:tcW w:w="0" w:type="dxa"/>
            <w:vAlign w:val="bottom"/>
          </w:tcPr>
          <w:p>
            <w:pPr>
              <w:spacing w:after="0"/>
              <w:rPr>
                <w:sz w:val="1"/>
                <w:szCs w:val="1"/>
                <w:color w:val="auto"/>
              </w:rPr>
            </w:pPr>
          </w:p>
        </w:tc>
      </w:tr>
      <w:tr>
        <w:trPr>
          <w:trHeight w:val="264"/>
        </w:trPr>
        <w:tc>
          <w:tcPr>
            <w:tcW w:w="4440" w:type="dxa"/>
            <w:vAlign w:val="bottom"/>
            <w:tcBorders>
              <w:bottom w:val="single" w:sz="8" w:color="EAF9E8"/>
            </w:tcBorders>
          </w:tcPr>
          <w:p>
            <w:pPr>
              <w:ind w:left="840"/>
              <w:spacing w:after="0"/>
              <w:rPr>
                <w:sz w:val="20"/>
                <w:szCs w:val="20"/>
                <w:color w:val="auto"/>
              </w:rPr>
            </w:pPr>
            <w:r>
              <w:rPr>
                <w:rFonts w:ascii="Arial" w:cs="Arial" w:eastAsia="Arial" w:hAnsi="Arial"/>
                <w:sz w:val="18"/>
                <w:szCs w:val="18"/>
                <w:b w:val="1"/>
                <w:bCs w:val="1"/>
                <w:color w:val="auto"/>
              </w:rPr>
              <w:t>TOTAL STOCKHOLDERS’ EQUITY</w:t>
            </w:r>
          </w:p>
        </w:tc>
        <w:tc>
          <w:tcPr>
            <w:tcW w:w="4140" w:type="dxa"/>
            <w:vAlign w:val="bottom"/>
            <w:tcBorders>
              <w:bottom w:val="single" w:sz="8" w:color="EAF9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571,604</w:t>
            </w:r>
          </w:p>
        </w:tc>
        <w:tc>
          <w:tcPr>
            <w:tcW w:w="120" w:type="dxa"/>
            <w:vAlign w:val="bottom"/>
            <w:tcBorders>
              <w:bottom w:val="single" w:sz="8" w:color="EAF9E8"/>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397,074</w:t>
            </w:r>
          </w:p>
        </w:tc>
        <w:tc>
          <w:tcPr>
            <w:tcW w:w="0" w:type="dxa"/>
            <w:vAlign w:val="bottom"/>
          </w:tcPr>
          <w:p>
            <w:pPr>
              <w:spacing w:after="0"/>
              <w:rPr>
                <w:sz w:val="1"/>
                <w:szCs w:val="1"/>
                <w:color w:val="auto"/>
              </w:rPr>
            </w:pPr>
          </w:p>
        </w:tc>
      </w:tr>
      <w:tr>
        <w:trPr>
          <w:trHeight w:val="257"/>
        </w:trPr>
        <w:tc>
          <w:tcPr>
            <w:tcW w:w="8580" w:type="dxa"/>
            <w:vAlign w:val="bottom"/>
            <w:tcBorders>
              <w:bottom w:val="single" w:sz="8" w:color="EAF9E8"/>
            </w:tcBorders>
            <w:gridSpan w:val="2"/>
            <w:shd w:val="clear" w:color="auto" w:fill="EAF9E8"/>
          </w:tcPr>
          <w:p>
            <w:pPr>
              <w:ind w:left="84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2,143,980</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1,999,236</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Sun Communities, Inc. 2nd Quarter 2014</w:t>
            </w:r>
          </w:p>
        </w:tc>
        <w:tc>
          <w:tcPr>
            <w:tcW w:w="4140" w:type="dxa"/>
            <w:vAlign w:val="bottom"/>
            <w:vMerge w:val="restart"/>
          </w:tcPr>
          <w:p>
            <w:pPr>
              <w:ind w:left="20"/>
              <w:spacing w:after="0"/>
              <w:rPr>
                <w:sz w:val="20"/>
                <w:szCs w:val="20"/>
                <w:color w:val="auto"/>
              </w:rPr>
            </w:pPr>
            <w:r>
              <w:rPr>
                <w:rFonts w:ascii="Arial" w:cs="Arial" w:eastAsia="Arial" w:hAnsi="Arial"/>
                <w:sz w:val="18"/>
                <w:szCs w:val="18"/>
                <w:color w:val="auto"/>
              </w:rPr>
              <w:t>Page 9</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440" w:type="dxa"/>
            <w:vAlign w:val="bottom"/>
            <w:vMerge w:val="continue"/>
          </w:tcPr>
          <w:p>
            <w:pPr>
              <w:spacing w:after="0"/>
              <w:rPr>
                <w:sz w:val="24"/>
                <w:szCs w:val="24"/>
                <w:color w:val="auto"/>
              </w:rPr>
            </w:pPr>
          </w:p>
        </w:tc>
        <w:tc>
          <w:tcPr>
            <w:tcW w:w="4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9"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63"/>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2013</w:t>
            </w: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7"/>
        </w:trPr>
        <w:tc>
          <w:tcPr>
            <w:tcW w:w="5620" w:type="dxa"/>
            <w:vAlign w:val="bottom"/>
            <w:shd w:val="clear" w:color="auto" w:fill="EAF9E8"/>
          </w:tcPr>
          <w:p>
            <w:pPr>
              <w:ind w:left="360"/>
              <w:spacing w:after="0"/>
              <w:rPr>
                <w:sz w:val="20"/>
                <w:szCs w:val="20"/>
                <w:color w:val="auto"/>
              </w:rPr>
            </w:pPr>
            <w:r>
              <w:rPr>
                <w:rFonts w:ascii="Arial" w:cs="Arial" w:eastAsia="Arial" w:hAnsi="Arial"/>
                <w:sz w:val="18"/>
                <w:szCs w:val="18"/>
                <w:color w:val="auto"/>
              </w:rPr>
              <w:t>Income from real property</w:t>
            </w:r>
          </w:p>
        </w:tc>
        <w:tc>
          <w:tcPr>
            <w:tcW w:w="3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86,105</w:t>
            </w: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75,746</w:t>
            </w: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173,602</w:t>
            </w: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154,811</w:t>
            </w:r>
          </w:p>
        </w:tc>
      </w:tr>
      <w:tr>
        <w:trPr>
          <w:trHeight w:val="263"/>
        </w:trPr>
        <w:tc>
          <w:tcPr>
            <w:tcW w:w="5620" w:type="dxa"/>
            <w:vAlign w:val="bottom"/>
          </w:tcPr>
          <w:p>
            <w:pPr>
              <w:ind w:left="360"/>
              <w:spacing w:after="0"/>
              <w:rPr>
                <w:sz w:val="20"/>
                <w:szCs w:val="20"/>
                <w:color w:val="auto"/>
              </w:rPr>
            </w:pPr>
            <w:r>
              <w:rPr>
                <w:rFonts w:ascii="Arial" w:cs="Arial" w:eastAsia="Arial" w:hAnsi="Arial"/>
                <w:sz w:val="18"/>
                <w:szCs w:val="18"/>
                <w:color w:val="auto"/>
              </w:rPr>
              <w:t>Revenue from home sales</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14,813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13,199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24,936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26,055</w:t>
            </w:r>
          </w:p>
        </w:tc>
      </w:tr>
      <w:tr>
        <w:trPr>
          <w:trHeight w:val="277"/>
        </w:trPr>
        <w:tc>
          <w:tcPr>
            <w:tcW w:w="5620" w:type="dxa"/>
            <w:vAlign w:val="bottom"/>
            <w:shd w:val="clear" w:color="auto" w:fill="EAF9E8"/>
          </w:tcPr>
          <w:p>
            <w:pPr>
              <w:ind w:left="360"/>
              <w:spacing w:after="0"/>
              <w:rPr>
                <w:sz w:val="20"/>
                <w:szCs w:val="20"/>
                <w:color w:val="auto"/>
              </w:rPr>
            </w:pPr>
            <w:r>
              <w:rPr>
                <w:rFonts w:ascii="Arial" w:cs="Arial" w:eastAsia="Arial" w:hAnsi="Arial"/>
                <w:sz w:val="18"/>
                <w:szCs w:val="18"/>
                <w:color w:val="auto"/>
              </w:rPr>
              <w:t>Rental home revenue</w:t>
            </w: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9,733</w:t>
            </w: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7,977</w:t>
            </w: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19,135</w:t>
            </w: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84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15,338</w:t>
            </w:r>
          </w:p>
        </w:tc>
      </w:tr>
      <w:tr>
        <w:trPr>
          <w:trHeight w:val="263"/>
        </w:trPr>
        <w:tc>
          <w:tcPr>
            <w:tcW w:w="5620" w:type="dxa"/>
            <w:vAlign w:val="bottom"/>
          </w:tcPr>
          <w:p>
            <w:pPr>
              <w:ind w:left="360"/>
              <w:spacing w:after="0"/>
              <w:rPr>
                <w:sz w:val="20"/>
                <w:szCs w:val="20"/>
                <w:color w:val="auto"/>
              </w:rPr>
            </w:pPr>
            <w:r>
              <w:rPr>
                <w:rFonts w:ascii="Arial" w:cs="Arial" w:eastAsia="Arial" w:hAnsi="Arial"/>
                <w:sz w:val="18"/>
                <w:szCs w:val="18"/>
                <w:color w:val="auto"/>
              </w:rPr>
              <w:t>Ancillary revenues, net</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444</w:t>
            </w:r>
          </w:p>
        </w:tc>
      </w:tr>
      <w:tr>
        <w:trPr>
          <w:trHeight w:val="277"/>
        </w:trPr>
        <w:tc>
          <w:tcPr>
            <w:tcW w:w="5620" w:type="dxa"/>
            <w:vAlign w:val="bottom"/>
            <w:shd w:val="clear" w:color="auto" w:fill="EAF9E8"/>
          </w:tcPr>
          <w:p>
            <w:pPr>
              <w:ind w:left="360"/>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3,526</w:t>
            </w: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3,182</w:t>
            </w: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6,880</w:t>
            </w: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84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6,145</w:t>
            </w:r>
          </w:p>
        </w:tc>
      </w:tr>
      <w:tr>
        <w:trPr>
          <w:trHeight w:val="264"/>
        </w:trPr>
        <w:tc>
          <w:tcPr>
            <w:tcW w:w="5620" w:type="dxa"/>
            <w:vAlign w:val="bottom"/>
            <w:tcBorders>
              <w:bottom w:val="single" w:sz="8" w:color="EAF9E8"/>
            </w:tcBorders>
          </w:tcPr>
          <w:p>
            <w:pPr>
              <w:ind w:left="360"/>
              <w:spacing w:after="0"/>
              <w:rPr>
                <w:sz w:val="20"/>
                <w:szCs w:val="20"/>
                <w:color w:val="auto"/>
              </w:rPr>
            </w:pPr>
            <w:r>
              <w:rPr>
                <w:rFonts w:ascii="Arial" w:cs="Arial" w:eastAsia="Arial" w:hAnsi="Arial"/>
                <w:sz w:val="18"/>
                <w:szCs w:val="18"/>
                <w:color w:val="auto"/>
              </w:rPr>
              <w:t>Brokerage commissions and other income, net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EAF9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EAF9E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EAF9E8"/>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270</w:t>
            </w:r>
          </w:p>
        </w:tc>
      </w:tr>
      <w:tr>
        <w:trPr>
          <w:trHeight w:val="257"/>
        </w:trPr>
        <w:tc>
          <w:tcPr>
            <w:tcW w:w="5620" w:type="dxa"/>
            <w:vAlign w:val="bottom"/>
            <w:shd w:val="clear" w:color="auto" w:fill="EAF9E8"/>
          </w:tcPr>
          <w:p>
            <w:pPr>
              <w:ind w:left="5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EAF9E8"/>
          </w:tcPr>
          <w:p>
            <w:pPr>
              <w:spacing w:after="0"/>
              <w:rPr>
                <w:sz w:val="22"/>
                <w:szCs w:val="22"/>
                <w:color w:val="auto"/>
              </w:rPr>
            </w:pPr>
          </w:p>
        </w:tc>
        <w:tc>
          <w:tcPr>
            <w:tcW w:w="106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115,387</w:t>
            </w:r>
          </w:p>
        </w:tc>
        <w:tc>
          <w:tcPr>
            <w:tcW w:w="120" w:type="dxa"/>
            <w:vAlign w:val="bottom"/>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000" w:type="dxa"/>
            <w:vAlign w:val="bottom"/>
            <w:tcBorders>
              <w:bottom w:val="single" w:sz="8" w:color="auto"/>
            </w:tcBorders>
            <w:shd w:val="clear" w:color="auto" w:fill="EAF9E8"/>
          </w:tcPr>
          <w:p>
            <w:pPr>
              <w:jc w:val="right"/>
              <w:ind w:right="31"/>
              <w:spacing w:after="0"/>
              <w:rPr>
                <w:sz w:val="20"/>
                <w:szCs w:val="20"/>
                <w:color w:val="auto"/>
              </w:rPr>
            </w:pPr>
            <w:r>
              <w:rPr>
                <w:rFonts w:ascii="Arial" w:cs="Arial" w:eastAsia="Arial" w:hAnsi="Arial"/>
                <w:sz w:val="18"/>
                <w:szCs w:val="18"/>
                <w:color w:val="auto"/>
              </w:rPr>
              <w:t>100,151</w:t>
            </w:r>
          </w:p>
        </w:tc>
        <w:tc>
          <w:tcPr>
            <w:tcW w:w="100" w:type="dxa"/>
            <w:vAlign w:val="bottom"/>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02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226,568</w:t>
            </w:r>
          </w:p>
        </w:tc>
        <w:tc>
          <w:tcPr>
            <w:tcW w:w="120" w:type="dxa"/>
            <w:vAlign w:val="bottom"/>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spacing w:after="0"/>
              <w:rPr>
                <w:sz w:val="22"/>
                <w:szCs w:val="22"/>
                <w:color w:val="auto"/>
              </w:rPr>
            </w:pPr>
          </w:p>
        </w:tc>
        <w:tc>
          <w:tcPr>
            <w:tcW w:w="84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203,063</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7"/>
        </w:trPr>
        <w:tc>
          <w:tcPr>
            <w:tcW w:w="5620" w:type="dxa"/>
            <w:vAlign w:val="bottom"/>
            <w:shd w:val="clear" w:color="auto" w:fill="EAF9E8"/>
          </w:tcPr>
          <w:p>
            <w:pPr>
              <w:ind w:left="360"/>
              <w:spacing w:after="0"/>
              <w:rPr>
                <w:sz w:val="20"/>
                <w:szCs w:val="20"/>
                <w:color w:val="auto"/>
              </w:rPr>
            </w:pPr>
            <w:r>
              <w:rPr>
                <w:rFonts w:ascii="Arial" w:cs="Arial" w:eastAsia="Arial" w:hAnsi="Arial"/>
                <w:sz w:val="18"/>
                <w:szCs w:val="18"/>
                <w:color w:val="auto"/>
              </w:rPr>
              <w:t>Property operating and maintenance</w:t>
            </w: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25,193</w:t>
            </w: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22,268</w:t>
            </w: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48,382</w:t>
            </w: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84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42,214</w:t>
            </w:r>
          </w:p>
        </w:tc>
      </w:tr>
      <w:tr>
        <w:trPr>
          <w:trHeight w:val="263"/>
        </w:trPr>
        <w:tc>
          <w:tcPr>
            <w:tcW w:w="5620" w:type="dxa"/>
            <w:vAlign w:val="bottom"/>
          </w:tcPr>
          <w:p>
            <w:pPr>
              <w:ind w:left="36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6,079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5,788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12,088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11,544</w:t>
            </w:r>
          </w:p>
        </w:tc>
      </w:tr>
      <w:tr>
        <w:trPr>
          <w:trHeight w:val="277"/>
        </w:trPr>
        <w:tc>
          <w:tcPr>
            <w:tcW w:w="5620" w:type="dxa"/>
            <w:vAlign w:val="bottom"/>
            <w:shd w:val="clear" w:color="auto" w:fill="EAF9E8"/>
          </w:tcPr>
          <w:p>
            <w:pPr>
              <w:ind w:left="360"/>
              <w:spacing w:after="0"/>
              <w:rPr>
                <w:sz w:val="20"/>
                <w:szCs w:val="20"/>
                <w:color w:val="auto"/>
              </w:rPr>
            </w:pPr>
            <w:r>
              <w:rPr>
                <w:rFonts w:ascii="Arial" w:cs="Arial" w:eastAsia="Arial" w:hAnsi="Arial"/>
                <w:sz w:val="18"/>
                <w:szCs w:val="18"/>
                <w:color w:val="auto"/>
              </w:rPr>
              <w:t>Cost of home sales</w:t>
            </w: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11,100</w:t>
            </w: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9,383</w:t>
            </w: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18,948</w:t>
            </w: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84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19,199</w:t>
            </w:r>
          </w:p>
        </w:tc>
      </w:tr>
      <w:tr>
        <w:trPr>
          <w:trHeight w:val="263"/>
        </w:trPr>
        <w:tc>
          <w:tcPr>
            <w:tcW w:w="5620" w:type="dxa"/>
            <w:vAlign w:val="bottom"/>
          </w:tcPr>
          <w:p>
            <w:pPr>
              <w:ind w:left="360"/>
              <w:spacing w:after="0"/>
              <w:rPr>
                <w:sz w:val="20"/>
                <w:szCs w:val="20"/>
                <w:color w:val="auto"/>
              </w:rPr>
            </w:pPr>
            <w:r>
              <w:rPr>
                <w:rFonts w:ascii="Arial" w:cs="Arial" w:eastAsia="Arial" w:hAnsi="Arial"/>
                <w:sz w:val="18"/>
                <w:szCs w:val="18"/>
                <w:color w:val="auto"/>
              </w:rPr>
              <w:t>Rental home operating and maintenance</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5,213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4,485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10,464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8,748</w:t>
            </w:r>
          </w:p>
        </w:tc>
      </w:tr>
      <w:tr>
        <w:trPr>
          <w:trHeight w:val="277"/>
        </w:trPr>
        <w:tc>
          <w:tcPr>
            <w:tcW w:w="5620" w:type="dxa"/>
            <w:vAlign w:val="bottom"/>
            <w:shd w:val="clear" w:color="auto" w:fill="EAF9E8"/>
          </w:tcPr>
          <w:p>
            <w:pPr>
              <w:ind w:left="360"/>
              <w:spacing w:after="0"/>
              <w:rPr>
                <w:sz w:val="20"/>
                <w:szCs w:val="20"/>
                <w:color w:val="auto"/>
              </w:rPr>
            </w:pPr>
            <w:r>
              <w:rPr>
                <w:rFonts w:ascii="Arial" w:cs="Arial" w:eastAsia="Arial" w:hAnsi="Arial"/>
                <w:sz w:val="18"/>
                <w:szCs w:val="18"/>
                <w:color w:val="auto"/>
              </w:rPr>
              <w:t>General and administrative - real property</w:t>
            </w: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8,393</w:t>
            </w: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6,369</w:t>
            </w: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16,206</w:t>
            </w: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84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13,159</w:t>
            </w:r>
          </w:p>
        </w:tc>
      </w:tr>
      <w:tr>
        <w:trPr>
          <w:trHeight w:val="263"/>
        </w:trPr>
        <w:tc>
          <w:tcPr>
            <w:tcW w:w="5620" w:type="dxa"/>
            <w:vAlign w:val="bottom"/>
          </w:tcPr>
          <w:p>
            <w:pPr>
              <w:ind w:left="360"/>
              <w:spacing w:after="0"/>
              <w:rPr>
                <w:sz w:val="20"/>
                <w:szCs w:val="20"/>
                <w:color w:val="auto"/>
              </w:rPr>
            </w:pPr>
            <w:r>
              <w:rPr>
                <w:rFonts w:ascii="Arial" w:cs="Arial" w:eastAsia="Arial" w:hAnsi="Arial"/>
                <w:sz w:val="18"/>
                <w:szCs w:val="18"/>
                <w:color w:val="auto"/>
              </w:rPr>
              <w:t>General and administrative - home sales and rentals</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5,619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5,246</w:t>
            </w:r>
          </w:p>
        </w:tc>
      </w:tr>
      <w:tr>
        <w:trPr>
          <w:trHeight w:val="277"/>
        </w:trPr>
        <w:tc>
          <w:tcPr>
            <w:tcW w:w="5620" w:type="dxa"/>
            <w:vAlign w:val="bottom"/>
            <w:shd w:val="clear" w:color="auto" w:fill="EAF9E8"/>
          </w:tcPr>
          <w:p>
            <w:pPr>
              <w:ind w:left="360"/>
              <w:spacing w:after="0"/>
              <w:rPr>
                <w:sz w:val="20"/>
                <w:szCs w:val="20"/>
                <w:color w:val="auto"/>
              </w:rPr>
            </w:pPr>
            <w:r>
              <w:rPr>
                <w:rFonts w:ascii="Arial" w:cs="Arial" w:eastAsia="Arial" w:hAnsi="Arial"/>
                <w:sz w:val="18"/>
                <w:szCs w:val="18"/>
                <w:color w:val="auto"/>
              </w:rPr>
              <w:t>Transaction costs</w:t>
            </w: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84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2,150</w:t>
            </w:r>
          </w:p>
        </w:tc>
      </w:tr>
      <w:tr>
        <w:trPr>
          <w:trHeight w:val="263"/>
        </w:trPr>
        <w:tc>
          <w:tcPr>
            <w:tcW w:w="56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30,045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26,064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58,934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51,326</w:t>
            </w:r>
          </w:p>
        </w:tc>
      </w:tr>
      <w:tr>
        <w:trPr>
          <w:trHeight w:val="277"/>
        </w:trPr>
        <w:tc>
          <w:tcPr>
            <w:tcW w:w="5620" w:type="dxa"/>
            <w:vAlign w:val="bottom"/>
            <w:shd w:val="clear" w:color="auto" w:fill="EAF9E8"/>
          </w:tcPr>
          <w:p>
            <w:pPr>
              <w:ind w:left="360"/>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17,940</w:t>
            </w: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18,201</w:t>
            </w: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35,530</w:t>
            </w: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84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37,065</w:t>
            </w:r>
          </w:p>
        </w:tc>
      </w:tr>
      <w:tr>
        <w:trPr>
          <w:trHeight w:val="264"/>
        </w:trPr>
        <w:tc>
          <w:tcPr>
            <w:tcW w:w="5620" w:type="dxa"/>
            <w:vAlign w:val="bottom"/>
            <w:tcBorders>
              <w:bottom w:val="single" w:sz="8" w:color="EAF9E8"/>
            </w:tcBorders>
          </w:tcPr>
          <w:p>
            <w:pPr>
              <w:ind w:left="360"/>
              <w:spacing w:after="0"/>
              <w:rPr>
                <w:sz w:val="20"/>
                <w:szCs w:val="20"/>
                <w:color w:val="auto"/>
              </w:rPr>
            </w:pPr>
            <w:r>
              <w:rPr>
                <w:rFonts w:ascii="Arial" w:cs="Arial" w:eastAsia="Arial" w:hAnsi="Arial"/>
                <w:sz w:val="18"/>
                <w:szCs w:val="18"/>
                <w:color w:val="auto"/>
              </w:rPr>
              <w:t>Interest on mandatorily redeemable debt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EAF9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EAF9E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1,609</w:t>
            </w:r>
          </w:p>
        </w:tc>
        <w:tc>
          <w:tcPr>
            <w:tcW w:w="120" w:type="dxa"/>
            <w:vAlign w:val="bottom"/>
            <w:tcBorders>
              <w:bottom w:val="single" w:sz="8" w:color="EAF9E8"/>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1,621</w:t>
            </w:r>
          </w:p>
        </w:tc>
      </w:tr>
      <w:tr>
        <w:trPr>
          <w:trHeight w:val="257"/>
        </w:trPr>
        <w:tc>
          <w:tcPr>
            <w:tcW w:w="5620" w:type="dxa"/>
            <w:vAlign w:val="bottom"/>
            <w:shd w:val="clear" w:color="auto" w:fill="EAF9E8"/>
          </w:tcPr>
          <w:p>
            <w:pPr>
              <w:ind w:left="5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EAF9E8"/>
          </w:tcPr>
          <w:p>
            <w:pPr>
              <w:spacing w:after="0"/>
              <w:rPr>
                <w:sz w:val="22"/>
                <w:szCs w:val="22"/>
                <w:color w:val="auto"/>
              </w:rPr>
            </w:pPr>
          </w:p>
        </w:tc>
        <w:tc>
          <w:tcPr>
            <w:tcW w:w="106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108,993</w:t>
            </w:r>
          </w:p>
        </w:tc>
        <w:tc>
          <w:tcPr>
            <w:tcW w:w="120" w:type="dxa"/>
            <w:vAlign w:val="bottom"/>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000" w:type="dxa"/>
            <w:vAlign w:val="bottom"/>
            <w:tcBorders>
              <w:bottom w:val="single" w:sz="8" w:color="auto"/>
            </w:tcBorders>
            <w:shd w:val="clear" w:color="auto" w:fill="EAF9E8"/>
          </w:tcPr>
          <w:p>
            <w:pPr>
              <w:jc w:val="right"/>
              <w:ind w:right="31"/>
              <w:spacing w:after="0"/>
              <w:rPr>
                <w:sz w:val="20"/>
                <w:szCs w:val="20"/>
                <w:color w:val="auto"/>
              </w:rPr>
            </w:pPr>
            <w:r>
              <w:rPr>
                <w:rFonts w:ascii="Arial" w:cs="Arial" w:eastAsia="Arial" w:hAnsi="Arial"/>
                <w:sz w:val="18"/>
                <w:szCs w:val="18"/>
                <w:color w:val="auto"/>
              </w:rPr>
              <w:t>97,290</w:t>
            </w:r>
          </w:p>
        </w:tc>
        <w:tc>
          <w:tcPr>
            <w:tcW w:w="100" w:type="dxa"/>
            <w:vAlign w:val="bottom"/>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02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209,644</w:t>
            </w:r>
          </w:p>
        </w:tc>
        <w:tc>
          <w:tcPr>
            <w:tcW w:w="120" w:type="dxa"/>
            <w:vAlign w:val="bottom"/>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spacing w:after="0"/>
              <w:rPr>
                <w:sz w:val="22"/>
                <w:szCs w:val="22"/>
                <w:color w:val="auto"/>
              </w:rPr>
            </w:pPr>
          </w:p>
        </w:tc>
        <w:tc>
          <w:tcPr>
            <w:tcW w:w="84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192,272</w:t>
            </w: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7"/>
              </w:rPr>
              <w:t>Income before gain on dispositions, income taxes and distributions from</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affiliate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16,924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10,791</w:t>
            </w:r>
          </w:p>
        </w:tc>
      </w:tr>
      <w:tr>
        <w:trPr>
          <w:trHeight w:val="277"/>
        </w:trPr>
        <w:tc>
          <w:tcPr>
            <w:tcW w:w="5620" w:type="dxa"/>
            <w:vAlign w:val="bottom"/>
            <w:shd w:val="clear" w:color="auto" w:fill="EAF9E8"/>
          </w:tcPr>
          <w:p>
            <w:pPr>
              <w:ind w:left="360"/>
              <w:spacing w:after="0"/>
              <w:rPr>
                <w:sz w:val="20"/>
                <w:szCs w:val="20"/>
                <w:color w:val="auto"/>
              </w:rPr>
            </w:pPr>
            <w:r>
              <w:rPr>
                <w:rFonts w:ascii="Arial" w:cs="Arial" w:eastAsia="Arial" w:hAnsi="Arial"/>
                <w:sz w:val="18"/>
                <w:szCs w:val="18"/>
                <w:color w:val="auto"/>
              </w:rPr>
              <w:t>Gain on disposition of properties, net</w:t>
            </w: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84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620" w:type="dxa"/>
            <w:vAlign w:val="bottom"/>
          </w:tcPr>
          <w:p>
            <w:pPr>
              <w:ind w:left="360"/>
              <w:spacing w:after="0"/>
              <w:rPr>
                <w:sz w:val="20"/>
                <w:szCs w:val="20"/>
                <w:color w:val="auto"/>
              </w:rPr>
            </w:pPr>
            <w:r>
              <w:rPr>
                <w:rFonts w:ascii="Arial" w:cs="Arial" w:eastAsia="Arial" w:hAnsi="Arial"/>
                <w:sz w:val="18"/>
                <w:szCs w:val="18"/>
                <w:color w:val="auto"/>
              </w:rPr>
              <w:t>Provision for state income taxes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7"/>
        </w:trPr>
        <w:tc>
          <w:tcPr>
            <w:tcW w:w="5620" w:type="dxa"/>
            <w:vAlign w:val="bottom"/>
            <w:shd w:val="clear" w:color="auto" w:fill="EAF9E8"/>
          </w:tcPr>
          <w:p>
            <w:pPr>
              <w:ind w:left="360"/>
              <w:spacing w:after="0"/>
              <w:rPr>
                <w:sz w:val="20"/>
                <w:szCs w:val="20"/>
                <w:color w:val="auto"/>
              </w:rPr>
            </w:pPr>
            <w:r>
              <w:rPr>
                <w:rFonts w:ascii="Arial" w:cs="Arial" w:eastAsia="Arial" w:hAnsi="Arial"/>
                <w:sz w:val="18"/>
                <w:szCs w:val="18"/>
                <w:color w:val="auto"/>
              </w:rPr>
              <w:t>Distributions from affiliate</w:t>
            </w:r>
          </w:p>
        </w:tc>
        <w:tc>
          <w:tcPr>
            <w:tcW w:w="320" w:type="dxa"/>
            <w:vAlign w:val="bottom"/>
            <w:tcBorders>
              <w:bottom w:val="single" w:sz="8" w:color="auto"/>
            </w:tcBorders>
            <w:shd w:val="clear" w:color="auto" w:fill="EAF9E8"/>
          </w:tcPr>
          <w:p>
            <w:pPr>
              <w:spacing w:after="0"/>
              <w:rPr>
                <w:sz w:val="24"/>
                <w:szCs w:val="24"/>
                <w:color w:val="auto"/>
              </w:rPr>
            </w:pPr>
          </w:p>
        </w:tc>
        <w:tc>
          <w:tcPr>
            <w:tcW w:w="106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EAF9E8"/>
          </w:tcPr>
          <w:p>
            <w:pPr>
              <w:spacing w:after="0"/>
              <w:rPr>
                <w:sz w:val="24"/>
                <w:szCs w:val="24"/>
                <w:color w:val="auto"/>
              </w:rPr>
            </w:pPr>
          </w:p>
        </w:tc>
        <w:tc>
          <w:tcPr>
            <w:tcW w:w="360" w:type="dxa"/>
            <w:vAlign w:val="bottom"/>
            <w:tcBorders>
              <w:bottom w:val="single" w:sz="8" w:color="auto"/>
            </w:tcBorders>
            <w:shd w:val="clear" w:color="auto" w:fill="EAF9E8"/>
          </w:tcPr>
          <w:p>
            <w:pPr>
              <w:spacing w:after="0"/>
              <w:rPr>
                <w:sz w:val="24"/>
                <w:szCs w:val="24"/>
                <w:color w:val="auto"/>
              </w:rPr>
            </w:pPr>
          </w:p>
        </w:tc>
        <w:tc>
          <w:tcPr>
            <w:tcW w:w="1000" w:type="dxa"/>
            <w:vAlign w:val="bottom"/>
            <w:tcBorders>
              <w:bottom w:val="single" w:sz="8" w:color="auto"/>
            </w:tcBorders>
            <w:shd w:val="clear" w:color="auto" w:fill="EAF9E8"/>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EAF9E8"/>
          </w:tcPr>
          <w:p>
            <w:pPr>
              <w:spacing w:after="0"/>
              <w:rPr>
                <w:sz w:val="24"/>
                <w:szCs w:val="24"/>
                <w:color w:val="auto"/>
              </w:rPr>
            </w:pPr>
          </w:p>
        </w:tc>
        <w:tc>
          <w:tcPr>
            <w:tcW w:w="340" w:type="dxa"/>
            <w:vAlign w:val="bottom"/>
            <w:tcBorders>
              <w:bottom w:val="single" w:sz="8" w:color="auto"/>
            </w:tcBorders>
            <w:shd w:val="clear" w:color="auto" w:fill="EAF9E8"/>
          </w:tcPr>
          <w:p>
            <w:pPr>
              <w:spacing w:after="0"/>
              <w:rPr>
                <w:sz w:val="24"/>
                <w:szCs w:val="24"/>
                <w:color w:val="auto"/>
              </w:rPr>
            </w:pPr>
          </w:p>
        </w:tc>
        <w:tc>
          <w:tcPr>
            <w:tcW w:w="102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EAF9E8"/>
          </w:tcPr>
          <w:p>
            <w:pPr>
              <w:spacing w:after="0"/>
              <w:rPr>
                <w:sz w:val="24"/>
                <w:szCs w:val="24"/>
                <w:color w:val="auto"/>
              </w:rPr>
            </w:pPr>
          </w:p>
        </w:tc>
        <w:tc>
          <w:tcPr>
            <w:tcW w:w="520" w:type="dxa"/>
            <w:vAlign w:val="bottom"/>
            <w:tcBorders>
              <w:bottom w:val="single" w:sz="8" w:color="auto"/>
            </w:tcBorders>
            <w:shd w:val="clear" w:color="auto" w:fill="EAF9E8"/>
          </w:tcPr>
          <w:p>
            <w:pPr>
              <w:spacing w:after="0"/>
              <w:rPr>
                <w:sz w:val="24"/>
                <w:szCs w:val="24"/>
                <w:color w:val="auto"/>
              </w:rPr>
            </w:pPr>
          </w:p>
        </w:tc>
        <w:tc>
          <w:tcPr>
            <w:tcW w:w="84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850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18,471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11,545</w:t>
            </w:r>
          </w:p>
        </w:tc>
      </w:tr>
      <w:tr>
        <w:trPr>
          <w:trHeight w:val="277"/>
        </w:trPr>
        <w:tc>
          <w:tcPr>
            <w:tcW w:w="5620" w:type="dxa"/>
            <w:vAlign w:val="bottom"/>
            <w:shd w:val="clear" w:color="auto" w:fill="EAF9E8"/>
          </w:tcPr>
          <w:p>
            <w:pPr>
              <w:ind w:left="360"/>
              <w:spacing w:after="0"/>
              <w:rPr>
                <w:sz w:val="20"/>
                <w:szCs w:val="20"/>
                <w:color w:val="auto"/>
              </w:rPr>
            </w:pPr>
            <w:r>
              <w:rPr>
                <w:rFonts w:ascii="Arial" w:cs="Arial" w:eastAsia="Arial" w:hAnsi="Arial"/>
                <w:sz w:val="18"/>
                <w:szCs w:val="18"/>
                <w:color w:val="auto"/>
              </w:rPr>
              <w:t>Less: Preferred return to Series A-1 preferred OP units</w:t>
            </w: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84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1,219</w:t>
            </w:r>
          </w:p>
        </w:tc>
      </w:tr>
      <w:tr>
        <w:trPr>
          <w:trHeight w:val="263"/>
        </w:trPr>
        <w:tc>
          <w:tcPr>
            <w:tcW w:w="5620" w:type="dxa"/>
            <w:vAlign w:val="bottom"/>
          </w:tcPr>
          <w:p>
            <w:pPr>
              <w:ind w:left="380"/>
              <w:spacing w:after="0"/>
              <w:rPr>
                <w:sz w:val="20"/>
                <w:szCs w:val="20"/>
                <w:color w:val="auto"/>
              </w:rPr>
            </w:pPr>
            <w:r>
              <w:rPr>
                <w:rFonts w:ascii="Arial" w:cs="Arial" w:eastAsia="Arial" w:hAnsi="Arial"/>
                <w:sz w:val="18"/>
                <w:szCs w:val="18"/>
                <w:color w:val="auto"/>
              </w:rPr>
              <w:t>Less: Preferred return to Series A-3 preferred OP units</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76</w:t>
            </w:r>
          </w:p>
        </w:tc>
      </w:tr>
      <w:tr>
        <w:trPr>
          <w:trHeight w:val="277"/>
        </w:trPr>
        <w:tc>
          <w:tcPr>
            <w:tcW w:w="5620" w:type="dxa"/>
            <w:vAlign w:val="bottom"/>
            <w:shd w:val="clear" w:color="auto" w:fill="EAF9E8"/>
          </w:tcPr>
          <w:p>
            <w:pPr>
              <w:ind w:left="360"/>
              <w:spacing w:after="0"/>
              <w:rPr>
                <w:sz w:val="20"/>
                <w:szCs w:val="20"/>
                <w:color w:val="auto"/>
              </w:rPr>
            </w:pPr>
            <w:r>
              <w:rPr>
                <w:rFonts w:ascii="Arial" w:cs="Arial" w:eastAsia="Arial" w:hAnsi="Arial"/>
                <w:sz w:val="18"/>
                <w:szCs w:val="18"/>
                <w:color w:val="auto"/>
              </w:rPr>
              <w:t>Less: Amounts attributable to noncontrolling interests</w:t>
            </w:r>
          </w:p>
        </w:tc>
        <w:tc>
          <w:tcPr>
            <w:tcW w:w="320" w:type="dxa"/>
            <w:vAlign w:val="bottom"/>
            <w:tcBorders>
              <w:bottom w:val="single" w:sz="8" w:color="auto"/>
            </w:tcBorders>
            <w:shd w:val="clear" w:color="auto" w:fill="EAF9E8"/>
          </w:tcPr>
          <w:p>
            <w:pPr>
              <w:spacing w:after="0"/>
              <w:rPr>
                <w:sz w:val="24"/>
                <w:szCs w:val="24"/>
                <w:color w:val="auto"/>
              </w:rPr>
            </w:pPr>
          </w:p>
        </w:tc>
        <w:tc>
          <w:tcPr>
            <w:tcW w:w="106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EAF9E8"/>
          </w:tcPr>
          <w:p>
            <w:pPr>
              <w:spacing w:after="0"/>
              <w:rPr>
                <w:sz w:val="24"/>
                <w:szCs w:val="24"/>
                <w:color w:val="auto"/>
              </w:rPr>
            </w:pPr>
          </w:p>
        </w:tc>
        <w:tc>
          <w:tcPr>
            <w:tcW w:w="360" w:type="dxa"/>
            <w:vAlign w:val="bottom"/>
            <w:tcBorders>
              <w:bottom w:val="single" w:sz="8" w:color="auto"/>
            </w:tcBorders>
            <w:shd w:val="clear" w:color="auto" w:fill="EAF9E8"/>
          </w:tcPr>
          <w:p>
            <w:pPr>
              <w:spacing w:after="0"/>
              <w:rPr>
                <w:sz w:val="24"/>
                <w:szCs w:val="24"/>
                <w:color w:val="auto"/>
              </w:rPr>
            </w:pPr>
          </w:p>
        </w:tc>
        <w:tc>
          <w:tcPr>
            <w:tcW w:w="1000" w:type="dxa"/>
            <w:vAlign w:val="bottom"/>
            <w:tcBorders>
              <w:bottom w:val="single" w:sz="8" w:color="auto"/>
            </w:tcBorders>
            <w:shd w:val="clear" w:color="auto" w:fill="EAF9E8"/>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EAF9E8"/>
          </w:tcPr>
          <w:p>
            <w:pPr>
              <w:spacing w:after="0"/>
              <w:rPr>
                <w:sz w:val="24"/>
                <w:szCs w:val="24"/>
                <w:color w:val="auto"/>
              </w:rPr>
            </w:pPr>
          </w:p>
        </w:tc>
        <w:tc>
          <w:tcPr>
            <w:tcW w:w="340" w:type="dxa"/>
            <w:vAlign w:val="bottom"/>
            <w:tcBorders>
              <w:bottom w:val="single" w:sz="8" w:color="auto"/>
            </w:tcBorders>
            <w:shd w:val="clear" w:color="auto" w:fill="EAF9E8"/>
          </w:tcPr>
          <w:p>
            <w:pPr>
              <w:spacing w:after="0"/>
              <w:rPr>
                <w:sz w:val="24"/>
                <w:szCs w:val="24"/>
                <w:color w:val="auto"/>
              </w:rPr>
            </w:pPr>
          </w:p>
        </w:tc>
        <w:tc>
          <w:tcPr>
            <w:tcW w:w="102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EAF9E8"/>
          </w:tcPr>
          <w:p>
            <w:pPr>
              <w:spacing w:after="0"/>
              <w:rPr>
                <w:sz w:val="24"/>
                <w:szCs w:val="24"/>
                <w:color w:val="auto"/>
              </w:rPr>
            </w:pPr>
          </w:p>
        </w:tc>
        <w:tc>
          <w:tcPr>
            <w:tcW w:w="520" w:type="dxa"/>
            <w:vAlign w:val="bottom"/>
            <w:tcBorders>
              <w:bottom w:val="single" w:sz="8" w:color="auto"/>
            </w:tcBorders>
            <w:shd w:val="clear" w:color="auto" w:fill="EAF9E8"/>
          </w:tcPr>
          <w:p>
            <w:pPr>
              <w:spacing w:after="0"/>
              <w:rPr>
                <w:sz w:val="24"/>
                <w:szCs w:val="24"/>
                <w:color w:val="auto"/>
              </w:rPr>
            </w:pPr>
          </w:p>
        </w:tc>
        <w:tc>
          <w:tcPr>
            <w:tcW w:w="84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443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Sun Communities, Inc.</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15,802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9,807</w:t>
            </w:r>
          </w:p>
        </w:tc>
      </w:tr>
      <w:tr>
        <w:trPr>
          <w:trHeight w:val="270"/>
        </w:trPr>
        <w:tc>
          <w:tcPr>
            <w:tcW w:w="5620" w:type="dxa"/>
            <w:vAlign w:val="bottom"/>
            <w:shd w:val="clear" w:color="auto" w:fill="EAF9E8"/>
          </w:tcPr>
          <w:p>
            <w:pPr>
              <w:ind w:left="360"/>
              <w:spacing w:after="0"/>
              <w:rPr>
                <w:sz w:val="20"/>
                <w:szCs w:val="20"/>
                <w:color w:val="auto"/>
              </w:rPr>
            </w:pPr>
            <w:r>
              <w:rPr>
                <w:rFonts w:ascii="Arial" w:cs="Arial" w:eastAsia="Arial" w:hAnsi="Arial"/>
                <w:sz w:val="18"/>
                <w:szCs w:val="18"/>
                <w:color w:val="auto"/>
              </w:rPr>
              <w:t>Less: Series A preferred stock distributions</w:t>
            </w:r>
          </w:p>
        </w:tc>
        <w:tc>
          <w:tcPr>
            <w:tcW w:w="320" w:type="dxa"/>
            <w:vAlign w:val="bottom"/>
            <w:tcBorders>
              <w:bottom w:val="single" w:sz="8" w:color="auto"/>
            </w:tcBorders>
            <w:shd w:val="clear" w:color="auto" w:fill="EAF9E8"/>
          </w:tcPr>
          <w:p>
            <w:pPr>
              <w:spacing w:after="0"/>
              <w:rPr>
                <w:sz w:val="23"/>
                <w:szCs w:val="23"/>
                <w:color w:val="auto"/>
              </w:rPr>
            </w:pPr>
          </w:p>
        </w:tc>
        <w:tc>
          <w:tcPr>
            <w:tcW w:w="106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1,514</w:t>
            </w:r>
          </w:p>
        </w:tc>
        <w:tc>
          <w:tcPr>
            <w:tcW w:w="120" w:type="dxa"/>
            <w:vAlign w:val="bottom"/>
            <w:shd w:val="clear" w:color="auto" w:fill="EAF9E8"/>
          </w:tcPr>
          <w:p>
            <w:pPr>
              <w:spacing w:after="0"/>
              <w:rPr>
                <w:sz w:val="23"/>
                <w:szCs w:val="23"/>
                <w:color w:val="auto"/>
              </w:rPr>
            </w:pPr>
          </w:p>
        </w:tc>
        <w:tc>
          <w:tcPr>
            <w:tcW w:w="360" w:type="dxa"/>
            <w:vAlign w:val="bottom"/>
            <w:tcBorders>
              <w:bottom w:val="single" w:sz="8" w:color="auto"/>
            </w:tcBorders>
            <w:shd w:val="clear" w:color="auto" w:fill="EAF9E8"/>
          </w:tcPr>
          <w:p>
            <w:pPr>
              <w:spacing w:after="0"/>
              <w:rPr>
                <w:sz w:val="23"/>
                <w:szCs w:val="23"/>
                <w:color w:val="auto"/>
              </w:rPr>
            </w:pPr>
          </w:p>
        </w:tc>
        <w:tc>
          <w:tcPr>
            <w:tcW w:w="1000" w:type="dxa"/>
            <w:vAlign w:val="bottom"/>
            <w:tcBorders>
              <w:bottom w:val="single" w:sz="8" w:color="auto"/>
            </w:tcBorders>
            <w:shd w:val="clear" w:color="auto" w:fill="EAF9E8"/>
          </w:tcPr>
          <w:p>
            <w:pPr>
              <w:jc w:val="right"/>
              <w:ind w:right="31"/>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EAF9E8"/>
          </w:tcPr>
          <w:p>
            <w:pPr>
              <w:spacing w:after="0"/>
              <w:rPr>
                <w:sz w:val="23"/>
                <w:szCs w:val="23"/>
                <w:color w:val="auto"/>
              </w:rPr>
            </w:pPr>
          </w:p>
        </w:tc>
        <w:tc>
          <w:tcPr>
            <w:tcW w:w="340" w:type="dxa"/>
            <w:vAlign w:val="bottom"/>
            <w:tcBorders>
              <w:bottom w:val="single" w:sz="8" w:color="auto"/>
            </w:tcBorders>
            <w:shd w:val="clear" w:color="auto" w:fill="EAF9E8"/>
          </w:tcPr>
          <w:p>
            <w:pPr>
              <w:spacing w:after="0"/>
              <w:rPr>
                <w:sz w:val="23"/>
                <w:szCs w:val="23"/>
                <w:color w:val="auto"/>
              </w:rPr>
            </w:pPr>
          </w:p>
        </w:tc>
        <w:tc>
          <w:tcPr>
            <w:tcW w:w="102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3,028</w:t>
            </w:r>
          </w:p>
        </w:tc>
        <w:tc>
          <w:tcPr>
            <w:tcW w:w="120" w:type="dxa"/>
            <w:vAlign w:val="bottom"/>
            <w:shd w:val="clear" w:color="auto" w:fill="EAF9E8"/>
          </w:tcPr>
          <w:p>
            <w:pPr>
              <w:spacing w:after="0"/>
              <w:rPr>
                <w:sz w:val="23"/>
                <w:szCs w:val="23"/>
                <w:color w:val="auto"/>
              </w:rPr>
            </w:pPr>
          </w:p>
        </w:tc>
        <w:tc>
          <w:tcPr>
            <w:tcW w:w="520" w:type="dxa"/>
            <w:vAlign w:val="bottom"/>
            <w:tcBorders>
              <w:bottom w:val="single" w:sz="8" w:color="auto"/>
            </w:tcBorders>
            <w:shd w:val="clear" w:color="auto" w:fill="EAF9E8"/>
          </w:tcPr>
          <w:p>
            <w:pPr>
              <w:spacing w:after="0"/>
              <w:rPr>
                <w:sz w:val="23"/>
                <w:szCs w:val="23"/>
                <w:color w:val="auto"/>
              </w:rPr>
            </w:pPr>
          </w:p>
        </w:tc>
        <w:tc>
          <w:tcPr>
            <w:tcW w:w="84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3,028</w:t>
            </w:r>
          </w:p>
        </w:tc>
      </w:tr>
      <w:tr>
        <w:trPr>
          <w:trHeight w:val="304"/>
        </w:trPr>
        <w:tc>
          <w:tcPr>
            <w:tcW w:w="562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w w:val="97"/>
              </w:rPr>
              <w:t>Net income attributable to Sun Communities, Inc. common stockholders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4,928</w:t>
            </w:r>
          </w:p>
        </w:tc>
        <w:tc>
          <w:tcPr>
            <w:tcW w:w="12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EAF9E8"/>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12,774</w:t>
            </w:r>
          </w:p>
        </w:tc>
        <w:tc>
          <w:tcPr>
            <w:tcW w:w="120" w:type="dxa"/>
            <w:vAlign w:val="bottom"/>
            <w:tcBorders>
              <w:bottom w:val="single" w:sz="8" w:color="EAF9E8"/>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6,779</w:t>
            </w:r>
          </w:p>
        </w:tc>
      </w:tr>
      <w:tr>
        <w:trPr>
          <w:trHeight w:val="257"/>
        </w:trPr>
        <w:tc>
          <w:tcPr>
            <w:tcW w:w="5620" w:type="dxa"/>
            <w:vAlign w:val="bottom"/>
            <w:shd w:val="clear" w:color="auto" w:fill="EAF9E8"/>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0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0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spacing w:after="0"/>
              <w:rPr>
                <w:sz w:val="22"/>
                <w:szCs w:val="22"/>
                <w:color w:val="auto"/>
              </w:rPr>
            </w:pPr>
          </w:p>
        </w:tc>
        <w:tc>
          <w:tcPr>
            <w:tcW w:w="840" w:type="dxa"/>
            <w:vAlign w:val="bottom"/>
            <w:shd w:val="clear" w:color="auto" w:fill="EAF9E8"/>
          </w:tcPr>
          <w:p>
            <w:pPr>
              <w:spacing w:after="0"/>
              <w:rPr>
                <w:sz w:val="22"/>
                <w:szCs w:val="22"/>
                <w:color w:val="auto"/>
              </w:rPr>
            </w:pPr>
          </w:p>
        </w:tc>
      </w:tr>
      <w:tr>
        <w:trPr>
          <w:trHeight w:val="263"/>
        </w:trPr>
        <w:tc>
          <w:tcPr>
            <w:tcW w:w="562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40,979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35,887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39,060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33,331</w:t>
            </w:r>
          </w:p>
        </w:tc>
      </w:tr>
      <w:tr>
        <w:trPr>
          <w:trHeight w:val="277"/>
        </w:trPr>
        <w:tc>
          <w:tcPr>
            <w:tcW w:w="5620" w:type="dxa"/>
            <w:vAlign w:val="bottom"/>
            <w:shd w:val="clear" w:color="auto" w:fill="EAF9E8"/>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40,993</w:t>
            </w: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35,907</w:t>
            </w: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39,075</w:t>
            </w: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84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33,348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20" w:type="dxa"/>
            <w:vAlign w:val="bottom"/>
            <w:shd w:val="clear" w:color="auto" w:fill="EAF9E8"/>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EAF9E8"/>
          </w:tcPr>
          <w:p>
            <w:pPr>
              <w:spacing w:after="0"/>
              <w:rPr>
                <w:sz w:val="23"/>
                <w:szCs w:val="23"/>
                <w:color w:val="auto"/>
              </w:rPr>
            </w:pP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ind w:right="31"/>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EAF9E8"/>
          </w:tcPr>
          <w:p>
            <w:pPr>
              <w:spacing w:after="0"/>
              <w:rPr>
                <w:sz w:val="23"/>
                <w:szCs w:val="23"/>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EAF9E8"/>
          </w:tcPr>
          <w:p>
            <w:pPr>
              <w:spacing w:after="0"/>
              <w:rPr>
                <w:sz w:val="23"/>
                <w:szCs w:val="23"/>
                <w:color w:val="auto"/>
              </w:rPr>
            </w:pPr>
          </w:p>
        </w:tc>
        <w:tc>
          <w:tcPr>
            <w:tcW w:w="52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0.20</w:t>
            </w:r>
          </w:p>
        </w:tc>
      </w:tr>
      <w:tr>
        <w:trPr>
          <w:trHeight w:val="263"/>
        </w:trPr>
        <w:tc>
          <w:tcPr>
            <w:tcW w:w="562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0.20</w:t>
            </w:r>
          </w:p>
        </w:tc>
      </w:tr>
      <w:tr>
        <w:trPr>
          <w:trHeight w:val="277"/>
        </w:trPr>
        <w:tc>
          <w:tcPr>
            <w:tcW w:w="56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840" w:type="dxa"/>
            <w:vAlign w:val="bottom"/>
            <w:shd w:val="clear" w:color="auto" w:fill="EAF9E8"/>
          </w:tcPr>
          <w:p>
            <w:pPr>
              <w:spacing w:after="0"/>
              <w:rPr>
                <w:sz w:val="24"/>
                <w:szCs w:val="24"/>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Distributions per common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1.26</w:t>
            </w:r>
          </w:p>
        </w:tc>
      </w:tr>
    </w:tbl>
    <w:p>
      <w:pPr>
        <w:spacing w:after="0" w:line="200" w:lineRule="exact"/>
        <w:rPr>
          <w:sz w:val="20"/>
          <w:szCs w:val="20"/>
          <w:color w:val="auto"/>
        </w:rPr>
      </w:pPr>
    </w:p>
    <w:p>
      <w:pPr>
        <w:sectPr>
          <w:pgSz w:w="11900" w:h="16838" w:orient="portrait"/>
          <w:cols w:equalWidth="0" w:num="1">
            <w:col w:w="11420"/>
          </w:cols>
          <w:pgMar w:left="240" w:top="369" w:right="239" w:bottom="1440" w:gutter="0" w:footer="0" w:header="0"/>
        </w:sectPr>
      </w:pPr>
    </w:p>
    <w:p>
      <w:pPr>
        <w:spacing w:after="0" w:line="258"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Sun Communities, Inc. 2nd Quarter 2014</w:t>
      </w:r>
      <w:r>
        <w:rPr>
          <w:sz w:val="20"/>
          <w:szCs w:val="20"/>
          <w:color w:val="auto"/>
        </w:rPr>
        <w:tab/>
      </w:r>
      <w:r>
        <w:rPr>
          <w:rFonts w:ascii="Arial" w:cs="Arial" w:eastAsia="Arial" w:hAnsi="Arial"/>
          <w:sz w:val="15"/>
          <w:szCs w:val="15"/>
          <w:color w:val="auto"/>
        </w:rPr>
        <w:t>Page 10</w:t>
      </w:r>
    </w:p>
    <w:p>
      <w:pPr>
        <w:sectPr>
          <w:pgSz w:w="11900" w:h="16838" w:orient="portrait"/>
          <w:cols w:equalWidth="0" w:num="1">
            <w:col w:w="11420"/>
          </w:cols>
          <w:pgMar w:left="240" w:top="369"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Reconciliation of Net Income to FFO</w:t>
      </w:r>
      <w:r>
        <w:rPr>
          <w:rFonts w:ascii="Arial" w:cs="Arial" w:eastAsia="Arial" w:hAnsi="Arial"/>
          <w:sz w:val="25"/>
          <w:szCs w:val="25"/>
          <w:b w:val="1"/>
          <w:bCs w:val="1"/>
          <w:color w:val="auto"/>
          <w:vertAlign w:val="superscript"/>
        </w:rPr>
        <w:t>(1)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4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70"/>
        </w:trPr>
        <w:tc>
          <w:tcPr>
            <w:tcW w:w="4440" w:type="dxa"/>
            <w:vAlign w:val="bottom"/>
            <w:tcBorders>
              <w:bottom w:val="single" w:sz="8" w:color="EAF9E8"/>
            </w:tcBorders>
          </w:tcPr>
          <w:p>
            <w:pPr>
              <w:spacing w:after="0"/>
              <w:rPr>
                <w:sz w:val="23"/>
                <w:szCs w:val="23"/>
                <w:color w:val="auto"/>
              </w:rPr>
            </w:pPr>
          </w:p>
        </w:tc>
        <w:tc>
          <w:tcPr>
            <w:tcW w:w="720" w:type="dxa"/>
            <w:vAlign w:val="bottom"/>
            <w:tcBorders>
              <w:bottom w:val="single" w:sz="8" w:color="EAF9E8"/>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EAF9E8"/>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EAF9E8"/>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EAF9E8"/>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2013</w:t>
            </w:r>
          </w:p>
        </w:tc>
      </w:tr>
      <w:tr>
        <w:trPr>
          <w:trHeight w:val="209"/>
        </w:trPr>
        <w:tc>
          <w:tcPr>
            <w:tcW w:w="444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Net income attributable to Sun Communities, Inc. common</w:t>
            </w:r>
          </w:p>
        </w:tc>
        <w:tc>
          <w:tcPr>
            <w:tcW w:w="7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r>
      <w:tr>
        <w:trPr>
          <w:trHeight w:val="257"/>
        </w:trPr>
        <w:tc>
          <w:tcPr>
            <w:tcW w:w="4440" w:type="dxa"/>
            <w:vAlign w:val="bottom"/>
            <w:shd w:val="clear" w:color="auto" w:fill="EAF9E8"/>
          </w:tcPr>
          <w:p>
            <w:pPr>
              <w:ind w:left="40"/>
              <w:spacing w:after="0"/>
              <w:rPr>
                <w:sz w:val="20"/>
                <w:szCs w:val="20"/>
                <w:color w:val="auto"/>
              </w:rPr>
            </w:pPr>
            <w:r>
              <w:rPr>
                <w:rFonts w:ascii="Arial" w:cs="Arial" w:eastAsia="Arial" w:hAnsi="Arial"/>
                <w:sz w:val="18"/>
                <w:szCs w:val="18"/>
                <w:color w:val="auto"/>
              </w:rPr>
              <w:t>stockholders</w:t>
            </w:r>
          </w:p>
        </w:tc>
        <w:tc>
          <w:tcPr>
            <w:tcW w:w="10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4,928</w:t>
            </w: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EAF9E8"/>
          </w:tcPr>
          <w:p>
            <w:pPr>
              <w:spacing w:after="0"/>
              <w:rPr>
                <w:sz w:val="22"/>
                <w:szCs w:val="22"/>
                <w:color w:val="auto"/>
              </w:rPr>
            </w:pPr>
          </w:p>
        </w:tc>
        <w:tc>
          <w:tcPr>
            <w:tcW w:w="36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12,774</w:t>
            </w:r>
          </w:p>
        </w:tc>
        <w:tc>
          <w:tcPr>
            <w:tcW w:w="100" w:type="dxa"/>
            <w:vAlign w:val="bottom"/>
            <w:shd w:val="clear" w:color="auto" w:fill="EAF9E8"/>
          </w:tcPr>
          <w:p>
            <w:pPr>
              <w:spacing w:after="0"/>
              <w:rPr>
                <w:sz w:val="22"/>
                <w:szCs w:val="22"/>
                <w:color w:val="auto"/>
              </w:rPr>
            </w:pPr>
          </w:p>
        </w:tc>
        <w:tc>
          <w:tcPr>
            <w:tcW w:w="56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6,779</w:t>
            </w:r>
          </w:p>
        </w:tc>
      </w:tr>
      <w:tr>
        <w:trPr>
          <w:trHeight w:val="263"/>
        </w:trPr>
        <w:tc>
          <w:tcPr>
            <w:tcW w:w="44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7"/>
        </w:trPr>
        <w:tc>
          <w:tcPr>
            <w:tcW w:w="4440" w:type="dxa"/>
            <w:vAlign w:val="bottom"/>
            <w:shd w:val="clear" w:color="auto" w:fill="EAF9E8"/>
          </w:tcPr>
          <w:p>
            <w:pPr>
              <w:ind w:left="520"/>
              <w:spacing w:after="0"/>
              <w:rPr>
                <w:sz w:val="20"/>
                <w:szCs w:val="20"/>
                <w:color w:val="auto"/>
              </w:rPr>
            </w:pPr>
            <w:r>
              <w:rPr>
                <w:rFonts w:ascii="Arial" w:cs="Arial" w:eastAsia="Arial" w:hAnsi="Arial"/>
                <w:sz w:val="18"/>
                <w:szCs w:val="18"/>
                <w:color w:val="auto"/>
              </w:rPr>
              <w:t>Preferred return to Series A-1 preferred OP units</w:t>
            </w:r>
          </w:p>
        </w:tc>
        <w:tc>
          <w:tcPr>
            <w:tcW w:w="7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4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spacing w:after="0"/>
              <w:rPr>
                <w:sz w:val="24"/>
                <w:szCs w:val="24"/>
                <w:color w:val="auto"/>
              </w:rPr>
            </w:pPr>
          </w:p>
        </w:tc>
        <w:tc>
          <w:tcPr>
            <w:tcW w:w="88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EAF9E8"/>
          </w:tcPr>
          <w:p>
            <w:pPr>
              <w:spacing w:after="0"/>
              <w:rPr>
                <w:sz w:val="24"/>
                <w:szCs w:val="24"/>
                <w:color w:val="auto"/>
              </w:rPr>
            </w:pPr>
          </w:p>
        </w:tc>
        <w:tc>
          <w:tcPr>
            <w:tcW w:w="560" w:type="dxa"/>
            <w:vAlign w:val="bottom"/>
            <w:shd w:val="clear" w:color="auto" w:fill="EAF9E8"/>
          </w:tcPr>
          <w:p>
            <w:pPr>
              <w:spacing w:after="0"/>
              <w:rPr>
                <w:sz w:val="24"/>
                <w:szCs w:val="24"/>
                <w:color w:val="auto"/>
              </w:rPr>
            </w:pPr>
          </w:p>
        </w:tc>
        <w:tc>
          <w:tcPr>
            <w:tcW w:w="9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1,219</w:t>
            </w:r>
          </w:p>
        </w:tc>
      </w:tr>
      <w:tr>
        <w:trPr>
          <w:trHeight w:val="263"/>
        </w:trPr>
        <w:tc>
          <w:tcPr>
            <w:tcW w:w="4440" w:type="dxa"/>
            <w:vAlign w:val="bottom"/>
          </w:tcPr>
          <w:p>
            <w:pPr>
              <w:ind w:left="520"/>
              <w:spacing w:after="0"/>
              <w:rPr>
                <w:sz w:val="20"/>
                <w:szCs w:val="20"/>
                <w:color w:val="auto"/>
              </w:rPr>
            </w:pPr>
            <w:r>
              <w:rPr>
                <w:rFonts w:ascii="Arial" w:cs="Arial" w:eastAsia="Arial" w:hAnsi="Arial"/>
                <w:sz w:val="18"/>
                <w:szCs w:val="18"/>
                <w:color w:val="auto"/>
              </w:rPr>
              <w:t>Preferred return to Series A-3 preferred OP units</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76</w:t>
            </w:r>
          </w:p>
        </w:tc>
      </w:tr>
      <w:tr>
        <w:trPr>
          <w:trHeight w:val="277"/>
        </w:trPr>
        <w:tc>
          <w:tcPr>
            <w:tcW w:w="4440" w:type="dxa"/>
            <w:vAlign w:val="bottom"/>
            <w:shd w:val="clear" w:color="auto" w:fill="EAF9E8"/>
          </w:tcPr>
          <w:p>
            <w:pPr>
              <w:ind w:left="520"/>
              <w:spacing w:after="0"/>
              <w:rPr>
                <w:sz w:val="20"/>
                <w:szCs w:val="20"/>
                <w:color w:val="auto"/>
              </w:rPr>
            </w:pPr>
            <w:r>
              <w:rPr>
                <w:rFonts w:ascii="Arial" w:cs="Arial" w:eastAsia="Arial" w:hAnsi="Arial"/>
                <w:sz w:val="18"/>
                <w:szCs w:val="18"/>
                <w:color w:val="auto"/>
              </w:rPr>
              <w:t>Amounts attributable to noncontrolling interests</w:t>
            </w:r>
          </w:p>
        </w:tc>
        <w:tc>
          <w:tcPr>
            <w:tcW w:w="7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4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spacing w:after="0"/>
              <w:rPr>
                <w:sz w:val="24"/>
                <w:szCs w:val="24"/>
                <w:color w:val="auto"/>
              </w:rPr>
            </w:pPr>
          </w:p>
        </w:tc>
        <w:tc>
          <w:tcPr>
            <w:tcW w:w="88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EAF9E8"/>
          </w:tcPr>
          <w:p>
            <w:pPr>
              <w:spacing w:after="0"/>
              <w:rPr>
                <w:sz w:val="24"/>
                <w:szCs w:val="24"/>
                <w:color w:val="auto"/>
              </w:rPr>
            </w:pPr>
          </w:p>
        </w:tc>
        <w:tc>
          <w:tcPr>
            <w:tcW w:w="560" w:type="dxa"/>
            <w:vAlign w:val="bottom"/>
            <w:shd w:val="clear" w:color="auto" w:fill="EAF9E8"/>
          </w:tcPr>
          <w:p>
            <w:pPr>
              <w:spacing w:after="0"/>
              <w:rPr>
                <w:sz w:val="24"/>
                <w:szCs w:val="24"/>
                <w:color w:val="auto"/>
              </w:rPr>
            </w:pPr>
          </w:p>
        </w:tc>
        <w:tc>
          <w:tcPr>
            <w:tcW w:w="9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443</w:t>
            </w:r>
          </w:p>
        </w:tc>
      </w:tr>
      <w:tr>
        <w:trPr>
          <w:trHeight w:val="263"/>
        </w:trPr>
        <w:tc>
          <w:tcPr>
            <w:tcW w:w="444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30,374</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26,242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59,542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51,684</w:t>
            </w:r>
          </w:p>
        </w:tc>
      </w:tr>
      <w:tr>
        <w:trPr>
          <w:trHeight w:val="277"/>
        </w:trPr>
        <w:tc>
          <w:tcPr>
            <w:tcW w:w="4440" w:type="dxa"/>
            <w:vAlign w:val="bottom"/>
            <w:shd w:val="clear" w:color="auto" w:fill="EAF9E8"/>
          </w:tcPr>
          <w:p>
            <w:pPr>
              <w:ind w:left="520"/>
              <w:spacing w:after="0"/>
              <w:rPr>
                <w:sz w:val="20"/>
                <w:szCs w:val="20"/>
                <w:color w:val="auto"/>
              </w:rPr>
            </w:pPr>
            <w:r>
              <w:rPr>
                <w:rFonts w:ascii="Arial" w:cs="Arial" w:eastAsia="Arial" w:hAnsi="Arial"/>
                <w:sz w:val="18"/>
                <w:szCs w:val="18"/>
                <w:color w:val="auto"/>
              </w:rPr>
              <w:t>Gain on disposition of properties, net</w:t>
            </w:r>
          </w:p>
        </w:tc>
        <w:tc>
          <w:tcPr>
            <w:tcW w:w="7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EAF9E8"/>
          </w:tcPr>
          <w:p>
            <w:pPr>
              <w:spacing w:after="0"/>
              <w:rPr>
                <w:sz w:val="24"/>
                <w:szCs w:val="24"/>
                <w:color w:val="auto"/>
              </w:rPr>
            </w:pPr>
          </w:p>
        </w:tc>
        <w:tc>
          <w:tcPr>
            <w:tcW w:w="560" w:type="dxa"/>
            <w:vAlign w:val="bottom"/>
            <w:shd w:val="clear" w:color="auto" w:fill="EAF9E8"/>
          </w:tcPr>
          <w:p>
            <w:pPr>
              <w:spacing w:after="0"/>
              <w:rPr>
                <w:sz w:val="24"/>
                <w:szCs w:val="24"/>
                <w:color w:val="auto"/>
              </w:rPr>
            </w:pPr>
          </w:p>
        </w:tc>
        <w:tc>
          <w:tcPr>
            <w:tcW w:w="9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4440" w:type="dxa"/>
            <w:vAlign w:val="bottom"/>
            <w:tcBorders>
              <w:bottom w:val="single" w:sz="8" w:color="EAF9E8"/>
            </w:tcBorders>
          </w:tcPr>
          <w:p>
            <w:pPr>
              <w:ind w:left="520"/>
              <w:spacing w:after="0"/>
              <w:rPr>
                <w:sz w:val="20"/>
                <w:szCs w:val="20"/>
                <w:color w:val="auto"/>
              </w:rPr>
            </w:pPr>
            <w:r>
              <w:rPr>
                <w:rFonts w:ascii="Arial" w:cs="Arial" w:eastAsia="Arial" w:hAnsi="Arial"/>
                <w:sz w:val="18"/>
                <w:szCs w:val="18"/>
                <w:color w:val="auto"/>
              </w:rPr>
              <w:t>Gain on disposition of assets</w:t>
            </w:r>
          </w:p>
        </w:tc>
        <w:tc>
          <w:tcPr>
            <w:tcW w:w="720" w:type="dxa"/>
            <w:vAlign w:val="bottom"/>
            <w:tcBorders>
              <w:bottom w:val="single" w:sz="8" w:color="EAF9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EAF9E8"/>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Borders>
              <w:bottom w:val="single" w:sz="8" w:color="EAF9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Borders>
              <w:bottom w:val="single" w:sz="8" w:color="EAF9E8"/>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r>
      <w:tr>
        <w:trPr>
          <w:trHeight w:val="257"/>
        </w:trPr>
        <w:tc>
          <w:tcPr>
            <w:tcW w:w="4440" w:type="dxa"/>
            <w:vAlign w:val="bottom"/>
            <w:shd w:val="clear" w:color="auto" w:fill="EAF9E8"/>
          </w:tcPr>
          <w:p>
            <w:pPr>
              <w:ind w:left="40"/>
              <w:spacing w:after="0" w:line="257" w:lineRule="exact"/>
              <w:rPr>
                <w:sz w:val="20"/>
                <w:szCs w:val="20"/>
                <w:color w:val="auto"/>
              </w:rPr>
            </w:pPr>
            <w:r>
              <w:rPr>
                <w:rFonts w:ascii="Arial" w:cs="Arial" w:eastAsia="Arial" w:hAnsi="Arial"/>
                <w:sz w:val="18"/>
                <w:szCs w:val="18"/>
                <w:color w:val="auto"/>
              </w:rPr>
              <w:t xml:space="preserve">Funds from operations ("FFO") </w:t>
            </w:r>
            <w:r>
              <w:rPr>
                <w:rFonts w:ascii="Arial" w:cs="Arial" w:eastAsia="Arial" w:hAnsi="Arial"/>
                <w:sz w:val="25"/>
                <w:szCs w:val="25"/>
                <w:color w:val="auto"/>
                <w:vertAlign w:val="superscript"/>
              </w:rPr>
              <w:t>(1)</w:t>
            </w:r>
          </w:p>
        </w:tc>
        <w:tc>
          <w:tcPr>
            <w:tcW w:w="72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14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33,571</w:t>
            </w: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spacing w:after="0"/>
              <w:rPr>
                <w:sz w:val="22"/>
                <w:szCs w:val="22"/>
                <w:color w:val="auto"/>
              </w:rPr>
            </w:pPr>
          </w:p>
        </w:tc>
        <w:tc>
          <w:tcPr>
            <w:tcW w:w="88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25,900</w:t>
            </w:r>
          </w:p>
        </w:tc>
        <w:tc>
          <w:tcPr>
            <w:tcW w:w="10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1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71,072</w:t>
            </w:r>
          </w:p>
        </w:tc>
        <w:tc>
          <w:tcPr>
            <w:tcW w:w="100" w:type="dxa"/>
            <w:vAlign w:val="bottom"/>
            <w:shd w:val="clear" w:color="auto" w:fill="EAF9E8"/>
          </w:tcPr>
          <w:p>
            <w:pPr>
              <w:spacing w:after="0"/>
              <w:rPr>
                <w:sz w:val="22"/>
                <w:szCs w:val="22"/>
                <w:color w:val="auto"/>
              </w:rPr>
            </w:pPr>
          </w:p>
        </w:tc>
        <w:tc>
          <w:tcPr>
            <w:tcW w:w="560" w:type="dxa"/>
            <w:vAlign w:val="bottom"/>
            <w:shd w:val="clear" w:color="auto" w:fill="EAF9E8"/>
          </w:tcPr>
          <w:p>
            <w:pPr>
              <w:spacing w:after="0"/>
              <w:rPr>
                <w:sz w:val="22"/>
                <w:szCs w:val="22"/>
                <w:color w:val="auto"/>
              </w:rPr>
            </w:pPr>
          </w:p>
        </w:tc>
        <w:tc>
          <w:tcPr>
            <w:tcW w:w="9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56,586</w:t>
            </w:r>
          </w:p>
        </w:tc>
      </w:tr>
      <w:tr>
        <w:trPr>
          <w:trHeight w:val="263"/>
        </w:trPr>
        <w:tc>
          <w:tcPr>
            <w:tcW w:w="44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4440" w:type="dxa"/>
            <w:vAlign w:val="bottom"/>
            <w:shd w:val="clear" w:color="auto" w:fill="EAF9E8"/>
          </w:tcPr>
          <w:p>
            <w:pPr>
              <w:ind w:left="40"/>
              <w:spacing w:after="0"/>
              <w:rPr>
                <w:sz w:val="20"/>
                <w:szCs w:val="20"/>
                <w:color w:val="auto"/>
              </w:rPr>
            </w:pPr>
            <w:r>
              <w:rPr>
                <w:rFonts w:ascii="Arial" w:cs="Arial" w:eastAsia="Arial" w:hAnsi="Arial"/>
                <w:sz w:val="18"/>
                <w:szCs w:val="18"/>
                <w:color w:val="auto"/>
              </w:rPr>
              <w:t>Transaction costs</w:t>
            </w:r>
          </w:p>
        </w:tc>
        <w:tc>
          <w:tcPr>
            <w:tcW w:w="720" w:type="dxa"/>
            <w:vAlign w:val="bottom"/>
            <w:shd w:val="clear" w:color="auto" w:fill="EAF9E8"/>
          </w:tcPr>
          <w:p>
            <w:pPr>
              <w:spacing w:after="0"/>
              <w:rPr>
                <w:sz w:val="23"/>
                <w:szCs w:val="23"/>
                <w:color w:val="auto"/>
              </w:rPr>
            </w:pPr>
          </w:p>
        </w:tc>
        <w:tc>
          <w:tcPr>
            <w:tcW w:w="360" w:type="dxa"/>
            <w:vAlign w:val="bottom"/>
            <w:tcBorders>
              <w:bottom w:val="single" w:sz="8" w:color="auto"/>
            </w:tcBorders>
            <w:shd w:val="clear" w:color="auto" w:fill="EAF9E8"/>
          </w:tcPr>
          <w:p>
            <w:pPr>
              <w:spacing w:after="0"/>
              <w:rPr>
                <w:sz w:val="23"/>
                <w:szCs w:val="23"/>
                <w:color w:val="auto"/>
              </w:rPr>
            </w:pPr>
          </w:p>
        </w:tc>
        <w:tc>
          <w:tcPr>
            <w:tcW w:w="1140" w:type="dxa"/>
            <w:vAlign w:val="bottom"/>
            <w:tcBorders>
              <w:bottom w:val="single" w:sz="8" w:color="auto"/>
            </w:tcBorders>
            <w:shd w:val="clear" w:color="auto" w:fill="EAF9E8"/>
          </w:tcPr>
          <w:p>
            <w:pPr>
              <w:jc w:val="right"/>
              <w:ind w:right="32"/>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EAF9E8"/>
          </w:tcPr>
          <w:p>
            <w:pPr>
              <w:spacing w:after="0"/>
              <w:rPr>
                <w:sz w:val="23"/>
                <w:szCs w:val="23"/>
                <w:color w:val="auto"/>
              </w:rPr>
            </w:pPr>
          </w:p>
        </w:tc>
        <w:tc>
          <w:tcPr>
            <w:tcW w:w="600" w:type="dxa"/>
            <w:vAlign w:val="bottom"/>
            <w:tcBorders>
              <w:bottom w:val="single" w:sz="8" w:color="auto"/>
            </w:tcBorders>
            <w:shd w:val="clear" w:color="auto" w:fill="EAF9E8"/>
          </w:tcPr>
          <w:p>
            <w:pPr>
              <w:spacing w:after="0"/>
              <w:rPr>
                <w:sz w:val="23"/>
                <w:szCs w:val="23"/>
                <w:color w:val="auto"/>
              </w:rPr>
            </w:pPr>
          </w:p>
        </w:tc>
        <w:tc>
          <w:tcPr>
            <w:tcW w:w="88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EAF9E8"/>
          </w:tcPr>
          <w:p>
            <w:pPr>
              <w:spacing w:after="0"/>
              <w:rPr>
                <w:sz w:val="23"/>
                <w:szCs w:val="23"/>
                <w:color w:val="auto"/>
              </w:rPr>
            </w:pPr>
          </w:p>
        </w:tc>
        <w:tc>
          <w:tcPr>
            <w:tcW w:w="360" w:type="dxa"/>
            <w:vAlign w:val="bottom"/>
            <w:tcBorders>
              <w:bottom w:val="single" w:sz="8" w:color="auto"/>
            </w:tcBorders>
            <w:shd w:val="clear" w:color="auto" w:fill="EAF9E8"/>
          </w:tcPr>
          <w:p>
            <w:pPr>
              <w:spacing w:after="0"/>
              <w:rPr>
                <w:sz w:val="23"/>
                <w:szCs w:val="23"/>
                <w:color w:val="auto"/>
              </w:rPr>
            </w:pPr>
          </w:p>
        </w:tc>
        <w:tc>
          <w:tcPr>
            <w:tcW w:w="1120" w:type="dxa"/>
            <w:vAlign w:val="bottom"/>
            <w:tcBorders>
              <w:bottom w:val="single" w:sz="8" w:color="auto"/>
            </w:tcBorders>
            <w:shd w:val="clear" w:color="auto" w:fill="EAF9E8"/>
          </w:tcPr>
          <w:p>
            <w:pPr>
              <w:jc w:val="right"/>
              <w:ind w:right="12"/>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EAF9E8"/>
          </w:tcPr>
          <w:p>
            <w:pPr>
              <w:spacing w:after="0"/>
              <w:rPr>
                <w:sz w:val="23"/>
                <w:szCs w:val="23"/>
                <w:color w:val="auto"/>
              </w:rPr>
            </w:pPr>
          </w:p>
        </w:tc>
        <w:tc>
          <w:tcPr>
            <w:tcW w:w="560" w:type="dxa"/>
            <w:vAlign w:val="bottom"/>
            <w:tcBorders>
              <w:bottom w:val="single" w:sz="8" w:color="auto"/>
            </w:tcBorders>
            <w:shd w:val="clear" w:color="auto" w:fill="EAF9E8"/>
          </w:tcPr>
          <w:p>
            <w:pPr>
              <w:spacing w:after="0"/>
              <w:rPr>
                <w:sz w:val="23"/>
                <w:szCs w:val="23"/>
                <w:color w:val="auto"/>
              </w:rPr>
            </w:pPr>
          </w:p>
        </w:tc>
        <w:tc>
          <w:tcPr>
            <w:tcW w:w="92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2,150</w:t>
            </w:r>
          </w:p>
        </w:tc>
      </w:tr>
      <w:tr>
        <w:trPr>
          <w:trHeight w:val="304"/>
        </w:trPr>
        <w:tc>
          <w:tcPr>
            <w:tcW w:w="4440" w:type="dxa"/>
            <w:vAlign w:val="bottom"/>
          </w:tcPr>
          <w:p>
            <w:pPr>
              <w:ind w:left="40"/>
              <w:spacing w:after="0"/>
              <w:rPr>
                <w:sz w:val="20"/>
                <w:szCs w:val="20"/>
                <w:color w:val="auto"/>
              </w:rPr>
            </w:pPr>
            <w:r>
              <w:rPr>
                <w:rFonts w:ascii="Arial" w:cs="Arial" w:eastAsia="Arial" w:hAnsi="Arial"/>
                <w:sz w:val="18"/>
                <w:szCs w:val="18"/>
                <w:color w:val="auto"/>
              </w:rPr>
              <w:t>Funds from operations excluding certain items</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34,675</w:t>
            </w:r>
          </w:p>
        </w:tc>
        <w:tc>
          <w:tcPr>
            <w:tcW w:w="120" w:type="dxa"/>
            <w:vAlign w:val="bottom"/>
          </w:tcPr>
          <w:p>
            <w:pPr>
              <w:spacing w:after="0"/>
              <w:rPr>
                <w:sz w:val="24"/>
                <w:szCs w:val="24"/>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27,008</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72,936</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58,736</w:t>
            </w:r>
          </w:p>
        </w:tc>
      </w:tr>
      <w:tr>
        <w:trPr>
          <w:trHeight w:val="284"/>
        </w:trPr>
        <w:tc>
          <w:tcPr>
            <w:tcW w:w="4440" w:type="dxa"/>
            <w:vAlign w:val="bottom"/>
            <w:tcBorders>
              <w:top w:val="single" w:sz="8" w:color="EAF9E8"/>
            </w:tcBorders>
            <w:shd w:val="clear" w:color="auto" w:fill="EAF9E8"/>
          </w:tcPr>
          <w:p>
            <w:pPr>
              <w:spacing w:after="0"/>
              <w:rPr>
                <w:sz w:val="24"/>
                <w:szCs w:val="24"/>
                <w:color w:val="auto"/>
              </w:rPr>
            </w:pPr>
          </w:p>
        </w:tc>
        <w:tc>
          <w:tcPr>
            <w:tcW w:w="720" w:type="dxa"/>
            <w:vAlign w:val="bottom"/>
            <w:tcBorders>
              <w:top w:val="single" w:sz="8" w:color="EAF9E8"/>
            </w:tcBorders>
            <w:shd w:val="clear" w:color="auto" w:fill="EAF9E8"/>
          </w:tcPr>
          <w:p>
            <w:pPr>
              <w:spacing w:after="0"/>
              <w:rPr>
                <w:sz w:val="24"/>
                <w:szCs w:val="24"/>
                <w:color w:val="auto"/>
              </w:rPr>
            </w:pPr>
          </w:p>
        </w:tc>
        <w:tc>
          <w:tcPr>
            <w:tcW w:w="360" w:type="dxa"/>
            <w:vAlign w:val="bottom"/>
            <w:tcBorders>
              <w:top w:val="single" w:sz="8" w:color="auto"/>
            </w:tcBorders>
            <w:shd w:val="clear" w:color="auto" w:fill="EAF9E8"/>
          </w:tcPr>
          <w:p>
            <w:pPr>
              <w:spacing w:after="0"/>
              <w:rPr>
                <w:sz w:val="24"/>
                <w:szCs w:val="24"/>
                <w:color w:val="auto"/>
              </w:rPr>
            </w:pPr>
          </w:p>
        </w:tc>
        <w:tc>
          <w:tcPr>
            <w:tcW w:w="114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600" w:type="dxa"/>
            <w:vAlign w:val="bottom"/>
            <w:tcBorders>
              <w:top w:val="single" w:sz="8" w:color="auto"/>
            </w:tcBorders>
            <w:shd w:val="clear" w:color="auto" w:fill="EAF9E8"/>
          </w:tcPr>
          <w:p>
            <w:pPr>
              <w:spacing w:after="0"/>
              <w:rPr>
                <w:sz w:val="24"/>
                <w:szCs w:val="24"/>
                <w:color w:val="auto"/>
              </w:rPr>
            </w:pPr>
          </w:p>
        </w:tc>
        <w:tc>
          <w:tcPr>
            <w:tcW w:w="88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360" w:type="dxa"/>
            <w:vAlign w:val="bottom"/>
            <w:tcBorders>
              <w:top w:val="single" w:sz="8" w:color="auto"/>
            </w:tcBorders>
            <w:shd w:val="clear" w:color="auto" w:fill="EAF9E8"/>
          </w:tcPr>
          <w:p>
            <w:pPr>
              <w:spacing w:after="0"/>
              <w:rPr>
                <w:sz w:val="24"/>
                <w:szCs w:val="24"/>
                <w:color w:val="auto"/>
              </w:rPr>
            </w:pPr>
          </w:p>
        </w:tc>
        <w:tc>
          <w:tcPr>
            <w:tcW w:w="11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560" w:type="dxa"/>
            <w:vAlign w:val="bottom"/>
            <w:tcBorders>
              <w:top w:val="single" w:sz="8" w:color="auto"/>
            </w:tcBorders>
            <w:shd w:val="clear" w:color="auto" w:fill="EAF9E8"/>
          </w:tcPr>
          <w:p>
            <w:pPr>
              <w:spacing w:after="0"/>
              <w:rPr>
                <w:sz w:val="24"/>
                <w:szCs w:val="24"/>
                <w:color w:val="auto"/>
              </w:rPr>
            </w:pPr>
          </w:p>
        </w:tc>
        <w:tc>
          <w:tcPr>
            <w:tcW w:w="920" w:type="dxa"/>
            <w:vAlign w:val="bottom"/>
            <w:tcBorders>
              <w:top w:val="single" w:sz="8" w:color="auto"/>
            </w:tcBorders>
            <w:shd w:val="clear" w:color="auto" w:fill="EAF9E8"/>
          </w:tcPr>
          <w:p>
            <w:pPr>
              <w:spacing w:after="0"/>
              <w:rPr>
                <w:sz w:val="24"/>
                <w:szCs w:val="24"/>
                <w:color w:val="auto"/>
              </w:rPr>
            </w:pPr>
          </w:p>
        </w:tc>
      </w:tr>
      <w:tr>
        <w:trPr>
          <w:trHeight w:val="263"/>
        </w:trPr>
        <w:tc>
          <w:tcPr>
            <w:tcW w:w="44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40,331</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35,479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38,413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32,954</w:t>
            </w:r>
          </w:p>
        </w:tc>
      </w:tr>
      <w:tr>
        <w:trPr>
          <w:trHeight w:val="277"/>
        </w:trPr>
        <w:tc>
          <w:tcPr>
            <w:tcW w:w="444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Add:</w:t>
            </w:r>
          </w:p>
        </w:tc>
        <w:tc>
          <w:tcPr>
            <w:tcW w:w="7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spacing w:after="0"/>
              <w:rPr>
                <w:sz w:val="24"/>
                <w:szCs w:val="24"/>
                <w:color w:val="auto"/>
              </w:rPr>
            </w:pPr>
          </w:p>
        </w:tc>
        <w:tc>
          <w:tcPr>
            <w:tcW w:w="8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6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r>
      <w:tr>
        <w:trPr>
          <w:trHeight w:val="263"/>
        </w:trPr>
        <w:tc>
          <w:tcPr>
            <w:tcW w:w="4440" w:type="dxa"/>
            <w:vAlign w:val="bottom"/>
          </w:tcPr>
          <w:p>
            <w:pPr>
              <w:ind w:left="40"/>
              <w:spacing w:after="0"/>
              <w:rPr>
                <w:sz w:val="20"/>
                <w:szCs w:val="20"/>
                <w:color w:val="auto"/>
              </w:rPr>
            </w:pPr>
            <w:r>
              <w:rPr>
                <w:rFonts w:ascii="Arial" w:cs="Arial" w:eastAsia="Arial" w:hAnsi="Arial"/>
                <w:sz w:val="18"/>
                <w:szCs w:val="18"/>
                <w:color w:val="auto"/>
              </w:rPr>
              <w:t>Common OP Units</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2,069</w:t>
            </w:r>
          </w:p>
        </w:tc>
      </w:tr>
      <w:tr>
        <w:trPr>
          <w:trHeight w:val="277"/>
        </w:trPr>
        <w:tc>
          <w:tcPr>
            <w:tcW w:w="4440" w:type="dxa"/>
            <w:vAlign w:val="bottom"/>
            <w:shd w:val="clear" w:color="auto" w:fill="EAF9E8"/>
          </w:tcPr>
          <w:p>
            <w:pPr>
              <w:ind w:left="40"/>
              <w:spacing w:after="0"/>
              <w:rPr>
                <w:sz w:val="20"/>
                <w:szCs w:val="20"/>
                <w:color w:val="auto"/>
              </w:rPr>
            </w:pPr>
            <w:r>
              <w:rPr>
                <w:rFonts w:ascii="Arial" w:cs="Arial" w:eastAsia="Arial" w:hAnsi="Arial"/>
                <w:sz w:val="18"/>
                <w:szCs w:val="18"/>
                <w:color w:val="auto"/>
              </w:rPr>
              <w:t>Restricted stock</w:t>
            </w:r>
          </w:p>
        </w:tc>
        <w:tc>
          <w:tcPr>
            <w:tcW w:w="7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4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spacing w:after="0"/>
              <w:rPr>
                <w:sz w:val="24"/>
                <w:szCs w:val="24"/>
                <w:color w:val="auto"/>
              </w:rPr>
            </w:pPr>
          </w:p>
        </w:tc>
        <w:tc>
          <w:tcPr>
            <w:tcW w:w="88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EAF9E8"/>
          </w:tcPr>
          <w:p>
            <w:pPr>
              <w:spacing w:after="0"/>
              <w:rPr>
                <w:sz w:val="24"/>
                <w:szCs w:val="24"/>
                <w:color w:val="auto"/>
              </w:rPr>
            </w:pPr>
          </w:p>
        </w:tc>
        <w:tc>
          <w:tcPr>
            <w:tcW w:w="560" w:type="dxa"/>
            <w:vAlign w:val="bottom"/>
            <w:shd w:val="clear" w:color="auto" w:fill="EAF9E8"/>
          </w:tcPr>
          <w:p>
            <w:pPr>
              <w:spacing w:after="0"/>
              <w:rPr>
                <w:sz w:val="24"/>
                <w:szCs w:val="24"/>
                <w:color w:val="auto"/>
              </w:rPr>
            </w:pPr>
          </w:p>
        </w:tc>
        <w:tc>
          <w:tcPr>
            <w:tcW w:w="9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377</w:t>
            </w:r>
          </w:p>
        </w:tc>
      </w:tr>
      <w:tr>
        <w:trPr>
          <w:trHeight w:val="229"/>
        </w:trPr>
        <w:tc>
          <w:tcPr>
            <w:tcW w:w="5520" w:type="dxa"/>
            <w:vAlign w:val="bottom"/>
            <w:gridSpan w:val="3"/>
          </w:tcPr>
          <w:p>
            <w:pPr>
              <w:ind w:left="40"/>
              <w:spacing w:after="0"/>
              <w:rPr>
                <w:sz w:val="20"/>
                <w:szCs w:val="20"/>
                <w:color w:val="auto"/>
              </w:rPr>
            </w:pPr>
            <w:r>
              <w:rPr>
                <w:rFonts w:ascii="Arial" w:cs="Arial" w:eastAsia="Arial" w:hAnsi="Arial"/>
                <w:sz w:val="18"/>
                <w:szCs w:val="18"/>
                <w:color w:val="auto"/>
                <w:w w:val="99"/>
              </w:rPr>
              <w:t>Common stock issuable upon conversion of Series A-1 preferred OP</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1"/>
        </w:trPr>
        <w:tc>
          <w:tcPr>
            <w:tcW w:w="4440" w:type="dxa"/>
            <w:vAlign w:val="bottom"/>
          </w:tcPr>
          <w:p>
            <w:pPr>
              <w:ind w:left="40"/>
              <w:spacing w:after="0"/>
              <w:rPr>
                <w:sz w:val="20"/>
                <w:szCs w:val="20"/>
                <w:color w:val="auto"/>
              </w:rPr>
            </w:pPr>
            <w:r>
              <w:rPr>
                <w:rFonts w:ascii="Arial" w:cs="Arial" w:eastAsia="Arial" w:hAnsi="Arial"/>
                <w:sz w:val="18"/>
                <w:szCs w:val="18"/>
                <w:color w:val="auto"/>
              </w:rPr>
              <w:t>units</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1,111</w:t>
            </w:r>
          </w:p>
        </w:tc>
      </w:tr>
      <w:tr>
        <w:trPr>
          <w:trHeight w:val="236"/>
        </w:trPr>
        <w:tc>
          <w:tcPr>
            <w:tcW w:w="5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w w:val="99"/>
              </w:rPr>
              <w:t>Common stock issuable upon conversion of Series A-3 preferred OP</w:t>
            </w:r>
          </w:p>
        </w:tc>
        <w:tc>
          <w:tcPr>
            <w:tcW w:w="11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600" w:type="dxa"/>
            <w:vAlign w:val="bottom"/>
            <w:shd w:val="clear" w:color="auto" w:fill="EAF9E8"/>
          </w:tcPr>
          <w:p>
            <w:pPr>
              <w:spacing w:after="0"/>
              <w:rPr>
                <w:sz w:val="20"/>
                <w:szCs w:val="20"/>
                <w:color w:val="auto"/>
              </w:rPr>
            </w:pPr>
          </w:p>
        </w:tc>
        <w:tc>
          <w:tcPr>
            <w:tcW w:w="8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1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560" w:type="dxa"/>
            <w:vAlign w:val="bottom"/>
            <w:shd w:val="clear" w:color="auto" w:fill="EAF9E8"/>
          </w:tcPr>
          <w:p>
            <w:pPr>
              <w:spacing w:after="0"/>
              <w:rPr>
                <w:sz w:val="20"/>
                <w:szCs w:val="20"/>
                <w:color w:val="auto"/>
              </w:rPr>
            </w:pPr>
          </w:p>
        </w:tc>
        <w:tc>
          <w:tcPr>
            <w:tcW w:w="920" w:type="dxa"/>
            <w:vAlign w:val="bottom"/>
            <w:shd w:val="clear" w:color="auto" w:fill="EAF9E8"/>
          </w:tcPr>
          <w:p>
            <w:pPr>
              <w:spacing w:after="0"/>
              <w:rPr>
                <w:sz w:val="20"/>
                <w:szCs w:val="20"/>
                <w:color w:val="auto"/>
              </w:rPr>
            </w:pPr>
          </w:p>
        </w:tc>
      </w:tr>
      <w:tr>
        <w:trPr>
          <w:trHeight w:val="257"/>
        </w:trPr>
        <w:tc>
          <w:tcPr>
            <w:tcW w:w="4440" w:type="dxa"/>
            <w:vAlign w:val="bottom"/>
            <w:shd w:val="clear" w:color="auto" w:fill="EAF9E8"/>
          </w:tcPr>
          <w:p>
            <w:pPr>
              <w:ind w:left="40"/>
              <w:spacing w:after="0"/>
              <w:rPr>
                <w:sz w:val="20"/>
                <w:szCs w:val="20"/>
                <w:color w:val="auto"/>
              </w:rPr>
            </w:pPr>
            <w:r>
              <w:rPr>
                <w:rFonts w:ascii="Arial" w:cs="Arial" w:eastAsia="Arial" w:hAnsi="Arial"/>
                <w:sz w:val="18"/>
                <w:szCs w:val="18"/>
                <w:color w:val="auto"/>
              </w:rPr>
              <w:t>units</w:t>
            </w:r>
          </w:p>
        </w:tc>
        <w:tc>
          <w:tcPr>
            <w:tcW w:w="72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14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75</w:t>
            </w: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spacing w:after="0"/>
              <w:rPr>
                <w:sz w:val="22"/>
                <w:szCs w:val="22"/>
                <w:color w:val="auto"/>
              </w:rPr>
            </w:pPr>
          </w:p>
        </w:tc>
        <w:tc>
          <w:tcPr>
            <w:tcW w:w="88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1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75</w:t>
            </w:r>
          </w:p>
        </w:tc>
        <w:tc>
          <w:tcPr>
            <w:tcW w:w="100" w:type="dxa"/>
            <w:vAlign w:val="bottom"/>
            <w:shd w:val="clear" w:color="auto" w:fill="EAF9E8"/>
          </w:tcPr>
          <w:p>
            <w:pPr>
              <w:spacing w:after="0"/>
              <w:rPr>
                <w:sz w:val="22"/>
                <w:szCs w:val="22"/>
                <w:color w:val="auto"/>
              </w:rPr>
            </w:pPr>
          </w:p>
        </w:tc>
        <w:tc>
          <w:tcPr>
            <w:tcW w:w="560" w:type="dxa"/>
            <w:vAlign w:val="bottom"/>
            <w:shd w:val="clear" w:color="auto" w:fill="EAF9E8"/>
          </w:tcPr>
          <w:p>
            <w:pPr>
              <w:spacing w:after="0"/>
              <w:rPr>
                <w:sz w:val="22"/>
                <w:szCs w:val="22"/>
                <w:color w:val="auto"/>
              </w:rPr>
            </w:pPr>
          </w:p>
        </w:tc>
        <w:tc>
          <w:tcPr>
            <w:tcW w:w="9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59</w:t>
            </w:r>
          </w:p>
        </w:tc>
      </w:tr>
      <w:tr>
        <w:trPr>
          <w:trHeight w:val="264"/>
        </w:trPr>
        <w:tc>
          <w:tcPr>
            <w:tcW w:w="444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w w:val="95"/>
              </w:rPr>
              <w:t>Common stock issuable upon conversion of stock options</w:t>
            </w:r>
          </w:p>
        </w:tc>
        <w:tc>
          <w:tcPr>
            <w:tcW w:w="720" w:type="dxa"/>
            <w:vAlign w:val="bottom"/>
            <w:tcBorders>
              <w:bottom w:val="single" w:sz="8" w:color="EAF9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r>
      <w:tr>
        <w:trPr>
          <w:trHeight w:val="257"/>
        </w:trPr>
        <w:tc>
          <w:tcPr>
            <w:tcW w:w="4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0"/>
              </w:rPr>
              <w:t>Weighted average common shares outstanding - fully diluted</w:t>
            </w:r>
          </w:p>
        </w:tc>
        <w:tc>
          <w:tcPr>
            <w:tcW w:w="7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32"/>
              <w:spacing w:after="0"/>
              <w:rPr>
                <w:sz w:val="20"/>
                <w:szCs w:val="20"/>
                <w:color w:val="auto"/>
              </w:rPr>
            </w:pPr>
            <w:r>
              <w:rPr>
                <w:rFonts w:ascii="Arial" w:cs="Arial" w:eastAsia="Arial" w:hAnsi="Arial"/>
                <w:sz w:val="18"/>
                <w:szCs w:val="18"/>
                <w:color w:val="auto"/>
              </w:rPr>
              <w:t>44,219</w:t>
            </w:r>
          </w:p>
        </w:tc>
        <w:tc>
          <w:tcPr>
            <w:tcW w:w="120" w:type="dxa"/>
            <w:vAlign w:val="bottom"/>
            <w:tcBorders>
              <w:bottom w:val="single" w:sz="8" w:color="EAF9E8"/>
            </w:tcBorders>
            <w:shd w:val="clear" w:color="auto" w:fill="EAF9E8"/>
          </w:tcPr>
          <w:p>
            <w:pPr>
              <w:spacing w:after="0"/>
              <w:rPr>
                <w:sz w:val="22"/>
                <w:szCs w:val="22"/>
                <w:color w:val="auto"/>
              </w:rPr>
            </w:pPr>
          </w:p>
        </w:tc>
        <w:tc>
          <w:tcPr>
            <w:tcW w:w="600" w:type="dxa"/>
            <w:vAlign w:val="bottom"/>
            <w:tcBorders>
              <w:bottom w:val="single" w:sz="8" w:color="auto"/>
            </w:tcBorders>
            <w:shd w:val="clear" w:color="auto" w:fill="EAF9E8"/>
          </w:tcPr>
          <w:p>
            <w:pPr>
              <w:spacing w:after="0"/>
              <w:rPr>
                <w:sz w:val="22"/>
                <w:szCs w:val="22"/>
                <w:color w:val="auto"/>
              </w:rPr>
            </w:pPr>
          </w:p>
        </w:tc>
        <w:tc>
          <w:tcPr>
            <w:tcW w:w="88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39,162</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120" w:type="dxa"/>
            <w:vAlign w:val="bottom"/>
            <w:tcBorders>
              <w:bottom w:val="single" w:sz="8" w:color="auto"/>
            </w:tcBorders>
            <w:shd w:val="clear" w:color="auto" w:fill="EAF9E8"/>
          </w:tcPr>
          <w:p>
            <w:pPr>
              <w:jc w:val="right"/>
              <w:ind w:right="12"/>
              <w:spacing w:after="0"/>
              <w:rPr>
                <w:sz w:val="20"/>
                <w:szCs w:val="20"/>
                <w:color w:val="auto"/>
              </w:rPr>
            </w:pPr>
            <w:r>
              <w:rPr>
                <w:rFonts w:ascii="Arial" w:cs="Arial" w:eastAsia="Arial" w:hAnsi="Arial"/>
                <w:sz w:val="18"/>
                <w:szCs w:val="18"/>
                <w:color w:val="auto"/>
              </w:rPr>
              <w:t>42,314</w:t>
            </w:r>
          </w:p>
        </w:tc>
        <w:tc>
          <w:tcPr>
            <w:tcW w:w="100" w:type="dxa"/>
            <w:vAlign w:val="bottom"/>
            <w:tcBorders>
              <w:bottom w:val="single" w:sz="8" w:color="EAF9E8"/>
            </w:tcBorders>
            <w:shd w:val="clear" w:color="auto" w:fill="EAF9E8"/>
          </w:tcPr>
          <w:p>
            <w:pPr>
              <w:spacing w:after="0"/>
              <w:rPr>
                <w:sz w:val="22"/>
                <w:szCs w:val="22"/>
                <w:color w:val="auto"/>
              </w:rPr>
            </w:pPr>
          </w:p>
        </w:tc>
        <w:tc>
          <w:tcPr>
            <w:tcW w:w="560" w:type="dxa"/>
            <w:vAlign w:val="bottom"/>
            <w:tcBorders>
              <w:bottom w:val="single" w:sz="8" w:color="auto"/>
            </w:tcBorders>
            <w:shd w:val="clear" w:color="auto" w:fill="EAF9E8"/>
          </w:tcPr>
          <w:p>
            <w:pPr>
              <w:spacing w:after="0"/>
              <w:rPr>
                <w:sz w:val="22"/>
                <w:szCs w:val="22"/>
                <w:color w:val="auto"/>
              </w:rPr>
            </w:pPr>
          </w:p>
        </w:tc>
        <w:tc>
          <w:tcPr>
            <w:tcW w:w="92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36,587</w:t>
            </w:r>
          </w:p>
        </w:tc>
      </w:tr>
      <w:tr>
        <w:trPr>
          <w:trHeight w:val="20"/>
        </w:trPr>
        <w:tc>
          <w:tcPr>
            <w:tcW w:w="4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8"/>
        </w:trPr>
        <w:tc>
          <w:tcPr>
            <w:tcW w:w="4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4440" w:type="dxa"/>
            <w:vAlign w:val="bottom"/>
            <w:shd w:val="clear" w:color="auto" w:fill="EAF9E8"/>
          </w:tcPr>
          <w:p>
            <w:pPr>
              <w:ind w:left="40"/>
              <w:spacing w:after="0" w:line="270" w:lineRule="exact"/>
              <w:rPr>
                <w:sz w:val="20"/>
                <w:szCs w:val="20"/>
                <w:color w:val="auto"/>
              </w:rPr>
            </w:pPr>
            <w:r>
              <w:rPr>
                <w:rFonts w:ascii="Arial" w:cs="Arial" w:eastAsia="Arial" w:hAnsi="Arial"/>
                <w:sz w:val="18"/>
                <w:szCs w:val="18"/>
                <w:color w:val="auto"/>
              </w:rPr>
              <w:t>FFO</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per Share - fully diluted</w:t>
            </w:r>
          </w:p>
        </w:tc>
        <w:tc>
          <w:tcPr>
            <w:tcW w:w="10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0.76</w:t>
            </w:r>
          </w:p>
        </w:tc>
        <w:tc>
          <w:tcPr>
            <w:tcW w:w="120" w:type="dxa"/>
            <w:vAlign w:val="bottom"/>
            <w:shd w:val="clear" w:color="auto" w:fill="EAF9E8"/>
          </w:tcPr>
          <w:p>
            <w:pPr>
              <w:spacing w:after="0"/>
              <w:rPr>
                <w:sz w:val="23"/>
                <w:szCs w:val="23"/>
                <w:color w:val="auto"/>
              </w:rPr>
            </w:pPr>
          </w:p>
        </w:tc>
        <w:tc>
          <w:tcPr>
            <w:tcW w:w="600" w:type="dxa"/>
            <w:vAlign w:val="bottom"/>
            <w:shd w:val="clear" w:color="auto" w:fill="EAF9E8"/>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EAF9E8"/>
          </w:tcPr>
          <w:p>
            <w:pPr>
              <w:spacing w:after="0"/>
              <w:rPr>
                <w:sz w:val="23"/>
                <w:szCs w:val="23"/>
                <w:color w:val="auto"/>
              </w:rPr>
            </w:pPr>
          </w:p>
        </w:tc>
        <w:tc>
          <w:tcPr>
            <w:tcW w:w="36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EAF9E8"/>
          </w:tcPr>
          <w:p>
            <w:pPr>
              <w:spacing w:after="0"/>
              <w:rPr>
                <w:sz w:val="23"/>
                <w:szCs w:val="23"/>
                <w:color w:val="auto"/>
              </w:rPr>
            </w:pPr>
          </w:p>
        </w:tc>
        <w:tc>
          <w:tcPr>
            <w:tcW w:w="56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EAF9E8"/>
          </w:tcPr>
          <w:p>
            <w:pPr>
              <w:jc w:val="right"/>
              <w:ind w:right="11"/>
              <w:spacing w:after="0"/>
              <w:rPr>
                <w:sz w:val="20"/>
                <w:szCs w:val="20"/>
                <w:color w:val="auto"/>
              </w:rPr>
            </w:pPr>
            <w:r>
              <w:rPr>
                <w:rFonts w:ascii="Arial" w:cs="Arial" w:eastAsia="Arial" w:hAnsi="Arial"/>
                <w:sz w:val="18"/>
                <w:szCs w:val="18"/>
                <w:color w:val="auto"/>
              </w:rPr>
              <w:t>1.56</w:t>
            </w:r>
          </w:p>
        </w:tc>
      </w:tr>
      <w:tr>
        <w:trPr>
          <w:trHeight w:val="341"/>
        </w:trPr>
        <w:tc>
          <w:tcPr>
            <w:tcW w:w="4440" w:type="dxa"/>
            <w:vAlign w:val="bottom"/>
          </w:tcPr>
          <w:p>
            <w:pPr>
              <w:ind w:left="40"/>
              <w:spacing w:after="0"/>
              <w:rPr>
                <w:sz w:val="20"/>
                <w:szCs w:val="20"/>
                <w:color w:val="auto"/>
              </w:rPr>
            </w:pPr>
            <w:r>
              <w:rPr>
                <w:rFonts w:ascii="Arial" w:cs="Arial" w:eastAsia="Arial" w:hAnsi="Arial"/>
                <w:sz w:val="18"/>
                <w:szCs w:val="18"/>
                <w:color w:val="auto"/>
              </w:rPr>
              <w:t>FFO</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per Share excluding certain items - fully diluted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24"/>
                <w:szCs w:val="24"/>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1.62</w:t>
            </w:r>
          </w:p>
        </w:tc>
      </w:tr>
      <w:tr>
        <w:trPr>
          <w:trHeight w:val="820"/>
        </w:trPr>
        <w:tc>
          <w:tcPr>
            <w:tcW w:w="4440" w:type="dxa"/>
            <w:vAlign w:val="bottom"/>
          </w:tcPr>
          <w:p>
            <w:pPr>
              <w:spacing w:after="0"/>
              <w:rPr>
                <w:sz w:val="20"/>
                <w:szCs w:val="20"/>
                <w:color w:val="auto"/>
              </w:rPr>
            </w:pPr>
            <w:r>
              <w:rPr>
                <w:rFonts w:ascii="Arial" w:cs="Arial" w:eastAsia="Arial" w:hAnsi="Arial"/>
                <w:sz w:val="18"/>
                <w:szCs w:val="18"/>
                <w:color w:val="auto"/>
              </w:rPr>
              <w:t>Sun Communities, Inc. 2nd Quarter 2014</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Page 11</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Statement of Operations – Same Site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for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2"/>
        </w:trPr>
        <w:tc>
          <w:tcPr>
            <w:tcW w:w="3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70"/>
        </w:trPr>
        <w:tc>
          <w:tcPr>
            <w:tcW w:w="3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2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40"/>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23"/>
                <w:szCs w:val="23"/>
                <w:color w:val="auto"/>
              </w:rPr>
            </w:pP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3"/>
                <w:szCs w:val="23"/>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ind w:right="12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3"/>
                <w:szCs w:val="23"/>
                <w:color w:val="auto"/>
              </w:rPr>
            </w:pPr>
          </w:p>
        </w:tc>
        <w:tc>
          <w:tcPr>
            <w:tcW w:w="1000" w:type="dxa"/>
            <w:vAlign w:val="bottom"/>
          </w:tcPr>
          <w:p>
            <w:pPr>
              <w:jc w:val="right"/>
              <w:ind w:right="85"/>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23"/>
                <w:szCs w:val="23"/>
                <w:color w:val="auto"/>
              </w:rPr>
            </w:pPr>
          </w:p>
        </w:tc>
      </w:tr>
      <w:tr>
        <w:trPr>
          <w:trHeight w:val="254"/>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80"/>
        </w:trPr>
        <w:tc>
          <w:tcPr>
            <w:tcW w:w="3260" w:type="dxa"/>
            <w:vAlign w:val="bottom"/>
            <w:shd w:val="clear" w:color="auto" w:fill="EAF9E8"/>
          </w:tcPr>
          <w:p>
            <w:pPr>
              <w:ind w:left="200"/>
              <w:spacing w:after="0"/>
              <w:rPr>
                <w:sz w:val="20"/>
                <w:szCs w:val="20"/>
                <w:color w:val="auto"/>
              </w:rPr>
            </w:pPr>
            <w:r>
              <w:rPr>
                <w:rFonts w:ascii="Arial" w:cs="Arial" w:eastAsia="Arial" w:hAnsi="Arial"/>
                <w:sz w:val="16"/>
                <w:szCs w:val="16"/>
                <w:color w:val="auto"/>
              </w:rPr>
              <w:t>Income from real property</w:t>
            </w:r>
          </w:p>
        </w:tc>
        <w:tc>
          <w:tcPr>
            <w:tcW w:w="200" w:type="dxa"/>
            <w:vAlign w:val="bottom"/>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AF9E8"/>
          </w:tcPr>
          <w:p>
            <w:pPr>
              <w:jc w:val="right"/>
              <w:ind w:right="40"/>
              <w:spacing w:after="0"/>
              <w:rPr>
                <w:sz w:val="20"/>
                <w:szCs w:val="20"/>
                <w:color w:val="auto"/>
              </w:rPr>
            </w:pPr>
            <w:r>
              <w:rPr>
                <w:rFonts w:ascii="Arial" w:cs="Arial" w:eastAsia="Arial" w:hAnsi="Arial"/>
                <w:sz w:val="16"/>
                <w:szCs w:val="16"/>
                <w:color w:val="auto"/>
              </w:rPr>
              <w:t>72,141</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AF9E8"/>
          </w:tcPr>
          <w:p>
            <w:pPr>
              <w:jc w:val="right"/>
              <w:ind w:right="41"/>
              <w:spacing w:after="0"/>
              <w:rPr>
                <w:sz w:val="20"/>
                <w:szCs w:val="20"/>
                <w:color w:val="auto"/>
              </w:rPr>
            </w:pPr>
            <w:r>
              <w:rPr>
                <w:rFonts w:ascii="Arial" w:cs="Arial" w:eastAsia="Arial" w:hAnsi="Arial"/>
                <w:sz w:val="16"/>
                <w:szCs w:val="16"/>
                <w:color w:val="auto"/>
              </w:rPr>
              <w:t>67,903</w:t>
            </w: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EAF9E8"/>
          </w:tcPr>
          <w:p>
            <w:pPr>
              <w:jc w:val="right"/>
              <w:ind w:right="40"/>
              <w:spacing w:after="0"/>
              <w:rPr>
                <w:sz w:val="20"/>
                <w:szCs w:val="20"/>
                <w:color w:val="auto"/>
              </w:rPr>
            </w:pPr>
            <w:r>
              <w:rPr>
                <w:rFonts w:ascii="Arial" w:cs="Arial" w:eastAsia="Arial" w:hAnsi="Arial"/>
                <w:sz w:val="16"/>
                <w:szCs w:val="16"/>
                <w:color w:val="auto"/>
              </w:rPr>
              <w:t>4,238</w:t>
            </w:r>
          </w:p>
        </w:tc>
        <w:tc>
          <w:tcPr>
            <w:tcW w:w="1100" w:type="dxa"/>
            <w:vAlign w:val="bottom"/>
            <w:gridSpan w:val="3"/>
            <w:shd w:val="clear" w:color="auto" w:fill="EAF9E8"/>
          </w:tcPr>
          <w:p>
            <w:pPr>
              <w:jc w:val="right"/>
              <w:ind w:right="40"/>
              <w:spacing w:after="0"/>
              <w:rPr>
                <w:sz w:val="20"/>
                <w:szCs w:val="20"/>
                <w:color w:val="auto"/>
              </w:rPr>
            </w:pPr>
            <w:r>
              <w:rPr>
                <w:rFonts w:ascii="Arial" w:cs="Arial" w:eastAsia="Arial" w:hAnsi="Arial"/>
                <w:sz w:val="16"/>
                <w:szCs w:val="16"/>
                <w:color w:val="auto"/>
              </w:rPr>
              <w:t>6.2 %</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AF9E8"/>
          </w:tcPr>
          <w:p>
            <w:pPr>
              <w:jc w:val="right"/>
              <w:ind w:right="20"/>
              <w:spacing w:after="0"/>
              <w:rPr>
                <w:sz w:val="20"/>
                <w:szCs w:val="20"/>
                <w:color w:val="auto"/>
              </w:rPr>
            </w:pPr>
            <w:r>
              <w:rPr>
                <w:rFonts w:ascii="Arial" w:cs="Arial" w:eastAsia="Arial" w:hAnsi="Arial"/>
                <w:sz w:val="16"/>
                <w:szCs w:val="16"/>
                <w:color w:val="auto"/>
              </w:rPr>
              <w:t>149,865</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6"/>
                <w:szCs w:val="16"/>
                <w:color w:val="auto"/>
                <w:w w:val="93"/>
              </w:rPr>
              <w:t>140,622</w:t>
            </w:r>
          </w:p>
        </w:tc>
        <w:tc>
          <w:tcPr>
            <w:tcW w:w="320" w:type="dxa"/>
            <w:vAlign w:val="bottom"/>
            <w:gridSpan w:val="3"/>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4"/>
            <w:shd w:val="clear" w:color="auto" w:fill="EAF9E8"/>
          </w:tcPr>
          <w:p>
            <w:pPr>
              <w:jc w:val="right"/>
              <w:ind w:right="100"/>
              <w:spacing w:after="0"/>
              <w:rPr>
                <w:sz w:val="20"/>
                <w:szCs w:val="20"/>
                <w:color w:val="auto"/>
              </w:rPr>
            </w:pPr>
            <w:r>
              <w:rPr>
                <w:rFonts w:ascii="Arial" w:cs="Arial" w:eastAsia="Arial" w:hAnsi="Arial"/>
                <w:sz w:val="16"/>
                <w:szCs w:val="16"/>
                <w:color w:val="auto"/>
              </w:rPr>
              <w:t>9,243</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6"/>
                <w:szCs w:val="16"/>
                <w:color w:val="auto"/>
              </w:rPr>
              <w:t>6.6 %</w:t>
            </w:r>
          </w:p>
        </w:tc>
        <w:tc>
          <w:tcPr>
            <w:tcW w:w="40" w:type="dxa"/>
            <w:vAlign w:val="bottom"/>
          </w:tcPr>
          <w:p>
            <w:pPr>
              <w:spacing w:after="0"/>
              <w:rPr>
                <w:sz w:val="24"/>
                <w:szCs w:val="24"/>
                <w:color w:val="auto"/>
              </w:rPr>
            </w:pPr>
          </w:p>
        </w:tc>
      </w:tr>
      <w:tr>
        <w:trPr>
          <w:trHeight w:val="260"/>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PROPERTY OPERATING EXPENSES:</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80"/>
        </w:trPr>
        <w:tc>
          <w:tcPr>
            <w:tcW w:w="3260" w:type="dxa"/>
            <w:vAlign w:val="bottom"/>
            <w:shd w:val="clear" w:color="auto" w:fill="EAF9E8"/>
          </w:tcPr>
          <w:p>
            <w:pPr>
              <w:ind w:left="200"/>
              <w:spacing w:after="0"/>
              <w:rPr>
                <w:sz w:val="20"/>
                <w:szCs w:val="20"/>
                <w:color w:val="auto"/>
              </w:rPr>
            </w:pPr>
            <w:r>
              <w:rPr>
                <w:rFonts w:ascii="Arial" w:cs="Arial" w:eastAsia="Arial" w:hAnsi="Arial"/>
                <w:sz w:val="16"/>
                <w:szCs w:val="16"/>
                <w:color w:val="auto"/>
              </w:rPr>
              <w:t>Payroll and benefits</w:t>
            </w: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jc w:val="right"/>
              <w:ind w:right="40"/>
              <w:spacing w:after="0"/>
              <w:rPr>
                <w:sz w:val="20"/>
                <w:szCs w:val="20"/>
                <w:color w:val="auto"/>
              </w:rPr>
            </w:pPr>
            <w:r>
              <w:rPr>
                <w:rFonts w:ascii="Arial" w:cs="Arial" w:eastAsia="Arial" w:hAnsi="Arial"/>
                <w:sz w:val="16"/>
                <w:szCs w:val="16"/>
                <w:color w:val="auto"/>
              </w:rPr>
              <w:t>5,782</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jc w:val="right"/>
              <w:ind w:right="41"/>
              <w:spacing w:after="0"/>
              <w:rPr>
                <w:sz w:val="20"/>
                <w:szCs w:val="20"/>
                <w:color w:val="auto"/>
              </w:rPr>
            </w:pPr>
            <w:r>
              <w:rPr>
                <w:rFonts w:ascii="Arial" w:cs="Arial" w:eastAsia="Arial" w:hAnsi="Arial"/>
                <w:sz w:val="16"/>
                <w:szCs w:val="16"/>
                <w:color w:val="auto"/>
              </w:rPr>
              <w:t>6,042</w:t>
            </w: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6"/>
                <w:szCs w:val="16"/>
                <w:color w:val="auto"/>
              </w:rPr>
              <w:t>(260)</w:t>
            </w:r>
          </w:p>
        </w:tc>
        <w:tc>
          <w:tcPr>
            <w:tcW w:w="1100" w:type="dxa"/>
            <w:vAlign w:val="bottom"/>
            <w:gridSpan w:val="3"/>
            <w:shd w:val="clear" w:color="auto" w:fill="EAF9E8"/>
          </w:tcPr>
          <w:p>
            <w:pPr>
              <w:jc w:val="right"/>
              <w:ind w:right="20"/>
              <w:spacing w:after="0"/>
              <w:rPr>
                <w:sz w:val="20"/>
                <w:szCs w:val="20"/>
                <w:color w:val="auto"/>
              </w:rPr>
            </w:pPr>
            <w:r>
              <w:rPr>
                <w:rFonts w:ascii="Arial" w:cs="Arial" w:eastAsia="Arial" w:hAnsi="Arial"/>
                <w:sz w:val="16"/>
                <w:szCs w:val="16"/>
                <w:color w:val="auto"/>
              </w:rPr>
              <w:t>(4.3)%</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jc w:val="right"/>
              <w:ind w:right="20"/>
              <w:spacing w:after="0"/>
              <w:rPr>
                <w:sz w:val="20"/>
                <w:szCs w:val="20"/>
                <w:color w:val="auto"/>
              </w:rPr>
            </w:pPr>
            <w:r>
              <w:rPr>
                <w:rFonts w:ascii="Arial" w:cs="Arial" w:eastAsia="Arial" w:hAnsi="Arial"/>
                <w:sz w:val="16"/>
                <w:szCs w:val="16"/>
                <w:color w:val="auto"/>
              </w:rPr>
              <w:t>11,525</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6"/>
                <w:szCs w:val="16"/>
                <w:color w:val="auto"/>
              </w:rPr>
              <w:t>11,749</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420" w:type="dxa"/>
            <w:vAlign w:val="bottom"/>
            <w:gridSpan w:val="3"/>
            <w:shd w:val="clear" w:color="auto" w:fill="EAF9E8"/>
          </w:tcPr>
          <w:p>
            <w:pPr>
              <w:jc w:val="right"/>
              <w:ind w:right="60"/>
              <w:spacing w:after="0"/>
              <w:rPr>
                <w:sz w:val="20"/>
                <w:szCs w:val="20"/>
                <w:color w:val="auto"/>
              </w:rPr>
            </w:pPr>
            <w:r>
              <w:rPr>
                <w:rFonts w:ascii="Arial" w:cs="Arial" w:eastAsia="Arial" w:hAnsi="Arial"/>
                <w:sz w:val="16"/>
                <w:szCs w:val="16"/>
                <w:color w:val="auto"/>
                <w:w w:val="90"/>
              </w:rPr>
              <w:t>(224)</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24"/>
                <w:szCs w:val="24"/>
                <w:color w:val="auto"/>
              </w:rPr>
            </w:pPr>
          </w:p>
        </w:tc>
      </w:tr>
      <w:tr>
        <w:trPr>
          <w:trHeight w:val="260"/>
        </w:trPr>
        <w:tc>
          <w:tcPr>
            <w:tcW w:w="3260" w:type="dxa"/>
            <w:vAlign w:val="bottom"/>
          </w:tcPr>
          <w:p>
            <w:pPr>
              <w:ind w:left="200"/>
              <w:spacing w:after="0"/>
              <w:rPr>
                <w:sz w:val="20"/>
                <w:szCs w:val="20"/>
                <w:color w:val="auto"/>
              </w:rPr>
            </w:pPr>
            <w:r>
              <w:rPr>
                <w:rFonts w:ascii="Arial" w:cs="Arial" w:eastAsia="Arial" w:hAnsi="Arial"/>
                <w:sz w:val="16"/>
                <w:szCs w:val="16"/>
                <w:color w:val="auto"/>
              </w:rPr>
              <w:t>Legal, taxes, &amp; insurance</w:t>
            </w:r>
          </w:p>
        </w:tc>
        <w:tc>
          <w:tcPr>
            <w:tcW w:w="200" w:type="dxa"/>
            <w:vAlign w:val="bottom"/>
          </w:tcPr>
          <w:p>
            <w:pPr>
              <w:spacing w:after="0"/>
              <w:rPr>
                <w:sz w:val="22"/>
                <w:szCs w:val="22"/>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160</w:t>
            </w: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17.8 %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2,302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245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40" w:type="dxa"/>
            <w:vAlign w:val="bottom"/>
          </w:tcPr>
          <w:p>
            <w:pPr>
              <w:spacing w:after="0"/>
              <w:rPr>
                <w:sz w:val="22"/>
                <w:szCs w:val="22"/>
                <w:color w:val="auto"/>
              </w:rPr>
            </w:pPr>
          </w:p>
        </w:tc>
      </w:tr>
      <w:tr>
        <w:trPr>
          <w:trHeight w:val="280"/>
        </w:trPr>
        <w:tc>
          <w:tcPr>
            <w:tcW w:w="3260" w:type="dxa"/>
            <w:vAlign w:val="bottom"/>
            <w:shd w:val="clear" w:color="auto" w:fill="EAF9E8"/>
          </w:tcPr>
          <w:p>
            <w:pPr>
              <w:ind w:left="200"/>
              <w:spacing w:after="0"/>
              <w:rPr>
                <w:sz w:val="20"/>
                <w:szCs w:val="20"/>
                <w:color w:val="auto"/>
              </w:rPr>
            </w:pPr>
            <w:r>
              <w:rPr>
                <w:rFonts w:ascii="Arial" w:cs="Arial" w:eastAsia="Arial" w:hAnsi="Arial"/>
                <w:sz w:val="16"/>
                <w:szCs w:val="16"/>
                <w:color w:val="auto"/>
              </w:rPr>
              <w:t>Utilities</w:t>
            </w: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jc w:val="right"/>
              <w:ind w:right="40"/>
              <w:spacing w:after="0"/>
              <w:rPr>
                <w:sz w:val="20"/>
                <w:szCs w:val="20"/>
                <w:color w:val="auto"/>
              </w:rPr>
            </w:pPr>
            <w:r>
              <w:rPr>
                <w:rFonts w:ascii="Arial" w:cs="Arial" w:eastAsia="Arial" w:hAnsi="Arial"/>
                <w:sz w:val="16"/>
                <w:szCs w:val="16"/>
                <w:color w:val="auto"/>
              </w:rPr>
              <w:t>4,358</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jc w:val="right"/>
              <w:ind w:right="41"/>
              <w:spacing w:after="0"/>
              <w:rPr>
                <w:sz w:val="20"/>
                <w:szCs w:val="20"/>
                <w:color w:val="auto"/>
              </w:rPr>
            </w:pPr>
            <w:r>
              <w:rPr>
                <w:rFonts w:ascii="Arial" w:cs="Arial" w:eastAsia="Arial" w:hAnsi="Arial"/>
                <w:sz w:val="16"/>
                <w:szCs w:val="16"/>
                <w:color w:val="auto"/>
              </w:rPr>
              <w:t>4,053</w:t>
            </w: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40"/>
              <w:spacing w:after="0"/>
              <w:rPr>
                <w:sz w:val="20"/>
                <w:szCs w:val="20"/>
                <w:color w:val="auto"/>
              </w:rPr>
            </w:pPr>
            <w:r>
              <w:rPr>
                <w:rFonts w:ascii="Arial" w:cs="Arial" w:eastAsia="Arial" w:hAnsi="Arial"/>
                <w:sz w:val="16"/>
                <w:szCs w:val="16"/>
                <w:color w:val="auto"/>
              </w:rPr>
              <w:t>305</w:t>
            </w:r>
          </w:p>
        </w:tc>
        <w:tc>
          <w:tcPr>
            <w:tcW w:w="1100" w:type="dxa"/>
            <w:vAlign w:val="bottom"/>
            <w:gridSpan w:val="3"/>
            <w:shd w:val="clear" w:color="auto" w:fill="EAF9E8"/>
          </w:tcPr>
          <w:p>
            <w:pPr>
              <w:jc w:val="right"/>
              <w:ind w:right="40"/>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jc w:val="right"/>
              <w:ind w:right="20"/>
              <w:spacing w:after="0"/>
              <w:rPr>
                <w:sz w:val="20"/>
                <w:szCs w:val="20"/>
                <w:color w:val="auto"/>
              </w:rPr>
            </w:pPr>
            <w:r>
              <w:rPr>
                <w:rFonts w:ascii="Arial" w:cs="Arial" w:eastAsia="Arial" w:hAnsi="Arial"/>
                <w:sz w:val="16"/>
                <w:szCs w:val="16"/>
                <w:color w:val="auto"/>
              </w:rPr>
              <w:t>9,341</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6"/>
                <w:szCs w:val="16"/>
                <w:color w:val="auto"/>
              </w:rPr>
              <w:t>8,423</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420" w:type="dxa"/>
            <w:vAlign w:val="bottom"/>
            <w:gridSpan w:val="3"/>
            <w:shd w:val="clear" w:color="auto" w:fill="EAF9E8"/>
          </w:tcPr>
          <w:p>
            <w:pPr>
              <w:jc w:val="right"/>
              <w:ind w:right="100"/>
              <w:spacing w:after="0"/>
              <w:rPr>
                <w:sz w:val="20"/>
                <w:szCs w:val="20"/>
                <w:color w:val="auto"/>
              </w:rPr>
            </w:pPr>
            <w:r>
              <w:rPr>
                <w:rFonts w:ascii="Arial" w:cs="Arial" w:eastAsia="Arial" w:hAnsi="Arial"/>
                <w:sz w:val="16"/>
                <w:szCs w:val="16"/>
                <w:color w:val="auto"/>
              </w:rPr>
              <w:t>918</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6"/>
                <w:szCs w:val="16"/>
                <w:color w:val="auto"/>
              </w:rPr>
              <w:t>10.9 %</w:t>
            </w:r>
          </w:p>
        </w:tc>
        <w:tc>
          <w:tcPr>
            <w:tcW w:w="40" w:type="dxa"/>
            <w:vAlign w:val="bottom"/>
          </w:tcPr>
          <w:p>
            <w:pPr>
              <w:spacing w:after="0"/>
              <w:rPr>
                <w:sz w:val="24"/>
                <w:szCs w:val="24"/>
                <w:color w:val="auto"/>
              </w:rPr>
            </w:pPr>
          </w:p>
        </w:tc>
      </w:tr>
      <w:tr>
        <w:trPr>
          <w:trHeight w:val="260"/>
        </w:trPr>
        <w:tc>
          <w:tcPr>
            <w:tcW w:w="3260" w:type="dxa"/>
            <w:vAlign w:val="bottom"/>
          </w:tcPr>
          <w:p>
            <w:pPr>
              <w:ind w:left="200"/>
              <w:spacing w:after="0"/>
              <w:rPr>
                <w:sz w:val="20"/>
                <w:szCs w:val="20"/>
                <w:color w:val="auto"/>
              </w:rPr>
            </w:pPr>
            <w:r>
              <w:rPr>
                <w:rFonts w:ascii="Arial" w:cs="Arial" w:eastAsia="Arial" w:hAnsi="Arial"/>
                <w:sz w:val="16"/>
                <w:szCs w:val="16"/>
                <w:color w:val="auto"/>
              </w:rPr>
              <w:t>Supplies and repair</w:t>
            </w:r>
          </w:p>
        </w:tc>
        <w:tc>
          <w:tcPr>
            <w:tcW w:w="200" w:type="dxa"/>
            <w:vAlign w:val="bottom"/>
          </w:tcPr>
          <w:p>
            <w:pPr>
              <w:spacing w:after="0"/>
              <w:rPr>
                <w:sz w:val="22"/>
                <w:szCs w:val="22"/>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3,179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3,252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w:t>
            </w:r>
          </w:p>
        </w:tc>
        <w:tc>
          <w:tcPr>
            <w:tcW w:w="1100" w:type="dxa"/>
            <w:vAlign w:val="bottom"/>
            <w:gridSpan w:val="3"/>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5,365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451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9.2 %</w:t>
            </w:r>
          </w:p>
        </w:tc>
        <w:tc>
          <w:tcPr>
            <w:tcW w:w="40" w:type="dxa"/>
            <w:vAlign w:val="bottom"/>
          </w:tcPr>
          <w:p>
            <w:pPr>
              <w:spacing w:after="0"/>
              <w:rPr>
                <w:sz w:val="22"/>
                <w:szCs w:val="22"/>
                <w:color w:val="auto"/>
              </w:rPr>
            </w:pPr>
          </w:p>
        </w:tc>
      </w:tr>
      <w:tr>
        <w:trPr>
          <w:trHeight w:val="280"/>
        </w:trPr>
        <w:tc>
          <w:tcPr>
            <w:tcW w:w="3260" w:type="dxa"/>
            <w:vAlign w:val="bottom"/>
            <w:shd w:val="clear" w:color="auto" w:fill="EAF9E8"/>
          </w:tcPr>
          <w:p>
            <w:pPr>
              <w:ind w:left="20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jc w:val="right"/>
              <w:ind w:right="4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jc w:val="right"/>
              <w:ind w:right="41"/>
              <w:spacing w:after="0"/>
              <w:rPr>
                <w:sz w:val="20"/>
                <w:szCs w:val="20"/>
                <w:color w:val="auto"/>
              </w:rPr>
            </w:pPr>
            <w:r>
              <w:rPr>
                <w:rFonts w:ascii="Arial" w:cs="Arial" w:eastAsia="Arial" w:hAnsi="Arial"/>
                <w:sz w:val="16"/>
                <w:szCs w:val="16"/>
                <w:color w:val="auto"/>
              </w:rPr>
              <w:t>1,809</w:t>
            </w: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40"/>
              <w:spacing w:after="0"/>
              <w:rPr>
                <w:sz w:val="20"/>
                <w:szCs w:val="20"/>
                <w:color w:val="auto"/>
              </w:rPr>
            </w:pPr>
            <w:r>
              <w:rPr>
                <w:rFonts w:ascii="Arial" w:cs="Arial" w:eastAsia="Arial" w:hAnsi="Arial"/>
                <w:sz w:val="16"/>
                <w:szCs w:val="16"/>
                <w:color w:val="auto"/>
              </w:rPr>
              <w:t>212</w:t>
            </w:r>
          </w:p>
        </w:tc>
        <w:tc>
          <w:tcPr>
            <w:tcW w:w="1100" w:type="dxa"/>
            <w:vAlign w:val="bottom"/>
            <w:gridSpan w:val="3"/>
            <w:shd w:val="clear" w:color="auto" w:fill="EAF9E8"/>
          </w:tcPr>
          <w:p>
            <w:pPr>
              <w:jc w:val="right"/>
              <w:ind w:right="40"/>
              <w:spacing w:after="0"/>
              <w:rPr>
                <w:sz w:val="20"/>
                <w:szCs w:val="20"/>
                <w:color w:val="auto"/>
              </w:rPr>
            </w:pPr>
            <w:r>
              <w:rPr>
                <w:rFonts w:ascii="Arial" w:cs="Arial" w:eastAsia="Arial" w:hAnsi="Arial"/>
                <w:sz w:val="16"/>
                <w:szCs w:val="16"/>
                <w:color w:val="auto"/>
              </w:rPr>
              <w:t>11.7 %</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jc w:val="right"/>
              <w:ind w:right="20"/>
              <w:spacing w:after="0"/>
              <w:rPr>
                <w:sz w:val="20"/>
                <w:szCs w:val="20"/>
                <w:color w:val="auto"/>
              </w:rPr>
            </w:pPr>
            <w:r>
              <w:rPr>
                <w:rFonts w:ascii="Arial" w:cs="Arial" w:eastAsia="Arial" w:hAnsi="Arial"/>
                <w:sz w:val="16"/>
                <w:szCs w:val="16"/>
                <w:color w:val="auto"/>
              </w:rPr>
              <w:t>4,112</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6"/>
                <w:szCs w:val="16"/>
                <w:color w:val="auto"/>
              </w:rPr>
              <w:t>3,675</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420" w:type="dxa"/>
            <w:vAlign w:val="bottom"/>
            <w:gridSpan w:val="3"/>
            <w:shd w:val="clear" w:color="auto" w:fill="EAF9E8"/>
          </w:tcPr>
          <w:p>
            <w:pPr>
              <w:jc w:val="right"/>
              <w:ind w:right="100"/>
              <w:spacing w:after="0"/>
              <w:rPr>
                <w:sz w:val="20"/>
                <w:szCs w:val="20"/>
                <w:color w:val="auto"/>
              </w:rPr>
            </w:pPr>
            <w:r>
              <w:rPr>
                <w:rFonts w:ascii="Arial" w:cs="Arial" w:eastAsia="Arial" w:hAnsi="Arial"/>
                <w:sz w:val="16"/>
                <w:szCs w:val="16"/>
                <w:color w:val="auto"/>
              </w:rPr>
              <w:t>437</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6"/>
                <w:szCs w:val="16"/>
                <w:color w:val="auto"/>
              </w:rPr>
              <w:t>11.9 %</w:t>
            </w:r>
          </w:p>
        </w:tc>
        <w:tc>
          <w:tcPr>
            <w:tcW w:w="40" w:type="dxa"/>
            <w:vAlign w:val="bottom"/>
          </w:tcPr>
          <w:p>
            <w:pPr>
              <w:spacing w:after="0"/>
              <w:rPr>
                <w:sz w:val="24"/>
                <w:szCs w:val="24"/>
                <w:color w:val="auto"/>
              </w:rPr>
            </w:pPr>
          </w:p>
        </w:tc>
      </w:tr>
      <w:tr>
        <w:trPr>
          <w:trHeight w:val="264"/>
        </w:trPr>
        <w:tc>
          <w:tcPr>
            <w:tcW w:w="3260" w:type="dxa"/>
            <w:vAlign w:val="bottom"/>
            <w:tcBorders>
              <w:bottom w:val="single" w:sz="8" w:color="EAF9E8"/>
            </w:tcBorders>
          </w:tcPr>
          <w:p>
            <w:pPr>
              <w:ind w:left="200"/>
              <w:spacing w:after="0"/>
              <w:rPr>
                <w:sz w:val="20"/>
                <w:szCs w:val="20"/>
                <w:color w:val="auto"/>
              </w:rPr>
            </w:pPr>
            <w:r>
              <w:rPr>
                <w:rFonts w:ascii="Arial" w:cs="Arial" w:eastAsia="Arial" w:hAnsi="Arial"/>
                <w:sz w:val="16"/>
                <w:szCs w:val="16"/>
                <w:color w:val="auto"/>
              </w:rPr>
              <w:t>Real estate taxes</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5,573</w:t>
            </w:r>
          </w:p>
        </w:tc>
        <w:tc>
          <w:tcPr>
            <w:tcW w:w="100" w:type="dxa"/>
            <w:vAlign w:val="bottom"/>
            <w:tcBorders>
              <w:bottom w:val="single" w:sz="8" w:color="EAF9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5,593</w:t>
            </w:r>
          </w:p>
        </w:tc>
        <w:tc>
          <w:tcPr>
            <w:tcW w:w="100" w:type="dxa"/>
            <w:vAlign w:val="bottom"/>
            <w:tcBorders>
              <w:bottom w:val="single" w:sz="8" w:color="EAF9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100" w:type="dxa"/>
            <w:vAlign w:val="bottom"/>
            <w:tcBorders>
              <w:bottom w:val="single" w:sz="8" w:color="EAF9E8"/>
            </w:tcBorders>
            <w:gridSpan w:val="3"/>
          </w:tcPr>
          <w:p>
            <w:pPr>
              <w:jc w:val="right"/>
              <w:ind w:right="2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EAF9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11,142</w:t>
            </w:r>
          </w:p>
        </w:tc>
        <w:tc>
          <w:tcPr>
            <w:tcW w:w="100" w:type="dxa"/>
            <w:vAlign w:val="bottom"/>
            <w:tcBorders>
              <w:bottom w:val="single" w:sz="8" w:color="EAF9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EAF9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(33)</w:t>
            </w:r>
          </w:p>
        </w:tc>
        <w:tc>
          <w:tcPr>
            <w:tcW w:w="1100" w:type="dxa"/>
            <w:vAlign w:val="bottom"/>
            <w:tcBorders>
              <w:bottom w:val="single" w:sz="8" w:color="EAF9E8"/>
            </w:tcBorders>
            <w:gridSpan w:val="2"/>
          </w:tcPr>
          <w:p>
            <w:pPr>
              <w:jc w:val="right"/>
              <w:spacing w:after="0"/>
              <w:rPr>
                <w:sz w:val="20"/>
                <w:szCs w:val="20"/>
                <w:color w:val="auto"/>
              </w:rPr>
            </w:pPr>
            <w:r>
              <w:rPr>
                <w:rFonts w:ascii="Arial" w:cs="Arial" w:eastAsia="Arial" w:hAnsi="Arial"/>
                <w:sz w:val="16"/>
                <w:szCs w:val="16"/>
                <w:color w:val="auto"/>
              </w:rPr>
              <w:t>(0.3)%</w:t>
            </w:r>
          </w:p>
        </w:tc>
        <w:tc>
          <w:tcPr>
            <w:tcW w:w="40" w:type="dxa"/>
            <w:vAlign w:val="bottom"/>
          </w:tcPr>
          <w:p>
            <w:pPr>
              <w:spacing w:after="0"/>
              <w:rPr>
                <w:sz w:val="22"/>
                <w:szCs w:val="22"/>
                <w:color w:val="auto"/>
              </w:rPr>
            </w:pPr>
          </w:p>
        </w:tc>
      </w:tr>
      <w:tr>
        <w:trPr>
          <w:trHeight w:val="257"/>
        </w:trPr>
        <w:tc>
          <w:tcPr>
            <w:tcW w:w="3260" w:type="dxa"/>
            <w:vAlign w:val="bottom"/>
            <w:shd w:val="clear" w:color="auto" w:fill="EAF9E8"/>
          </w:tcPr>
          <w:p>
            <w:pPr>
              <w:ind w:left="280"/>
              <w:spacing w:after="0"/>
              <w:rPr>
                <w:sz w:val="20"/>
                <w:szCs w:val="20"/>
                <w:color w:val="auto"/>
              </w:rPr>
            </w:pPr>
            <w:r>
              <w:rPr>
                <w:rFonts w:ascii="Arial" w:cs="Arial" w:eastAsia="Arial" w:hAnsi="Arial"/>
                <w:sz w:val="16"/>
                <w:szCs w:val="16"/>
                <w:color w:val="auto"/>
              </w:rPr>
              <w:t>Property operating expenses</w:t>
            </w:r>
          </w:p>
        </w:tc>
        <w:tc>
          <w:tcPr>
            <w:tcW w:w="200" w:type="dxa"/>
            <w:vAlign w:val="bottom"/>
            <w:tcBorders>
              <w:bottom w:val="single" w:sz="8" w:color="auto"/>
            </w:tcBorders>
            <w:shd w:val="clear" w:color="auto" w:fill="EAF9E8"/>
          </w:tcPr>
          <w:p>
            <w:pPr>
              <w:spacing w:after="0"/>
              <w:rPr>
                <w:sz w:val="22"/>
                <w:szCs w:val="22"/>
                <w:color w:val="auto"/>
              </w:rPr>
            </w:pPr>
          </w:p>
        </w:tc>
        <w:tc>
          <w:tcPr>
            <w:tcW w:w="700" w:type="dxa"/>
            <w:vAlign w:val="bottom"/>
            <w:tcBorders>
              <w:bottom w:val="single" w:sz="8" w:color="auto"/>
            </w:tcBorders>
            <w:shd w:val="clear" w:color="auto" w:fill="EAF9E8"/>
          </w:tcPr>
          <w:p>
            <w:pPr>
              <w:jc w:val="right"/>
              <w:ind w:right="40"/>
              <w:spacing w:after="0"/>
              <w:rPr>
                <w:sz w:val="20"/>
                <w:szCs w:val="20"/>
                <w:color w:val="auto"/>
              </w:rPr>
            </w:pPr>
            <w:r>
              <w:rPr>
                <w:rFonts w:ascii="Arial" w:cs="Arial" w:eastAsia="Arial" w:hAnsi="Arial"/>
                <w:sz w:val="16"/>
                <w:szCs w:val="16"/>
                <w:color w:val="auto"/>
              </w:rPr>
              <w:t>21,971</w:t>
            </w:r>
          </w:p>
        </w:tc>
        <w:tc>
          <w:tcPr>
            <w:tcW w:w="100" w:type="dxa"/>
            <w:vAlign w:val="bottom"/>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spacing w:after="0"/>
              <w:rPr>
                <w:sz w:val="22"/>
                <w:szCs w:val="22"/>
                <w:color w:val="auto"/>
              </w:rPr>
            </w:pPr>
          </w:p>
        </w:tc>
        <w:tc>
          <w:tcPr>
            <w:tcW w:w="700" w:type="dxa"/>
            <w:vAlign w:val="bottom"/>
            <w:tcBorders>
              <w:bottom w:val="single" w:sz="8" w:color="auto"/>
            </w:tcBorders>
            <w:shd w:val="clear" w:color="auto" w:fill="EAF9E8"/>
          </w:tcPr>
          <w:p>
            <w:pPr>
              <w:jc w:val="right"/>
              <w:ind w:right="41"/>
              <w:spacing w:after="0"/>
              <w:rPr>
                <w:sz w:val="20"/>
                <w:szCs w:val="20"/>
                <w:color w:val="auto"/>
              </w:rPr>
            </w:pPr>
            <w:r>
              <w:rPr>
                <w:rFonts w:ascii="Arial" w:cs="Arial" w:eastAsia="Arial" w:hAnsi="Arial"/>
                <w:sz w:val="16"/>
                <w:szCs w:val="16"/>
                <w:color w:val="auto"/>
              </w:rPr>
              <w:t>21,647</w:t>
            </w:r>
          </w:p>
        </w:tc>
        <w:tc>
          <w:tcPr>
            <w:tcW w:w="100" w:type="dxa"/>
            <w:vAlign w:val="bottom"/>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spacing w:after="0"/>
              <w:rPr>
                <w:sz w:val="22"/>
                <w:szCs w:val="22"/>
                <w:color w:val="auto"/>
              </w:rPr>
            </w:pPr>
          </w:p>
        </w:tc>
        <w:tc>
          <w:tcPr>
            <w:tcW w:w="740" w:type="dxa"/>
            <w:vAlign w:val="bottom"/>
            <w:tcBorders>
              <w:bottom w:val="single" w:sz="8" w:color="auto"/>
            </w:tcBorders>
            <w:shd w:val="clear" w:color="auto" w:fill="EAF9E8"/>
          </w:tcPr>
          <w:p>
            <w:pPr>
              <w:jc w:val="right"/>
              <w:ind w:right="40"/>
              <w:spacing w:after="0"/>
              <w:rPr>
                <w:sz w:val="20"/>
                <w:szCs w:val="20"/>
                <w:color w:val="auto"/>
              </w:rPr>
            </w:pPr>
            <w:r>
              <w:rPr>
                <w:rFonts w:ascii="Arial" w:cs="Arial" w:eastAsia="Arial" w:hAnsi="Arial"/>
                <w:sz w:val="16"/>
                <w:szCs w:val="16"/>
                <w:color w:val="auto"/>
              </w:rPr>
              <w:t>324</w:t>
            </w:r>
          </w:p>
        </w:tc>
        <w:tc>
          <w:tcPr>
            <w:tcW w:w="1100" w:type="dxa"/>
            <w:vAlign w:val="bottom"/>
            <w:gridSpan w:val="3"/>
            <w:shd w:val="clear" w:color="auto" w:fill="EAF9E8"/>
          </w:tcPr>
          <w:p>
            <w:pPr>
              <w:jc w:val="right"/>
              <w:ind w:right="40"/>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spacing w:after="0"/>
              <w:rPr>
                <w:sz w:val="22"/>
                <w:szCs w:val="22"/>
                <w:color w:val="auto"/>
              </w:rPr>
            </w:pPr>
          </w:p>
        </w:tc>
        <w:tc>
          <w:tcPr>
            <w:tcW w:w="700" w:type="dxa"/>
            <w:vAlign w:val="bottom"/>
            <w:tcBorders>
              <w:bottom w:val="single" w:sz="8" w:color="auto"/>
            </w:tcBorders>
            <w:shd w:val="clear" w:color="auto" w:fill="EAF9E8"/>
          </w:tcPr>
          <w:p>
            <w:pPr>
              <w:jc w:val="right"/>
              <w:ind w:right="20"/>
              <w:spacing w:after="0"/>
              <w:rPr>
                <w:sz w:val="20"/>
                <w:szCs w:val="20"/>
                <w:color w:val="auto"/>
              </w:rPr>
            </w:pPr>
            <w:r>
              <w:rPr>
                <w:rFonts w:ascii="Arial" w:cs="Arial" w:eastAsia="Arial" w:hAnsi="Arial"/>
                <w:sz w:val="16"/>
                <w:szCs w:val="16"/>
                <w:color w:val="auto"/>
              </w:rPr>
              <w:t>43,787</w:t>
            </w:r>
          </w:p>
        </w:tc>
        <w:tc>
          <w:tcPr>
            <w:tcW w:w="100" w:type="dxa"/>
            <w:vAlign w:val="bottom"/>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spacing w:after="0"/>
              <w:rPr>
                <w:sz w:val="22"/>
                <w:szCs w:val="22"/>
                <w:color w:val="auto"/>
              </w:rPr>
            </w:pPr>
          </w:p>
        </w:tc>
        <w:tc>
          <w:tcPr>
            <w:tcW w:w="5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41,993</w:t>
            </w:r>
          </w:p>
        </w:tc>
        <w:tc>
          <w:tcPr>
            <w:tcW w:w="100" w:type="dxa"/>
            <w:vAlign w:val="bottom"/>
            <w:tcBorders>
              <w:bottom w:val="single" w:sz="8" w:color="auto"/>
            </w:tcBorders>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spacing w:after="0"/>
              <w:rPr>
                <w:sz w:val="22"/>
                <w:szCs w:val="22"/>
                <w:color w:val="auto"/>
              </w:rPr>
            </w:pPr>
          </w:p>
        </w:tc>
        <w:tc>
          <w:tcPr>
            <w:tcW w:w="780" w:type="dxa"/>
            <w:vAlign w:val="bottom"/>
            <w:tcBorders>
              <w:bottom w:val="single" w:sz="8" w:color="auto"/>
            </w:tcBorders>
            <w:gridSpan w:val="4"/>
            <w:shd w:val="clear" w:color="auto" w:fill="EAF9E8"/>
          </w:tcPr>
          <w:p>
            <w:pPr>
              <w:jc w:val="right"/>
              <w:ind w:right="100"/>
              <w:spacing w:after="0"/>
              <w:rPr>
                <w:sz w:val="20"/>
                <w:szCs w:val="20"/>
                <w:color w:val="auto"/>
              </w:rPr>
            </w:pPr>
            <w:r>
              <w:rPr>
                <w:rFonts w:ascii="Arial" w:cs="Arial" w:eastAsia="Arial" w:hAnsi="Arial"/>
                <w:sz w:val="16"/>
                <w:szCs w:val="16"/>
                <w:color w:val="auto"/>
              </w:rPr>
              <w:t>1,794</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6"/>
                <w:szCs w:val="16"/>
                <w:color w:val="auto"/>
              </w:rPr>
              <w:t>4.3 %</w:t>
            </w:r>
          </w:p>
        </w:tc>
        <w:tc>
          <w:tcPr>
            <w:tcW w:w="40" w:type="dxa"/>
            <w:vAlign w:val="bottom"/>
          </w:tcPr>
          <w:p>
            <w:pPr>
              <w:spacing w:after="0"/>
              <w:rPr>
                <w:sz w:val="22"/>
                <w:szCs w:val="22"/>
                <w:color w:val="auto"/>
              </w:rPr>
            </w:pPr>
          </w:p>
        </w:tc>
      </w:tr>
      <w:tr>
        <w:trPr>
          <w:trHeight w:val="237"/>
        </w:trPr>
        <w:tc>
          <w:tcPr>
            <w:tcW w:w="3260" w:type="dxa"/>
            <w:vAlign w:val="bottom"/>
          </w:tcPr>
          <w:p>
            <w:pPr>
              <w:ind w:left="20"/>
              <w:spacing w:after="0" w:line="237" w:lineRule="exact"/>
              <w:rPr>
                <w:sz w:val="20"/>
                <w:szCs w:val="20"/>
                <w:color w:val="auto"/>
              </w:rPr>
            </w:pPr>
            <w:r>
              <w:rPr>
                <w:rFonts w:ascii="Arial" w:cs="Arial" w:eastAsia="Arial" w:hAnsi="Arial"/>
                <w:sz w:val="16"/>
                <w:szCs w:val="16"/>
                <w:b w:val="1"/>
                <w:bCs w:val="1"/>
                <w:color w:val="auto"/>
              </w:rPr>
              <w:t>NET OPERATING INCOME ("NOI")</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50,170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46,256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3,914</w:t>
            </w: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106,078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98,629</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color w:val="auto"/>
              </w:rPr>
              <w:t>7,449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7.6 %</w:t>
            </w:r>
          </w:p>
        </w:tc>
        <w:tc>
          <w:tcPr>
            <w:tcW w:w="40" w:type="dxa"/>
            <w:vAlign w:val="bottom"/>
          </w:tcPr>
          <w:p>
            <w:pPr>
              <w:spacing w:after="0"/>
              <w:rPr>
                <w:sz w:val="20"/>
                <w:szCs w:val="20"/>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11"/>
        </w:trPr>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As of June 30,</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64"/>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OTHER INFORMATION</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2013</w:t>
            </w:r>
          </w:p>
        </w:tc>
        <w:tc>
          <w:tcPr>
            <w:tcW w:w="3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Change</w:t>
            </w:r>
          </w:p>
        </w:tc>
        <w:tc>
          <w:tcPr>
            <w:tcW w:w="40" w:type="dxa"/>
            <w:vAlign w:val="bottom"/>
            <w:tcBorders>
              <w:bottom w:val="single" w:sz="8" w:color="auto"/>
            </w:tcBorders>
          </w:tcPr>
          <w:p>
            <w:pPr>
              <w:spacing w:after="0"/>
              <w:rPr>
                <w:sz w:val="22"/>
                <w:szCs w:val="22"/>
                <w:color w:val="auto"/>
              </w:rPr>
            </w:pPr>
          </w:p>
        </w:tc>
      </w:tr>
      <w:tr>
        <w:trPr>
          <w:trHeight w:val="223"/>
        </w:trPr>
        <w:tc>
          <w:tcPr>
            <w:tcW w:w="3260" w:type="dxa"/>
            <w:vAlign w:val="bottom"/>
          </w:tcPr>
          <w:p>
            <w:pPr>
              <w:ind w:left="40"/>
              <w:spacing w:after="0"/>
              <w:rPr>
                <w:sz w:val="20"/>
                <w:szCs w:val="20"/>
                <w:color w:val="auto"/>
              </w:rPr>
            </w:pPr>
            <w:r>
              <w:rPr>
                <w:rFonts w:ascii="Arial" w:cs="Arial" w:eastAsia="Arial" w:hAnsi="Arial"/>
                <w:sz w:val="16"/>
                <w:szCs w:val="16"/>
                <w:color w:val="auto"/>
              </w:rPr>
              <w:t>Number of properties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r>
      <w:tr>
        <w:trPr>
          <w:trHeight w:val="33"/>
        </w:trPr>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gridSpan w:val="4"/>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2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color w:val="auto"/>
              </w:rPr>
              <w:t>Developed sites</w:t>
            </w:r>
          </w:p>
        </w:tc>
        <w:tc>
          <w:tcPr>
            <w:tcW w:w="200" w:type="dxa"/>
            <w:vAlign w:val="bottom"/>
            <w:tcBorders>
              <w:bottom w:val="single" w:sz="8" w:color="EAF9E8"/>
            </w:tcBorders>
            <w:shd w:val="clear" w:color="auto" w:fill="EAF9E8"/>
          </w:tcPr>
          <w:p>
            <w:pPr>
              <w:spacing w:after="0"/>
              <w:rPr>
                <w:sz w:val="21"/>
                <w:szCs w:val="21"/>
                <w:color w:val="auto"/>
              </w:rPr>
            </w:pPr>
          </w:p>
        </w:tc>
        <w:tc>
          <w:tcPr>
            <w:tcW w:w="7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7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6"/>
                <w:szCs w:val="16"/>
                <w:color w:val="auto"/>
              </w:rPr>
              <w:t>63,602</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680" w:type="dxa"/>
            <w:vAlign w:val="bottom"/>
            <w:tcBorders>
              <w:bottom w:val="single" w:sz="8" w:color="EAF9E8"/>
            </w:tcBorders>
            <w:gridSpan w:val="4"/>
            <w:shd w:val="clear" w:color="auto" w:fill="EAF9E8"/>
          </w:tcPr>
          <w:p>
            <w:pPr>
              <w:jc w:val="right"/>
              <w:spacing w:after="0"/>
              <w:rPr>
                <w:sz w:val="20"/>
                <w:szCs w:val="20"/>
                <w:color w:val="auto"/>
              </w:rPr>
            </w:pPr>
            <w:r>
              <w:rPr>
                <w:rFonts w:ascii="Arial" w:cs="Arial" w:eastAsia="Arial" w:hAnsi="Arial"/>
                <w:sz w:val="16"/>
                <w:szCs w:val="16"/>
                <w:color w:val="auto"/>
              </w:rPr>
              <w:t>62,842</w:t>
            </w:r>
          </w:p>
        </w:tc>
        <w:tc>
          <w:tcPr>
            <w:tcW w:w="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45"/>
              <w:spacing w:after="0"/>
              <w:rPr>
                <w:sz w:val="20"/>
                <w:szCs w:val="20"/>
                <w:color w:val="auto"/>
              </w:rPr>
            </w:pPr>
            <w:r>
              <w:rPr>
                <w:rFonts w:ascii="Arial" w:cs="Arial" w:eastAsia="Arial" w:hAnsi="Arial"/>
                <w:sz w:val="16"/>
                <w:szCs w:val="16"/>
                <w:color w:val="auto"/>
              </w:rPr>
              <w:t>760</w:t>
            </w:r>
          </w:p>
        </w:tc>
        <w:tc>
          <w:tcPr>
            <w:tcW w:w="40" w:type="dxa"/>
            <w:vAlign w:val="bottom"/>
            <w:tcBorders>
              <w:bottom w:val="single" w:sz="8" w:color="EAF9E8"/>
            </w:tcBorders>
            <w:shd w:val="clear" w:color="auto" w:fill="EAF9E8"/>
          </w:tcPr>
          <w:p>
            <w:pPr>
              <w:spacing w:after="0"/>
              <w:rPr>
                <w:sz w:val="21"/>
                <w:szCs w:val="21"/>
                <w:color w:val="auto"/>
              </w:rPr>
            </w:pPr>
          </w:p>
        </w:tc>
      </w:tr>
      <w:tr>
        <w:trPr>
          <w:trHeight w:val="270"/>
        </w:trPr>
        <w:tc>
          <w:tcPr>
            <w:tcW w:w="3260" w:type="dxa"/>
            <w:vAlign w:val="bottom"/>
          </w:tcPr>
          <w:p>
            <w:pPr>
              <w:ind w:left="40"/>
              <w:spacing w:after="0"/>
              <w:rPr>
                <w:sz w:val="20"/>
                <w:szCs w:val="20"/>
                <w:color w:val="auto"/>
              </w:rPr>
            </w:pPr>
            <w:r>
              <w:rPr>
                <w:rFonts w:ascii="Arial" w:cs="Arial" w:eastAsia="Arial" w:hAnsi="Arial"/>
                <w:sz w:val="16"/>
                <w:szCs w:val="16"/>
                <w:color w:val="auto"/>
              </w:rPr>
              <w:t xml:space="preserve">Occupied sites </w:t>
            </w:r>
            <w:r>
              <w:rPr>
                <w:rFonts w:ascii="Arial" w:cs="Arial" w:eastAsia="Arial" w:hAnsi="Arial"/>
                <w:sz w:val="21"/>
                <w:szCs w:val="21"/>
                <w:color w:val="auto"/>
                <w:vertAlign w:val="superscript"/>
              </w:rPr>
              <w:t>(3)</w:t>
            </w: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53,358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gridSpan w:val="4"/>
          </w:tcPr>
          <w:p>
            <w:pPr>
              <w:jc w:val="right"/>
              <w:spacing w:after="0"/>
              <w:rPr>
                <w:sz w:val="20"/>
                <w:szCs w:val="20"/>
                <w:color w:val="auto"/>
              </w:rPr>
            </w:pPr>
            <w:r>
              <w:rPr>
                <w:rFonts w:ascii="Arial" w:cs="Arial" w:eastAsia="Arial" w:hAnsi="Arial"/>
                <w:sz w:val="16"/>
                <w:szCs w:val="16"/>
                <w:color w:val="auto"/>
              </w:rPr>
              <w:t>51,639</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45"/>
              <w:spacing w:after="0"/>
              <w:rPr>
                <w:sz w:val="20"/>
                <w:szCs w:val="20"/>
                <w:color w:val="auto"/>
              </w:rPr>
            </w:pPr>
            <w:r>
              <w:rPr>
                <w:rFonts w:ascii="Arial" w:cs="Arial" w:eastAsia="Arial" w:hAnsi="Arial"/>
                <w:sz w:val="16"/>
                <w:szCs w:val="16"/>
                <w:color w:val="auto"/>
              </w:rPr>
              <w:t>1,719</w:t>
            </w:r>
          </w:p>
        </w:tc>
        <w:tc>
          <w:tcPr>
            <w:tcW w:w="40" w:type="dxa"/>
            <w:vAlign w:val="bottom"/>
          </w:tcPr>
          <w:p>
            <w:pPr>
              <w:spacing w:after="0"/>
              <w:rPr>
                <w:sz w:val="23"/>
                <w:szCs w:val="23"/>
                <w:color w:val="auto"/>
              </w:rPr>
            </w:pPr>
          </w:p>
        </w:tc>
      </w:tr>
      <w:tr>
        <w:trPr>
          <w:trHeight w:val="270"/>
        </w:trPr>
        <w:tc>
          <w:tcPr>
            <w:tcW w:w="3260" w:type="dxa"/>
            <w:vAlign w:val="bottom"/>
            <w:shd w:val="clear" w:color="auto" w:fill="EAF9E8"/>
          </w:tcPr>
          <w:p>
            <w:pPr>
              <w:ind w:left="40"/>
              <w:spacing w:after="0"/>
              <w:rPr>
                <w:sz w:val="20"/>
                <w:szCs w:val="20"/>
                <w:color w:val="auto"/>
              </w:rPr>
            </w:pPr>
            <w:r>
              <w:rPr>
                <w:rFonts w:ascii="Arial" w:cs="Arial" w:eastAsia="Arial" w:hAnsi="Arial"/>
                <w:sz w:val="16"/>
                <w:szCs w:val="16"/>
                <w:color w:val="auto"/>
              </w:rPr>
              <w:t xml:space="preserve">Occupancy % </w:t>
            </w:r>
            <w:r>
              <w:rPr>
                <w:rFonts w:ascii="Arial" w:cs="Arial" w:eastAsia="Arial" w:hAnsi="Arial"/>
                <w:sz w:val="21"/>
                <w:szCs w:val="21"/>
                <w:color w:val="auto"/>
                <w:vertAlign w:val="superscript"/>
              </w:rPr>
              <w:t>(3) (4)</w:t>
            </w:r>
          </w:p>
        </w:tc>
        <w:tc>
          <w:tcPr>
            <w:tcW w:w="20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920" w:type="dxa"/>
            <w:vAlign w:val="bottom"/>
            <w:gridSpan w:val="3"/>
            <w:shd w:val="clear" w:color="auto" w:fill="EAF9E8"/>
          </w:tcPr>
          <w:p>
            <w:pPr>
              <w:jc w:val="right"/>
              <w:spacing w:after="0"/>
              <w:rPr>
                <w:sz w:val="20"/>
                <w:szCs w:val="20"/>
                <w:color w:val="auto"/>
              </w:rPr>
            </w:pPr>
            <w:r>
              <w:rPr>
                <w:rFonts w:ascii="Arial" w:cs="Arial" w:eastAsia="Arial" w:hAnsi="Arial"/>
                <w:sz w:val="16"/>
                <w:szCs w:val="16"/>
                <w:color w:val="auto"/>
              </w:rPr>
              <w:t>91.3%</w:t>
            </w:r>
          </w:p>
        </w:tc>
        <w:tc>
          <w:tcPr>
            <w:tcW w:w="120" w:type="dxa"/>
            <w:vAlign w:val="bottom"/>
            <w:shd w:val="clear" w:color="auto" w:fill="EAF9E8"/>
          </w:tcPr>
          <w:p>
            <w:pPr>
              <w:spacing w:after="0"/>
              <w:rPr>
                <w:sz w:val="23"/>
                <w:szCs w:val="23"/>
                <w:color w:val="auto"/>
              </w:rPr>
            </w:pPr>
          </w:p>
        </w:tc>
        <w:tc>
          <w:tcPr>
            <w:tcW w:w="5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520" w:type="dxa"/>
            <w:vAlign w:val="bottom"/>
            <w:gridSpan w:val="2"/>
            <w:shd w:val="clear" w:color="auto" w:fill="EAF9E8"/>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6"/>
                <w:szCs w:val="16"/>
                <w:color w:val="auto"/>
              </w:rPr>
              <w:t>1.3%</w:t>
            </w:r>
          </w:p>
        </w:tc>
        <w:tc>
          <w:tcPr>
            <w:tcW w:w="40" w:type="dxa"/>
            <w:vAlign w:val="bottom"/>
            <w:shd w:val="clear" w:color="auto" w:fill="EAF9E8"/>
          </w:tcPr>
          <w:p>
            <w:pPr>
              <w:spacing w:after="0"/>
              <w:rPr>
                <w:sz w:val="23"/>
                <w:szCs w:val="23"/>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6"/>
                <w:szCs w:val="16"/>
                <w:color w:val="auto"/>
              </w:rPr>
              <w:t>Weighted average monthly rent per site - MH</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381"/>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438</w:t>
            </w:r>
          </w:p>
        </w:tc>
        <w:tc>
          <w:tcPr>
            <w:tcW w:w="4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5"/>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20"/>
                <w:szCs w:val="20"/>
                <w:color w:val="auto"/>
              </w:rPr>
            </w:pPr>
          </w:p>
        </w:tc>
      </w:tr>
      <w:tr>
        <w:trPr>
          <w:trHeight w:val="33"/>
        </w:trPr>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3260" w:type="dxa"/>
            <w:vAlign w:val="bottom"/>
            <w:shd w:val="clear" w:color="auto" w:fill="EAF9E8"/>
          </w:tcPr>
          <w:p>
            <w:pPr>
              <w:ind w:left="40"/>
              <w:spacing w:after="0"/>
              <w:rPr>
                <w:sz w:val="20"/>
                <w:szCs w:val="20"/>
                <w:color w:val="auto"/>
              </w:rPr>
            </w:pPr>
            <w:r>
              <w:rPr>
                <w:rFonts w:ascii="Arial" w:cs="Arial" w:eastAsia="Arial" w:hAnsi="Arial"/>
                <w:sz w:val="16"/>
                <w:szCs w:val="16"/>
                <w:color w:val="auto"/>
                <w:w w:val="94"/>
              </w:rPr>
              <w:t xml:space="preserve">Weighted average monthly rent per site - RV </w:t>
            </w:r>
            <w:r>
              <w:rPr>
                <w:rFonts w:ascii="Arial" w:cs="Arial" w:eastAsia="Arial" w:hAnsi="Arial"/>
                <w:sz w:val="21"/>
                <w:szCs w:val="21"/>
                <w:color w:val="auto"/>
                <w:w w:val="94"/>
                <w:vertAlign w:val="superscript"/>
              </w:rPr>
              <w:t>(5)</w:t>
            </w:r>
          </w:p>
        </w:tc>
        <w:tc>
          <w:tcPr>
            <w:tcW w:w="20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1100" w:type="dxa"/>
            <w:vAlign w:val="bottom"/>
            <w:gridSpan w:val="3"/>
            <w:shd w:val="clear" w:color="auto" w:fill="EAF9E8"/>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560" w:type="dxa"/>
            <w:vAlign w:val="bottom"/>
            <w:shd w:val="clear" w:color="auto" w:fill="EAF9E8"/>
          </w:tcPr>
          <w:p>
            <w:pPr>
              <w:jc w:val="right"/>
              <w:ind w:right="381"/>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360" w:type="dxa"/>
            <w:vAlign w:val="bottom"/>
            <w:shd w:val="clear" w:color="auto" w:fill="EAF9E8"/>
          </w:tcPr>
          <w:p>
            <w:pPr>
              <w:jc w:val="right"/>
              <w:spacing w:after="0"/>
              <w:rPr>
                <w:sz w:val="20"/>
                <w:szCs w:val="20"/>
                <w:color w:val="auto"/>
              </w:rPr>
            </w:pPr>
            <w:r>
              <w:rPr>
                <w:rFonts w:ascii="Arial" w:cs="Arial" w:eastAsia="Arial" w:hAnsi="Arial"/>
                <w:sz w:val="16"/>
                <w:szCs w:val="16"/>
                <w:color w:val="auto"/>
              </w:rPr>
              <w:t>407</w:t>
            </w:r>
          </w:p>
        </w:tc>
        <w:tc>
          <w:tcPr>
            <w:tcW w:w="420" w:type="dxa"/>
            <w:vAlign w:val="bottom"/>
            <w:gridSpan w:val="3"/>
            <w:shd w:val="clear" w:color="auto" w:fill="EAF9E8"/>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AF9E8"/>
          </w:tcPr>
          <w:p>
            <w:pPr>
              <w:jc w:val="right"/>
              <w:ind w:right="45"/>
              <w:spacing w:after="0"/>
              <w:rPr>
                <w:sz w:val="20"/>
                <w:szCs w:val="20"/>
                <w:color w:val="auto"/>
              </w:rPr>
            </w:pPr>
            <w:r>
              <w:rPr>
                <w:rFonts w:ascii="Arial" w:cs="Arial" w:eastAsia="Arial" w:hAnsi="Arial"/>
                <w:sz w:val="16"/>
                <w:szCs w:val="16"/>
                <w:color w:val="auto"/>
              </w:rPr>
              <w:t>9</w:t>
            </w:r>
          </w:p>
        </w:tc>
        <w:tc>
          <w:tcPr>
            <w:tcW w:w="40" w:type="dxa"/>
            <w:vAlign w:val="bottom"/>
            <w:shd w:val="clear" w:color="auto" w:fill="EAF9E8"/>
          </w:tcPr>
          <w:p>
            <w:pPr>
              <w:spacing w:after="0"/>
              <w:rPr>
                <w:sz w:val="23"/>
                <w:szCs w:val="23"/>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6"/>
                <w:szCs w:val="16"/>
                <w:color w:val="auto"/>
                <w:w w:val="97"/>
              </w:rPr>
              <w:t>Weighted average monthly rent per site - Total</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381"/>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435</w:t>
            </w:r>
          </w:p>
        </w:tc>
        <w:tc>
          <w:tcPr>
            <w:tcW w:w="4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5"/>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20"/>
                <w:szCs w:val="20"/>
                <w:color w:val="auto"/>
              </w:rPr>
            </w:pPr>
          </w:p>
        </w:tc>
      </w:tr>
      <w:tr>
        <w:trPr>
          <w:trHeight w:val="33"/>
        </w:trPr>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3260" w:type="dxa"/>
            <w:vAlign w:val="bottom"/>
            <w:shd w:val="clear" w:color="auto" w:fill="EAF9E8"/>
          </w:tcPr>
          <w:p>
            <w:pPr>
              <w:ind w:left="40"/>
              <w:spacing w:after="0"/>
              <w:rPr>
                <w:sz w:val="20"/>
                <w:szCs w:val="20"/>
                <w:color w:val="auto"/>
              </w:rPr>
            </w:pPr>
            <w:r>
              <w:rPr>
                <w:rFonts w:ascii="Arial" w:cs="Arial" w:eastAsia="Arial" w:hAnsi="Arial"/>
                <w:sz w:val="16"/>
                <w:szCs w:val="16"/>
                <w:color w:val="auto"/>
              </w:rPr>
              <w:t>Sites available for development</w:t>
            </w:r>
          </w:p>
        </w:tc>
        <w:tc>
          <w:tcPr>
            <w:tcW w:w="200" w:type="dxa"/>
            <w:vAlign w:val="bottom"/>
            <w:shd w:val="clear" w:color="auto" w:fill="EAF9E8"/>
          </w:tcPr>
          <w:p>
            <w:pPr>
              <w:spacing w:after="0"/>
              <w:rPr>
                <w:sz w:val="20"/>
                <w:szCs w:val="20"/>
                <w:color w:val="auto"/>
              </w:rPr>
            </w:pPr>
          </w:p>
        </w:tc>
        <w:tc>
          <w:tcPr>
            <w:tcW w:w="7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7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7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8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6"/>
                <w:szCs w:val="16"/>
                <w:color w:val="auto"/>
              </w:rPr>
              <w:t>6,118</w:t>
            </w:r>
          </w:p>
        </w:tc>
        <w:tc>
          <w:tcPr>
            <w:tcW w:w="1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56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36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4"/>
              </w:rPr>
              <w:t>6,699</w:t>
            </w:r>
          </w:p>
        </w:tc>
        <w:tc>
          <w:tcPr>
            <w:tcW w:w="16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5"/>
              <w:spacing w:after="0"/>
              <w:rPr>
                <w:sz w:val="20"/>
                <w:szCs w:val="20"/>
                <w:color w:val="auto"/>
              </w:rPr>
            </w:pPr>
            <w:r>
              <w:rPr>
                <w:rFonts w:ascii="Arial" w:cs="Arial" w:eastAsia="Arial" w:hAnsi="Arial"/>
                <w:sz w:val="16"/>
                <w:szCs w:val="16"/>
                <w:color w:val="auto"/>
              </w:rPr>
              <w:t>(581)</w:t>
            </w:r>
          </w:p>
        </w:tc>
        <w:tc>
          <w:tcPr>
            <w:tcW w:w="40" w:type="dxa"/>
            <w:vAlign w:val="bottom"/>
            <w:shd w:val="clear" w:color="auto" w:fill="EAF9E8"/>
          </w:tcPr>
          <w:p>
            <w:pPr>
              <w:spacing w:after="0"/>
              <w:rPr>
                <w:sz w:val="20"/>
                <w:szCs w:val="20"/>
                <w:color w:val="auto"/>
              </w:rPr>
            </w:pPr>
          </w:p>
        </w:tc>
      </w:tr>
      <w:tr>
        <w:trPr>
          <w:trHeight w:val="33"/>
        </w:trPr>
        <w:tc>
          <w:tcPr>
            <w:tcW w:w="326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7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7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7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82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7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5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000" w:type="dxa"/>
            <w:vAlign w:val="bottom"/>
            <w:shd w:val="clear" w:color="auto" w:fill="EAF9E8"/>
          </w:tcPr>
          <w:p>
            <w:pPr>
              <w:spacing w:after="0"/>
              <w:rPr>
                <w:sz w:val="2"/>
                <w:szCs w:val="2"/>
                <w:color w:val="auto"/>
              </w:rPr>
            </w:pPr>
          </w:p>
        </w:tc>
        <w:tc>
          <w:tcPr>
            <w:tcW w:w="40" w:type="dxa"/>
            <w:vAlign w:val="bottom"/>
            <w:shd w:val="clear" w:color="auto" w:fill="EAF9E8"/>
          </w:tcPr>
          <w:p>
            <w:pPr>
              <w:spacing w:after="0"/>
              <w:rPr>
                <w:sz w:val="2"/>
                <w:szCs w:val="2"/>
                <w:color w:val="auto"/>
              </w:rPr>
            </w:pPr>
          </w:p>
        </w:tc>
      </w:tr>
    </w:tbl>
    <w:p>
      <w:pPr>
        <w:ind w:left="340" w:hanging="305"/>
        <w:spacing w:after="0"/>
        <w:tabs>
          <w:tab w:leader="none" w:pos="340" w:val="left"/>
        </w:tabs>
        <w:numPr>
          <w:ilvl w:val="0"/>
          <w:numId w:val="7"/>
        </w:numPr>
        <w:rPr>
          <w:rFonts w:ascii="Arial" w:cs="Arial" w:eastAsia="Arial" w:hAnsi="Arial"/>
          <w:sz w:val="16"/>
          <w:szCs w:val="16"/>
          <w:color w:val="auto"/>
          <w:vertAlign w:val="superscript"/>
        </w:rPr>
      </w:pPr>
      <w:r>
        <w:rPr>
          <w:rFonts w:ascii="Arial" w:cs="Arial" w:eastAsia="Arial" w:hAnsi="Arial"/>
          <w:sz w:val="14"/>
          <w:szCs w:val="14"/>
          <w:color w:val="auto"/>
        </w:rPr>
        <w:t>Includes manufactured housing and annual/seasonal recreational vehicle sites, and excludes transient recreational vehicle sites, which are included in total developed sites.</w:t>
      </w:r>
    </w:p>
    <w:p>
      <w:pPr>
        <w:spacing w:after="0" w:line="9" w:lineRule="exact"/>
        <w:rPr>
          <w:rFonts w:ascii="Arial" w:cs="Arial" w:eastAsia="Arial" w:hAnsi="Arial"/>
          <w:sz w:val="16"/>
          <w:szCs w:val="16"/>
          <w:color w:val="auto"/>
          <w:vertAlign w:val="superscript"/>
        </w:rPr>
      </w:pPr>
    </w:p>
    <w:p>
      <w:pPr>
        <w:ind w:left="340" w:hanging="305"/>
        <w:spacing w:after="0" w:line="219"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6"/>
          <w:szCs w:val="16"/>
          <w:color w:val="auto"/>
        </w:rPr>
        <w:t>Occupancy % excludes recently completed but vacant expansion sites.</w:t>
      </w:r>
    </w:p>
    <w:p>
      <w:pPr>
        <w:ind w:left="340" w:hanging="305"/>
        <w:spacing w:after="0" w:line="223"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6"/>
          <w:szCs w:val="16"/>
          <w:color w:val="auto"/>
        </w:rPr>
        <w:t>Weighted average rent pertains to annual/seasonal RV sites and excludes transient RV sites.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Sun Communities, Inc. 2nd Quarter 2014</w:t>
      </w:r>
      <w:r>
        <w:rPr>
          <w:sz w:val="20"/>
          <w:szCs w:val="20"/>
          <w:color w:val="auto"/>
        </w:rPr>
        <w:tab/>
      </w:r>
      <w:r>
        <w:rPr>
          <w:rFonts w:ascii="Arial" w:cs="Arial" w:eastAsia="Arial" w:hAnsi="Arial"/>
          <w:sz w:val="15"/>
          <w:szCs w:val="15"/>
          <w:color w:val="auto"/>
        </w:rPr>
        <w:t>Page 12</w:t>
      </w:r>
    </w:p>
    <w:p>
      <w:pPr>
        <w:sectPr>
          <w:pgSz w:w="11900" w:h="16838" w:orient="portrait"/>
          <w:cols w:equalWidth="0" w:num="1">
            <w:col w:w="11400"/>
          </w:cols>
          <w:pgMar w:left="240" w:top="369" w:right="25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Rental Program Summary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in thousands except for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87"/>
              </w:rPr>
              <w:t>Three Months Ended June 30,</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Six Months Ended June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720" w:type="dxa"/>
            <w:vAlign w:val="bottom"/>
          </w:tcPr>
          <w:p>
            <w:pPr>
              <w:jc w:val="right"/>
              <w:ind w:right="142"/>
              <w:spacing w:after="0"/>
              <w:rPr>
                <w:sz w:val="20"/>
                <w:szCs w:val="20"/>
                <w:color w:val="auto"/>
              </w:rPr>
            </w:pPr>
            <w:r>
              <w:rPr>
                <w:rFonts w:ascii="Arial" w:cs="Arial" w:eastAsia="Arial" w:hAnsi="Arial"/>
                <w:sz w:val="14"/>
                <w:szCs w:val="14"/>
                <w:b w:val="1"/>
                <w:bCs w:val="1"/>
                <w:color w:val="auto"/>
              </w:rPr>
              <w:t>2014</w:t>
            </w:r>
          </w:p>
        </w:tc>
        <w:tc>
          <w:tcPr>
            <w:tcW w:w="8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3"/>
                <w:szCs w:val="23"/>
                <w:color w:val="auto"/>
              </w:rPr>
            </w:pPr>
          </w:p>
        </w:tc>
        <w:tc>
          <w:tcPr>
            <w:tcW w:w="860" w:type="dxa"/>
            <w:vAlign w:val="bottom"/>
            <w:gridSpan w:val="3"/>
          </w:tcPr>
          <w:p>
            <w:pPr>
              <w:ind w:left="140"/>
              <w:spacing w:after="0"/>
              <w:rPr>
                <w:sz w:val="20"/>
                <w:szCs w:val="20"/>
                <w:color w:val="auto"/>
              </w:rPr>
            </w:pPr>
            <w:r>
              <w:rPr>
                <w:rFonts w:ascii="Arial" w:cs="Arial" w:eastAsia="Arial" w:hAnsi="Arial"/>
                <w:sz w:val="14"/>
                <w:szCs w:val="14"/>
                <w:b w:val="1"/>
                <w:bCs w:val="1"/>
                <w:color w:val="auto"/>
              </w:rPr>
              <w:t>Change</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 Change</w:t>
            </w:r>
          </w:p>
        </w:tc>
        <w:tc>
          <w:tcPr>
            <w:tcW w:w="720" w:type="dxa"/>
            <w:vAlign w:val="bottom"/>
          </w:tcPr>
          <w:p>
            <w:pPr>
              <w:jc w:val="right"/>
              <w:ind w:right="14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3"/>
                <w:szCs w:val="23"/>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3"/>
                <w:szCs w:val="23"/>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54"/>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160" w:type="dxa"/>
            <w:vAlign w:val="bottom"/>
            <w:shd w:val="clear" w:color="auto" w:fill="EAF9E8"/>
          </w:tcPr>
          <w:p>
            <w:pPr>
              <w:ind w:left="120"/>
              <w:spacing w:after="0"/>
              <w:rPr>
                <w:sz w:val="20"/>
                <w:szCs w:val="20"/>
                <w:color w:val="auto"/>
              </w:rPr>
            </w:pPr>
            <w:r>
              <w:rPr>
                <w:rFonts w:ascii="Arial" w:cs="Arial" w:eastAsia="Arial" w:hAnsi="Arial"/>
                <w:sz w:val="16"/>
                <w:szCs w:val="16"/>
                <w:color w:val="auto"/>
              </w:rPr>
              <w:t>Rental home revenue</w:t>
            </w:r>
          </w:p>
        </w:tc>
        <w:tc>
          <w:tcPr>
            <w:tcW w:w="7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  9,733</w:t>
            </w:r>
          </w:p>
        </w:tc>
        <w:tc>
          <w:tcPr>
            <w:tcW w:w="820" w:type="dxa"/>
            <w:vAlign w:val="bottom"/>
            <w:gridSpan w:val="2"/>
            <w:shd w:val="clear" w:color="auto" w:fill="EAF9E8"/>
          </w:tcPr>
          <w:p>
            <w:pPr>
              <w:jc w:val="right"/>
              <w:spacing w:after="0"/>
              <w:rPr>
                <w:sz w:val="20"/>
                <w:szCs w:val="20"/>
                <w:color w:val="auto"/>
              </w:rPr>
            </w:pPr>
            <w:r>
              <w:rPr>
                <w:rFonts w:ascii="Arial" w:cs="Arial" w:eastAsia="Arial" w:hAnsi="Arial"/>
                <w:sz w:val="16"/>
                <w:szCs w:val="16"/>
                <w:color w:val="auto"/>
              </w:rPr>
              <w:t>$   7,977</w:t>
            </w:r>
          </w:p>
        </w:tc>
        <w:tc>
          <w:tcPr>
            <w:tcW w:w="1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  1,756</w:t>
            </w:r>
          </w:p>
        </w:tc>
        <w:tc>
          <w:tcPr>
            <w:tcW w:w="10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6"/>
                <w:szCs w:val="16"/>
                <w:color w:val="auto"/>
              </w:rPr>
              <w:t>22.0 %</w:t>
            </w:r>
          </w:p>
        </w:tc>
        <w:tc>
          <w:tcPr>
            <w:tcW w:w="16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6"/>
                <w:szCs w:val="16"/>
                <w:color w:val="auto"/>
                <w:w w:val="95"/>
              </w:rPr>
              <w:t>$  19,135</w:t>
            </w:r>
          </w:p>
        </w:tc>
        <w:tc>
          <w:tcPr>
            <w:tcW w:w="1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6"/>
                <w:szCs w:val="16"/>
                <w:color w:val="auto"/>
                <w:w w:val="95"/>
              </w:rPr>
              <w:t>$  15,338</w:t>
            </w:r>
          </w:p>
        </w:tc>
        <w:tc>
          <w:tcPr>
            <w:tcW w:w="12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   3,797</w:t>
            </w:r>
          </w:p>
        </w:tc>
        <w:tc>
          <w:tcPr>
            <w:tcW w:w="1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24.8 %</w:t>
            </w:r>
          </w:p>
        </w:tc>
        <w:tc>
          <w:tcPr>
            <w:tcW w:w="0" w:type="dxa"/>
            <w:vAlign w:val="bottom"/>
          </w:tcPr>
          <w:p>
            <w:pPr>
              <w:spacing w:after="0"/>
              <w:rPr>
                <w:sz w:val="1"/>
                <w:szCs w:val="1"/>
                <w:color w:val="auto"/>
              </w:rPr>
            </w:pPr>
          </w:p>
        </w:tc>
      </w:tr>
      <w:tr>
        <w:trPr>
          <w:trHeight w:val="220"/>
        </w:trPr>
        <w:tc>
          <w:tcPr>
            <w:tcW w:w="3160" w:type="dxa"/>
            <w:vAlign w:val="bottom"/>
          </w:tcPr>
          <w:p>
            <w:pPr>
              <w:ind w:left="120"/>
              <w:spacing w:after="0"/>
              <w:rPr>
                <w:sz w:val="20"/>
                <w:szCs w:val="20"/>
                <w:color w:val="auto"/>
              </w:rPr>
            </w:pPr>
            <w:r>
              <w:rPr>
                <w:rFonts w:ascii="Arial" w:cs="Arial" w:eastAsia="Arial" w:hAnsi="Arial"/>
                <w:sz w:val="16"/>
                <w:szCs w:val="16"/>
                <w:color w:val="auto"/>
              </w:rPr>
              <w:t>Site rent included in Income from real</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17.9 %</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19.7 %</w:t>
            </w:r>
          </w:p>
        </w:tc>
        <w:tc>
          <w:tcPr>
            <w:tcW w:w="0" w:type="dxa"/>
            <w:vAlign w:val="bottom"/>
          </w:tcPr>
          <w:p>
            <w:pPr>
              <w:spacing w:after="0"/>
              <w:rPr>
                <w:sz w:val="1"/>
                <w:szCs w:val="1"/>
                <w:color w:val="auto"/>
              </w:rPr>
            </w:pPr>
          </w:p>
        </w:tc>
      </w:tr>
      <w:tr>
        <w:trPr>
          <w:trHeight w:val="219"/>
        </w:trPr>
        <w:tc>
          <w:tcPr>
            <w:tcW w:w="3160" w:type="dxa"/>
            <w:vAlign w:val="bottom"/>
            <w:tcBorders>
              <w:bottom w:val="single" w:sz="8" w:color="EAF9E8"/>
            </w:tcBorders>
          </w:tcPr>
          <w:p>
            <w:pPr>
              <w:ind w:left="40"/>
              <w:spacing w:after="0"/>
              <w:rPr>
                <w:sz w:val="20"/>
                <w:szCs w:val="20"/>
                <w:color w:val="auto"/>
              </w:rPr>
            </w:pPr>
            <w:r>
              <w:rPr>
                <w:rFonts w:ascii="Arial" w:cs="Arial" w:eastAsia="Arial" w:hAnsi="Arial"/>
                <w:sz w:val="16"/>
                <w:szCs w:val="16"/>
                <w:color w:val="auto"/>
              </w:rPr>
              <w:t>property</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13,514</w:t>
            </w:r>
          </w:p>
        </w:tc>
        <w:tc>
          <w:tcPr>
            <w:tcW w:w="100" w:type="dxa"/>
            <w:vAlign w:val="bottom"/>
            <w:tcBorders>
              <w:bottom w:val="single" w:sz="8" w:color="EAF9E8"/>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11,466</w:t>
            </w:r>
          </w:p>
        </w:tc>
        <w:tc>
          <w:tcPr>
            <w:tcW w:w="100" w:type="dxa"/>
            <w:vAlign w:val="bottom"/>
            <w:tcBorders>
              <w:bottom w:val="single" w:sz="8" w:color="EAF9E8"/>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2,048</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EAF9E8"/>
            </w:tcBorders>
          </w:tcPr>
          <w:p>
            <w:pPr>
              <w:spacing w:after="0"/>
              <w:rPr>
                <w:sz w:val="19"/>
                <w:szCs w:val="19"/>
                <w:color w:val="auto"/>
              </w:rPr>
            </w:pPr>
          </w:p>
        </w:tc>
        <w:tc>
          <w:tcPr>
            <w:tcW w:w="680" w:type="dxa"/>
            <w:vAlign w:val="bottom"/>
            <w:tcBorders>
              <w:bottom w:val="single" w:sz="8" w:color="EAF9E8"/>
            </w:tcBorders>
            <w:vMerge w:val="continue"/>
          </w:tcPr>
          <w:p>
            <w:pPr>
              <w:spacing w:after="0"/>
              <w:rPr>
                <w:sz w:val="19"/>
                <w:szCs w:val="19"/>
                <w:color w:val="auto"/>
              </w:rPr>
            </w:pPr>
          </w:p>
        </w:tc>
        <w:tc>
          <w:tcPr>
            <w:tcW w:w="160" w:type="dxa"/>
            <w:vAlign w:val="bottom"/>
            <w:tcBorders>
              <w:bottom w:val="single" w:sz="8" w:color="EAF9E8"/>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26,616</w:t>
            </w:r>
          </w:p>
        </w:tc>
        <w:tc>
          <w:tcPr>
            <w:tcW w:w="100" w:type="dxa"/>
            <w:vAlign w:val="bottom"/>
            <w:tcBorders>
              <w:bottom w:val="single" w:sz="8" w:color="EAF9E8"/>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22,231</w:t>
            </w:r>
          </w:p>
        </w:tc>
        <w:tc>
          <w:tcPr>
            <w:tcW w:w="120" w:type="dxa"/>
            <w:vAlign w:val="bottom"/>
            <w:tcBorders>
              <w:bottom w:val="single" w:sz="8" w:color="EAF9E8"/>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4,385</w:t>
            </w:r>
          </w:p>
        </w:tc>
        <w:tc>
          <w:tcPr>
            <w:tcW w:w="100" w:type="dxa"/>
            <w:vAlign w:val="bottom"/>
            <w:tcBorders>
              <w:bottom w:val="single" w:sz="8" w:color="EAF9E8"/>
            </w:tcBorders>
          </w:tcPr>
          <w:p>
            <w:pPr>
              <w:spacing w:after="0"/>
              <w:rPr>
                <w:sz w:val="19"/>
                <w:szCs w:val="19"/>
                <w:color w:val="auto"/>
              </w:rPr>
            </w:pPr>
          </w:p>
        </w:tc>
        <w:tc>
          <w:tcPr>
            <w:tcW w:w="720" w:type="dxa"/>
            <w:vAlign w:val="bottom"/>
            <w:tcBorders>
              <w:bottom w:val="single" w:sz="8" w:color="EAF9E8"/>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160" w:type="dxa"/>
            <w:vAlign w:val="bottom"/>
            <w:shd w:val="clear" w:color="auto" w:fill="EAF9E8"/>
          </w:tcPr>
          <w:p>
            <w:pPr>
              <w:ind w:left="260"/>
              <w:spacing w:after="0"/>
              <w:rPr>
                <w:sz w:val="20"/>
                <w:szCs w:val="20"/>
                <w:color w:val="auto"/>
              </w:rPr>
            </w:pPr>
            <w:r>
              <w:rPr>
                <w:rFonts w:ascii="Arial" w:cs="Arial" w:eastAsia="Arial" w:hAnsi="Arial"/>
                <w:sz w:val="16"/>
                <w:szCs w:val="16"/>
                <w:color w:val="auto"/>
              </w:rPr>
              <w:t>Rental Program revenue</w:t>
            </w: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23,247</w:t>
            </w:r>
          </w:p>
        </w:tc>
        <w:tc>
          <w:tcPr>
            <w:tcW w:w="100" w:type="dxa"/>
            <w:vAlign w:val="bottom"/>
            <w:shd w:val="clear" w:color="auto" w:fill="EAF9E8"/>
          </w:tcPr>
          <w:p>
            <w:pPr>
              <w:spacing w:after="0"/>
              <w:rPr>
                <w:sz w:val="22"/>
                <w:szCs w:val="22"/>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19,443</w:t>
            </w:r>
          </w:p>
        </w:tc>
        <w:tc>
          <w:tcPr>
            <w:tcW w:w="100" w:type="dxa"/>
            <w:vAlign w:val="bottom"/>
            <w:shd w:val="clear" w:color="auto" w:fill="EAF9E8"/>
          </w:tcPr>
          <w:p>
            <w:pPr>
              <w:spacing w:after="0"/>
              <w:rPr>
                <w:sz w:val="22"/>
                <w:szCs w:val="22"/>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3,804</w:t>
            </w:r>
          </w:p>
        </w:tc>
        <w:tc>
          <w:tcPr>
            <w:tcW w:w="10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6"/>
                <w:szCs w:val="16"/>
                <w:color w:val="auto"/>
              </w:rPr>
              <w:t>19.6 %</w:t>
            </w:r>
          </w:p>
        </w:tc>
        <w:tc>
          <w:tcPr>
            <w:tcW w:w="160" w:type="dxa"/>
            <w:vAlign w:val="bottom"/>
            <w:shd w:val="clear" w:color="auto" w:fill="EAF9E8"/>
          </w:tcPr>
          <w:p>
            <w:pPr>
              <w:spacing w:after="0"/>
              <w:rPr>
                <w:sz w:val="22"/>
                <w:szCs w:val="22"/>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45,751</w:t>
            </w:r>
          </w:p>
        </w:tc>
        <w:tc>
          <w:tcPr>
            <w:tcW w:w="100" w:type="dxa"/>
            <w:vAlign w:val="bottom"/>
            <w:shd w:val="clear" w:color="auto" w:fill="EAF9E8"/>
          </w:tcPr>
          <w:p>
            <w:pPr>
              <w:spacing w:after="0"/>
              <w:rPr>
                <w:sz w:val="22"/>
                <w:szCs w:val="22"/>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37,569</w:t>
            </w:r>
          </w:p>
        </w:tc>
        <w:tc>
          <w:tcPr>
            <w:tcW w:w="120" w:type="dxa"/>
            <w:vAlign w:val="bottom"/>
            <w:shd w:val="clear" w:color="auto" w:fill="EAF9E8"/>
          </w:tcPr>
          <w:p>
            <w:pPr>
              <w:spacing w:after="0"/>
              <w:rPr>
                <w:sz w:val="22"/>
                <w:szCs w:val="22"/>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8,182</w:t>
            </w:r>
          </w:p>
        </w:tc>
        <w:tc>
          <w:tcPr>
            <w:tcW w:w="100" w:type="dxa"/>
            <w:vAlign w:val="bottom"/>
            <w:shd w:val="clear" w:color="auto" w:fill="EAF9E8"/>
          </w:tcPr>
          <w:p>
            <w:pPr>
              <w:spacing w:after="0"/>
              <w:rPr>
                <w:sz w:val="22"/>
                <w:szCs w:val="22"/>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21.8 %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15759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57595" cy="171450"/>
                    </a:xfrm>
                    <a:prstGeom prst="rect">
                      <a:avLst/>
                    </a:prstGeom>
                    <a:noFill/>
                  </pic:spPr>
                </pic:pic>
              </a:graphicData>
            </a:graphic>
          </wp:anchor>
        </w:drawing>
      </w:r>
    </w:p>
    <w:p>
      <w:pPr>
        <w:spacing w:after="0" w:line="2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EXPENSES:</w:t>
      </w:r>
    </w:p>
    <w:p>
      <w:pPr>
        <w:sectPr>
          <w:pgSz w:w="11900" w:h="16838" w:orient="portrait"/>
          <w:cols w:equalWidth="0" w:num="1">
            <w:col w:w="10219"/>
          </w:cols>
          <w:pgMar w:left="240" w:top="360" w:right="1440" w:bottom="1440" w:gutter="0" w:footer="0" w:header="0"/>
        </w:sectPr>
      </w:pP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120" w:type="dxa"/>
            <w:vAlign w:val="bottom"/>
          </w:tcPr>
          <w:p>
            <w:pPr>
              <w:ind w:left="80"/>
              <w:spacing w:after="0"/>
              <w:rPr>
                <w:sz w:val="20"/>
                <w:szCs w:val="20"/>
                <w:color w:val="auto"/>
              </w:rPr>
            </w:pPr>
            <w:r>
              <w:rPr>
                <w:rFonts w:ascii="Arial" w:cs="Arial" w:eastAsia="Arial" w:hAnsi="Arial"/>
                <w:sz w:val="16"/>
                <w:szCs w:val="16"/>
                <w:color w:val="auto"/>
              </w:rPr>
              <w:t>Commissions</w:t>
            </w:r>
          </w:p>
        </w:tc>
        <w:tc>
          <w:tcPr>
            <w:tcW w:w="720" w:type="dxa"/>
            <w:vAlign w:val="bottom"/>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3120" w:type="dxa"/>
            <w:vAlign w:val="bottom"/>
          </w:tcPr>
          <w:p>
            <w:pPr>
              <w:ind w:left="80"/>
              <w:spacing w:after="0"/>
              <w:rPr>
                <w:sz w:val="20"/>
                <w:szCs w:val="20"/>
                <w:color w:val="auto"/>
              </w:rPr>
            </w:pPr>
            <w:r>
              <w:rPr>
                <w:rFonts w:ascii="Arial" w:cs="Arial" w:eastAsia="Arial" w:hAnsi="Arial"/>
                <w:sz w:val="16"/>
                <w:szCs w:val="16"/>
                <w:color w:val="auto"/>
              </w:rPr>
              <w:t>Repairs and refurbishment</w:t>
            </w:r>
          </w:p>
        </w:tc>
        <w:tc>
          <w:tcPr>
            <w:tcW w:w="720" w:type="dxa"/>
            <w:vAlign w:val="bottom"/>
          </w:tcPr>
          <w:p>
            <w:pPr>
              <w:jc w:val="right"/>
              <w:spacing w:after="0"/>
              <w:rPr>
                <w:sz w:val="20"/>
                <w:szCs w:val="20"/>
                <w:color w:val="auto"/>
              </w:rPr>
            </w:pPr>
            <w:r>
              <w:rPr>
                <w:rFonts w:ascii="Arial" w:cs="Arial" w:eastAsia="Arial" w:hAnsi="Arial"/>
                <w:sz w:val="16"/>
                <w:szCs w:val="16"/>
                <w:color w:val="auto"/>
              </w:rPr>
              <w:t>2,405</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1,915</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490</w:t>
            </w:r>
          </w:p>
        </w:tc>
      </w:tr>
      <w:tr>
        <w:trPr>
          <w:trHeight w:val="270"/>
        </w:trPr>
        <w:tc>
          <w:tcPr>
            <w:tcW w:w="3120" w:type="dxa"/>
            <w:vAlign w:val="bottom"/>
          </w:tcPr>
          <w:p>
            <w:pPr>
              <w:ind w:left="80"/>
              <w:spacing w:after="0"/>
              <w:rPr>
                <w:sz w:val="20"/>
                <w:szCs w:val="20"/>
                <w:color w:val="auto"/>
              </w:rPr>
            </w:pPr>
            <w:r>
              <w:rPr>
                <w:rFonts w:ascii="Arial" w:cs="Arial" w:eastAsia="Arial" w:hAnsi="Arial"/>
                <w:sz w:val="16"/>
                <w:szCs w:val="16"/>
                <w:color w:val="auto"/>
              </w:rPr>
              <w:t>Taxes and insurance</w:t>
            </w:r>
          </w:p>
        </w:tc>
        <w:tc>
          <w:tcPr>
            <w:tcW w:w="720" w:type="dxa"/>
            <w:vAlign w:val="bottom"/>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83"/>
        </w:trPr>
        <w:tc>
          <w:tcPr>
            <w:tcW w:w="3120" w:type="dxa"/>
            <w:vAlign w:val="bottom"/>
          </w:tcPr>
          <w:p>
            <w:pPr>
              <w:ind w:left="80"/>
              <w:spacing w:after="0"/>
              <w:rPr>
                <w:sz w:val="20"/>
                <w:szCs w:val="20"/>
                <w:color w:val="auto"/>
              </w:rPr>
            </w:pPr>
            <w:r>
              <w:rPr>
                <w:rFonts w:ascii="Arial" w:cs="Arial" w:eastAsia="Arial" w:hAnsi="Arial"/>
                <w:sz w:val="16"/>
                <w:szCs w:val="16"/>
                <w:color w:val="auto"/>
              </w:rPr>
              <w:t>Marketing and other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50"/>
        </w:trPr>
        <w:tc>
          <w:tcPr>
            <w:tcW w:w="3120" w:type="dxa"/>
            <w:vAlign w:val="bottom"/>
          </w:tcPr>
          <w:p>
            <w:pPr>
              <w:ind w:left="180"/>
              <w:spacing w:after="0"/>
              <w:rPr>
                <w:sz w:val="20"/>
                <w:szCs w:val="20"/>
                <w:color w:val="auto"/>
              </w:rPr>
            </w:pPr>
            <w:r>
              <w:rPr>
                <w:rFonts w:ascii="Arial" w:cs="Arial" w:eastAsia="Arial" w:hAnsi="Arial"/>
                <w:sz w:val="16"/>
                <w:szCs w:val="16"/>
                <w:color w:val="auto"/>
                <w:w w:val="94"/>
              </w:rPr>
              <w:t>Rental Program operating and maintenance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5,213</w:t>
            </w:r>
          </w:p>
        </w:tc>
        <w:tc>
          <w:tcPr>
            <w:tcW w:w="10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4,485</w:t>
            </w:r>
          </w:p>
        </w:tc>
        <w:tc>
          <w:tcPr>
            <w:tcW w:w="10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w:t>
            </w:r>
          </w:p>
        </w:tc>
      </w:tr>
      <w:tr>
        <w:trPr>
          <w:trHeight w:val="486"/>
        </w:trPr>
        <w:tc>
          <w:tcPr>
            <w:tcW w:w="3120" w:type="dxa"/>
            <w:vAlign w:val="bottom"/>
          </w:tcPr>
          <w:p>
            <w:pPr>
              <w:spacing w:after="0"/>
              <w:rPr>
                <w:sz w:val="20"/>
                <w:szCs w:val="20"/>
                <w:color w:val="auto"/>
              </w:rPr>
            </w:pPr>
            <w:r>
              <w:rPr>
                <w:rFonts w:ascii="Arial" w:cs="Arial" w:eastAsia="Arial" w:hAnsi="Arial"/>
                <w:sz w:val="16"/>
                <w:szCs w:val="16"/>
                <w:b w:val="1"/>
                <w:bCs w:val="1"/>
                <w:color w:val="auto"/>
              </w:rPr>
              <w:t xml:space="preserve">NET OPERATING INCOME ("NOI") </w:t>
            </w:r>
            <w:r>
              <w:rPr>
                <w:rFonts w:ascii="Arial" w:cs="Arial" w:eastAsia="Arial" w:hAnsi="Arial"/>
                <w:sz w:val="21"/>
                <w:szCs w:val="21"/>
                <w:b w:val="1"/>
                <w:bCs w:val="1"/>
                <w:color w:val="auto"/>
                <w:vertAlign w:val="superscript"/>
              </w:rPr>
              <w:t>(3)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$ 18,034</w:t>
            </w:r>
          </w:p>
        </w:tc>
        <w:tc>
          <w:tcPr>
            <w:tcW w:w="10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  14,958</w:t>
            </w:r>
          </w:p>
        </w:tc>
        <w:tc>
          <w:tcPr>
            <w:tcW w:w="10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3,076</w:t>
            </w:r>
          </w:p>
        </w:tc>
      </w:tr>
      <w:tr>
        <w:trPr>
          <w:trHeight w:val="20"/>
        </w:trPr>
        <w:tc>
          <w:tcPr>
            <w:tcW w:w="3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-1028700</wp:posOffset>
            </wp:positionV>
            <wp:extent cx="615759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5759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615759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5759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615759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5759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15759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Occupied rental home information as of June 30,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615759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57595"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Number of occupied rentals, end of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 in occupied rental homes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1575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5759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Number of sold rental homes*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 average monthly rental rate*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660" w:type="dxa"/>
            <w:vAlign w:val="bottom"/>
          </w:tcPr>
          <w:p>
            <w:pPr>
              <w:jc w:val="right"/>
              <w:ind w:right="119"/>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(32)</w:t>
            </w:r>
          </w:p>
        </w:tc>
        <w:tc>
          <w:tcPr>
            <w:tcW w:w="8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0"/>
        </w:trPr>
        <w:tc>
          <w:tcPr>
            <w:tcW w:w="660" w:type="dxa"/>
            <w:vAlign w:val="bottom"/>
          </w:tcPr>
          <w:p>
            <w:pPr>
              <w:jc w:val="right"/>
              <w:ind w:right="119"/>
              <w:spacing w:after="0"/>
              <w:rPr>
                <w:sz w:val="20"/>
                <w:szCs w:val="20"/>
                <w:color w:val="auto"/>
              </w:rPr>
            </w:pPr>
            <w:r>
              <w:rPr>
                <w:rFonts w:ascii="Arial" w:cs="Arial" w:eastAsia="Arial" w:hAnsi="Arial"/>
                <w:sz w:val="16"/>
                <w:szCs w:val="16"/>
                <w:color w:val="auto"/>
                <w:w w:val="88"/>
              </w:rPr>
              <w:t>25.6 %</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1,133</w:t>
            </w:r>
          </w:p>
        </w:tc>
        <w:tc>
          <w:tcPr>
            <w:tcW w:w="800" w:type="dxa"/>
            <w:vAlign w:val="bottom"/>
          </w:tcPr>
          <w:p>
            <w:pPr>
              <w:jc w:val="right"/>
              <w:spacing w:after="0"/>
              <w:rPr>
                <w:sz w:val="20"/>
                <w:szCs w:val="20"/>
                <w:color w:val="auto"/>
              </w:rPr>
            </w:pPr>
            <w:r>
              <w:rPr>
                <w:rFonts w:ascii="Arial" w:cs="Arial" w:eastAsia="Arial" w:hAnsi="Arial"/>
                <w:sz w:val="16"/>
                <w:szCs w:val="16"/>
                <w:color w:val="auto"/>
              </w:rPr>
              <w:t>30.8 %</w:t>
            </w:r>
          </w:p>
        </w:tc>
        <w:tc>
          <w:tcPr>
            <w:tcW w:w="0" w:type="dxa"/>
            <w:vAlign w:val="bottom"/>
          </w:tcPr>
          <w:p>
            <w:pPr>
              <w:spacing w:after="0"/>
              <w:rPr>
                <w:sz w:val="1"/>
                <w:szCs w:val="1"/>
                <w:color w:val="auto"/>
              </w:rPr>
            </w:pPr>
          </w:p>
        </w:tc>
      </w:tr>
      <w:tr>
        <w:trPr>
          <w:trHeight w:val="270"/>
        </w:trPr>
        <w:tc>
          <w:tcPr>
            <w:tcW w:w="660" w:type="dxa"/>
            <w:vAlign w:val="bottom"/>
          </w:tcPr>
          <w:p>
            <w:pPr>
              <w:jc w:val="right"/>
              <w:ind w:right="119"/>
              <w:spacing w:after="0"/>
              <w:rPr>
                <w:sz w:val="20"/>
                <w:szCs w:val="20"/>
                <w:color w:val="auto"/>
              </w:rPr>
            </w:pPr>
            <w:r>
              <w:rPr>
                <w:rFonts w:ascii="Arial" w:cs="Arial" w:eastAsia="Arial" w:hAnsi="Arial"/>
                <w:sz w:val="16"/>
                <w:szCs w:val="16"/>
                <w:color w:val="auto"/>
                <w:w w:val="88"/>
              </w:rPr>
              <w:t>23.7 %</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522</w:t>
            </w:r>
          </w:p>
        </w:tc>
        <w:tc>
          <w:tcPr>
            <w:tcW w:w="800" w:type="dxa"/>
            <w:vAlign w:val="bottom"/>
          </w:tcPr>
          <w:p>
            <w:pPr>
              <w:jc w:val="right"/>
              <w:spacing w:after="0"/>
              <w:rPr>
                <w:sz w:val="20"/>
                <w:szCs w:val="20"/>
                <w:color w:val="auto"/>
              </w:rPr>
            </w:pPr>
            <w:r>
              <w:rPr>
                <w:rFonts w:ascii="Arial" w:cs="Arial" w:eastAsia="Arial" w:hAnsi="Arial"/>
                <w:sz w:val="16"/>
                <w:szCs w:val="16"/>
                <w:color w:val="auto"/>
              </w:rPr>
              <w:t>24.9 %</w:t>
            </w:r>
          </w:p>
        </w:tc>
        <w:tc>
          <w:tcPr>
            <w:tcW w:w="0" w:type="dxa"/>
            <w:vAlign w:val="bottom"/>
          </w:tcPr>
          <w:p>
            <w:pPr>
              <w:spacing w:after="0"/>
              <w:rPr>
                <w:sz w:val="1"/>
                <w:szCs w:val="1"/>
                <w:color w:val="auto"/>
              </w:rPr>
            </w:pPr>
          </w:p>
        </w:tc>
      </w:tr>
      <w:tr>
        <w:trPr>
          <w:trHeight w:val="283"/>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7"/>
              </w:rPr>
              <w:t>(0.9)%</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800" w:type="dxa"/>
            <w:vAlign w:val="bottom"/>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50"/>
        </w:trPr>
        <w:tc>
          <w:tcPr>
            <w:tcW w:w="660" w:type="dxa"/>
            <w:vAlign w:val="bottom"/>
          </w:tcPr>
          <w:p>
            <w:pPr>
              <w:jc w:val="right"/>
              <w:ind w:right="119"/>
              <w:spacing w:after="0"/>
              <w:rPr>
                <w:sz w:val="20"/>
                <w:szCs w:val="20"/>
                <w:color w:val="auto"/>
              </w:rPr>
            </w:pPr>
            <w:r>
              <w:rPr>
                <w:rFonts w:ascii="Arial" w:cs="Arial" w:eastAsia="Arial" w:hAnsi="Arial"/>
                <w:sz w:val="16"/>
                <w:szCs w:val="16"/>
                <w:color w:val="auto"/>
                <w:w w:val="88"/>
              </w:rPr>
              <w:t>16.2 %</w:t>
            </w: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8,748</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w:t>
            </w:r>
          </w:p>
        </w:tc>
        <w:tc>
          <w:tcPr>
            <w:tcW w:w="800" w:type="dxa"/>
            <w:vAlign w:val="bottom"/>
          </w:tcPr>
          <w:p>
            <w:pPr>
              <w:jc w:val="right"/>
              <w:spacing w:after="0"/>
              <w:rPr>
                <w:sz w:val="20"/>
                <w:szCs w:val="20"/>
                <w:color w:val="auto"/>
              </w:rPr>
            </w:pPr>
            <w:r>
              <w:rPr>
                <w:rFonts w:ascii="Arial" w:cs="Arial" w:eastAsia="Arial" w:hAnsi="Arial"/>
                <w:sz w:val="16"/>
                <w:szCs w:val="16"/>
                <w:color w:val="auto"/>
              </w:rPr>
              <w:t>19.6 %</w:t>
            </w:r>
          </w:p>
        </w:tc>
        <w:tc>
          <w:tcPr>
            <w:tcW w:w="0" w:type="dxa"/>
            <w:vAlign w:val="bottom"/>
          </w:tcPr>
          <w:p>
            <w:pPr>
              <w:spacing w:after="0"/>
              <w:rPr>
                <w:sz w:val="1"/>
                <w:szCs w:val="1"/>
                <w:color w:val="auto"/>
              </w:rPr>
            </w:pPr>
          </w:p>
        </w:tc>
      </w:tr>
      <w:tr>
        <w:trPr>
          <w:trHeight w:val="480"/>
        </w:trPr>
        <w:tc>
          <w:tcPr>
            <w:tcW w:w="780" w:type="dxa"/>
            <w:vAlign w:val="bottom"/>
            <w:gridSpan w:val="2"/>
          </w:tcPr>
          <w:p>
            <w:pPr>
              <w:jc w:val="right"/>
              <w:spacing w:after="0"/>
              <w:rPr>
                <w:sz w:val="20"/>
                <w:szCs w:val="20"/>
                <w:color w:val="auto"/>
              </w:rPr>
            </w:pPr>
            <w:r>
              <w:rPr>
                <w:rFonts w:ascii="Arial" w:cs="Arial" w:eastAsia="Arial" w:hAnsi="Arial"/>
                <w:sz w:val="16"/>
                <w:szCs w:val="16"/>
                <w:color w:val="auto"/>
              </w:rPr>
              <w:t>20.6 %   $</w:t>
            </w:r>
          </w:p>
        </w:tc>
        <w:tc>
          <w:tcPr>
            <w:tcW w:w="600" w:type="dxa"/>
            <w:vAlign w:val="bottom"/>
          </w:tcPr>
          <w:p>
            <w:pPr>
              <w:jc w:val="right"/>
              <w:spacing w:after="0"/>
              <w:rPr>
                <w:sz w:val="20"/>
                <w:szCs w:val="20"/>
                <w:color w:val="auto"/>
              </w:rPr>
            </w:pPr>
            <w:r>
              <w:rPr>
                <w:rFonts w:ascii="Arial" w:cs="Arial" w:eastAsia="Arial" w:hAnsi="Arial"/>
                <w:sz w:val="16"/>
                <w:szCs w:val="16"/>
                <w:color w:val="auto"/>
              </w:rPr>
              <w:t>35,287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28,821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6,466</w:t>
            </w:r>
          </w:p>
        </w:tc>
        <w:tc>
          <w:tcPr>
            <w:tcW w:w="800" w:type="dxa"/>
            <w:vAlign w:val="bottom"/>
          </w:tcPr>
          <w:p>
            <w:pPr>
              <w:jc w:val="right"/>
              <w:spacing w:after="0"/>
              <w:rPr>
                <w:sz w:val="20"/>
                <w:szCs w:val="20"/>
                <w:color w:val="auto"/>
              </w:rPr>
            </w:pPr>
            <w:r>
              <w:rPr>
                <w:rFonts w:ascii="Arial" w:cs="Arial" w:eastAsia="Arial" w:hAnsi="Arial"/>
                <w:sz w:val="16"/>
                <w:szCs w:val="16"/>
                <w:color w:val="auto"/>
              </w:rPr>
              <w:t>22.4 %</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line="20" w:lineRule="exact"/>
              <w:rPr>
                <w:sz w:val="1"/>
                <w:szCs w:val="1"/>
                <w:color w:val="auto"/>
              </w:rPr>
            </w:pPr>
          </w:p>
        </w:tc>
      </w:tr>
      <w:tr>
        <w:trPr>
          <w:trHeight w:val="737"/>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10,226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8,978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1,248</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384,064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323,696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60,368</w:t>
            </w:r>
          </w:p>
        </w:tc>
        <w:tc>
          <w:tcPr>
            <w:tcW w:w="800" w:type="dxa"/>
            <w:vAlign w:val="bottom"/>
          </w:tcPr>
          <w:p>
            <w:pPr>
              <w:jc w:val="right"/>
              <w:spacing w:after="0"/>
              <w:rPr>
                <w:sz w:val="20"/>
                <w:szCs w:val="20"/>
                <w:color w:val="auto"/>
              </w:rPr>
            </w:pPr>
            <w:r>
              <w:rPr>
                <w:rFonts w:ascii="Arial" w:cs="Arial" w:eastAsia="Arial" w:hAnsi="Arial"/>
                <w:sz w:val="16"/>
                <w:szCs w:val="16"/>
                <w:color w:val="auto"/>
              </w:rPr>
              <w:t>18.6 %</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(96)</w:t>
            </w:r>
          </w:p>
        </w:tc>
        <w:tc>
          <w:tcPr>
            <w:tcW w:w="80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70"/>
        </w:trPr>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788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80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20" w:space="320"/>
            <w:col w:w="4379"/>
          </w:cols>
          <w:pgMar w:left="240" w:top="360" w:right="1440"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Sun Communities, Inc. 2nd Quarter 2014</w:t>
      </w:r>
      <w:r>
        <w:rPr>
          <w:sz w:val="20"/>
          <w:szCs w:val="20"/>
          <w:color w:val="auto"/>
        </w:rPr>
        <w:tab/>
      </w:r>
      <w:r>
        <w:rPr>
          <w:rFonts w:ascii="Arial" w:cs="Arial" w:eastAsia="Arial" w:hAnsi="Arial"/>
          <w:sz w:val="15"/>
          <w:szCs w:val="15"/>
          <w:color w:val="auto"/>
        </w:rPr>
        <w:t>Page 13</w:t>
      </w:r>
    </w:p>
    <w:p>
      <w:pPr>
        <w:sectPr>
          <w:pgSz w:w="11900" w:h="16838" w:orient="portrait"/>
          <w:cols w:equalWidth="0" w:num="1">
            <w:col w:w="10219"/>
          </w:cols>
          <w:pgMar w:left="240" w:top="360"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Homes Sales Summary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in thousands except for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8"/>
              </w:rPr>
              <w:t>Three Months Ended June 30,</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0"/>
              </w:rPr>
              <w:t>Six Months Ended June 30,</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264"/>
        </w:trPr>
        <w:tc>
          <w:tcPr>
            <w:tcW w:w="3020" w:type="dxa"/>
            <w:vAlign w:val="bottom"/>
            <w:tcBorders>
              <w:bottom w:val="single" w:sz="8" w:color="EAF9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EAF9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EAF9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Borders>
              <w:bottom w:val="single" w:sz="8" w:color="EAF9E8"/>
            </w:tcBorders>
          </w:tcPr>
          <w:p>
            <w:pPr>
              <w:spacing w:after="0"/>
              <w:rPr>
                <w:sz w:val="22"/>
                <w:szCs w:val="22"/>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EAF9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EAF9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EAF9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tcBorders>
              <w:bottom w:val="single" w:sz="8" w:color="EAF9E8"/>
            </w:tcBorders>
          </w:tcPr>
          <w:p>
            <w:pPr>
              <w:spacing w:after="0"/>
              <w:rPr>
                <w:sz w:val="22"/>
                <w:szCs w:val="22"/>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 Change</w:t>
            </w:r>
          </w:p>
        </w:tc>
      </w:tr>
      <w:tr>
        <w:trPr>
          <w:trHeight w:val="237"/>
        </w:trPr>
        <w:tc>
          <w:tcPr>
            <w:tcW w:w="30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color w:val="auto"/>
              </w:rPr>
              <w:t>New home sales</w:t>
            </w: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2,412</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1,250</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ind w:right="140"/>
              <w:spacing w:after="0"/>
              <w:rPr>
                <w:sz w:val="20"/>
                <w:szCs w:val="20"/>
                <w:color w:val="auto"/>
              </w:rPr>
            </w:pPr>
            <w:r>
              <w:rPr>
                <w:rFonts w:ascii="Arial" w:cs="Arial" w:eastAsia="Arial" w:hAnsi="Arial"/>
                <w:sz w:val="16"/>
                <w:szCs w:val="16"/>
                <w:color w:val="auto"/>
              </w:rPr>
              <w:t>1,162</w:t>
            </w:r>
          </w:p>
        </w:tc>
        <w:tc>
          <w:tcPr>
            <w:tcW w:w="10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93.0 %</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4,575</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2,326</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F9E8"/>
            </w:tcBorders>
            <w:shd w:val="clear" w:color="auto" w:fill="EAF9E8"/>
          </w:tcPr>
          <w:p>
            <w:pPr>
              <w:jc w:val="right"/>
              <w:ind w:right="120"/>
              <w:spacing w:after="0"/>
              <w:rPr>
                <w:sz w:val="20"/>
                <w:szCs w:val="20"/>
                <w:color w:val="auto"/>
              </w:rPr>
            </w:pPr>
            <w:r>
              <w:rPr>
                <w:rFonts w:ascii="Arial" w:cs="Arial" w:eastAsia="Arial" w:hAnsi="Arial"/>
                <w:sz w:val="16"/>
                <w:szCs w:val="16"/>
                <w:color w:val="auto"/>
              </w:rPr>
              <w:t>2,249</w:t>
            </w:r>
          </w:p>
        </w:tc>
        <w:tc>
          <w:tcPr>
            <w:tcW w:w="11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96.7 %</w:t>
            </w:r>
          </w:p>
        </w:tc>
      </w:tr>
      <w:tr>
        <w:trPr>
          <w:trHeight w:val="237"/>
        </w:trPr>
        <w:tc>
          <w:tcPr>
            <w:tcW w:w="3020" w:type="dxa"/>
            <w:vAlign w:val="bottom"/>
          </w:tcPr>
          <w:p>
            <w:pPr>
              <w:ind w:left="40"/>
              <w:spacing w:after="0"/>
              <w:rPr>
                <w:sz w:val="20"/>
                <w:szCs w:val="20"/>
                <w:color w:val="auto"/>
              </w:rPr>
            </w:pPr>
            <w:r>
              <w:rPr>
                <w:rFonts w:ascii="Arial" w:cs="Arial" w:eastAsia="Arial" w:hAnsi="Arial"/>
                <w:sz w:val="16"/>
                <w:szCs w:val="16"/>
                <w:color w:val="auto"/>
              </w:rPr>
              <w:t>Pre-owned home sales</w:t>
            </w:r>
          </w:p>
        </w:tc>
        <w:tc>
          <w:tcPr>
            <w:tcW w:w="220" w:type="dxa"/>
            <w:vAlign w:val="bottom"/>
          </w:tcPr>
          <w:p>
            <w:pPr>
              <w:spacing w:after="0"/>
              <w:rPr>
                <w:sz w:val="20"/>
                <w:szCs w:val="20"/>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12,401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11,949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40"/>
              <w:spacing w:after="0"/>
              <w:rPr>
                <w:sz w:val="20"/>
                <w:szCs w:val="20"/>
                <w:color w:val="auto"/>
              </w:rPr>
            </w:pPr>
            <w:r>
              <w:rPr>
                <w:rFonts w:ascii="Arial" w:cs="Arial" w:eastAsia="Arial" w:hAnsi="Arial"/>
                <w:sz w:val="16"/>
                <w:szCs w:val="16"/>
                <w:color w:val="auto"/>
              </w:rPr>
              <w:t>452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20,361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23,729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(3,368)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(14.2)%</w:t>
            </w:r>
          </w:p>
        </w:tc>
      </w:tr>
      <w:tr>
        <w:trPr>
          <w:trHeight w:val="33"/>
        </w:trPr>
        <w:tc>
          <w:tcPr>
            <w:tcW w:w="30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r>
      <w:tr>
        <w:trPr>
          <w:trHeight w:val="244"/>
        </w:trPr>
        <w:tc>
          <w:tcPr>
            <w:tcW w:w="3020" w:type="dxa"/>
            <w:vAlign w:val="bottom"/>
            <w:shd w:val="clear" w:color="auto" w:fill="EAF9E8"/>
          </w:tcPr>
          <w:p>
            <w:pPr>
              <w:ind w:left="260"/>
              <w:spacing w:after="0"/>
              <w:rPr>
                <w:sz w:val="20"/>
                <w:szCs w:val="20"/>
                <w:color w:val="auto"/>
              </w:rPr>
            </w:pPr>
            <w:r>
              <w:rPr>
                <w:rFonts w:ascii="Arial" w:cs="Arial" w:eastAsia="Arial" w:hAnsi="Arial"/>
                <w:sz w:val="16"/>
                <w:szCs w:val="16"/>
                <w:color w:val="auto"/>
              </w:rPr>
              <w:t>Revenue from home sales</w:t>
            </w:r>
          </w:p>
        </w:tc>
        <w:tc>
          <w:tcPr>
            <w:tcW w:w="220" w:type="dxa"/>
            <w:vAlign w:val="bottom"/>
            <w:tcBorders>
              <w:bottom w:val="single" w:sz="8" w:color="auto"/>
            </w:tcBorders>
            <w:shd w:val="clear" w:color="auto" w:fill="EAF9E8"/>
          </w:tcPr>
          <w:p>
            <w:pPr>
              <w:spacing w:after="0"/>
              <w:rPr>
                <w:sz w:val="21"/>
                <w:szCs w:val="21"/>
                <w:color w:val="auto"/>
              </w:rPr>
            </w:pPr>
          </w:p>
        </w:tc>
        <w:tc>
          <w:tcPr>
            <w:tcW w:w="720" w:type="dxa"/>
            <w:vAlign w:val="bottom"/>
            <w:tcBorders>
              <w:bottom w:val="single" w:sz="8" w:color="auto"/>
            </w:tcBorders>
            <w:shd w:val="clear" w:color="auto" w:fill="EAF9E8"/>
          </w:tcPr>
          <w:p>
            <w:pPr>
              <w:jc w:val="right"/>
              <w:ind w:right="100"/>
              <w:spacing w:after="0"/>
              <w:rPr>
                <w:sz w:val="20"/>
                <w:szCs w:val="20"/>
                <w:color w:val="auto"/>
              </w:rPr>
            </w:pPr>
            <w:r>
              <w:rPr>
                <w:rFonts w:ascii="Arial" w:cs="Arial" w:eastAsia="Arial" w:hAnsi="Arial"/>
                <w:sz w:val="16"/>
                <w:szCs w:val="16"/>
                <w:color w:val="auto"/>
              </w:rPr>
              <w:t>14,813</w:t>
            </w:r>
          </w:p>
        </w:tc>
        <w:tc>
          <w:tcPr>
            <w:tcW w:w="100" w:type="dxa"/>
            <w:vAlign w:val="bottom"/>
            <w:shd w:val="clear" w:color="auto" w:fill="EAF9E8"/>
          </w:tcPr>
          <w:p>
            <w:pPr>
              <w:spacing w:after="0"/>
              <w:rPr>
                <w:sz w:val="21"/>
                <w:szCs w:val="21"/>
                <w:color w:val="auto"/>
              </w:rPr>
            </w:pPr>
          </w:p>
        </w:tc>
        <w:tc>
          <w:tcPr>
            <w:tcW w:w="140" w:type="dxa"/>
            <w:vAlign w:val="bottom"/>
            <w:tcBorders>
              <w:bottom w:val="single" w:sz="8" w:color="auto"/>
            </w:tcBorders>
            <w:shd w:val="clear" w:color="auto" w:fill="EAF9E8"/>
          </w:tcPr>
          <w:p>
            <w:pPr>
              <w:spacing w:after="0"/>
              <w:rPr>
                <w:sz w:val="21"/>
                <w:szCs w:val="21"/>
                <w:color w:val="auto"/>
              </w:rPr>
            </w:pPr>
          </w:p>
        </w:tc>
        <w:tc>
          <w:tcPr>
            <w:tcW w:w="800" w:type="dxa"/>
            <w:vAlign w:val="bottom"/>
            <w:tcBorders>
              <w:bottom w:val="single" w:sz="8" w:color="auto"/>
            </w:tcBorders>
            <w:shd w:val="clear" w:color="auto" w:fill="EAF9E8"/>
          </w:tcPr>
          <w:p>
            <w:pPr>
              <w:jc w:val="right"/>
              <w:ind w:right="100"/>
              <w:spacing w:after="0"/>
              <w:rPr>
                <w:sz w:val="20"/>
                <w:szCs w:val="20"/>
                <w:color w:val="auto"/>
              </w:rPr>
            </w:pPr>
            <w:r>
              <w:rPr>
                <w:rFonts w:ascii="Arial" w:cs="Arial" w:eastAsia="Arial" w:hAnsi="Arial"/>
                <w:sz w:val="16"/>
                <w:szCs w:val="16"/>
                <w:color w:val="auto"/>
              </w:rPr>
              <w:t>13,199</w:t>
            </w:r>
          </w:p>
        </w:tc>
        <w:tc>
          <w:tcPr>
            <w:tcW w:w="100" w:type="dxa"/>
            <w:vAlign w:val="bottom"/>
            <w:shd w:val="clear" w:color="auto" w:fill="EAF9E8"/>
          </w:tcPr>
          <w:p>
            <w:pPr>
              <w:spacing w:after="0"/>
              <w:rPr>
                <w:sz w:val="21"/>
                <w:szCs w:val="21"/>
                <w:color w:val="auto"/>
              </w:rPr>
            </w:pPr>
          </w:p>
        </w:tc>
        <w:tc>
          <w:tcPr>
            <w:tcW w:w="180" w:type="dxa"/>
            <w:vAlign w:val="bottom"/>
            <w:tcBorders>
              <w:bottom w:val="single" w:sz="8" w:color="auto"/>
            </w:tcBorders>
            <w:shd w:val="clear" w:color="auto" w:fill="EAF9E8"/>
          </w:tcPr>
          <w:p>
            <w:pPr>
              <w:spacing w:after="0"/>
              <w:rPr>
                <w:sz w:val="21"/>
                <w:szCs w:val="21"/>
                <w:color w:val="auto"/>
              </w:rPr>
            </w:pPr>
          </w:p>
        </w:tc>
        <w:tc>
          <w:tcPr>
            <w:tcW w:w="800" w:type="dxa"/>
            <w:vAlign w:val="bottom"/>
            <w:tcBorders>
              <w:bottom w:val="single" w:sz="8" w:color="auto"/>
            </w:tcBorders>
            <w:shd w:val="clear" w:color="auto" w:fill="EAF9E8"/>
          </w:tcPr>
          <w:p>
            <w:pPr>
              <w:jc w:val="right"/>
              <w:ind w:right="140"/>
              <w:spacing w:after="0"/>
              <w:rPr>
                <w:sz w:val="20"/>
                <w:szCs w:val="20"/>
                <w:color w:val="auto"/>
              </w:rPr>
            </w:pPr>
            <w:r>
              <w:rPr>
                <w:rFonts w:ascii="Arial" w:cs="Arial" w:eastAsia="Arial" w:hAnsi="Arial"/>
                <w:sz w:val="16"/>
                <w:szCs w:val="16"/>
                <w:color w:val="auto"/>
              </w:rPr>
              <w:t>1,614</w:t>
            </w:r>
          </w:p>
        </w:tc>
        <w:tc>
          <w:tcPr>
            <w:tcW w:w="1080" w:type="dxa"/>
            <w:vAlign w:val="bottom"/>
            <w:gridSpan w:val="2"/>
            <w:shd w:val="clear" w:color="auto" w:fill="EAF9E8"/>
          </w:tcPr>
          <w:p>
            <w:pPr>
              <w:jc w:val="right"/>
              <w:spacing w:after="0"/>
              <w:rPr>
                <w:sz w:val="20"/>
                <w:szCs w:val="20"/>
                <w:color w:val="auto"/>
              </w:rPr>
            </w:pPr>
            <w:r>
              <w:rPr>
                <w:rFonts w:ascii="Arial" w:cs="Arial" w:eastAsia="Arial" w:hAnsi="Arial"/>
                <w:sz w:val="16"/>
                <w:szCs w:val="16"/>
                <w:color w:val="auto"/>
              </w:rPr>
              <w:t>12.2 %</w:t>
            </w:r>
          </w:p>
        </w:tc>
        <w:tc>
          <w:tcPr>
            <w:tcW w:w="100" w:type="dxa"/>
            <w:vAlign w:val="bottom"/>
            <w:shd w:val="clear" w:color="auto" w:fill="EAF9E8"/>
          </w:tcPr>
          <w:p>
            <w:pPr>
              <w:spacing w:after="0"/>
              <w:rPr>
                <w:sz w:val="21"/>
                <w:szCs w:val="21"/>
                <w:color w:val="auto"/>
              </w:rPr>
            </w:pPr>
          </w:p>
        </w:tc>
        <w:tc>
          <w:tcPr>
            <w:tcW w:w="220" w:type="dxa"/>
            <w:vAlign w:val="bottom"/>
            <w:tcBorders>
              <w:bottom w:val="single" w:sz="8" w:color="auto"/>
            </w:tcBorders>
            <w:shd w:val="clear" w:color="auto" w:fill="EAF9E8"/>
          </w:tcPr>
          <w:p>
            <w:pPr>
              <w:spacing w:after="0"/>
              <w:rPr>
                <w:sz w:val="21"/>
                <w:szCs w:val="21"/>
                <w:color w:val="auto"/>
              </w:rPr>
            </w:pPr>
          </w:p>
        </w:tc>
        <w:tc>
          <w:tcPr>
            <w:tcW w:w="720" w:type="dxa"/>
            <w:vAlign w:val="bottom"/>
            <w:tcBorders>
              <w:bottom w:val="single" w:sz="8" w:color="auto"/>
            </w:tcBorders>
            <w:shd w:val="clear" w:color="auto" w:fill="EAF9E8"/>
          </w:tcPr>
          <w:p>
            <w:pPr>
              <w:jc w:val="right"/>
              <w:ind w:right="80"/>
              <w:spacing w:after="0"/>
              <w:rPr>
                <w:sz w:val="20"/>
                <w:szCs w:val="20"/>
                <w:color w:val="auto"/>
              </w:rPr>
            </w:pPr>
            <w:r>
              <w:rPr>
                <w:rFonts w:ascii="Arial" w:cs="Arial" w:eastAsia="Arial" w:hAnsi="Arial"/>
                <w:sz w:val="16"/>
                <w:szCs w:val="16"/>
                <w:color w:val="auto"/>
              </w:rPr>
              <w:t>24,936</w:t>
            </w:r>
          </w:p>
        </w:tc>
        <w:tc>
          <w:tcPr>
            <w:tcW w:w="100" w:type="dxa"/>
            <w:vAlign w:val="bottom"/>
            <w:shd w:val="clear" w:color="auto" w:fill="EAF9E8"/>
          </w:tcPr>
          <w:p>
            <w:pPr>
              <w:spacing w:after="0"/>
              <w:rPr>
                <w:sz w:val="21"/>
                <w:szCs w:val="21"/>
                <w:color w:val="auto"/>
              </w:rPr>
            </w:pPr>
          </w:p>
        </w:tc>
        <w:tc>
          <w:tcPr>
            <w:tcW w:w="180" w:type="dxa"/>
            <w:vAlign w:val="bottom"/>
            <w:tcBorders>
              <w:bottom w:val="single" w:sz="8" w:color="auto"/>
            </w:tcBorders>
            <w:shd w:val="clear" w:color="auto" w:fill="EAF9E8"/>
          </w:tcPr>
          <w:p>
            <w:pPr>
              <w:spacing w:after="0"/>
              <w:rPr>
                <w:sz w:val="21"/>
                <w:szCs w:val="21"/>
                <w:color w:val="auto"/>
              </w:rPr>
            </w:pPr>
          </w:p>
        </w:tc>
        <w:tc>
          <w:tcPr>
            <w:tcW w:w="760" w:type="dxa"/>
            <w:vAlign w:val="bottom"/>
            <w:tcBorders>
              <w:bottom w:val="single" w:sz="8" w:color="auto"/>
            </w:tcBorders>
            <w:shd w:val="clear" w:color="auto" w:fill="EAF9E8"/>
          </w:tcPr>
          <w:p>
            <w:pPr>
              <w:jc w:val="right"/>
              <w:ind w:right="80"/>
              <w:spacing w:after="0"/>
              <w:rPr>
                <w:sz w:val="20"/>
                <w:szCs w:val="20"/>
                <w:color w:val="auto"/>
              </w:rPr>
            </w:pPr>
            <w:r>
              <w:rPr>
                <w:rFonts w:ascii="Arial" w:cs="Arial" w:eastAsia="Arial" w:hAnsi="Arial"/>
                <w:sz w:val="16"/>
                <w:szCs w:val="16"/>
                <w:color w:val="auto"/>
              </w:rPr>
              <w:t>26,055</w:t>
            </w:r>
          </w:p>
        </w:tc>
        <w:tc>
          <w:tcPr>
            <w:tcW w:w="100" w:type="dxa"/>
            <w:vAlign w:val="bottom"/>
            <w:shd w:val="clear" w:color="auto" w:fill="EAF9E8"/>
          </w:tcPr>
          <w:p>
            <w:pPr>
              <w:spacing w:after="0"/>
              <w:rPr>
                <w:sz w:val="21"/>
                <w:szCs w:val="21"/>
                <w:color w:val="auto"/>
              </w:rPr>
            </w:pPr>
          </w:p>
        </w:tc>
        <w:tc>
          <w:tcPr>
            <w:tcW w:w="200" w:type="dxa"/>
            <w:vAlign w:val="bottom"/>
            <w:tcBorders>
              <w:bottom w:val="single" w:sz="8" w:color="auto"/>
            </w:tcBorders>
            <w:shd w:val="clear" w:color="auto" w:fill="EAF9E8"/>
          </w:tcPr>
          <w:p>
            <w:pPr>
              <w:spacing w:after="0"/>
              <w:rPr>
                <w:sz w:val="21"/>
                <w:szCs w:val="21"/>
                <w:color w:val="auto"/>
              </w:rPr>
            </w:pPr>
          </w:p>
        </w:tc>
        <w:tc>
          <w:tcPr>
            <w:tcW w:w="780" w:type="dxa"/>
            <w:vAlign w:val="bottom"/>
            <w:tcBorders>
              <w:bottom w:val="single" w:sz="8" w:color="auto"/>
            </w:tcBorders>
            <w:shd w:val="clear" w:color="auto" w:fill="EAF9E8"/>
          </w:tcPr>
          <w:p>
            <w:pPr>
              <w:jc w:val="right"/>
              <w:ind w:right="80"/>
              <w:spacing w:after="0"/>
              <w:rPr>
                <w:sz w:val="20"/>
                <w:szCs w:val="20"/>
                <w:color w:val="auto"/>
              </w:rPr>
            </w:pPr>
            <w:r>
              <w:rPr>
                <w:rFonts w:ascii="Arial" w:cs="Arial" w:eastAsia="Arial" w:hAnsi="Arial"/>
                <w:sz w:val="16"/>
                <w:szCs w:val="16"/>
                <w:color w:val="auto"/>
              </w:rPr>
              <w:t>(1,119)</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6"/>
                <w:szCs w:val="16"/>
                <w:color w:val="auto"/>
              </w:rPr>
              <w:t>(4.3)%</w:t>
            </w:r>
          </w:p>
        </w:tc>
      </w:tr>
      <w:tr>
        <w:trPr>
          <w:trHeight w:val="230"/>
        </w:trPr>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0"/>
        </w:trPr>
        <w:tc>
          <w:tcPr>
            <w:tcW w:w="30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color w:val="auto"/>
              </w:rPr>
              <w:t>New home cost of sales</w:t>
            </w:r>
          </w:p>
        </w:tc>
        <w:tc>
          <w:tcPr>
            <w:tcW w:w="220" w:type="dxa"/>
            <w:vAlign w:val="bottom"/>
            <w:tcBorders>
              <w:bottom w:val="single" w:sz="8" w:color="EAF9E8"/>
            </w:tcBorders>
            <w:shd w:val="clear" w:color="auto" w:fill="EAF9E8"/>
          </w:tcPr>
          <w:p>
            <w:pPr>
              <w:spacing w:after="0"/>
              <w:rPr>
                <w:sz w:val="21"/>
                <w:szCs w:val="21"/>
                <w:color w:val="auto"/>
              </w:rPr>
            </w:pPr>
          </w:p>
        </w:tc>
        <w:tc>
          <w:tcPr>
            <w:tcW w:w="72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2,041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1,106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40"/>
              <w:spacing w:after="0"/>
              <w:rPr>
                <w:sz w:val="20"/>
                <w:szCs w:val="20"/>
                <w:color w:val="auto"/>
              </w:rPr>
            </w:pPr>
            <w:r>
              <w:rPr>
                <w:rFonts w:ascii="Arial" w:cs="Arial" w:eastAsia="Arial" w:hAnsi="Arial"/>
                <w:sz w:val="16"/>
                <w:szCs w:val="16"/>
                <w:color w:val="auto"/>
              </w:rPr>
              <w:t>935</w:t>
            </w:r>
          </w:p>
        </w:tc>
        <w:tc>
          <w:tcPr>
            <w:tcW w:w="10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84.5 %</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72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3,875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jc w:val="right"/>
              <w:ind w:right="120"/>
              <w:spacing w:after="0"/>
              <w:rPr>
                <w:sz w:val="20"/>
                <w:szCs w:val="20"/>
                <w:color w:val="auto"/>
              </w:rPr>
            </w:pPr>
            <w:r>
              <w:rPr>
                <w:rFonts w:ascii="Arial" w:cs="Arial" w:eastAsia="Arial" w:hAnsi="Arial"/>
                <w:sz w:val="16"/>
                <w:szCs w:val="16"/>
                <w:color w:val="auto"/>
              </w:rPr>
              <w:t>1,854</w:t>
            </w:r>
          </w:p>
        </w:tc>
        <w:tc>
          <w:tcPr>
            <w:tcW w:w="11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91.7 %</w:t>
            </w:r>
          </w:p>
        </w:tc>
      </w:tr>
      <w:tr>
        <w:trPr>
          <w:trHeight w:val="237"/>
        </w:trPr>
        <w:tc>
          <w:tcPr>
            <w:tcW w:w="3020" w:type="dxa"/>
            <w:vAlign w:val="bottom"/>
          </w:tcPr>
          <w:p>
            <w:pPr>
              <w:ind w:left="40"/>
              <w:spacing w:after="0"/>
              <w:rPr>
                <w:sz w:val="20"/>
                <w:szCs w:val="20"/>
                <w:color w:val="auto"/>
              </w:rPr>
            </w:pPr>
            <w:r>
              <w:rPr>
                <w:rFonts w:ascii="Arial" w:cs="Arial" w:eastAsia="Arial" w:hAnsi="Arial"/>
                <w:sz w:val="16"/>
                <w:szCs w:val="16"/>
                <w:color w:val="auto"/>
              </w:rPr>
              <w:t>Pre-owned home cost of sales</w:t>
            </w:r>
          </w:p>
        </w:tc>
        <w:tc>
          <w:tcPr>
            <w:tcW w:w="220" w:type="dxa"/>
            <w:vAlign w:val="bottom"/>
          </w:tcPr>
          <w:p>
            <w:pPr>
              <w:spacing w:after="0"/>
              <w:rPr>
                <w:sz w:val="20"/>
                <w:szCs w:val="20"/>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9,059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8,277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40"/>
              <w:spacing w:after="0"/>
              <w:rPr>
                <w:sz w:val="20"/>
                <w:szCs w:val="20"/>
                <w:color w:val="auto"/>
              </w:rPr>
            </w:pPr>
            <w:r>
              <w:rPr>
                <w:rFonts w:ascii="Arial" w:cs="Arial" w:eastAsia="Arial" w:hAnsi="Arial"/>
                <w:sz w:val="16"/>
                <w:szCs w:val="16"/>
                <w:color w:val="auto"/>
              </w:rPr>
              <w:t>782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15,073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17,178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(2,105)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(12.3)%</w:t>
            </w:r>
          </w:p>
        </w:tc>
      </w:tr>
      <w:tr>
        <w:trPr>
          <w:trHeight w:val="33"/>
        </w:trPr>
        <w:tc>
          <w:tcPr>
            <w:tcW w:w="30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r>
      <w:tr>
        <w:trPr>
          <w:trHeight w:val="250"/>
        </w:trPr>
        <w:tc>
          <w:tcPr>
            <w:tcW w:w="3020" w:type="dxa"/>
            <w:vAlign w:val="bottom"/>
            <w:tcBorders>
              <w:bottom w:val="single" w:sz="8" w:color="EAF9E8"/>
            </w:tcBorders>
            <w:shd w:val="clear" w:color="auto" w:fill="EAF9E8"/>
          </w:tcPr>
          <w:p>
            <w:pPr>
              <w:ind w:left="220"/>
              <w:spacing w:after="0"/>
              <w:rPr>
                <w:sz w:val="20"/>
                <w:szCs w:val="20"/>
                <w:color w:val="auto"/>
              </w:rPr>
            </w:pPr>
            <w:r>
              <w:rPr>
                <w:rFonts w:ascii="Arial" w:cs="Arial" w:eastAsia="Arial" w:hAnsi="Arial"/>
                <w:sz w:val="16"/>
                <w:szCs w:val="16"/>
                <w:color w:val="auto"/>
              </w:rPr>
              <w:t>Cost of home sales</w:t>
            </w:r>
          </w:p>
        </w:tc>
        <w:tc>
          <w:tcPr>
            <w:tcW w:w="220" w:type="dxa"/>
            <w:vAlign w:val="bottom"/>
            <w:tcBorders>
              <w:bottom w:val="single" w:sz="8" w:color="EAF9E8"/>
            </w:tcBorders>
            <w:shd w:val="clear" w:color="auto" w:fill="EAF9E8"/>
          </w:tcPr>
          <w:p>
            <w:pPr>
              <w:spacing w:after="0"/>
              <w:rPr>
                <w:sz w:val="21"/>
                <w:szCs w:val="21"/>
                <w:color w:val="auto"/>
              </w:rPr>
            </w:pPr>
          </w:p>
        </w:tc>
        <w:tc>
          <w:tcPr>
            <w:tcW w:w="72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11,100</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9,383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40"/>
              <w:spacing w:after="0"/>
              <w:rPr>
                <w:sz w:val="20"/>
                <w:szCs w:val="20"/>
                <w:color w:val="auto"/>
              </w:rPr>
            </w:pPr>
            <w:r>
              <w:rPr>
                <w:rFonts w:ascii="Arial" w:cs="Arial" w:eastAsia="Arial" w:hAnsi="Arial"/>
                <w:sz w:val="16"/>
                <w:szCs w:val="16"/>
                <w:color w:val="auto"/>
              </w:rPr>
              <w:t>1,717</w:t>
            </w:r>
          </w:p>
        </w:tc>
        <w:tc>
          <w:tcPr>
            <w:tcW w:w="10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18.3 %</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72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18,948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19,199</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(251)</w:t>
            </w:r>
          </w:p>
        </w:tc>
        <w:tc>
          <w:tcPr>
            <w:tcW w:w="11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30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30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 xml:space="preserve">NOI / Gross Profit </w:t>
            </w:r>
            <w:r>
              <w:rPr>
                <w:rFonts w:ascii="Arial" w:cs="Arial" w:eastAsia="Arial" w:hAnsi="Arial"/>
                <w:sz w:val="21"/>
                <w:szCs w:val="21"/>
                <w:b w:val="1"/>
                <w:bCs w:val="1"/>
                <w:color w:val="auto"/>
                <w:vertAlign w:val="superscript"/>
              </w:rPr>
              <w:t>(2)</w:t>
            </w:r>
          </w:p>
        </w:tc>
        <w:tc>
          <w:tcPr>
            <w:tcW w:w="22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EAF9E8"/>
          </w:tcPr>
          <w:p>
            <w:pPr>
              <w:jc w:val="right"/>
              <w:ind w:right="100"/>
              <w:spacing w:after="0"/>
              <w:rPr>
                <w:sz w:val="20"/>
                <w:szCs w:val="20"/>
                <w:color w:val="auto"/>
              </w:rPr>
            </w:pPr>
            <w:r>
              <w:rPr>
                <w:rFonts w:ascii="Arial" w:cs="Arial" w:eastAsia="Arial" w:hAnsi="Arial"/>
                <w:sz w:val="16"/>
                <w:szCs w:val="16"/>
                <w:color w:val="auto"/>
              </w:rPr>
              <w:t>3,713</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EAF9E8"/>
          </w:tcPr>
          <w:p>
            <w:pPr>
              <w:jc w:val="right"/>
              <w:ind w:right="100"/>
              <w:spacing w:after="0"/>
              <w:rPr>
                <w:sz w:val="20"/>
                <w:szCs w:val="20"/>
                <w:color w:val="auto"/>
              </w:rPr>
            </w:pPr>
            <w:r>
              <w:rPr>
                <w:rFonts w:ascii="Arial" w:cs="Arial" w:eastAsia="Arial" w:hAnsi="Arial"/>
                <w:sz w:val="16"/>
                <w:szCs w:val="16"/>
                <w:color w:val="auto"/>
              </w:rPr>
              <w:t>3,816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EAF9E8"/>
          </w:tcPr>
          <w:p>
            <w:pPr>
              <w:jc w:val="right"/>
              <w:ind w:right="100"/>
              <w:spacing w:after="0"/>
              <w:rPr>
                <w:sz w:val="20"/>
                <w:szCs w:val="20"/>
                <w:color w:val="auto"/>
              </w:rPr>
            </w:pPr>
            <w:r>
              <w:rPr>
                <w:rFonts w:ascii="Arial" w:cs="Arial" w:eastAsia="Arial" w:hAnsi="Arial"/>
                <w:sz w:val="16"/>
                <w:szCs w:val="16"/>
                <w:color w:val="auto"/>
              </w:rPr>
              <w:t>(103)</w:t>
            </w:r>
          </w:p>
        </w:tc>
        <w:tc>
          <w:tcPr>
            <w:tcW w:w="10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EAF9E8"/>
          </w:tcPr>
          <w:p>
            <w:pPr>
              <w:jc w:val="right"/>
              <w:ind w:right="80"/>
              <w:spacing w:after="0"/>
              <w:rPr>
                <w:sz w:val="20"/>
                <w:szCs w:val="20"/>
                <w:color w:val="auto"/>
              </w:rPr>
            </w:pPr>
            <w:r>
              <w:rPr>
                <w:rFonts w:ascii="Arial" w:cs="Arial" w:eastAsia="Arial" w:hAnsi="Arial"/>
                <w:sz w:val="16"/>
                <w:szCs w:val="16"/>
                <w:color w:val="auto"/>
              </w:rPr>
              <w:t>5,988</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EAF9E8"/>
          </w:tcPr>
          <w:p>
            <w:pPr>
              <w:jc w:val="right"/>
              <w:ind w:right="80"/>
              <w:spacing w:after="0"/>
              <w:rPr>
                <w:sz w:val="20"/>
                <w:szCs w:val="20"/>
                <w:color w:val="auto"/>
              </w:rPr>
            </w:pPr>
            <w:r>
              <w:rPr>
                <w:rFonts w:ascii="Arial" w:cs="Arial" w:eastAsia="Arial" w:hAnsi="Arial"/>
                <w:sz w:val="16"/>
                <w:szCs w:val="16"/>
                <w:color w:val="auto"/>
              </w:rPr>
              <w:t>6,856</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EAF9E8"/>
          </w:tcPr>
          <w:p>
            <w:pPr>
              <w:jc w:val="right"/>
              <w:ind w:right="80"/>
              <w:spacing w:after="0"/>
              <w:rPr>
                <w:sz w:val="20"/>
                <w:szCs w:val="20"/>
                <w:color w:val="auto"/>
              </w:rPr>
            </w:pPr>
            <w:r>
              <w:rPr>
                <w:rFonts w:ascii="Arial" w:cs="Arial" w:eastAsia="Arial" w:hAnsi="Arial"/>
                <w:sz w:val="16"/>
                <w:szCs w:val="16"/>
                <w:color w:val="auto"/>
              </w:rPr>
              <w:t>(868)</w:t>
            </w:r>
          </w:p>
        </w:tc>
        <w:tc>
          <w:tcPr>
            <w:tcW w:w="11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(12.7)%</w:t>
            </w:r>
          </w:p>
        </w:tc>
      </w:tr>
      <w:tr>
        <w:trPr>
          <w:trHeight w:val="20"/>
        </w:trPr>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4"/>
        </w:trPr>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0"/>
        </w:trPr>
        <w:tc>
          <w:tcPr>
            <w:tcW w:w="30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color w:val="auto"/>
              </w:rPr>
              <w:t>Gross profit – new homes</w:t>
            </w: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ind w:right="140"/>
              <w:spacing w:after="0"/>
              <w:rPr>
                <w:sz w:val="20"/>
                <w:szCs w:val="20"/>
                <w:color w:val="auto"/>
              </w:rPr>
            </w:pPr>
            <w:r>
              <w:rPr>
                <w:rFonts w:ascii="Arial" w:cs="Arial" w:eastAsia="Arial" w:hAnsi="Arial"/>
                <w:sz w:val="16"/>
                <w:szCs w:val="16"/>
                <w:color w:val="auto"/>
              </w:rPr>
              <w:t>227</w:t>
            </w:r>
          </w:p>
        </w:tc>
        <w:tc>
          <w:tcPr>
            <w:tcW w:w="10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157.6 %</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F9E8"/>
            </w:tcBorders>
            <w:shd w:val="clear" w:color="auto" w:fill="EAF9E8"/>
          </w:tcPr>
          <w:p>
            <w:pPr>
              <w:jc w:val="right"/>
              <w:ind w:right="120"/>
              <w:spacing w:after="0"/>
              <w:rPr>
                <w:sz w:val="20"/>
                <w:szCs w:val="20"/>
                <w:color w:val="auto"/>
              </w:rPr>
            </w:pPr>
            <w:r>
              <w:rPr>
                <w:rFonts w:ascii="Arial" w:cs="Arial" w:eastAsia="Arial" w:hAnsi="Arial"/>
                <w:sz w:val="16"/>
                <w:szCs w:val="16"/>
                <w:color w:val="auto"/>
              </w:rPr>
              <w:t>395</w:t>
            </w:r>
          </w:p>
        </w:tc>
        <w:tc>
          <w:tcPr>
            <w:tcW w:w="11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129.5 %</w:t>
            </w:r>
          </w:p>
        </w:tc>
      </w:tr>
      <w:tr>
        <w:trPr>
          <w:trHeight w:val="237"/>
        </w:trPr>
        <w:tc>
          <w:tcPr>
            <w:tcW w:w="3020" w:type="dxa"/>
            <w:vAlign w:val="bottom"/>
          </w:tcPr>
          <w:p>
            <w:pPr>
              <w:ind w:left="40"/>
              <w:spacing w:after="0"/>
              <w:rPr>
                <w:sz w:val="20"/>
                <w:szCs w:val="20"/>
                <w:color w:val="auto"/>
              </w:rPr>
            </w:pPr>
            <w:r>
              <w:rPr>
                <w:rFonts w:ascii="Arial" w:cs="Arial" w:eastAsia="Arial" w:hAnsi="Arial"/>
                <w:sz w:val="16"/>
                <w:szCs w:val="16"/>
                <w:color w:val="auto"/>
              </w:rPr>
              <w:t>Gross margin % – new homes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0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color w:val="auto"/>
              </w:rPr>
              <w:t>Average selling price - new homes*</w:t>
            </w: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80,129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76,832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ind w:right="140"/>
              <w:spacing w:after="0"/>
              <w:rPr>
                <w:sz w:val="20"/>
                <w:szCs w:val="20"/>
                <w:color w:val="auto"/>
              </w:rPr>
            </w:pPr>
            <w:r>
              <w:rPr>
                <w:rFonts w:ascii="Arial" w:cs="Arial" w:eastAsia="Arial" w:hAnsi="Arial"/>
                <w:sz w:val="16"/>
                <w:szCs w:val="16"/>
                <w:color w:val="auto"/>
              </w:rPr>
              <w:t>3,297</w:t>
            </w:r>
          </w:p>
        </w:tc>
        <w:tc>
          <w:tcPr>
            <w:tcW w:w="10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84,730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68,417</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F9E8"/>
            </w:tcBorders>
            <w:shd w:val="clear" w:color="auto" w:fill="EAF9E8"/>
          </w:tcPr>
          <w:p>
            <w:pPr>
              <w:jc w:val="right"/>
              <w:ind w:right="120"/>
              <w:spacing w:after="0"/>
              <w:rPr>
                <w:sz w:val="20"/>
                <w:szCs w:val="20"/>
                <w:color w:val="auto"/>
              </w:rPr>
            </w:pPr>
            <w:r>
              <w:rPr>
                <w:rFonts w:ascii="Arial" w:cs="Arial" w:eastAsia="Arial" w:hAnsi="Arial"/>
                <w:sz w:val="16"/>
                <w:szCs w:val="16"/>
                <w:color w:val="auto"/>
              </w:rPr>
              <w:t>16,313</w:t>
            </w:r>
          </w:p>
        </w:tc>
        <w:tc>
          <w:tcPr>
            <w:tcW w:w="11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23.8 %</w:t>
            </w:r>
          </w:p>
        </w:tc>
      </w:tr>
      <w:tr>
        <w:trPr>
          <w:trHeight w:val="297"/>
        </w:trPr>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30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color w:val="auto"/>
              </w:rPr>
              <w:t>Gross profit – pre-owned homes</w:t>
            </w: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3,342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3,672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(330)</w:t>
            </w:r>
          </w:p>
        </w:tc>
        <w:tc>
          <w:tcPr>
            <w:tcW w:w="10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5,288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6,551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(1,263)</w:t>
            </w:r>
          </w:p>
        </w:tc>
        <w:tc>
          <w:tcPr>
            <w:tcW w:w="11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(19.3)%</w:t>
            </w:r>
          </w:p>
        </w:tc>
      </w:tr>
      <w:tr>
        <w:trPr>
          <w:trHeight w:val="237"/>
        </w:trPr>
        <w:tc>
          <w:tcPr>
            <w:tcW w:w="3020" w:type="dxa"/>
            <w:vAlign w:val="bottom"/>
          </w:tcPr>
          <w:p>
            <w:pPr>
              <w:ind w:left="40"/>
              <w:spacing w:after="0"/>
              <w:rPr>
                <w:sz w:val="20"/>
                <w:szCs w:val="20"/>
                <w:color w:val="auto"/>
              </w:rPr>
            </w:pPr>
            <w:r>
              <w:rPr>
                <w:rFonts w:ascii="Arial" w:cs="Arial" w:eastAsia="Arial" w:hAnsi="Arial"/>
                <w:sz w:val="16"/>
                <w:szCs w:val="16"/>
                <w:color w:val="auto"/>
              </w:rPr>
              <w:t>Gross margin % – pre-owned homes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0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color w:val="auto"/>
                <w:w w:val="99"/>
              </w:rPr>
              <w:t>Average selling price - pre-owned homes*</w:t>
            </w: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25,107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25,975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(868)</w:t>
            </w:r>
          </w:p>
        </w:tc>
        <w:tc>
          <w:tcPr>
            <w:tcW w:w="10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24,354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26,018</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(1,664)</w:t>
            </w:r>
          </w:p>
        </w:tc>
        <w:tc>
          <w:tcPr>
            <w:tcW w:w="11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(6.4)%</w:t>
            </w:r>
          </w:p>
        </w:tc>
      </w:tr>
      <w:tr>
        <w:trPr>
          <w:trHeight w:val="270"/>
        </w:trPr>
        <w:tc>
          <w:tcPr>
            <w:tcW w:w="3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30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Home sales volume:</w:t>
            </w:r>
          </w:p>
        </w:tc>
        <w:tc>
          <w:tcPr>
            <w:tcW w:w="220" w:type="dxa"/>
            <w:vAlign w:val="bottom"/>
            <w:tcBorders>
              <w:bottom w:val="single" w:sz="8" w:color="EAF9E8"/>
            </w:tcBorders>
            <w:shd w:val="clear" w:color="auto" w:fill="EAF9E8"/>
          </w:tcPr>
          <w:p>
            <w:pPr>
              <w:spacing w:after="0"/>
              <w:rPr>
                <w:sz w:val="21"/>
                <w:szCs w:val="21"/>
                <w:color w:val="auto"/>
              </w:rPr>
            </w:pPr>
          </w:p>
        </w:tc>
        <w:tc>
          <w:tcPr>
            <w:tcW w:w="7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7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r>
      <w:tr>
        <w:trPr>
          <w:trHeight w:val="237"/>
        </w:trPr>
        <w:tc>
          <w:tcPr>
            <w:tcW w:w="3020" w:type="dxa"/>
            <w:vAlign w:val="bottom"/>
          </w:tcPr>
          <w:p>
            <w:pPr>
              <w:ind w:left="40"/>
              <w:spacing w:after="0"/>
              <w:rPr>
                <w:sz w:val="20"/>
                <w:szCs w:val="20"/>
                <w:color w:val="auto"/>
              </w:rPr>
            </w:pPr>
            <w:r>
              <w:rPr>
                <w:rFonts w:ascii="Arial" w:cs="Arial" w:eastAsia="Arial" w:hAnsi="Arial"/>
                <w:sz w:val="16"/>
                <w:szCs w:val="16"/>
                <w:color w:val="auto"/>
              </w:rPr>
              <w:t>New home sales</w:t>
            </w:r>
          </w:p>
        </w:tc>
        <w:tc>
          <w:tcPr>
            <w:tcW w:w="220" w:type="dxa"/>
            <w:vAlign w:val="bottom"/>
          </w:tcPr>
          <w:p>
            <w:pPr>
              <w:spacing w:after="0"/>
              <w:rPr>
                <w:sz w:val="20"/>
                <w:szCs w:val="20"/>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20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58.8 %</w:t>
            </w:r>
          </w:p>
        </w:tc>
      </w:tr>
      <w:tr>
        <w:trPr>
          <w:trHeight w:val="33"/>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0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color w:val="auto"/>
              </w:rPr>
              <w:t>Pre-owned home sales</w:t>
            </w:r>
          </w:p>
        </w:tc>
        <w:tc>
          <w:tcPr>
            <w:tcW w:w="220" w:type="dxa"/>
            <w:vAlign w:val="bottom"/>
            <w:tcBorders>
              <w:bottom w:val="single" w:sz="8" w:color="EAF9E8"/>
            </w:tcBorders>
            <w:shd w:val="clear" w:color="auto" w:fill="EAF9E8"/>
          </w:tcPr>
          <w:p>
            <w:pPr>
              <w:spacing w:after="0"/>
              <w:rPr>
                <w:sz w:val="23"/>
                <w:szCs w:val="23"/>
                <w:color w:val="auto"/>
              </w:rPr>
            </w:pPr>
          </w:p>
        </w:tc>
        <w:tc>
          <w:tcPr>
            <w:tcW w:w="72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140"/>
              <w:spacing w:after="0"/>
              <w:rPr>
                <w:sz w:val="20"/>
                <w:szCs w:val="20"/>
                <w:color w:val="auto"/>
              </w:rPr>
            </w:pPr>
            <w:r>
              <w:rPr>
                <w:rFonts w:ascii="Arial" w:cs="Arial" w:eastAsia="Arial" w:hAnsi="Arial"/>
                <w:sz w:val="16"/>
                <w:szCs w:val="16"/>
                <w:color w:val="auto"/>
              </w:rPr>
              <w:t>34</w:t>
            </w:r>
          </w:p>
        </w:tc>
        <w:tc>
          <w:tcPr>
            <w:tcW w:w="10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72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836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76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912</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780" w:type="dxa"/>
            <w:vAlign w:val="bottom"/>
            <w:tcBorders>
              <w:bottom w:val="single" w:sz="8" w:color="EAF9E8"/>
            </w:tcBorders>
            <w:shd w:val="clear" w:color="auto" w:fill="EAF9E8"/>
          </w:tcPr>
          <w:p>
            <w:pPr>
              <w:jc w:val="right"/>
              <w:ind w:right="80"/>
              <w:spacing w:after="0"/>
              <w:rPr>
                <w:sz w:val="20"/>
                <w:szCs w:val="20"/>
                <w:color w:val="auto"/>
              </w:rPr>
            </w:pPr>
            <w:r>
              <w:rPr>
                <w:rFonts w:ascii="Arial" w:cs="Arial" w:eastAsia="Arial" w:hAnsi="Arial"/>
                <w:sz w:val="16"/>
                <w:szCs w:val="16"/>
                <w:color w:val="auto"/>
              </w:rPr>
              <w:t>(76)</w:t>
            </w:r>
          </w:p>
        </w:tc>
        <w:tc>
          <w:tcPr>
            <w:tcW w:w="11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(8.3)%</w:t>
            </w:r>
          </w:p>
        </w:tc>
      </w:tr>
      <w:tr>
        <w:trPr>
          <w:trHeight w:val="247"/>
        </w:trPr>
        <w:tc>
          <w:tcPr>
            <w:tcW w:w="3020" w:type="dxa"/>
            <w:vAlign w:val="bottom"/>
          </w:tcPr>
          <w:p>
            <w:pPr>
              <w:ind w:left="260"/>
              <w:spacing w:after="0"/>
              <w:rPr>
                <w:sz w:val="20"/>
                <w:szCs w:val="20"/>
                <w:color w:val="auto"/>
              </w:rPr>
            </w:pPr>
            <w:r>
              <w:rPr>
                <w:rFonts w:ascii="Arial" w:cs="Arial" w:eastAsia="Arial" w:hAnsi="Arial"/>
                <w:sz w:val="16"/>
                <w:szCs w:val="16"/>
                <w:color w:val="auto"/>
              </w:rPr>
              <w:t>Total homes sold</w:t>
            </w: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41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(56)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(5.9)%</w:t>
            </w:r>
          </w:p>
        </w:tc>
      </w:tr>
      <w:tr>
        <w:trPr>
          <w:trHeight w:val="20"/>
        </w:trPr>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Sun Communities, Inc. 2nd Quarter 2014</w:t>
      </w:r>
      <w:r>
        <w:rPr>
          <w:sz w:val="20"/>
          <w:szCs w:val="20"/>
          <w:color w:val="auto"/>
        </w:rPr>
        <w:tab/>
      </w:r>
      <w:r>
        <w:rPr>
          <w:rFonts w:ascii="Arial" w:cs="Arial" w:eastAsia="Arial" w:hAnsi="Arial"/>
          <w:sz w:val="15"/>
          <w:szCs w:val="15"/>
          <w:color w:val="auto"/>
        </w:rPr>
        <w:t>Page 14</w:t>
      </w:r>
    </w:p>
    <w:p>
      <w:pPr>
        <w:sectPr>
          <w:pgSz w:w="11900" w:h="16838" w:orient="portrait"/>
          <w:cols w:equalWidth="0" w:num="1">
            <w:col w:w="11420"/>
          </w:cols>
          <w:pgMar w:left="240" w:top="360" w:right="2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Acquisition Summary - Properties Acquired in 2013 and 2014</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for statistical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2"/>
          </w:tcPr>
          <w:p>
            <w:pPr>
              <w:ind w:left="100"/>
              <w:spacing w:after="0"/>
              <w:rPr>
                <w:sz w:val="20"/>
                <w:szCs w:val="20"/>
                <w:color w:val="auto"/>
              </w:rPr>
            </w:pPr>
            <w:r>
              <w:rPr>
                <w:rFonts w:ascii="Arial" w:cs="Arial" w:eastAsia="Arial" w:hAnsi="Arial"/>
                <w:sz w:val="14"/>
                <w:szCs w:val="14"/>
                <w:b w:val="1"/>
                <w:bCs w:val="1"/>
                <w:color w:val="auto"/>
              </w:rPr>
              <w:t>Three Months Ended June 30, 2014</w:t>
            </w:r>
          </w:p>
        </w:tc>
        <w:tc>
          <w:tcPr>
            <w:tcW w:w="220" w:type="dxa"/>
            <w:vAlign w:val="bottom"/>
          </w:tcPr>
          <w:p>
            <w:pPr>
              <w:spacing w:after="0"/>
              <w:rPr>
                <w:sz w:val="16"/>
                <w:szCs w:val="16"/>
                <w:color w:val="auto"/>
              </w:rPr>
            </w:pPr>
          </w:p>
        </w:tc>
        <w:tc>
          <w:tcPr>
            <w:tcW w:w="2460" w:type="dxa"/>
            <w:vAlign w:val="bottom"/>
          </w:tcPr>
          <w:p>
            <w:pPr>
              <w:jc w:val="right"/>
              <w:ind w:right="251"/>
              <w:spacing w:after="0"/>
              <w:rPr>
                <w:sz w:val="20"/>
                <w:szCs w:val="20"/>
                <w:color w:val="auto"/>
              </w:rPr>
            </w:pPr>
            <w:r>
              <w:rPr>
                <w:rFonts w:ascii="Arial" w:cs="Arial" w:eastAsia="Arial" w:hAnsi="Arial"/>
                <w:sz w:val="14"/>
                <w:szCs w:val="14"/>
                <w:b w:val="1"/>
                <w:bCs w:val="1"/>
                <w:color w:val="auto"/>
                <w:w w:val="97"/>
              </w:rPr>
              <w:t>Six Months Ended June 30, 2014</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460" w:type="dxa"/>
            <w:vAlign w:val="bottom"/>
            <w:tcBorders>
              <w:top w:val="single" w:sz="8" w:color="auto"/>
            </w:tcBorders>
          </w:tcPr>
          <w:p>
            <w:pPr>
              <w:spacing w:after="0"/>
              <w:rPr>
                <w:sz w:val="21"/>
                <w:szCs w:val="21"/>
                <w:color w:val="auto"/>
              </w:rPr>
            </w:pP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57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Income from real property</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26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8,831</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2460" w:type="dxa"/>
            <w:vAlign w:val="bottom"/>
            <w:tcBorders>
              <w:bottom w:val="single" w:sz="8" w:color="EAF9E8"/>
            </w:tcBorders>
            <w:shd w:val="clear" w:color="auto" w:fill="EAF9E8"/>
          </w:tcPr>
          <w:p>
            <w:pPr>
              <w:jc w:val="right"/>
              <w:ind w:right="111"/>
              <w:spacing w:after="0"/>
              <w:rPr>
                <w:sz w:val="20"/>
                <w:szCs w:val="20"/>
                <w:color w:val="auto"/>
              </w:rPr>
            </w:pPr>
            <w:r>
              <w:rPr>
                <w:rFonts w:ascii="Arial" w:cs="Arial" w:eastAsia="Arial" w:hAnsi="Arial"/>
                <w:sz w:val="18"/>
                <w:szCs w:val="18"/>
                <w:color w:val="auto"/>
              </w:rPr>
              <w:t>12,749</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Revenue from home sales</w:t>
            </w:r>
          </w:p>
        </w:tc>
        <w:tc>
          <w:tcPr>
            <w:tcW w:w="220" w:type="dxa"/>
            <w:vAlign w:val="bottom"/>
          </w:tcPr>
          <w:p>
            <w:pPr>
              <w:spacing w:after="0"/>
              <w:rPr>
                <w:sz w:val="21"/>
                <w:szCs w:val="21"/>
                <w:color w:val="auto"/>
              </w:rPr>
            </w:pPr>
          </w:p>
        </w:tc>
        <w:tc>
          <w:tcPr>
            <w:tcW w:w="262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tcPr>
          <w:p>
            <w:pPr>
              <w:jc w:val="right"/>
              <w:ind w:right="111"/>
              <w:spacing w:after="0"/>
              <w:rPr>
                <w:sz w:val="20"/>
                <w:szCs w:val="20"/>
                <w:color w:val="auto"/>
              </w:rPr>
            </w:pPr>
            <w:r>
              <w:rPr>
                <w:rFonts w:ascii="Arial" w:cs="Arial" w:eastAsia="Arial" w:hAnsi="Arial"/>
                <w:sz w:val="18"/>
                <w:szCs w:val="18"/>
                <w:color w:val="auto"/>
              </w:rPr>
              <w:t>244</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57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Rental home revenue</w:t>
            </w:r>
          </w:p>
        </w:tc>
        <w:tc>
          <w:tcPr>
            <w:tcW w:w="220" w:type="dxa"/>
            <w:vAlign w:val="bottom"/>
            <w:tcBorders>
              <w:bottom w:val="single" w:sz="8" w:color="EAF9E8"/>
            </w:tcBorders>
            <w:shd w:val="clear" w:color="auto" w:fill="EAF9E8"/>
          </w:tcPr>
          <w:p>
            <w:pPr>
              <w:spacing w:after="0"/>
              <w:rPr>
                <w:sz w:val="21"/>
                <w:szCs w:val="21"/>
                <w:color w:val="auto"/>
              </w:rPr>
            </w:pPr>
          </w:p>
        </w:tc>
        <w:tc>
          <w:tcPr>
            <w:tcW w:w="26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2460" w:type="dxa"/>
            <w:vAlign w:val="bottom"/>
            <w:tcBorders>
              <w:bottom w:val="single" w:sz="8" w:color="EAF9E8"/>
            </w:tcBorders>
            <w:shd w:val="clear" w:color="auto" w:fill="EAF9E8"/>
          </w:tcPr>
          <w:p>
            <w:pPr>
              <w:jc w:val="right"/>
              <w:ind w:right="111"/>
              <w:spacing w:after="0"/>
              <w:rPr>
                <w:sz w:val="20"/>
                <w:szCs w:val="20"/>
                <w:color w:val="auto"/>
              </w:rPr>
            </w:pPr>
            <w:r>
              <w:rPr>
                <w:rFonts w:ascii="Arial" w:cs="Arial" w:eastAsia="Arial" w:hAnsi="Arial"/>
                <w:sz w:val="18"/>
                <w:szCs w:val="18"/>
                <w:color w:val="auto"/>
              </w:rPr>
              <w:t>256</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Ancillary revenues, net</w:t>
            </w:r>
          </w:p>
        </w:tc>
        <w:tc>
          <w:tcPr>
            <w:tcW w:w="220" w:type="dxa"/>
            <w:vAlign w:val="bottom"/>
          </w:tcPr>
          <w:p>
            <w:pPr>
              <w:spacing w:after="0"/>
              <w:rPr>
                <w:sz w:val="21"/>
                <w:szCs w:val="21"/>
                <w:color w:val="auto"/>
              </w:rPr>
            </w:pPr>
          </w:p>
        </w:tc>
        <w:tc>
          <w:tcPr>
            <w:tcW w:w="2620" w:type="dxa"/>
            <w:vAlign w:val="bottom"/>
          </w:tcPr>
          <w:p>
            <w:pPr>
              <w:jc w:val="right"/>
              <w:ind w:right="31"/>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tcPr>
          <w:p>
            <w:pPr>
              <w:jc w:val="right"/>
              <w:ind w:right="111"/>
              <w:spacing w:after="0"/>
              <w:rPr>
                <w:sz w:val="20"/>
                <w:szCs w:val="20"/>
                <w:color w:val="auto"/>
              </w:rPr>
            </w:pPr>
            <w:r>
              <w:rPr>
                <w:rFonts w:ascii="Arial" w:cs="Arial" w:eastAsia="Arial" w:hAnsi="Arial"/>
                <w:sz w:val="18"/>
                <w:szCs w:val="18"/>
                <w:color w:val="auto"/>
              </w:rPr>
              <w:t>1,227</w:t>
            </w:r>
          </w:p>
        </w:tc>
      </w:tr>
      <w:tr>
        <w:trPr>
          <w:trHeight w:val="27"/>
        </w:trPr>
        <w:tc>
          <w:tcPr>
            <w:tcW w:w="576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64"/>
        </w:trPr>
        <w:tc>
          <w:tcPr>
            <w:tcW w:w="5760" w:type="dxa"/>
            <w:vAlign w:val="bottom"/>
            <w:shd w:val="clear" w:color="auto" w:fill="EAF9E8"/>
          </w:tcPr>
          <w:p>
            <w:pPr>
              <w:ind w:left="50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EAF9E8"/>
          </w:tcPr>
          <w:p>
            <w:pPr>
              <w:spacing w:after="0"/>
              <w:rPr>
                <w:sz w:val="22"/>
                <w:szCs w:val="22"/>
                <w:color w:val="auto"/>
              </w:rPr>
            </w:pPr>
          </w:p>
        </w:tc>
        <w:tc>
          <w:tcPr>
            <w:tcW w:w="2620" w:type="dxa"/>
            <w:vAlign w:val="bottom"/>
            <w:tcBorders>
              <w:bottom w:val="single" w:sz="8" w:color="auto"/>
            </w:tcBorders>
            <w:shd w:val="clear" w:color="auto" w:fill="EAF9E8"/>
          </w:tcPr>
          <w:p>
            <w:pPr>
              <w:jc w:val="right"/>
              <w:ind w:right="31"/>
              <w:spacing w:after="0"/>
              <w:rPr>
                <w:sz w:val="20"/>
                <w:szCs w:val="20"/>
                <w:color w:val="auto"/>
              </w:rPr>
            </w:pPr>
            <w:r>
              <w:rPr>
                <w:rFonts w:ascii="Arial" w:cs="Arial" w:eastAsia="Arial" w:hAnsi="Arial"/>
                <w:sz w:val="18"/>
                <w:szCs w:val="18"/>
                <w:color w:val="auto"/>
              </w:rPr>
              <w:t>10,401</w:t>
            </w:r>
          </w:p>
        </w:tc>
        <w:tc>
          <w:tcPr>
            <w:tcW w:w="120" w:type="dxa"/>
            <w:vAlign w:val="bottom"/>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spacing w:after="0"/>
              <w:rPr>
                <w:sz w:val="22"/>
                <w:szCs w:val="22"/>
                <w:color w:val="auto"/>
              </w:rPr>
            </w:pPr>
          </w:p>
        </w:tc>
        <w:tc>
          <w:tcPr>
            <w:tcW w:w="2460" w:type="dxa"/>
            <w:vAlign w:val="bottom"/>
            <w:tcBorders>
              <w:bottom w:val="single" w:sz="8" w:color="auto"/>
            </w:tcBorders>
            <w:shd w:val="clear" w:color="auto" w:fill="EAF9E8"/>
          </w:tcPr>
          <w:p>
            <w:pPr>
              <w:jc w:val="right"/>
              <w:ind w:right="111"/>
              <w:spacing w:after="0"/>
              <w:rPr>
                <w:sz w:val="20"/>
                <w:szCs w:val="20"/>
                <w:color w:val="auto"/>
              </w:rPr>
            </w:pPr>
            <w:r>
              <w:rPr>
                <w:rFonts w:ascii="Arial" w:cs="Arial" w:eastAsia="Arial" w:hAnsi="Arial"/>
                <w:sz w:val="18"/>
                <w:szCs w:val="18"/>
                <w:color w:val="auto"/>
              </w:rPr>
              <w:t>14,476</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57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Property operating and maintenance</w:t>
            </w:r>
          </w:p>
        </w:tc>
        <w:tc>
          <w:tcPr>
            <w:tcW w:w="220" w:type="dxa"/>
            <w:vAlign w:val="bottom"/>
            <w:tcBorders>
              <w:bottom w:val="single" w:sz="8" w:color="EAF9E8"/>
            </w:tcBorders>
            <w:shd w:val="clear" w:color="auto" w:fill="EAF9E8"/>
          </w:tcPr>
          <w:p>
            <w:pPr>
              <w:spacing w:after="0"/>
              <w:rPr>
                <w:sz w:val="21"/>
                <w:szCs w:val="21"/>
                <w:color w:val="auto"/>
              </w:rPr>
            </w:pPr>
          </w:p>
        </w:tc>
        <w:tc>
          <w:tcPr>
            <w:tcW w:w="26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3,940</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2460" w:type="dxa"/>
            <w:vAlign w:val="bottom"/>
            <w:tcBorders>
              <w:bottom w:val="single" w:sz="8" w:color="EAF9E8"/>
            </w:tcBorders>
            <w:shd w:val="clear" w:color="auto" w:fill="EAF9E8"/>
          </w:tcPr>
          <w:p>
            <w:pPr>
              <w:jc w:val="right"/>
              <w:ind w:right="111"/>
              <w:spacing w:after="0"/>
              <w:rPr>
                <w:sz w:val="20"/>
                <w:szCs w:val="20"/>
                <w:color w:val="auto"/>
              </w:rPr>
            </w:pPr>
            <w:r>
              <w:rPr>
                <w:rFonts w:ascii="Arial" w:cs="Arial" w:eastAsia="Arial" w:hAnsi="Arial"/>
                <w:sz w:val="18"/>
                <w:szCs w:val="18"/>
                <w:color w:val="auto"/>
              </w:rPr>
              <w:t>5,431</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21"/>
                <w:szCs w:val="21"/>
                <w:color w:val="auto"/>
              </w:rPr>
            </w:pPr>
          </w:p>
        </w:tc>
        <w:tc>
          <w:tcPr>
            <w:tcW w:w="2620" w:type="dxa"/>
            <w:vAlign w:val="bottom"/>
          </w:tcPr>
          <w:p>
            <w:pPr>
              <w:jc w:val="right"/>
              <w:ind w:right="31"/>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tcPr>
          <w:p>
            <w:pPr>
              <w:jc w:val="right"/>
              <w:ind w:right="111"/>
              <w:spacing w:after="0"/>
              <w:rPr>
                <w:sz w:val="20"/>
                <w:szCs w:val="20"/>
                <w:color w:val="auto"/>
              </w:rPr>
            </w:pPr>
            <w:r>
              <w:rPr>
                <w:rFonts w:ascii="Arial" w:cs="Arial" w:eastAsia="Arial" w:hAnsi="Arial"/>
                <w:sz w:val="18"/>
                <w:szCs w:val="18"/>
                <w:color w:val="auto"/>
              </w:rPr>
              <w:t>801</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57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Cost of home sales</w:t>
            </w:r>
          </w:p>
        </w:tc>
        <w:tc>
          <w:tcPr>
            <w:tcW w:w="220" w:type="dxa"/>
            <w:vAlign w:val="bottom"/>
            <w:tcBorders>
              <w:bottom w:val="single" w:sz="8" w:color="EAF9E8"/>
            </w:tcBorders>
            <w:shd w:val="clear" w:color="auto" w:fill="EAF9E8"/>
          </w:tcPr>
          <w:p>
            <w:pPr>
              <w:spacing w:after="0"/>
              <w:rPr>
                <w:sz w:val="21"/>
                <w:szCs w:val="21"/>
                <w:color w:val="auto"/>
              </w:rPr>
            </w:pPr>
          </w:p>
        </w:tc>
        <w:tc>
          <w:tcPr>
            <w:tcW w:w="26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2460" w:type="dxa"/>
            <w:vAlign w:val="bottom"/>
            <w:tcBorders>
              <w:bottom w:val="single" w:sz="8" w:color="EAF9E8"/>
            </w:tcBorders>
            <w:shd w:val="clear" w:color="auto" w:fill="EAF9E8"/>
          </w:tcPr>
          <w:p>
            <w:pPr>
              <w:jc w:val="right"/>
              <w:ind w:right="111"/>
              <w:spacing w:after="0"/>
              <w:rPr>
                <w:sz w:val="20"/>
                <w:szCs w:val="20"/>
                <w:color w:val="auto"/>
              </w:rPr>
            </w:pPr>
            <w:r>
              <w:rPr>
                <w:rFonts w:ascii="Arial" w:cs="Arial" w:eastAsia="Arial" w:hAnsi="Arial"/>
                <w:sz w:val="18"/>
                <w:szCs w:val="18"/>
                <w:color w:val="auto"/>
              </w:rPr>
              <w:t>177</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Rental home operating and maintenance</w:t>
            </w:r>
          </w:p>
        </w:tc>
        <w:tc>
          <w:tcPr>
            <w:tcW w:w="220" w:type="dxa"/>
            <w:vAlign w:val="bottom"/>
          </w:tcPr>
          <w:p>
            <w:pPr>
              <w:spacing w:after="0"/>
              <w:rPr>
                <w:sz w:val="21"/>
                <w:szCs w:val="21"/>
                <w:color w:val="auto"/>
              </w:rPr>
            </w:pPr>
          </w:p>
        </w:tc>
        <w:tc>
          <w:tcPr>
            <w:tcW w:w="262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tcPr>
          <w:p>
            <w:pPr>
              <w:jc w:val="right"/>
              <w:ind w:right="111"/>
              <w:spacing w:after="0"/>
              <w:rPr>
                <w:sz w:val="20"/>
                <w:szCs w:val="20"/>
                <w:color w:val="auto"/>
              </w:rPr>
            </w:pPr>
            <w:r>
              <w:rPr>
                <w:rFonts w:ascii="Arial" w:cs="Arial" w:eastAsia="Arial" w:hAnsi="Arial"/>
                <w:sz w:val="18"/>
                <w:szCs w:val="18"/>
                <w:color w:val="auto"/>
              </w:rPr>
              <w:t>103</w:t>
            </w:r>
          </w:p>
        </w:tc>
      </w:tr>
      <w:tr>
        <w:trPr>
          <w:trHeight w:val="27"/>
        </w:trPr>
        <w:tc>
          <w:tcPr>
            <w:tcW w:w="576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44"/>
        </w:trPr>
        <w:tc>
          <w:tcPr>
            <w:tcW w:w="5760" w:type="dxa"/>
            <w:vAlign w:val="bottom"/>
            <w:shd w:val="clear" w:color="auto" w:fill="EAF9E8"/>
          </w:tcPr>
          <w:p>
            <w:pPr>
              <w:ind w:left="50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shd w:val="clear" w:color="auto" w:fill="EAF9E8"/>
          </w:tcPr>
          <w:p>
            <w:pPr>
              <w:spacing w:after="0"/>
              <w:rPr>
                <w:sz w:val="21"/>
                <w:szCs w:val="21"/>
                <w:color w:val="auto"/>
              </w:rPr>
            </w:pPr>
          </w:p>
        </w:tc>
        <w:tc>
          <w:tcPr>
            <w:tcW w:w="2620" w:type="dxa"/>
            <w:vAlign w:val="bottom"/>
            <w:tcBorders>
              <w:bottom w:val="single" w:sz="8" w:color="auto"/>
            </w:tcBorders>
            <w:shd w:val="clear" w:color="auto" w:fill="EAF9E8"/>
          </w:tcPr>
          <w:p>
            <w:pPr>
              <w:jc w:val="right"/>
              <w:ind w:right="31"/>
              <w:spacing w:after="0"/>
              <w:rPr>
                <w:sz w:val="20"/>
                <w:szCs w:val="20"/>
                <w:color w:val="auto"/>
              </w:rPr>
            </w:pPr>
            <w:r>
              <w:rPr>
                <w:rFonts w:ascii="Arial" w:cs="Arial" w:eastAsia="Arial" w:hAnsi="Arial"/>
                <w:sz w:val="18"/>
                <w:szCs w:val="18"/>
                <w:color w:val="auto"/>
              </w:rPr>
              <w:t>4,548</w:t>
            </w:r>
          </w:p>
        </w:tc>
        <w:tc>
          <w:tcPr>
            <w:tcW w:w="120" w:type="dxa"/>
            <w:vAlign w:val="bottom"/>
            <w:shd w:val="clear" w:color="auto" w:fill="EAF9E8"/>
          </w:tcPr>
          <w:p>
            <w:pPr>
              <w:spacing w:after="0"/>
              <w:rPr>
                <w:sz w:val="21"/>
                <w:szCs w:val="21"/>
                <w:color w:val="auto"/>
              </w:rPr>
            </w:pPr>
          </w:p>
        </w:tc>
        <w:tc>
          <w:tcPr>
            <w:tcW w:w="220" w:type="dxa"/>
            <w:vAlign w:val="bottom"/>
            <w:tcBorders>
              <w:bottom w:val="single" w:sz="8" w:color="auto"/>
            </w:tcBorders>
            <w:shd w:val="clear" w:color="auto" w:fill="EAF9E8"/>
          </w:tcPr>
          <w:p>
            <w:pPr>
              <w:spacing w:after="0"/>
              <w:rPr>
                <w:sz w:val="21"/>
                <w:szCs w:val="21"/>
                <w:color w:val="auto"/>
              </w:rPr>
            </w:pPr>
          </w:p>
        </w:tc>
        <w:tc>
          <w:tcPr>
            <w:tcW w:w="2460" w:type="dxa"/>
            <w:vAlign w:val="bottom"/>
            <w:tcBorders>
              <w:bottom w:val="single" w:sz="8" w:color="auto"/>
            </w:tcBorders>
            <w:shd w:val="clear" w:color="auto" w:fill="EAF9E8"/>
          </w:tcPr>
          <w:p>
            <w:pPr>
              <w:jc w:val="right"/>
              <w:ind w:right="111"/>
              <w:spacing w:after="0"/>
              <w:rPr>
                <w:sz w:val="20"/>
                <w:szCs w:val="20"/>
                <w:color w:val="auto"/>
              </w:rPr>
            </w:pPr>
            <w:r>
              <w:rPr>
                <w:rFonts w:ascii="Arial" w:cs="Arial" w:eastAsia="Arial" w:hAnsi="Arial"/>
                <w:sz w:val="18"/>
                <w:szCs w:val="18"/>
                <w:color w:val="auto"/>
              </w:rPr>
              <w:t>6,512</w:t>
            </w:r>
          </w:p>
        </w:tc>
      </w:tr>
      <w:tr>
        <w:trPr>
          <w:trHeight w:val="324"/>
        </w:trPr>
        <w:tc>
          <w:tcPr>
            <w:tcW w:w="5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57"/>
        </w:trPr>
        <w:tc>
          <w:tcPr>
            <w:tcW w:w="5760" w:type="dxa"/>
            <w:vAlign w:val="bottom"/>
            <w:tcBorders>
              <w:bottom w:val="single" w:sz="8" w:color="EAF9E8"/>
            </w:tcBorders>
            <w:shd w:val="clear" w:color="auto" w:fill="EAF9E8"/>
          </w:tcPr>
          <w:p>
            <w:pPr>
              <w:ind w:left="20"/>
              <w:spacing w:after="0" w:line="257" w:lineRule="exact"/>
              <w:rPr>
                <w:sz w:val="20"/>
                <w:szCs w:val="20"/>
                <w:color w:val="auto"/>
              </w:rPr>
            </w:pPr>
            <w:r>
              <w:rPr>
                <w:rFonts w:ascii="Arial" w:cs="Arial" w:eastAsia="Arial" w:hAnsi="Arial"/>
                <w:sz w:val="18"/>
                <w:szCs w:val="18"/>
                <w:b w:val="1"/>
                <w:bCs w:val="1"/>
                <w:color w:val="auto"/>
              </w:rPr>
              <w:t xml:space="preserve">NET OPERATING INCOME ("NOI") </w:t>
            </w:r>
            <w:r>
              <w:rPr>
                <w:rFonts w:ascii="Arial" w:cs="Arial" w:eastAsia="Arial" w:hAnsi="Arial"/>
                <w:sz w:val="25"/>
                <w:szCs w:val="25"/>
                <w:b w:val="1"/>
                <w:bCs w:val="1"/>
                <w:color w:val="auto"/>
                <w:vertAlign w:val="superscript"/>
              </w:rPr>
              <w:t>(2)</w:t>
            </w: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2620" w:type="dxa"/>
            <w:vAlign w:val="bottom"/>
            <w:tcBorders>
              <w:bottom w:val="single" w:sz="8" w:color="auto"/>
            </w:tcBorders>
            <w:shd w:val="clear" w:color="auto" w:fill="EAF9E8"/>
          </w:tcPr>
          <w:p>
            <w:pPr>
              <w:jc w:val="right"/>
              <w:ind w:right="31"/>
              <w:spacing w:after="0"/>
              <w:rPr>
                <w:sz w:val="20"/>
                <w:szCs w:val="20"/>
                <w:color w:val="auto"/>
              </w:rPr>
            </w:pPr>
            <w:r>
              <w:rPr>
                <w:rFonts w:ascii="Arial" w:cs="Arial" w:eastAsia="Arial" w:hAnsi="Arial"/>
                <w:sz w:val="18"/>
                <w:szCs w:val="18"/>
                <w:color w:val="auto"/>
              </w:rPr>
              <w:t>5,853</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2460" w:type="dxa"/>
            <w:vAlign w:val="bottom"/>
            <w:tcBorders>
              <w:bottom w:val="single" w:sz="8" w:color="auto"/>
            </w:tcBorders>
            <w:shd w:val="clear" w:color="auto" w:fill="EAF9E8"/>
          </w:tcPr>
          <w:p>
            <w:pPr>
              <w:jc w:val="right"/>
              <w:ind w:right="111"/>
              <w:spacing w:after="0"/>
              <w:rPr>
                <w:sz w:val="20"/>
                <w:szCs w:val="20"/>
                <w:color w:val="auto"/>
              </w:rPr>
            </w:pPr>
            <w:r>
              <w:rPr>
                <w:rFonts w:ascii="Arial" w:cs="Arial" w:eastAsia="Arial" w:hAnsi="Arial"/>
                <w:sz w:val="18"/>
                <w:szCs w:val="18"/>
                <w:color w:val="auto"/>
              </w:rPr>
              <w:t>7,964</w:t>
            </w:r>
          </w:p>
        </w:tc>
      </w:tr>
      <w:tr>
        <w:trPr>
          <w:trHeight w:val="20"/>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r>
        <w:trPr>
          <w:trHeight w:val="305"/>
        </w:trPr>
        <w:tc>
          <w:tcPr>
            <w:tcW w:w="5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324"/>
        </w:trPr>
        <w:tc>
          <w:tcPr>
            <w:tcW w:w="57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26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2460" w:type="dxa"/>
            <w:vAlign w:val="bottom"/>
            <w:shd w:val="clear" w:color="auto" w:fill="EAF9E8"/>
          </w:tcPr>
          <w:p>
            <w:pPr>
              <w:spacing w:after="0"/>
              <w:rPr>
                <w:sz w:val="24"/>
                <w:szCs w:val="24"/>
                <w:color w:val="auto"/>
              </w:rPr>
            </w:pPr>
          </w:p>
        </w:tc>
      </w:tr>
    </w:tbl>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20" w:type="dxa"/>
            <w:vAlign w:val="bottom"/>
            <w:tcBorders>
              <w:bottom w:val="single" w:sz="8" w:color="EAF9E8"/>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As of June 30, 2014</w:t>
            </w:r>
          </w:p>
        </w:tc>
      </w:tr>
      <w:tr>
        <w:trPr>
          <w:trHeight w:val="250"/>
        </w:trPr>
        <w:tc>
          <w:tcPr>
            <w:tcW w:w="87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Other information:</w:t>
            </w:r>
          </w:p>
        </w:tc>
        <w:tc>
          <w:tcPr>
            <w:tcW w:w="420" w:type="dxa"/>
            <w:vAlign w:val="bottom"/>
            <w:tcBorders>
              <w:bottom w:val="single" w:sz="8" w:color="EAF9E8"/>
            </w:tcBorders>
            <w:shd w:val="clear" w:color="auto" w:fill="EAF9E8"/>
          </w:tcPr>
          <w:p>
            <w:pPr>
              <w:spacing w:after="0"/>
              <w:rPr>
                <w:sz w:val="21"/>
                <w:szCs w:val="21"/>
                <w:color w:val="auto"/>
              </w:rPr>
            </w:pPr>
          </w:p>
        </w:tc>
        <w:tc>
          <w:tcPr>
            <w:tcW w:w="2260" w:type="dxa"/>
            <w:vAlign w:val="bottom"/>
            <w:tcBorders>
              <w:bottom w:val="single" w:sz="8" w:color="EAF9E8"/>
            </w:tcBorders>
            <w:shd w:val="clear" w:color="auto" w:fill="EAF9E8"/>
          </w:tcPr>
          <w:p>
            <w:pPr>
              <w:spacing w:after="0"/>
              <w:rPr>
                <w:sz w:val="21"/>
                <w:szCs w:val="2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Number of properties</w:t>
            </w:r>
          </w:p>
        </w:tc>
        <w:tc>
          <w:tcPr>
            <w:tcW w:w="420" w:type="dxa"/>
            <w:vAlign w:val="bottom"/>
          </w:tcPr>
          <w:p>
            <w:pPr>
              <w:spacing w:after="0"/>
              <w:rPr>
                <w:sz w:val="21"/>
                <w:szCs w:val="21"/>
                <w:color w:val="auto"/>
              </w:rPr>
            </w:pPr>
          </w:p>
        </w:tc>
        <w:tc>
          <w:tcPr>
            <w:tcW w:w="2260" w:type="dxa"/>
            <w:vAlign w:val="bottom"/>
          </w:tcPr>
          <w:p>
            <w:pPr>
              <w:jc w:val="right"/>
              <w:ind w:right="111"/>
              <w:spacing w:after="0"/>
              <w:rPr>
                <w:sz w:val="20"/>
                <w:szCs w:val="20"/>
                <w:color w:val="auto"/>
              </w:rPr>
            </w:pPr>
            <w:r>
              <w:rPr>
                <w:rFonts w:ascii="Arial" w:cs="Arial" w:eastAsia="Arial" w:hAnsi="Arial"/>
                <w:sz w:val="18"/>
                <w:szCs w:val="18"/>
                <w:color w:val="auto"/>
              </w:rPr>
              <w:t>21</w:t>
            </w:r>
          </w:p>
        </w:tc>
      </w:tr>
      <w:tr>
        <w:trPr>
          <w:trHeight w:val="27"/>
        </w:trPr>
        <w:tc>
          <w:tcPr>
            <w:tcW w:w="8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87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Developed sites</w:t>
            </w:r>
          </w:p>
        </w:tc>
        <w:tc>
          <w:tcPr>
            <w:tcW w:w="420" w:type="dxa"/>
            <w:vAlign w:val="bottom"/>
            <w:tcBorders>
              <w:bottom w:val="single" w:sz="8" w:color="EAF9E8"/>
            </w:tcBorders>
            <w:shd w:val="clear" w:color="auto" w:fill="EAF9E8"/>
          </w:tcPr>
          <w:p>
            <w:pPr>
              <w:spacing w:after="0"/>
              <w:rPr>
                <w:sz w:val="21"/>
                <w:szCs w:val="21"/>
                <w:color w:val="auto"/>
              </w:rPr>
            </w:pPr>
          </w:p>
        </w:tc>
        <w:tc>
          <w:tcPr>
            <w:tcW w:w="2260" w:type="dxa"/>
            <w:vAlign w:val="bottom"/>
            <w:tcBorders>
              <w:bottom w:val="single" w:sz="8" w:color="EAF9E8"/>
            </w:tcBorders>
            <w:shd w:val="clear" w:color="auto" w:fill="EAF9E8"/>
          </w:tcPr>
          <w:p>
            <w:pPr>
              <w:jc w:val="right"/>
              <w:ind w:right="111"/>
              <w:spacing w:after="0"/>
              <w:rPr>
                <w:sz w:val="20"/>
                <w:szCs w:val="20"/>
                <w:color w:val="auto"/>
              </w:rPr>
            </w:pPr>
            <w:r>
              <w:rPr>
                <w:rFonts w:ascii="Arial" w:cs="Arial" w:eastAsia="Arial" w:hAnsi="Arial"/>
                <w:sz w:val="18"/>
                <w:szCs w:val="18"/>
                <w:color w:val="auto"/>
              </w:rPr>
              <w:t>8,078</w:t>
            </w:r>
          </w:p>
        </w:tc>
      </w:tr>
      <w:tr>
        <w:trPr>
          <w:trHeight w:val="270"/>
        </w:trPr>
        <w:tc>
          <w:tcPr>
            <w:tcW w:w="87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Occupied sites </w:t>
            </w:r>
            <w:r>
              <w:rPr>
                <w:rFonts w:ascii="Arial" w:cs="Arial" w:eastAsia="Arial" w:hAnsi="Arial"/>
                <w:sz w:val="25"/>
                <w:szCs w:val="25"/>
                <w:color w:val="auto"/>
                <w:vertAlign w:val="superscript"/>
              </w:rPr>
              <w:t>(3)</w:t>
            </w:r>
          </w:p>
        </w:tc>
        <w:tc>
          <w:tcPr>
            <w:tcW w:w="420" w:type="dxa"/>
            <w:vAlign w:val="bottom"/>
          </w:tcPr>
          <w:p>
            <w:pPr>
              <w:spacing w:after="0"/>
              <w:rPr>
                <w:sz w:val="23"/>
                <w:szCs w:val="23"/>
                <w:color w:val="auto"/>
              </w:rPr>
            </w:pPr>
          </w:p>
        </w:tc>
        <w:tc>
          <w:tcPr>
            <w:tcW w:w="2260" w:type="dxa"/>
            <w:vAlign w:val="bottom"/>
          </w:tcPr>
          <w:p>
            <w:pPr>
              <w:jc w:val="right"/>
              <w:ind w:right="111"/>
              <w:spacing w:after="0"/>
              <w:rPr>
                <w:sz w:val="20"/>
                <w:szCs w:val="20"/>
                <w:color w:val="auto"/>
              </w:rPr>
            </w:pPr>
            <w:r>
              <w:rPr>
                <w:rFonts w:ascii="Arial" w:cs="Arial" w:eastAsia="Arial" w:hAnsi="Arial"/>
                <w:sz w:val="18"/>
                <w:szCs w:val="18"/>
                <w:color w:val="auto"/>
              </w:rPr>
              <w:t>3,741</w:t>
            </w:r>
          </w:p>
        </w:tc>
      </w:tr>
      <w:tr>
        <w:trPr>
          <w:trHeight w:val="270"/>
        </w:trPr>
        <w:tc>
          <w:tcPr>
            <w:tcW w:w="8720" w:type="dxa"/>
            <w:vAlign w:val="bottom"/>
            <w:shd w:val="clear" w:color="auto" w:fill="EAF9E8"/>
          </w:tcPr>
          <w:p>
            <w:pPr>
              <w:ind w:left="20"/>
              <w:spacing w:after="0" w:line="270" w:lineRule="exact"/>
              <w:rPr>
                <w:sz w:val="20"/>
                <w:szCs w:val="20"/>
                <w:color w:val="auto"/>
              </w:rPr>
            </w:pPr>
            <w:r>
              <w:rPr>
                <w:rFonts w:ascii="Arial" w:cs="Arial" w:eastAsia="Arial" w:hAnsi="Arial"/>
                <w:sz w:val="18"/>
                <w:szCs w:val="18"/>
                <w:color w:val="auto"/>
              </w:rPr>
              <w:t xml:space="preserve">Occupancy % </w:t>
            </w:r>
            <w:r>
              <w:rPr>
                <w:rFonts w:ascii="Arial" w:cs="Arial" w:eastAsia="Arial" w:hAnsi="Arial"/>
                <w:sz w:val="25"/>
                <w:szCs w:val="25"/>
                <w:color w:val="auto"/>
                <w:vertAlign w:val="superscript"/>
              </w:rPr>
              <w:t>(3)</w:t>
            </w:r>
          </w:p>
        </w:tc>
        <w:tc>
          <w:tcPr>
            <w:tcW w:w="420" w:type="dxa"/>
            <w:vAlign w:val="bottom"/>
            <w:shd w:val="clear" w:color="auto" w:fill="EAF9E8"/>
          </w:tcPr>
          <w:p>
            <w:pPr>
              <w:spacing w:after="0"/>
              <w:rPr>
                <w:sz w:val="23"/>
                <w:szCs w:val="23"/>
                <w:color w:val="auto"/>
              </w:rPr>
            </w:pPr>
          </w:p>
        </w:tc>
        <w:tc>
          <w:tcPr>
            <w:tcW w:w="2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96.6%</w:t>
            </w: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Weighted average monthly rent per site - MH</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ind w:right="111"/>
              <w:spacing w:after="0"/>
              <w:rPr>
                <w:sz w:val="20"/>
                <w:szCs w:val="20"/>
                <w:color w:val="auto"/>
              </w:rPr>
            </w:pPr>
            <w:r>
              <w:rPr>
                <w:rFonts w:ascii="Arial" w:cs="Arial" w:eastAsia="Arial" w:hAnsi="Arial"/>
                <w:sz w:val="18"/>
                <w:szCs w:val="18"/>
                <w:color w:val="auto"/>
              </w:rPr>
              <w:t>399</w:t>
            </w:r>
          </w:p>
        </w:tc>
      </w:tr>
      <w:tr>
        <w:trPr>
          <w:trHeight w:val="27"/>
        </w:trPr>
        <w:tc>
          <w:tcPr>
            <w:tcW w:w="8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8720" w:type="dxa"/>
            <w:vAlign w:val="bottom"/>
            <w:shd w:val="clear" w:color="auto" w:fill="EAF9E8"/>
          </w:tcPr>
          <w:p>
            <w:pPr>
              <w:ind w:left="20"/>
              <w:spacing w:after="0" w:line="270" w:lineRule="exact"/>
              <w:rPr>
                <w:sz w:val="20"/>
                <w:szCs w:val="20"/>
                <w:color w:val="auto"/>
              </w:rPr>
            </w:pPr>
            <w:r>
              <w:rPr>
                <w:rFonts w:ascii="Arial" w:cs="Arial" w:eastAsia="Arial" w:hAnsi="Arial"/>
                <w:sz w:val="18"/>
                <w:szCs w:val="18"/>
                <w:color w:val="auto"/>
              </w:rPr>
              <w:t xml:space="preserve">Weighted average monthly rent per site - RV </w:t>
            </w:r>
            <w:r>
              <w:rPr>
                <w:rFonts w:ascii="Arial" w:cs="Arial" w:eastAsia="Arial" w:hAnsi="Arial"/>
                <w:sz w:val="25"/>
                <w:szCs w:val="25"/>
                <w:color w:val="auto"/>
                <w:vertAlign w:val="superscript"/>
              </w:rPr>
              <w:t>(5)</w:t>
            </w:r>
          </w:p>
        </w:tc>
        <w:tc>
          <w:tcPr>
            <w:tcW w:w="420" w:type="dxa"/>
            <w:vAlign w:val="bottom"/>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EAF9E8"/>
          </w:tcPr>
          <w:p>
            <w:pPr>
              <w:jc w:val="right"/>
              <w:ind w:right="111"/>
              <w:spacing w:after="0"/>
              <w:rPr>
                <w:sz w:val="20"/>
                <w:szCs w:val="20"/>
                <w:color w:val="auto"/>
              </w:rPr>
            </w:pPr>
            <w:r>
              <w:rPr>
                <w:rFonts w:ascii="Arial" w:cs="Arial" w:eastAsia="Arial" w:hAnsi="Arial"/>
                <w:sz w:val="18"/>
                <w:szCs w:val="18"/>
                <w:color w:val="auto"/>
              </w:rPr>
              <w:t>357</w:t>
            </w: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Weighted average monthly rent per site - Total</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ind w:right="111"/>
              <w:spacing w:after="0"/>
              <w:rPr>
                <w:sz w:val="20"/>
                <w:szCs w:val="20"/>
                <w:color w:val="auto"/>
              </w:rPr>
            </w:pPr>
            <w:r>
              <w:rPr>
                <w:rFonts w:ascii="Arial" w:cs="Arial" w:eastAsia="Arial" w:hAnsi="Arial"/>
                <w:sz w:val="18"/>
                <w:szCs w:val="18"/>
                <w:color w:val="auto"/>
              </w:rPr>
              <w:t>351</w:t>
            </w:r>
          </w:p>
        </w:tc>
      </w:tr>
      <w:tr>
        <w:trPr>
          <w:trHeight w:val="27"/>
        </w:trPr>
        <w:tc>
          <w:tcPr>
            <w:tcW w:w="8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324"/>
        </w:trPr>
        <w:tc>
          <w:tcPr>
            <w:tcW w:w="872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2260" w:type="dxa"/>
            <w:vAlign w:val="bottom"/>
            <w:shd w:val="clear" w:color="auto" w:fill="EAF9E8"/>
          </w:tcPr>
          <w:p>
            <w:pPr>
              <w:spacing w:after="0"/>
              <w:rPr>
                <w:sz w:val="24"/>
                <w:szCs w:val="24"/>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Home sales volume :</w:t>
            </w:r>
          </w:p>
        </w:tc>
        <w:tc>
          <w:tcPr>
            <w:tcW w:w="42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7"/>
        </w:trPr>
        <w:tc>
          <w:tcPr>
            <w:tcW w:w="8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87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Pre-owned homes</w:t>
            </w:r>
          </w:p>
        </w:tc>
        <w:tc>
          <w:tcPr>
            <w:tcW w:w="420" w:type="dxa"/>
            <w:vAlign w:val="bottom"/>
            <w:tcBorders>
              <w:bottom w:val="single" w:sz="8" w:color="EAF9E8"/>
            </w:tcBorders>
            <w:shd w:val="clear" w:color="auto" w:fill="EAF9E8"/>
          </w:tcPr>
          <w:p>
            <w:pPr>
              <w:spacing w:after="0"/>
              <w:rPr>
                <w:sz w:val="21"/>
                <w:szCs w:val="21"/>
                <w:color w:val="auto"/>
              </w:rPr>
            </w:pPr>
          </w:p>
        </w:tc>
        <w:tc>
          <w:tcPr>
            <w:tcW w:w="2260" w:type="dxa"/>
            <w:vAlign w:val="bottom"/>
            <w:tcBorders>
              <w:bottom w:val="single" w:sz="8" w:color="EAF9E8"/>
            </w:tcBorders>
            <w:shd w:val="clear" w:color="auto" w:fill="EAF9E8"/>
          </w:tcPr>
          <w:p>
            <w:pPr>
              <w:jc w:val="right"/>
              <w:ind w:right="111"/>
              <w:spacing w:after="0"/>
              <w:rPr>
                <w:sz w:val="20"/>
                <w:szCs w:val="20"/>
                <w:color w:val="auto"/>
              </w:rPr>
            </w:pPr>
            <w:r>
              <w:rPr>
                <w:rFonts w:ascii="Arial" w:cs="Arial" w:eastAsia="Arial" w:hAnsi="Arial"/>
                <w:sz w:val="18"/>
                <w:szCs w:val="18"/>
                <w:color w:val="auto"/>
              </w:rPr>
              <w:t>37</w:t>
            </w:r>
          </w:p>
        </w:tc>
      </w:tr>
      <w:tr>
        <w:trPr>
          <w:trHeight w:val="324"/>
        </w:trPr>
        <w:tc>
          <w:tcPr>
            <w:tcW w:w="8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50"/>
        </w:trPr>
        <w:tc>
          <w:tcPr>
            <w:tcW w:w="87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Occupied rental home information :</w:t>
            </w:r>
          </w:p>
        </w:tc>
        <w:tc>
          <w:tcPr>
            <w:tcW w:w="420" w:type="dxa"/>
            <w:vAlign w:val="bottom"/>
            <w:tcBorders>
              <w:bottom w:val="single" w:sz="8" w:color="EAF9E8"/>
            </w:tcBorders>
            <w:shd w:val="clear" w:color="auto" w:fill="EAF9E8"/>
          </w:tcPr>
          <w:p>
            <w:pPr>
              <w:spacing w:after="0"/>
              <w:rPr>
                <w:sz w:val="21"/>
                <w:szCs w:val="21"/>
                <w:color w:val="auto"/>
              </w:rPr>
            </w:pPr>
          </w:p>
        </w:tc>
        <w:tc>
          <w:tcPr>
            <w:tcW w:w="2260" w:type="dxa"/>
            <w:vAlign w:val="bottom"/>
            <w:tcBorders>
              <w:bottom w:val="single" w:sz="8" w:color="EAF9E8"/>
            </w:tcBorders>
            <w:shd w:val="clear" w:color="auto" w:fill="EAF9E8"/>
          </w:tcPr>
          <w:p>
            <w:pPr>
              <w:spacing w:after="0"/>
              <w:rPr>
                <w:sz w:val="21"/>
                <w:szCs w:val="2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Number of occupied rentals, end of period</w:t>
            </w:r>
          </w:p>
        </w:tc>
        <w:tc>
          <w:tcPr>
            <w:tcW w:w="420" w:type="dxa"/>
            <w:vAlign w:val="bottom"/>
          </w:tcPr>
          <w:p>
            <w:pPr>
              <w:spacing w:after="0"/>
              <w:rPr>
                <w:sz w:val="21"/>
                <w:szCs w:val="21"/>
                <w:color w:val="auto"/>
              </w:rPr>
            </w:pPr>
          </w:p>
        </w:tc>
        <w:tc>
          <w:tcPr>
            <w:tcW w:w="2260" w:type="dxa"/>
            <w:vAlign w:val="bottom"/>
          </w:tcPr>
          <w:p>
            <w:pPr>
              <w:jc w:val="right"/>
              <w:ind w:right="111"/>
              <w:spacing w:after="0"/>
              <w:rPr>
                <w:sz w:val="20"/>
                <w:szCs w:val="20"/>
                <w:color w:val="auto"/>
              </w:rPr>
            </w:pPr>
            <w:r>
              <w:rPr>
                <w:rFonts w:ascii="Arial" w:cs="Arial" w:eastAsia="Arial" w:hAnsi="Arial"/>
                <w:sz w:val="18"/>
                <w:szCs w:val="18"/>
                <w:color w:val="auto"/>
              </w:rPr>
              <w:t>101</w:t>
            </w:r>
          </w:p>
        </w:tc>
      </w:tr>
      <w:tr>
        <w:trPr>
          <w:trHeight w:val="27"/>
        </w:trPr>
        <w:tc>
          <w:tcPr>
            <w:tcW w:w="8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87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 xml:space="preserve">Investment in occupied rental homes </w:t>
            </w:r>
            <w:r>
              <w:rPr>
                <w:rFonts w:ascii="Arial" w:cs="Arial" w:eastAsia="Arial" w:hAnsi="Arial"/>
                <w:sz w:val="18"/>
                <w:szCs w:val="18"/>
                <w:i w:val="1"/>
                <w:iCs w:val="1"/>
                <w:color w:val="auto"/>
              </w:rPr>
              <w:t>(in thousands)</w:t>
            </w:r>
          </w:p>
        </w:tc>
        <w:tc>
          <w:tcPr>
            <w:tcW w:w="420" w:type="dxa"/>
            <w:vAlign w:val="bottom"/>
            <w:tcBorders>
              <w:bottom w:val="single" w:sz="8" w:color="EAF9E8"/>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EAF9E8"/>
            </w:tcBorders>
            <w:shd w:val="clear" w:color="auto" w:fill="EAF9E8"/>
          </w:tcPr>
          <w:p>
            <w:pPr>
              <w:jc w:val="right"/>
              <w:ind w:right="111"/>
              <w:spacing w:after="0"/>
              <w:rPr>
                <w:sz w:val="20"/>
                <w:szCs w:val="20"/>
                <w:color w:val="auto"/>
              </w:rPr>
            </w:pPr>
            <w:r>
              <w:rPr>
                <w:rFonts w:ascii="Arial" w:cs="Arial" w:eastAsia="Arial" w:hAnsi="Arial"/>
                <w:sz w:val="18"/>
                <w:szCs w:val="18"/>
                <w:color w:val="auto"/>
              </w:rPr>
              <w:t>2,147</w:t>
            </w: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Weighted average monthly rental rate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ind w:right="111"/>
              <w:spacing w:after="0"/>
              <w:rPr>
                <w:sz w:val="20"/>
                <w:szCs w:val="20"/>
                <w:color w:val="auto"/>
              </w:rPr>
            </w:pPr>
            <w:r>
              <w:rPr>
                <w:rFonts w:ascii="Arial" w:cs="Arial" w:eastAsia="Arial" w:hAnsi="Arial"/>
                <w:sz w:val="18"/>
                <w:szCs w:val="18"/>
                <w:color w:val="auto"/>
              </w:rPr>
              <w:t>794</w:t>
            </w:r>
          </w:p>
        </w:tc>
      </w:tr>
    </w:tbl>
    <w:p>
      <w:pPr>
        <w:spacing w:after="0" w:line="206" w:lineRule="exact"/>
        <w:rPr>
          <w:sz w:val="20"/>
          <w:szCs w:val="20"/>
          <w:color w:val="auto"/>
        </w:rPr>
      </w:pPr>
    </w:p>
    <w:p>
      <w:pPr>
        <w:ind w:left="340" w:hanging="305"/>
        <w:spacing w:after="0"/>
        <w:tabs>
          <w:tab w:leader="none" w:pos="340" w:val="left"/>
        </w:tabs>
        <w:numPr>
          <w:ilvl w:val="0"/>
          <w:numId w:val="8"/>
        </w:numPr>
        <w:rPr>
          <w:rFonts w:ascii="Arial" w:cs="Arial" w:eastAsia="Arial" w:hAnsi="Arial"/>
          <w:sz w:val="16"/>
          <w:szCs w:val="16"/>
          <w:color w:val="auto"/>
          <w:vertAlign w:val="superscript"/>
        </w:rPr>
      </w:pPr>
      <w:r>
        <w:rPr>
          <w:rFonts w:ascii="Arial" w:cs="Arial" w:eastAsia="Arial" w:hAnsi="Arial"/>
          <w:sz w:val="14"/>
          <w:szCs w:val="14"/>
          <w:color w:val="auto"/>
        </w:rPr>
        <w:t>Includes manufactured housing and annual/seasonal recreational vehicle sites, and excludes transient recreational vehicle sites, which are included in total developed sites.</w:t>
      </w:r>
    </w:p>
    <w:p>
      <w:pPr>
        <w:spacing w:after="0" w:line="5" w:lineRule="exact"/>
        <w:rPr>
          <w:sz w:val="20"/>
          <w:szCs w:val="20"/>
          <w:color w:val="auto"/>
        </w:rPr>
      </w:pPr>
    </w:p>
    <w:p>
      <w:pPr>
        <w:ind w:left="340" w:hanging="305"/>
        <w:spacing w:after="0"/>
        <w:tabs>
          <w:tab w:leader="none" w:pos="340" w:val="left"/>
        </w:tabs>
        <w:numPr>
          <w:ilvl w:val="0"/>
          <w:numId w:val="9"/>
        </w:numPr>
        <w:rPr>
          <w:rFonts w:ascii="Arial" w:cs="Arial" w:eastAsia="Arial" w:hAnsi="Arial"/>
          <w:sz w:val="18"/>
          <w:szCs w:val="18"/>
          <w:color w:val="auto"/>
          <w:vertAlign w:val="superscript"/>
        </w:rPr>
      </w:pPr>
      <w:r>
        <w:rPr>
          <w:rFonts w:ascii="Arial" w:cs="Arial" w:eastAsia="Arial" w:hAnsi="Arial"/>
          <w:sz w:val="16"/>
          <w:szCs w:val="16"/>
          <w:color w:val="auto"/>
        </w:rPr>
        <w:t>Weighted average rent pertains to annual/seasonal RV sites and excludes transient RV sites.</w:t>
      </w:r>
    </w:p>
    <w:p>
      <w:pPr>
        <w:spacing w:after="0" w:line="200" w:lineRule="exact"/>
        <w:rPr>
          <w:sz w:val="20"/>
          <w:szCs w:val="20"/>
          <w:color w:val="auto"/>
        </w:rPr>
      </w:pPr>
    </w:p>
    <w:p>
      <w:pPr>
        <w:spacing w:after="0" w:line="210"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Sun Communities, Inc. 2nd Quarter 2014</w:t>
      </w:r>
      <w:r>
        <w:rPr>
          <w:sz w:val="20"/>
          <w:szCs w:val="20"/>
          <w:color w:val="auto"/>
        </w:rPr>
        <w:tab/>
      </w:r>
      <w:r>
        <w:rPr>
          <w:rFonts w:ascii="Arial" w:cs="Arial" w:eastAsia="Arial" w:hAnsi="Arial"/>
          <w:sz w:val="15"/>
          <w:szCs w:val="15"/>
          <w:color w:val="auto"/>
        </w:rPr>
        <w:t>Page 15</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1)"/>
      <w:numFmt w:val="decimal"/>
      <w:start w:val="3"/>
    </w:lvl>
  </w:abstractNum>
  <w:abstractNum w:abstractNumId="8">
    <w:nsid w:val="5BD062C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2019-12-06T08:47:22Z</dcterms:created>
  <dcterms:modified xsi:type="dcterms:W3CDTF">2019-12-06T08:47:22Z</dcterms:modified>
</cp:coreProperties>
</file>