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0" w:hanging="221"/>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w:t>
      </w:r>
    </w:p>
    <w:p>
      <w:pPr>
        <w:spacing w:after="0" w:line="40" w:lineRule="exact"/>
        <w:rPr>
          <w:rFonts w:ascii="MS PGothic" w:cs="MS PGothic" w:eastAsia="MS PGothic" w:hAnsi="MS PGothic"/>
          <w:sz w:val="17"/>
          <w:szCs w:val="17"/>
          <w:color w:val="auto"/>
        </w:rPr>
      </w:pPr>
    </w:p>
    <w:p>
      <w:pPr>
        <w:ind w:left="44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period ended March 31, 2021.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540" w:hanging="222"/>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363" w:right="339" w:bottom="1440" w:gutter="0" w:footer="0" w:header="0"/>
        </w:sectPr>
      </w:pPr>
    </w:p>
    <w:p>
      <w:pPr>
        <w:spacing w:after="0" w:line="273"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50" w:lineRule="exact"/>
        <w:rPr>
          <w:sz w:val="24"/>
          <w:szCs w:val="24"/>
          <w:color w:val="auto"/>
        </w:rPr>
      </w:pPr>
    </w:p>
    <w:p>
      <w:pPr>
        <w:sectPr>
          <w:pgSz w:w="11900" w:h="16838" w:orient="portrait"/>
          <w:cols w:equalWidth="0" w:num="3">
            <w:col w:w="4600" w:space="720"/>
            <w:col w:w="2700" w:space="720"/>
            <w:col w:w="2500"/>
          </w:cols>
          <w:pgMar w:left="320" w:top="1363" w:right="33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64" w:lineRule="exact"/>
        <w:rPr>
          <w:sz w:val="24"/>
          <w:szCs w:val="24"/>
          <w:color w:val="auto"/>
        </w:rPr>
      </w:pPr>
    </w:p>
    <w:p>
      <w:pPr>
        <w:sectPr>
          <w:pgSz w:w="11900" w:h="16838" w:orient="portrait"/>
          <w:cols w:equalWidth="0" w:num="3">
            <w:col w:w="4000" w:space="720"/>
            <w:col w:w="2420" w:space="720"/>
            <w:col w:w="3380"/>
          </w:cols>
          <w:pgMar w:left="320" w:top="1363" w:right="339" w:bottom="1440" w:gutter="0" w:footer="0" w:header="0"/>
          <w:type w:val="continuous"/>
        </w:sectPr>
      </w:pPr>
    </w:p>
    <w:p>
      <w:pPr>
        <w:ind w:left="660"/>
        <w:spacing w:after="0"/>
        <w:tabs>
          <w:tab w:leader="none" w:pos="3180" w:val="left"/>
          <w:tab w:leader="none" w:pos="4280" w:val="left"/>
        </w:tabs>
        <w:rPr>
          <w:sz w:val="20"/>
          <w:szCs w:val="20"/>
          <w:color w:val="auto"/>
        </w:rPr>
      </w:pPr>
      <w:r>
        <w:rPr>
          <w:rFonts w:ascii="Arial" w:cs="Arial" w:eastAsia="Arial" w:hAnsi="Arial"/>
          <w:sz w:val="18"/>
          <w:szCs w:val="18"/>
          <w:b w:val="1"/>
          <w:bCs w:val="1"/>
          <w:color w:val="auto"/>
        </w:rPr>
        <w:t>27777 Franklin Rd, Suite 200,</w:t>
        <w:tab/>
        <w:t>Southfield,</w:t>
      </w:r>
      <w:r>
        <w:rPr>
          <w:sz w:val="20"/>
          <w:szCs w:val="20"/>
          <w:color w:val="auto"/>
        </w:rPr>
        <w:tab/>
      </w: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49" w:lineRule="exact"/>
        <w:rPr>
          <w:sz w:val="24"/>
          <w:szCs w:val="24"/>
          <w:color w:val="auto"/>
        </w:rPr>
      </w:pPr>
    </w:p>
    <w:p>
      <w:pPr>
        <w:sectPr>
          <w:pgSz w:w="11900" w:h="16838" w:orient="portrait"/>
          <w:cols w:equalWidth="0" w:num="2">
            <w:col w:w="8220" w:space="720"/>
            <w:col w:w="2300"/>
          </w:cols>
          <w:pgMar w:left="320" w:top="1363" w:right="3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38" w:orient="portrait"/>
          <w:cols w:equalWidth="0" w:num="2">
            <w:col w:w="8060" w:space="720"/>
            <w:col w:w="2460"/>
          </w:cols>
          <w:pgMar w:left="320" w:top="136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363" w:right="33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40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SUI</w:t>
            </w:r>
          </w:p>
        </w:tc>
        <w:tc>
          <w:tcPr>
            <w:tcW w:w="1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363" w:right="339" w:bottom="1440" w:gutter="0" w:footer="0" w:header="0"/>
          <w:type w:val="continuous"/>
        </w:sectPr>
      </w:pPr>
    </w:p>
    <w:p>
      <w:pPr>
        <w:spacing w:after="0" w:line="8" w:lineRule="exact"/>
        <w:rPr>
          <w:sz w:val="24"/>
          <w:szCs w:val="24"/>
          <w:color w:val="auto"/>
        </w:rPr>
      </w:pPr>
    </w:p>
    <w:p>
      <w:pPr>
        <w:ind w:left="2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46" w:lineRule="exact"/>
        <w:rPr>
          <w:sz w:val="24"/>
          <w:szCs w:val="24"/>
          <w:color w:val="auto"/>
        </w:rPr>
      </w:pPr>
    </w:p>
    <w:p>
      <w:pPr>
        <w:sectPr>
          <w:pgSz w:w="11900" w:h="16838" w:orient="portrait"/>
          <w:cols w:equalWidth="0" w:num="5">
            <w:col w:w="1840" w:space="460"/>
            <w:col w:w="1200" w:space="560"/>
            <w:col w:w="1520" w:space="580"/>
            <w:col w:w="1960" w:space="520"/>
            <w:col w:w="2600"/>
          </w:cols>
          <w:pgMar w:left="320" w:top="1363" w:right="339" w:bottom="1440" w:gutter="0" w:footer="0" w:header="0"/>
          <w:type w:val="continuous"/>
        </w:sectPr>
      </w:pPr>
    </w:p>
    <w:p>
      <w:pPr>
        <w:ind w:left="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0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2100" w:space="720"/>
            <w:col w:w="1200" w:space="720"/>
            <w:col w:w="1600" w:space="720"/>
            <w:col w:w="1760" w:space="720"/>
            <w:col w:w="1700"/>
          </w:cols>
          <w:pgMar w:left="320" w:top="1363" w:right="33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April 20, 2021: 111,828,638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10320" w:type="dxa"/>
            <w:vAlign w:val="bottom"/>
          </w:tcPr>
          <w:p>
            <w:pPr>
              <w:ind w:left="180"/>
              <w:spacing w:after="0" w:line="190" w:lineRule="exact"/>
              <w:rPr>
                <w:sz w:val="20"/>
                <w:szCs w:val="20"/>
                <w:color w:val="auto"/>
              </w:rPr>
            </w:pPr>
            <w:r>
              <w:rPr>
                <w:rFonts w:ascii="Arial" w:cs="Arial" w:eastAsia="Arial" w:hAnsi="Arial"/>
                <w:sz w:val="18"/>
                <w:szCs w:val="18"/>
                <w:color w:val="auto"/>
              </w:rPr>
              <w:t>Consolidated Balance Sheets as of March 31, 2021 (Unaudited) and December 31, 2020</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Months Ended March 31,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Three Months Ended March 31,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 of Equity for the Three Months Ended March 31,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Three Months Ended March 31,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Arial" w:cs="Arial" w:eastAsia="Arial" w:hAnsi="Arial"/>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57</w:t>
              </w:r>
            </w:hyperlink>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58</w:t>
              </w:r>
            </w:hyperlink>
          </w:p>
        </w:tc>
        <w:tc>
          <w:tcPr>
            <w:tcW w:w="20" w:type="dxa"/>
            <w:vAlign w:val="bottom"/>
          </w:tcPr>
          <w:p>
            <w:pPr>
              <w:spacing w:after="0"/>
              <w:rPr>
                <w:sz w:val="18"/>
                <w:szCs w:val="18"/>
                <w:color w:val="auto"/>
              </w:rPr>
            </w:pPr>
          </w:p>
        </w:tc>
      </w:tr>
      <w:tr>
        <w:trPr>
          <w:trHeight w:val="1297"/>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80" w:type="dxa"/>
            <w:vAlign w:val="bottom"/>
          </w:tcPr>
          <w:p>
            <w:pPr>
              <w:ind w:left="434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240"/>
              <w:spacing w:after="0"/>
              <w:rPr>
                <w:sz w:val="20"/>
                <w:szCs w:val="20"/>
                <w:color w:val="auto"/>
              </w:rPr>
            </w:pPr>
            <w:r>
              <w:rPr>
                <w:rFonts w:ascii="Arial" w:cs="Arial" w:eastAsia="Arial" w:hAnsi="Arial"/>
                <w:sz w:val="15"/>
                <w:szCs w:val="15"/>
                <w:b w:val="1"/>
                <w:bCs w:val="1"/>
                <w:color w:val="auto"/>
              </w:rPr>
              <w:t>(Unaudited)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Land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2,190,762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2,119,364</w:t>
            </w: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Land improvements and buildings</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8,664,199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8,480,597</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Rental homes and improvements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652,559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637,603</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Furniture, fixtures and equipment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491,735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447,039</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property</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11,999,255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11,684,603</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Accumulated depreciation</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(2,088,105)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(1,968,812)</w:t>
            </w:r>
          </w:p>
        </w:tc>
        <w:tc>
          <w:tcPr>
            <w:tcW w:w="0" w:type="dxa"/>
            <w:vAlign w:val="bottom"/>
          </w:tcPr>
          <w:p>
            <w:pPr>
              <w:spacing w:after="0"/>
              <w:rPr>
                <w:sz w:val="1"/>
                <w:szCs w:val="1"/>
                <w:color w:val="auto"/>
              </w:rPr>
            </w:pPr>
          </w:p>
        </w:tc>
      </w:tr>
      <w:tr>
        <w:trPr>
          <w:trHeight w:val="133"/>
        </w:trPr>
        <w:tc>
          <w:tcPr>
            <w:tcW w:w="7780" w:type="dxa"/>
            <w:vAlign w:val="bottom"/>
            <w:shd w:val="clear" w:color="auto" w:fill="CCEEFF"/>
          </w:tcPr>
          <w:p>
            <w:pPr>
              <w:ind w:left="220"/>
              <w:spacing w:after="0" w:line="133" w:lineRule="exact"/>
              <w:rPr>
                <w:sz w:val="20"/>
                <w:szCs w:val="20"/>
                <w:color w:val="auto"/>
              </w:rPr>
            </w:pPr>
            <w:r>
              <w:rPr>
                <w:rFonts w:ascii="Arial" w:cs="Arial" w:eastAsia="Arial" w:hAnsi="Arial"/>
                <w:sz w:val="15"/>
                <w:szCs w:val="15"/>
                <w:color w:val="auto"/>
                <w:w w:val="95"/>
              </w:rPr>
              <w:t>Investment property, net (including $479,196 and $438,918 for consolidated VIEs at March 31, 2021 and December 31,</w:t>
            </w:r>
          </w:p>
        </w:tc>
        <w:tc>
          <w:tcPr>
            <w:tcW w:w="1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9,911,150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9,715,791</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2020; see Note 7)</w:t>
            </w:r>
          </w:p>
        </w:tc>
        <w:tc>
          <w:tcPr>
            <w:tcW w:w="18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Cash, cash equivalents and restricted cash</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120,174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Marketable securities (see Note 14)</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127,821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Inventory of manufactured homes</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43,242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46,643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Notes and other receivables, net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249,009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221,650</w:t>
            </w: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438,842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428,833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intangible assets, net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300,554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305,611</w:t>
            </w:r>
          </w:p>
        </w:tc>
        <w:tc>
          <w:tcPr>
            <w:tcW w:w="0" w:type="dxa"/>
            <w:vAlign w:val="bottom"/>
          </w:tcPr>
          <w:p>
            <w:pPr>
              <w:spacing w:after="0"/>
              <w:rPr>
                <w:sz w:val="1"/>
                <w:szCs w:val="1"/>
                <w:color w:val="auto"/>
              </w:rPr>
            </w:pPr>
          </w:p>
        </w:tc>
      </w:tr>
      <w:tr>
        <w:trPr>
          <w:trHeight w:val="148"/>
        </w:trPr>
        <w:tc>
          <w:tcPr>
            <w:tcW w:w="7780" w:type="dxa"/>
            <w:vAlign w:val="bottom"/>
          </w:tcPr>
          <w:p>
            <w:pPr>
              <w:ind w:left="220"/>
              <w:spacing w:after="0" w:line="149" w:lineRule="exact"/>
              <w:rPr>
                <w:sz w:val="20"/>
                <w:szCs w:val="20"/>
                <w:color w:val="auto"/>
              </w:rPr>
            </w:pPr>
            <w:r>
              <w:rPr>
                <w:rFonts w:ascii="Arial" w:cs="Arial" w:eastAsia="Arial" w:hAnsi="Arial"/>
                <w:sz w:val="15"/>
                <w:szCs w:val="15"/>
                <w:color w:val="auto"/>
                <w:w w:val="94"/>
              </w:rPr>
              <w:t>Other assets, net (including $31,820 and $24,554 for consolidated VIEs at March 31, 2021 and December 31, 2020; see</w:t>
            </w:r>
          </w:p>
        </w:tc>
        <w:tc>
          <w:tcPr>
            <w:tcW w:w="180" w:type="dxa"/>
            <w:vAlign w:val="bottom"/>
          </w:tcPr>
          <w:p>
            <w:pPr>
              <w:spacing w:after="0"/>
              <w:rPr>
                <w:sz w:val="12"/>
                <w:szCs w:val="12"/>
                <w:color w:val="auto"/>
              </w:rPr>
            </w:pPr>
          </w:p>
        </w:tc>
        <w:tc>
          <w:tcPr>
            <w:tcW w:w="1420" w:type="dxa"/>
            <w:vAlign w:val="bottom"/>
            <w:vMerge w:val="restart"/>
          </w:tcPr>
          <w:p>
            <w:pPr>
              <w:jc w:val="right"/>
              <w:ind w:right="4"/>
              <w:spacing w:after="0"/>
              <w:rPr>
                <w:sz w:val="20"/>
                <w:szCs w:val="20"/>
                <w:color w:val="auto"/>
              </w:rPr>
            </w:pPr>
            <w:r>
              <w:rPr>
                <w:rFonts w:ascii="Arial" w:cs="Arial" w:eastAsia="Arial" w:hAnsi="Arial"/>
                <w:sz w:val="15"/>
                <w:szCs w:val="15"/>
                <w:color w:val="auto"/>
              </w:rPr>
              <w:t>263,417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4"/>
              <w:spacing w:after="0"/>
              <w:rPr>
                <w:sz w:val="20"/>
                <w:szCs w:val="20"/>
                <w:color w:val="auto"/>
              </w:rPr>
            </w:pPr>
            <w:r>
              <w:rPr>
                <w:rFonts w:ascii="Arial" w:cs="Arial" w:eastAsia="Arial" w:hAnsi="Arial"/>
                <w:sz w:val="15"/>
                <w:szCs w:val="15"/>
                <w:color w:val="auto"/>
              </w:rPr>
              <w:t>270,691</w:t>
            </w:r>
          </w:p>
        </w:tc>
        <w:tc>
          <w:tcPr>
            <w:tcW w:w="0" w:type="dxa"/>
            <w:vAlign w:val="bottom"/>
          </w:tcPr>
          <w:p>
            <w:pPr>
              <w:spacing w:after="0"/>
              <w:rPr>
                <w:sz w:val="1"/>
                <w:szCs w:val="1"/>
                <w:color w:val="auto"/>
              </w:rPr>
            </w:pPr>
          </w:p>
        </w:tc>
      </w:tr>
      <w:tr>
        <w:trPr>
          <w:trHeight w:val="20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Note 7</w:t>
            </w: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11,454,209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7"/>
              </w:rPr>
              <w:t>Mortgage loans payable (including $54,142 and $47,706 for consolidated VIEs at March 31, 2021 and December 31,</w:t>
            </w:r>
          </w:p>
        </w:tc>
        <w:tc>
          <w:tcPr>
            <w:tcW w:w="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3,430,420</w:t>
            </w:r>
          </w:p>
        </w:tc>
        <w:tc>
          <w:tcPr>
            <w:tcW w:w="2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3,444,967</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2020; see Note 7)</w:t>
            </w:r>
          </w:p>
        </w:tc>
        <w:tc>
          <w:tcPr>
            <w:tcW w:w="18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w w:val="93"/>
              </w:rPr>
              <w:t>Preferred Equity - Sun NG RV Resorts LLC - mandatorily redeemable (fully attributable to consolidated VIEs; see Note 7)</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35,249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35,249</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OP units - mandatorily redeemable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34,663</w:t>
            </w: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Lines of credit and other debt</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917,603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1,242,197</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payable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95,076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86,988</w:t>
            </w: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Advanced reservation deposits and rent</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280,301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187,730</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expenses and accounts payable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160,072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148,435</w:t>
            </w:r>
          </w:p>
        </w:tc>
        <w:tc>
          <w:tcPr>
            <w:tcW w:w="0" w:type="dxa"/>
            <w:vAlign w:val="bottom"/>
          </w:tcPr>
          <w:p>
            <w:pPr>
              <w:spacing w:after="0"/>
              <w:rPr>
                <w:sz w:val="1"/>
                <w:szCs w:val="1"/>
                <w:color w:val="auto"/>
              </w:rPr>
            </w:pPr>
          </w:p>
        </w:tc>
      </w:tr>
      <w:tr>
        <w:trPr>
          <w:trHeight w:val="149"/>
        </w:trPr>
        <w:tc>
          <w:tcPr>
            <w:tcW w:w="7780" w:type="dxa"/>
            <w:vAlign w:val="bottom"/>
          </w:tcPr>
          <w:p>
            <w:pPr>
              <w:ind w:left="220"/>
              <w:spacing w:after="0" w:line="149" w:lineRule="exact"/>
              <w:rPr>
                <w:sz w:val="20"/>
                <w:szCs w:val="20"/>
                <w:color w:val="auto"/>
              </w:rPr>
            </w:pPr>
            <w:r>
              <w:rPr>
                <w:rFonts w:ascii="Arial" w:cs="Arial" w:eastAsia="Arial" w:hAnsi="Arial"/>
                <w:sz w:val="15"/>
                <w:szCs w:val="15"/>
                <w:color w:val="auto"/>
                <w:w w:val="96"/>
              </w:rPr>
              <w:t>Other liabilities (including $47,901 and $21,957 for consolidated VIEs at March 31, 2021 and December 31, 2020; see</w:t>
            </w:r>
          </w:p>
        </w:tc>
        <w:tc>
          <w:tcPr>
            <w:tcW w:w="180" w:type="dxa"/>
            <w:vAlign w:val="bottom"/>
          </w:tcPr>
          <w:p>
            <w:pPr>
              <w:spacing w:after="0"/>
              <w:rPr>
                <w:sz w:val="12"/>
                <w:szCs w:val="12"/>
                <w:color w:val="auto"/>
              </w:rPr>
            </w:pPr>
          </w:p>
        </w:tc>
        <w:tc>
          <w:tcPr>
            <w:tcW w:w="1420" w:type="dxa"/>
            <w:vAlign w:val="bottom"/>
            <w:vMerge w:val="restart"/>
          </w:tcPr>
          <w:p>
            <w:pPr>
              <w:jc w:val="right"/>
              <w:ind w:right="4"/>
              <w:spacing w:after="0"/>
              <w:rPr>
                <w:sz w:val="20"/>
                <w:szCs w:val="20"/>
                <w:color w:val="auto"/>
              </w:rPr>
            </w:pPr>
            <w:r>
              <w:rPr>
                <w:rFonts w:ascii="Arial" w:cs="Arial" w:eastAsia="Arial" w:hAnsi="Arial"/>
                <w:sz w:val="15"/>
                <w:szCs w:val="15"/>
                <w:color w:val="auto"/>
              </w:rPr>
              <w:t>148,128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4"/>
              <w:spacing w:after="0"/>
              <w:rPr>
                <w:sz w:val="20"/>
                <w:szCs w:val="20"/>
                <w:color w:val="auto"/>
              </w:rPr>
            </w:pPr>
            <w:r>
              <w:rPr>
                <w:rFonts w:ascii="Arial" w:cs="Arial" w:eastAsia="Arial" w:hAnsi="Arial"/>
                <w:sz w:val="15"/>
                <w:szCs w:val="15"/>
                <w:color w:val="auto"/>
              </w:rPr>
              <w:t>134,650</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Note 7)</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460"/>
              <w:spacing w:after="0"/>
              <w:rPr>
                <w:sz w:val="20"/>
                <w:szCs w:val="20"/>
                <w:color w:val="auto"/>
              </w:rPr>
            </w:pPr>
            <w:r>
              <w:rPr>
                <w:rFonts w:ascii="Arial" w:cs="Arial" w:eastAsia="Arial" w:hAnsi="Arial"/>
                <w:sz w:val="15"/>
                <w:szCs w:val="15"/>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5,101,512</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5,314,879</w:t>
            </w:r>
          </w:p>
        </w:tc>
        <w:tc>
          <w:tcPr>
            <w:tcW w:w="0" w:type="dxa"/>
            <w:vAlign w:val="bottom"/>
          </w:tcPr>
          <w:p>
            <w:pPr>
              <w:spacing w:after="0"/>
              <w:rPr>
                <w:sz w:val="1"/>
                <w:szCs w:val="1"/>
                <w:color w:val="auto"/>
              </w:rPr>
            </w:pPr>
          </w:p>
        </w:tc>
      </w:tr>
      <w:tr>
        <w:trPr>
          <w:trHeight w:val="179"/>
        </w:trPr>
        <w:tc>
          <w:tcPr>
            <w:tcW w:w="7780" w:type="dxa"/>
            <w:vAlign w:val="bottom"/>
          </w:tcPr>
          <w:p>
            <w:pPr>
              <w:ind w:left="220"/>
              <w:spacing w:after="0"/>
              <w:rPr>
                <w:sz w:val="20"/>
                <w:szCs w:val="20"/>
                <w:color w:val="auto"/>
              </w:rPr>
            </w:pPr>
            <w:r>
              <w:rPr>
                <w:rFonts w:ascii="Arial" w:cs="Arial" w:eastAsia="Arial" w:hAnsi="Arial"/>
                <w:sz w:val="15"/>
                <w:szCs w:val="15"/>
                <w:color w:val="auto"/>
              </w:rPr>
              <w:t>Commitments and contingencies (see Note 15)</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5"/>
              </w:rPr>
              <w:t>Temporary equity (see Note 9) (including $26,604 and $28,469 for consolidated VIEs at March 31, 2021 and December</w:t>
            </w:r>
          </w:p>
        </w:tc>
        <w:tc>
          <w:tcPr>
            <w:tcW w:w="1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261,059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264,379</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31, 2020; see Note 7)</w:t>
            </w:r>
          </w:p>
        </w:tc>
        <w:tc>
          <w:tcPr>
            <w:tcW w:w="18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778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w w:val="98"/>
              </w:rPr>
              <w:t>Common stock, $0.01 par value. Authorized: 180,000 shares; Issued and outstanding: 111,835 March 31, 2021 and</w:t>
            </w:r>
          </w:p>
        </w:tc>
        <w:tc>
          <w:tcPr>
            <w:tcW w:w="1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1,118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107,626 December 31, 2020</w:t>
            </w:r>
          </w:p>
        </w:tc>
        <w:tc>
          <w:tcPr>
            <w:tcW w:w="18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Additional paid-in capital</w:t>
            </w: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7,618,128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7,087,658</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4,033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3,178</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Distributions in excess of accumulated earnings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(1,631,044)</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(1,566,636)</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Sun Communities, Inc. stockholders' equity</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5,992,235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5,525,276</w:t>
            </w:r>
          </w:p>
        </w:tc>
        <w:tc>
          <w:tcPr>
            <w:tcW w:w="0" w:type="dxa"/>
            <w:vAlign w:val="bottom"/>
          </w:tcPr>
          <w:p>
            <w:pPr>
              <w:spacing w:after="0"/>
              <w:rPr>
                <w:sz w:val="1"/>
                <w:szCs w:val="1"/>
                <w:color w:val="auto"/>
              </w:rPr>
            </w:pPr>
          </w:p>
        </w:tc>
      </w:tr>
      <w:tr>
        <w:trPr>
          <w:trHeight w:val="198"/>
        </w:trPr>
        <w:tc>
          <w:tcPr>
            <w:tcW w:w="7780" w:type="dxa"/>
            <w:vAlign w:val="bottom"/>
          </w:tcPr>
          <w:p>
            <w:pPr>
              <w:ind w:left="220"/>
              <w:spacing w:after="0"/>
              <w:rPr>
                <w:sz w:val="20"/>
                <w:szCs w:val="20"/>
                <w:color w:val="auto"/>
              </w:rPr>
            </w:pPr>
            <w:r>
              <w:rPr>
                <w:rFonts w:ascii="Arial" w:cs="Arial" w:eastAsia="Arial" w:hAnsi="Arial"/>
                <w:sz w:val="15"/>
                <w:szCs w:val="15"/>
                <w:color w:val="auto"/>
              </w:rPr>
              <w:t>Noncontrolling interests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Common and preferred OP units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82,502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85,968</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Consolidated VIEs (fully attributable to consolidated VIEs; see Note 7)</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16,901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16,084</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99,403</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102,052</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ind w:left="460"/>
              <w:spacing w:after="0"/>
              <w:rPr>
                <w:sz w:val="20"/>
                <w:szCs w:val="20"/>
                <w:color w:val="auto"/>
              </w:rPr>
            </w:pPr>
            <w:r>
              <w:rPr>
                <w:rFonts w:ascii="Arial" w:cs="Arial" w:eastAsia="Arial" w:hAnsi="Arial"/>
                <w:sz w:val="15"/>
                <w:szCs w:val="15"/>
                <w:b w:val="1"/>
                <w:bCs w:val="1"/>
                <w:color w:val="auto"/>
              </w:rPr>
              <w:t>Total Stockholders' Equity</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6,091,638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5,627,328</w:t>
            </w:r>
          </w:p>
        </w:tc>
        <w:tc>
          <w:tcPr>
            <w:tcW w:w="0" w:type="dxa"/>
            <w:vAlign w:val="bottom"/>
          </w:tcPr>
          <w:p>
            <w:pPr>
              <w:spacing w:after="0"/>
              <w:rPr>
                <w:sz w:val="1"/>
                <w:szCs w:val="1"/>
                <w:color w:val="auto"/>
              </w:rPr>
            </w:pPr>
          </w:p>
        </w:tc>
      </w:tr>
      <w:tr>
        <w:trPr>
          <w:trHeight w:val="225"/>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11,454,209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r>
      <w:tr>
        <w:trPr>
          <w:trHeight w:val="196"/>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6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b w:val="1"/>
                <w:bCs w:val="1"/>
                <w:color w:val="auto"/>
                <w:w w:val="97"/>
              </w:rPr>
              <w:t>March 31, 2020</w:t>
            </w:r>
          </w:p>
        </w:tc>
      </w:tr>
      <w:tr>
        <w:trPr>
          <w:trHeight w:val="183"/>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258,349</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52,199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40,587</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5,103</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Interest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2,350</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net</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3,913</w:t>
            </w:r>
          </w:p>
        </w:tc>
      </w:tr>
      <w:tr>
        <w:trPr>
          <w:trHeight w:val="192"/>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5"/>
                <w:szCs w:val="15"/>
                <w:b w:val="1"/>
                <w:bCs w:val="1"/>
                <w:color w:val="auto"/>
              </w:rPr>
              <w:t>Total Revenues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442,015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310,302</w:t>
            </w:r>
          </w:p>
        </w:tc>
      </w:tr>
      <w:tr>
        <w:trPr>
          <w:trHeight w:val="18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Property operating and maintenance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103,553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69,834</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estate tax</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17,176</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Home costs and selling</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41,590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34,039</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6,682</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38,203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25,349</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Business combination</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83,689</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3,279</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32,416</w:t>
            </w:r>
          </w:p>
        </w:tc>
      </w:tr>
      <w:tr>
        <w:trPr>
          <w:trHeight w:val="198"/>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1,041</w:t>
            </w:r>
          </w:p>
        </w:tc>
      </w:tr>
      <w:tr>
        <w:trPr>
          <w:trHeight w:val="200"/>
        </w:trPr>
        <w:tc>
          <w:tcPr>
            <w:tcW w:w="838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274,111</w:t>
            </w:r>
          </w:p>
        </w:tc>
      </w:tr>
      <w:tr>
        <w:trPr>
          <w:trHeight w:val="192"/>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Income Before Other Items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23,327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36,191</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(17,479)</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Income / (loss) on remeasurement of notes receivable (see Note 4)</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(2,112)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Income / (loss) on remeasurement of investment in nonconsolidated affiliates (see Note 6)</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(2,191)</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r>
      <w:tr>
        <w:trPr>
          <w:trHeight w:val="198"/>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Deferred tax benefit (see Note 12)</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r>
      <w:tr>
        <w:trPr>
          <w:trHeight w:val="200"/>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1,570</w:t>
            </w:r>
          </w:p>
        </w:tc>
      </w:tr>
      <w:tr>
        <w:trPr>
          <w:trHeight w:val="203"/>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Income /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w:t>
            </w:r>
          </w:p>
        </w:tc>
      </w:tr>
      <w:tr>
        <w:trPr>
          <w:trHeight w:val="200"/>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Net Income / (Loss) Attributable to Sun Communities, Inc.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24,782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(16,086)</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8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107,932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92,410</w:t>
            </w: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92,411</w:t>
            </w:r>
          </w:p>
        </w:tc>
      </w:tr>
      <w:tr>
        <w:trPr>
          <w:trHeight w:val="203"/>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 (loss) per share (see Note 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r>
      <w:tr>
        <w:trPr>
          <w:trHeight w:val="194"/>
        </w:trPr>
        <w:tc>
          <w:tcPr>
            <w:tcW w:w="8380" w:type="dxa"/>
            <w:vAlign w:val="bottom"/>
          </w:tcPr>
          <w:p>
            <w:pPr>
              <w:ind w:left="20"/>
              <w:spacing w:after="0"/>
              <w:rPr>
                <w:sz w:val="20"/>
                <w:szCs w:val="20"/>
                <w:color w:val="auto"/>
              </w:rPr>
            </w:pPr>
            <w:r>
              <w:rPr>
                <w:rFonts w:ascii="Arial" w:cs="Arial" w:eastAsia="Arial" w:hAnsi="Arial"/>
                <w:sz w:val="15"/>
                <w:szCs w:val="15"/>
                <w:color w:val="auto"/>
              </w:rPr>
              <w:t>Diluted earnings / (loss) per share (see Note 13)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0.23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(0.17)</w:t>
            </w: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March 31, 2020</w:t>
            </w:r>
          </w:p>
        </w:tc>
      </w:tr>
      <w:tr>
        <w:trPr>
          <w:trHeight w:val="198"/>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(15,478)</w:t>
            </w:r>
          </w:p>
        </w:tc>
      </w:tr>
      <w:tr>
        <w:trPr>
          <w:trHeight w:val="198"/>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Foreign currency translation gain / (loss) adjustment</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w:t>
            </w:r>
          </w:p>
        </w:tc>
      </w:tr>
      <w:tr>
        <w:trPr>
          <w:trHeight w:val="200"/>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(22,778)</w:t>
            </w:r>
          </w:p>
        </w:tc>
      </w:tr>
      <w:tr>
        <w:trPr>
          <w:trHeight w:val="198"/>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Comprehensive income / (loss) attributable to noncontrolling interests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1,268</w:t>
            </w:r>
          </w:p>
        </w:tc>
      </w:tr>
      <w:tr>
        <w:trPr>
          <w:trHeight w:val="22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 / (Loss) attributable to Sun Communities,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5"/>
                <w:szCs w:val="15"/>
                <w:color w:val="auto"/>
              </w:rPr>
            </w:pPr>
          </w:p>
        </w:tc>
        <w:tc>
          <w:tcPr>
            <w:tcW w:w="8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1"/>
                <w:szCs w:val="11"/>
                <w:color w:val="auto"/>
              </w:rPr>
            </w:pPr>
          </w:p>
        </w:tc>
        <w:tc>
          <w:tcPr>
            <w:tcW w:w="68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96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80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96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0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76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264,379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7,087,658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(1,566,636)</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102,052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5,627,328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5,891,707</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522,222</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522,264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522,264</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7,118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7,180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7,180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895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27,647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29,509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27,941</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(92,823)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(3,260)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(96,083)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(97,887)</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261,059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7,618,128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(1,631,044)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4,033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99,403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6,091,638</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6,352,697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1"/>
                <w:szCs w:val="11"/>
                <w:color w:val="auto"/>
              </w:rPr>
            </w:pPr>
          </w:p>
        </w:tc>
        <w:tc>
          <w:tcPr>
            <w:tcW w:w="8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1"/>
                <w:szCs w:val="11"/>
                <w:color w:val="auto"/>
              </w:rPr>
            </w:pPr>
          </w:p>
        </w:tc>
        <w:tc>
          <w:tcPr>
            <w:tcW w:w="68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96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80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96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0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78,004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5,213,264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(1,393,141)</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56,228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3,875,952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3,953,956</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(7,141)</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(7,140)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(7,140)</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4,928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5,021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5,021</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Issuance of Series E preferred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8,819</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4"/>
              </w:rPr>
              <w:t>Remeasurement of notes receivable and equity</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1,953</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1,953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method investment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(73,730)</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(76,648)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(77,105)</w:t>
            </w: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76,450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5,211,678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(1,479,424)</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3,786,470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3,862,920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Months Ended</w:t>
            </w:r>
          </w:p>
        </w:tc>
      </w:tr>
      <w:tr>
        <w:trPr>
          <w:trHeight w:val="196"/>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220,490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118,513</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in properties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(151,979)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(132,759)</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of properties, net of cash acquired</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(141,755)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(24,439)</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dispositions of assets and depreciated homes,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12,612</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(7,907)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(19,903)</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(4,510)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(6,970)</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from nonconsolidated affiliates</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1,192</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w:t>
            </w:r>
          </w:p>
        </w:tc>
      </w:tr>
      <w:tr>
        <w:trPr>
          <w:trHeight w:val="192"/>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(285,978)</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(169,330)</w:t>
            </w: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Issuance of common stock, OP units, and preferred OP units,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522,264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(7,140)</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Borrowings on lines of credit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442,290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1,163,965</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lines of credit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(766,260)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(763,076)</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issuance of other debt</w:t>
            </w: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other debt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(14,799)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(134,203)</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Prepayment penalty on collateralized term loans</w:t>
            </w: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(89,792)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(71,859)</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deferred financing costs</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(3,328)</w:t>
            </w:r>
          </w:p>
        </w:tc>
      </w:tr>
      <w:tr>
        <w:trPr>
          <w:trHeight w:val="192"/>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93,002</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411,109</w:t>
            </w: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27,533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359,910</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34,830</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120,174</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394,740</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Months Ended</w:t>
            </w:r>
          </w:p>
        </w:tc>
      </w:tr>
      <w:tr>
        <w:trPr>
          <w:trHeight w:val="196"/>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2020</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(net of capitalized interest of $1,154 and $2,258 respectively)</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39,458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32,464</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1,036</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1,041</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 (refunded) for income taxes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4,787</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1,150</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446</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E preferred interest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r>
      <w:tr>
        <w:trPr>
          <w:trHeight w:val="194"/>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Contingent consideration liability</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3,201</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Sun Home Services, Inc. ("SHS") and Safe Harbor Marinas, LLC ("Safe Harbor") are referred to herein as the "Company," "us," "we," and "our."</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2021, we changed our organizational structure from a two-segment to a three-segment structure as a result of the recent acquisition of Safe Harbor and its internal organization. The new structure reflects how the chief operating decision maker manages the business, makes operating decisions, allocates resources and evaluates operating performance. Therefore, beginning with results for the three months ended March 31, 2021,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 most significant changes were the combining of rental home revenue with real property revenue, the combining of rental home operating and maintenance expenses with property operating expenses, and the combining of home selling expenses with cost of home sales. Vacation rental home rent has been reclassified from ancillary income into real property. In addition, ancillary revenues and expenses have been renamed service, retail, dining &amp; entertainment. There was no impact to prior period net income, stockholders equity or cash flows for any of the reclassifications.</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2020 as filed with the SEC on February 18, 2021 (our "2020 Annual Report"). These statements have been prepared on a basis that is substantially consistent with the accounting principles applied in our 2020 Annual Report.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2021, we changed our organizational structure from a two-segment to a three-segment structure as a result of the recent acquisition of Safe Harbor and its internal organization. The new structure reflects how the chief operating decision maker manages the business, makes operating decisions, allocates resources and evaluates operating performance. Our three new reportable segments are: (i) Manufactured homes ("MH") communities, (ii) Recreational vehicle ("RV") resorts and (iii) Marinas. Certain reclassifications have been made to the prior period comparative information to conform to the current period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4"/>
          </w:tcPr>
          <w:p>
            <w:pPr>
              <w:ind w:left="320"/>
              <w:spacing w:after="0" w:line="204" w:lineRule="exact"/>
              <w:rPr>
                <w:sz w:val="20"/>
                <w:szCs w:val="20"/>
                <w:color w:val="auto"/>
              </w:rPr>
            </w:pPr>
            <w:r>
              <w:rPr>
                <w:rFonts w:ascii="Arial" w:cs="Arial" w:eastAsia="Arial" w:hAnsi="Arial"/>
                <w:sz w:val="15"/>
                <w:szCs w:val="15"/>
                <w:b w:val="1"/>
                <w:bCs w:val="1"/>
                <w:color w:val="auto"/>
              </w:rPr>
              <w:t>March 31, 2020</w:t>
            </w:r>
            <w:r>
              <w:rPr>
                <w:rFonts w:ascii="Arial" w:cs="Arial" w:eastAsia="Arial" w:hAnsi="Arial"/>
                <w:sz w:val="19"/>
                <w:szCs w:val="19"/>
                <w:color w:val="auto"/>
                <w:vertAlign w:val="superscript"/>
              </w:rPr>
              <w:t>(1)</w:t>
            </w: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160" w:type="dxa"/>
            <w:vAlign w:val="bottom"/>
            <w:gridSpan w:val="2"/>
          </w:tcPr>
          <w:p>
            <w:pPr>
              <w:ind w:left="260"/>
              <w:spacing w:after="0"/>
              <w:rPr>
                <w:sz w:val="20"/>
                <w:szCs w:val="20"/>
                <w:color w:val="auto"/>
              </w:rPr>
            </w:pPr>
            <w:r>
              <w:rPr>
                <w:rFonts w:ascii="Arial" w:cs="Arial" w:eastAsia="Arial" w:hAnsi="Arial"/>
                <w:sz w:val="15"/>
                <w:szCs w:val="15"/>
                <w:b w:val="1"/>
                <w:bCs w:val="1"/>
                <w:color w:val="auto"/>
              </w:rPr>
              <w:t>Marinas</w:t>
            </w:r>
          </w:p>
        </w:tc>
        <w:tc>
          <w:tcPr>
            <w:tcW w:w="12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198,278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81,102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51,233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330,613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75,023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258,349</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45,332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6,867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52,199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35,782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4,805</w:t>
            </w:r>
          </w:p>
        </w:tc>
        <w:tc>
          <w:tcPr>
            <w:tcW w:w="10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40,587</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Service, retail, dining</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4,394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44,354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50,612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3,050</w:t>
            </w:r>
          </w:p>
        </w:tc>
        <w:tc>
          <w:tcPr>
            <w:tcW w:w="1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5,103</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entertainment</w:t>
            </w: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5"/>
                <w:szCs w:val="15"/>
                <w:color w:val="auto"/>
              </w:rPr>
              <w:t>Interest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2,350</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8"/>
              </w:rPr>
              <w:t>Brokerage commissions</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2,520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545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5,960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1,814</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780"/>
              <w:spacing w:after="0"/>
              <w:rPr>
                <w:sz w:val="20"/>
                <w:szCs w:val="20"/>
                <w:color w:val="auto"/>
              </w:rPr>
            </w:pPr>
            <w:r>
              <w:rPr>
                <w:rFonts w:ascii="Arial" w:cs="Arial" w:eastAsia="Arial" w:hAnsi="Arial"/>
                <w:sz w:val="15"/>
                <w:szCs w:val="15"/>
                <w:color w:val="auto"/>
              </w:rPr>
              <w:t>N/A</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3,913</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other, net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250,080</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95,795</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96,140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442,015</w:t>
            </w:r>
          </w:p>
        </w:tc>
        <w:tc>
          <w:tcPr>
            <w:tcW w:w="2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225,259</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85,043</w:t>
            </w:r>
          </w:p>
        </w:tc>
        <w:tc>
          <w:tcPr>
            <w:tcW w:w="10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310,302</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consists primarily of Real property revenue at our MH, RV and marina properties, revenue from Home sales, Service, retail, dining and entertainment revenue, Interest income, and Brokerage commissions and other revenue.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is derived from site and home leases, and wet slips and dry storage spaces leases that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 We account for all revenue from contracts with customers following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except for those that are within the scope of other topics in the FASB accounting standards codification. For additional information, refer to Note 1, "Significant Accounting Policies," in our 2020 Annual Report.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acquired the following communities,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5"/>
                <w:szCs w:val="15"/>
                <w:b w:val="1"/>
                <w:bCs w:val="1"/>
                <w:color w:val="auto"/>
                <w:w w:val="84"/>
              </w:rPr>
              <w:t>Sites,</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94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vMerge w:val="restart"/>
          </w:tcPr>
          <w:p>
            <w:pPr>
              <w:spacing w:after="0"/>
              <w:rPr>
                <w:sz w:val="12"/>
                <w:szCs w:val="12"/>
                <w:color w:val="auto"/>
              </w:rPr>
            </w:pPr>
          </w:p>
        </w:tc>
        <w:tc>
          <w:tcPr>
            <w:tcW w:w="1920" w:type="dxa"/>
            <w:vAlign w:val="bottom"/>
            <w:vMerge w:val="restart"/>
          </w:tcPr>
          <w:p>
            <w:pPr>
              <w:ind w:left="80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Wet Slips and</w:t>
            </w:r>
          </w:p>
        </w:tc>
        <w:tc>
          <w:tcPr>
            <w:tcW w:w="100" w:type="dxa"/>
            <w:vAlign w:val="bottom"/>
          </w:tcPr>
          <w:p>
            <w:pPr>
              <w:spacing w:after="0"/>
              <w:rPr>
                <w:sz w:val="12"/>
                <w:szCs w:val="12"/>
                <w:color w:val="auto"/>
              </w:rPr>
            </w:pPr>
          </w:p>
        </w:tc>
        <w:tc>
          <w:tcPr>
            <w:tcW w:w="1640" w:type="dxa"/>
            <w:vAlign w:val="bottom"/>
            <w:vMerge w:val="restart"/>
          </w:tcPr>
          <w:p>
            <w:pPr>
              <w:ind w:left="660"/>
              <w:spacing w:after="0"/>
              <w:rPr>
                <w:sz w:val="20"/>
                <w:szCs w:val="20"/>
                <w:color w:val="auto"/>
              </w:rPr>
            </w:pPr>
            <w:r>
              <w:rPr>
                <w:rFonts w:ascii="Arial" w:cs="Arial" w:eastAsia="Arial" w:hAnsi="Arial"/>
                <w:sz w:val="15"/>
                <w:szCs w:val="15"/>
                <w:b w:val="1"/>
                <w:bCs w:val="1"/>
                <w:color w:val="auto"/>
              </w:rPr>
              <w:t>State</w:t>
            </w:r>
          </w:p>
        </w:tc>
        <w:tc>
          <w:tcPr>
            <w:tcW w:w="100" w:type="dxa"/>
            <w:vAlign w:val="bottom"/>
            <w:vMerge w:val="restart"/>
          </w:tcPr>
          <w:p>
            <w:pPr>
              <w:spacing w:after="0"/>
              <w:rPr>
                <w:sz w:val="12"/>
                <w:szCs w:val="12"/>
                <w:color w:val="auto"/>
              </w:rPr>
            </w:pPr>
          </w:p>
        </w:tc>
        <w:tc>
          <w:tcPr>
            <w:tcW w:w="16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3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Dry Storage Spaces</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Association Island KOA</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9"/>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Blue Water Beach Resort</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64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Tranquility MHC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20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Islamorada and Angler House</w:t>
            </w:r>
            <w:r>
              <w:rPr>
                <w:rFonts w:ascii="Arial" w:cs="Arial" w:eastAsia="Arial" w:hAnsi="Arial"/>
                <w:sz w:val="19"/>
                <w:szCs w:val="19"/>
                <w:color w:val="auto"/>
                <w:vertAlign w:val="superscript"/>
              </w:rPr>
              <w:t>(1)</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64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Prime Martha's Vineyard</w:t>
            </w:r>
            <w:r>
              <w:rPr>
                <w:rFonts w:ascii="Arial" w:cs="Arial" w:eastAsia="Arial" w:hAnsi="Arial"/>
                <w:sz w:val="19"/>
                <w:szCs w:val="19"/>
                <w:color w:val="auto"/>
                <w:vertAlign w:val="superscript"/>
              </w:rPr>
              <w:t>(1)</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9"/>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Pleasant Beach Campground</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ON</w:t>
            </w:r>
          </w:p>
        </w:tc>
        <w:tc>
          <w:tcPr>
            <w:tcW w:w="164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Cherrystone Family Camping Resort</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Beachwood Resort</w:t>
            </w: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WA</w:t>
            </w: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25"/>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2,580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two marinas</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 of assets acquired, net of liabilities assumed at the acquisition date and the consideration paid for the MH community, RV resort and marina acquisitions completed during the three months ended March 31, 2021 (in thousands):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2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w w:val="98"/>
              </w:rPr>
              <w:t>At Acquisition Date</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5"/>
                <w:szCs w:val="15"/>
                <w:b w:val="1"/>
                <w:bCs w:val="1"/>
                <w:color w:val="auto"/>
              </w:rPr>
              <w:t>Consideration</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5"/>
                <w:szCs w:val="15"/>
                <w:color w:val="auto"/>
                <w:w w:val="96"/>
              </w:rPr>
              <w:t>Inventory of</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3"/>
              </w:rPr>
              <w:t>Total identifiable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5"/>
                <w:szCs w:val="15"/>
                <w:color w:val="auto"/>
                <w:w w:val="90"/>
              </w:rPr>
              <w:t>manufactured homes,</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5"/>
                <w:szCs w:val="15"/>
                <w:color w:val="auto"/>
                <w:w w:val="89"/>
              </w:rPr>
              <w:t>In-place leases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5"/>
                <w:szCs w:val="15"/>
                <w:color w:val="auto"/>
              </w:rPr>
              <w:t>Investment in</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w w:val="89"/>
              </w:rPr>
              <w:t>boat parts</w:t>
            </w: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5"/>
                <w:szCs w:val="15"/>
                <w:color w:val="auto"/>
              </w:rPr>
              <w:t>Other assets /</w:t>
            </w: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5"/>
                <w:szCs w:val="15"/>
                <w:b w:val="1"/>
                <w:bCs w:val="1"/>
                <w:color w:val="auto"/>
                <w:w w:val="88"/>
              </w:rPr>
              <w:t>assets acquired net</w:t>
            </w: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5"/>
                <w:szCs w:val="15"/>
                <w:color w:val="auto"/>
              </w:rPr>
              <w:t>Cash and</w:t>
            </w:r>
          </w:p>
        </w:tc>
        <w:tc>
          <w:tcPr>
            <w:tcW w:w="120" w:type="dxa"/>
            <w:vAlign w:val="bottom"/>
          </w:tcPr>
          <w:p>
            <w:pPr>
              <w:spacing w:after="0"/>
              <w:rPr>
                <w:sz w:val="12"/>
                <w:szCs w:val="12"/>
                <w:color w:val="auto"/>
              </w:rPr>
            </w:pPr>
          </w:p>
        </w:tc>
        <w:tc>
          <w:tcPr>
            <w:tcW w:w="104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5"/>
                <w:szCs w:val="15"/>
                <w:color w:val="auto"/>
                <w:w w:val="93"/>
              </w:rPr>
              <w:t>and retail</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5"/>
                <w:szCs w:val="15"/>
                <w:color w:val="auto"/>
                <w:w w:val="93"/>
              </w:rPr>
              <w:t>other intangible</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property</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w w:val="90"/>
              </w:rPr>
              <w:t>related items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color w:val="auto"/>
                <w:w w:val="82"/>
              </w:rPr>
              <w:t>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(liabilities), net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6"/>
              </w:rPr>
              <w:t>assumed</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escrow</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Association Island KOA</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14,758</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20"/>
                <w:szCs w:val="20"/>
                <w:color w:val="auto"/>
              </w:rPr>
            </w:pPr>
            <w:r>
              <w:rPr>
                <w:rFonts w:ascii="Arial" w:cs="Arial" w:eastAsia="Arial" w:hAnsi="Arial"/>
                <w:sz w:val="15"/>
                <w:szCs w:val="15"/>
                <w:color w:val="auto"/>
              </w:rPr>
              <w:t>Blue Water Beach Resort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8,849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8,849</w:t>
            </w: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Tranquility MHC</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20"/>
                <w:szCs w:val="20"/>
                <w:color w:val="auto"/>
              </w:rPr>
            </w:pPr>
            <w:r>
              <w:rPr>
                <w:rFonts w:ascii="Arial" w:cs="Arial" w:eastAsia="Arial" w:hAnsi="Arial"/>
                <w:sz w:val="15"/>
                <w:szCs w:val="15"/>
                <w:color w:val="auto"/>
              </w:rPr>
              <w:t>Islamorada and Angler House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17,975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17,975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17,975</w:t>
            </w: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spacing w:after="0" w:line="206" w:lineRule="exact"/>
              <w:rPr>
                <w:sz w:val="20"/>
                <w:szCs w:val="20"/>
                <w:color w:val="auto"/>
              </w:rPr>
            </w:pPr>
            <w:r>
              <w:rPr>
                <w:rFonts w:ascii="Arial" w:cs="Arial" w:eastAsia="Arial" w:hAnsi="Arial"/>
                <w:sz w:val="15"/>
                <w:szCs w:val="15"/>
                <w:color w:val="auto"/>
              </w:rPr>
              <w:t>Prime Martha's Vineyard</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21,950</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20"/>
                <w:szCs w:val="20"/>
                <w:color w:val="auto"/>
              </w:rPr>
            </w:pPr>
            <w:r>
              <w:rPr>
                <w:rFonts w:ascii="Arial" w:cs="Arial" w:eastAsia="Arial" w:hAnsi="Arial"/>
                <w:sz w:val="15"/>
                <w:szCs w:val="15"/>
                <w:color w:val="auto"/>
              </w:rPr>
              <w:t>Pleasant Beach Campground</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1,589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Cherrystone Family Camping</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57,871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57,871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57,871</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Resort</w:t>
            </w: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20"/>
                <w:szCs w:val="20"/>
                <w:color w:val="auto"/>
              </w:rPr>
            </w:pPr>
            <w:r>
              <w:rPr>
                <w:rFonts w:ascii="Arial" w:cs="Arial" w:eastAsia="Arial" w:hAnsi="Arial"/>
                <w:sz w:val="15"/>
                <w:szCs w:val="15"/>
                <w:color w:val="auto"/>
              </w:rPr>
              <w:t>Beachwood Resort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6,599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6,599</w:t>
            </w:r>
          </w:p>
        </w:tc>
        <w:tc>
          <w:tcPr>
            <w:tcW w:w="0" w:type="dxa"/>
            <w:vAlign w:val="bottom"/>
          </w:tcPr>
          <w:p>
            <w:pPr>
              <w:spacing w:after="0"/>
              <w:rPr>
                <w:sz w:val="1"/>
                <w:szCs w:val="1"/>
                <w:color w:val="auto"/>
              </w:rPr>
            </w:pPr>
          </w:p>
        </w:tc>
      </w:tr>
      <w:tr>
        <w:trPr>
          <w:trHeight w:val="225"/>
        </w:trPr>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130,840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130,840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two marinas.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we have incurred $1.8 million of additional capitalized transaction costs which have been allocated among the various categories above. As of March 31, 2021, we also incurred $1.2 million of business combination expenses associated with our acquisition of Safe Harbor and related delayed consent properties, and the Rybovich Portfolio in 2020, which are accounted for as business combinations, as opposed to asset acquisitions.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"Subsequent Events," for information regarding real estate acquisitions completed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 and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we acquired the following communities,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vMerge w:val="restart"/>
          </w:tcPr>
          <w:p>
            <w:pPr>
              <w:spacing w:after="0"/>
              <w:rPr>
                <w:sz w:val="14"/>
                <w:szCs w:val="14"/>
                <w:color w:val="auto"/>
              </w:rPr>
            </w:pPr>
          </w:p>
        </w:tc>
        <w:tc>
          <w:tcPr>
            <w:tcW w:w="2300" w:type="dxa"/>
            <w:vAlign w:val="bottom"/>
            <w:vMerge w:val="restart"/>
          </w:tcPr>
          <w:p>
            <w:pPr>
              <w:ind w:left="98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Sites, Wet Slips and</w:t>
            </w:r>
          </w:p>
        </w:tc>
        <w:tc>
          <w:tcPr>
            <w:tcW w:w="15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Development Sites</w:t>
            </w:r>
          </w:p>
        </w:tc>
        <w:tc>
          <w:tcPr>
            <w:tcW w:w="120" w:type="dxa"/>
            <w:vAlign w:val="bottom"/>
          </w:tcPr>
          <w:p>
            <w:pPr>
              <w:spacing w:after="0"/>
              <w:rPr>
                <w:sz w:val="14"/>
                <w:szCs w:val="14"/>
                <w:color w:val="auto"/>
              </w:rPr>
            </w:pPr>
          </w:p>
        </w:tc>
        <w:tc>
          <w:tcPr>
            <w:tcW w:w="100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State</w:t>
            </w:r>
          </w:p>
        </w:tc>
        <w:tc>
          <w:tcPr>
            <w:tcW w:w="120" w:type="dxa"/>
            <w:vAlign w:val="bottom"/>
            <w:vMerge w:val="restart"/>
          </w:tcPr>
          <w:p>
            <w:pPr>
              <w:spacing w:after="0"/>
              <w:rPr>
                <w:sz w:val="14"/>
                <w:szCs w:val="14"/>
                <w:color w:val="auto"/>
              </w:rPr>
            </w:pPr>
          </w:p>
        </w:tc>
        <w:tc>
          <w:tcPr>
            <w:tcW w:w="15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2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94"/>
              </w:rPr>
              <w:t>Dry Storage Spaces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Cape Cod</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Jellystone Natural Bridge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VA</w:t>
            </w:r>
          </w:p>
        </w:tc>
        <w:tc>
          <w:tcPr>
            <w:tcW w:w="156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Forest Springs</w:t>
            </w:r>
            <w:r>
              <w:rPr>
                <w:rFonts w:ascii="Arial" w:cs="Arial" w:eastAsia="Arial" w:hAnsi="Arial"/>
                <w:sz w:val="19"/>
                <w:szCs w:val="19"/>
                <w:color w:val="auto"/>
                <w:vertAlign w:val="superscript"/>
              </w:rPr>
              <w:t>(2)</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Crown Villa</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OR</w:t>
            </w:r>
          </w:p>
        </w:tc>
        <w:tc>
          <w:tcPr>
            <w:tcW w:w="1560" w:type="dxa"/>
            <w:vAlign w:val="bottom"/>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Flamingo Lake</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Woodsmoke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Jellystone Lone Star</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El Capitan &amp; Ocean Mesa</w:t>
            </w:r>
            <w:r>
              <w:rPr>
                <w:rFonts w:ascii="Arial" w:cs="Arial" w:eastAsia="Arial" w:hAnsi="Arial"/>
                <w:sz w:val="19"/>
                <w:szCs w:val="19"/>
                <w:color w:val="auto"/>
                <w:vertAlign w:val="superscript"/>
              </w:rPr>
              <w:t>(3)(4)</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Highland Green Estates &amp; Troy Villa</w:t>
            </w:r>
            <w:r>
              <w:rPr>
                <w:rFonts w:ascii="Arial" w:cs="Arial" w:eastAsia="Arial" w:hAnsi="Arial"/>
                <w:sz w:val="19"/>
                <w:szCs w:val="19"/>
                <w:color w:val="auto"/>
                <w:vertAlign w:val="superscript"/>
              </w:rPr>
              <w:t>(5)</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1,162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Safe Harbor Marinas</w:t>
            </w:r>
            <w:r>
              <w:rPr>
                <w:rFonts w:ascii="Arial" w:cs="Arial" w:eastAsia="Arial" w:hAnsi="Arial"/>
                <w:sz w:val="19"/>
                <w:szCs w:val="19"/>
                <w:color w:val="auto"/>
                <w:vertAlign w:val="superscript"/>
              </w:rPr>
              <w:t>(6)</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37,305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Various</w:t>
            </w:r>
          </w:p>
        </w:tc>
        <w:tc>
          <w:tcPr>
            <w:tcW w:w="1560" w:type="dxa"/>
            <w:vAlign w:val="bottom"/>
          </w:tcPr>
          <w:p>
            <w:pPr>
              <w:ind w:left="20"/>
              <w:spacing w:after="0"/>
              <w:rPr>
                <w:sz w:val="20"/>
                <w:szCs w:val="20"/>
                <w:color w:val="auto"/>
              </w:rPr>
            </w:pPr>
            <w:r>
              <w:rPr>
                <w:rFonts w:ascii="Arial" w:cs="Arial" w:eastAsia="Arial" w:hAnsi="Arial"/>
                <w:sz w:val="15"/>
                <w:szCs w:val="15"/>
                <w:color w:val="auto"/>
              </w:rPr>
              <w:t>October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Safe Harbor Hideaway Bay</w:t>
            </w:r>
            <w:r>
              <w:rPr>
                <w:rFonts w:ascii="Arial" w:cs="Arial" w:eastAsia="Arial" w:hAnsi="Arial"/>
                <w:sz w:val="19"/>
                <w:szCs w:val="19"/>
                <w:color w:val="auto"/>
                <w:vertAlign w:val="superscript"/>
              </w:rPr>
              <w:t>(7)</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Gig Harbor</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WA</w:t>
            </w:r>
          </w:p>
        </w:tc>
        <w:tc>
          <w:tcPr>
            <w:tcW w:w="1560" w:type="dxa"/>
            <w:vAlign w:val="bottom"/>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Maine MH Portfolio</w:t>
            </w:r>
            <w:r>
              <w:rPr>
                <w:rFonts w:ascii="Arial" w:cs="Arial" w:eastAsia="Arial" w:hAnsi="Arial"/>
                <w:sz w:val="19"/>
                <w:szCs w:val="19"/>
                <w:color w:val="auto"/>
                <w:vertAlign w:val="superscript"/>
              </w:rPr>
              <w:t>(8)</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1,083</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Safe Harbor Anacapa Isle</w:t>
            </w:r>
            <w:r>
              <w:rPr>
                <w:rFonts w:ascii="Arial" w:cs="Arial" w:eastAsia="Arial" w:hAnsi="Arial"/>
                <w:sz w:val="19"/>
                <w:szCs w:val="19"/>
                <w:color w:val="auto"/>
                <w:vertAlign w:val="superscript"/>
              </w:rPr>
              <w:t>(7)</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Mears Annapolis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MD</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Wickford</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RI</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Rybovich Portfolio</w:t>
            </w:r>
            <w:r>
              <w:rPr>
                <w:rFonts w:ascii="Arial" w:cs="Arial" w:eastAsia="Arial" w:hAnsi="Arial"/>
                <w:sz w:val="19"/>
                <w:szCs w:val="19"/>
                <w:color w:val="auto"/>
                <w:vertAlign w:val="superscript"/>
              </w:rPr>
              <w:t>(9)</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Rockland</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ME</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Mouse Mountain</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Lakeview Mobile Estates</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Shenandoah Acres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Jellystone at Barton Lake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555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IN</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Kittatinny Portfolio</w:t>
            </w:r>
            <w:r>
              <w:rPr>
                <w:rFonts w:ascii="Arial" w:cs="Arial" w:eastAsia="Arial" w:hAnsi="Arial"/>
                <w:sz w:val="19"/>
                <w:szCs w:val="19"/>
                <w:color w:val="auto"/>
                <w:vertAlign w:val="superscript"/>
              </w:rPr>
              <w:t>(4)</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 &amp; PA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45,800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 conjunction with the acquisition, we issued Series E preferred OP units. As of December 31, 2020, 90,000 Series E preferred OP units were outstanding.</w:t>
      </w:r>
    </w:p>
    <w:p>
      <w:pPr>
        <w:spacing w:after="0" w:line="45" w:lineRule="exact"/>
        <w:rPr>
          <w:rFonts w:ascii="Arial" w:cs="Arial" w:eastAsia="Arial" w:hAnsi="Arial"/>
          <w:sz w:val="16"/>
          <w:szCs w:val="16"/>
          <w:color w:val="auto"/>
          <w:vertAlign w:val="superscript"/>
        </w:rPr>
      </w:pPr>
    </w:p>
    <w:p>
      <w:pPr>
        <w:ind w:left="180" w:hanging="172"/>
        <w:spacing w:after="0" w:line="231" w:lineRule="auto"/>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 conjunction with the acquisition, we issued Series F preferred OP units and common OP units. As of December 31, 2020, 90,000 Series F preferred OP units, specific to this acquisition, were outstanding.</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 conjunction with the acquisition, we issued Series G preferred OP units. As of December 31, 2020, 240,710 Series G preferred OP units were outstanding.</w:t>
      </w:r>
    </w:p>
    <w:p>
      <w:pPr>
        <w:spacing w:after="0" w:line="36" w:lineRule="exact"/>
        <w:rPr>
          <w:rFonts w:ascii="Arial" w:cs="Arial" w:eastAsia="Arial" w:hAnsi="Arial"/>
          <w:sz w:val="18"/>
          <w:szCs w:val="18"/>
          <w:color w:val="auto"/>
          <w:vertAlign w:val="superscript"/>
        </w:rPr>
      </w:pPr>
    </w:p>
    <w:p>
      <w:pPr>
        <w:ind w:left="160" w:hanging="152"/>
        <w:spacing w:after="0" w:line="20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two RV resorts.</w:t>
      </w:r>
    </w:p>
    <w:p>
      <w:pPr>
        <w:spacing w:after="0" w:line="46"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Includes two communities.</w:t>
      </w:r>
    </w:p>
    <w:p>
      <w:pPr>
        <w:spacing w:after="0" w:line="45" w:lineRule="exact"/>
        <w:rPr>
          <w:rFonts w:ascii="Arial" w:cs="Arial" w:eastAsia="Arial" w:hAnsi="Arial"/>
          <w:sz w:val="16"/>
          <w:szCs w:val="16"/>
          <w:color w:val="auto"/>
          <w:vertAlign w:val="superscript"/>
        </w:rPr>
      </w:pPr>
    </w:p>
    <w:p>
      <w:pPr>
        <w:ind w:left="180" w:right="20" w:hanging="172"/>
        <w:spacing w:after="0" w:line="231" w:lineRule="auto"/>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99 owned marinas located in 22 states. In conjunction with the acquisition, we issued Series H preferred OP units. As of December 31, 2020, 581,407 Series H preferred OP units were outstanding.</w:t>
      </w:r>
    </w:p>
    <w:p>
      <w:pPr>
        <w:spacing w:after="0" w:line="32"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Acquired in connection with Safe Harbor Marinas acquisition. Transfer of marinas was contingent on receiving third party consents.</w:t>
      </w:r>
    </w:p>
    <w:p>
      <w:pPr>
        <w:spacing w:after="0" w:line="45"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six communities.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two marinas. In conjunction with the acquisition, we issued Series I preferred OP units. As of December 31, 2020, 922,000 Series I preferred OP units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At Acquisition Date</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
              <w:spacing w:after="0" w:line="146" w:lineRule="exact"/>
              <w:rPr>
                <w:sz w:val="20"/>
                <w:szCs w:val="20"/>
                <w:color w:val="auto"/>
              </w:rPr>
            </w:pPr>
            <w:r>
              <w:rPr>
                <w:rFonts w:ascii="Arial" w:cs="Arial" w:eastAsia="Arial" w:hAnsi="Arial"/>
                <w:sz w:val="15"/>
                <w:szCs w:val="15"/>
                <w:color w:val="auto"/>
                <w:w w:val="96"/>
              </w:rPr>
              <w:t>Inventory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rPr>
              <w:t>Goodwill,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
              <w:spacing w:after="0" w:line="149" w:lineRule="exact"/>
              <w:rPr>
                <w:sz w:val="20"/>
                <w:szCs w:val="20"/>
                <w:color w:val="auto"/>
              </w:rPr>
            </w:pPr>
            <w:r>
              <w:rPr>
                <w:rFonts w:ascii="Arial" w:cs="Arial" w:eastAsia="Arial" w:hAnsi="Arial"/>
                <w:sz w:val="15"/>
                <w:szCs w:val="15"/>
                <w:color w:val="auto"/>
                <w:w w:val="91"/>
              </w:rPr>
              <w:t>manufactured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2"/>
              </w:rPr>
              <w:t>Total identifiable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0"/>
              </w:rPr>
              <w:t>Temporary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89"/>
              </w:rPr>
              <w:t>homes, boat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5"/>
                <w:szCs w:val="15"/>
                <w:color w:val="auto"/>
                <w:w w:val="86"/>
              </w:rPr>
              <w:t>place leases</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w w:val="92"/>
              </w:rPr>
              <w:t>Other assets /</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5"/>
                <w:szCs w:val="15"/>
                <w:color w:val="auto"/>
                <w:w w:val="94"/>
              </w:rPr>
              <w:t>Investment in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89"/>
              </w:rPr>
              <w:t>parts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and other</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6"/>
              </w:rPr>
              <w:t>assets acquired</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94"/>
              </w:rPr>
              <w:t>Debt</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20" w:type="dxa"/>
            <w:vAlign w:val="bottom"/>
          </w:tcPr>
          <w:p>
            <w:pPr>
              <w:spacing w:after="0"/>
              <w:rPr>
                <w:sz w:val="12"/>
                <w:szCs w:val="12"/>
                <w:color w:val="auto"/>
              </w:rPr>
            </w:pPr>
          </w:p>
        </w:tc>
        <w:tc>
          <w:tcPr>
            <w:tcW w:w="104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93"/>
              </w:rPr>
              <w:t>and retail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6"/>
              </w:rPr>
              <w:t>intangible</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98"/>
              </w:rPr>
              <w:t>(liabilities),</w:t>
            </w: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w w:val="91"/>
              </w:rPr>
              <w:t>net of liabilities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permanent</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property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0"/>
              </w:rPr>
              <w:t>related items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5"/>
                <w:szCs w:val="15"/>
                <w:color w:val="auto"/>
                <w:w w:val="82"/>
              </w:rPr>
              <w:t>assets</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net</w:t>
            </w:r>
          </w:p>
        </w:tc>
        <w:tc>
          <w:tcPr>
            <w:tcW w:w="1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assumed</w:t>
            </w:r>
          </w:p>
        </w:tc>
        <w:tc>
          <w:tcPr>
            <w:tcW w:w="12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assumed</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equity</w:t>
            </w:r>
          </w:p>
        </w:tc>
        <w:tc>
          <w:tcPr>
            <w:tcW w:w="12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98"/>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Cape Cod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13,350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13,205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4,205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13,205</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Jellystone Natural Bridge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Forest Springs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55,339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36,260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19,079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55,339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Crown Villa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Flamingo Lake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33,845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33,845</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Woodsmoke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Jellystone Lone Star</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20,297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20,297</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El Capitan &amp; Ocean Mesa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59,369</w:t>
            </w: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5"/>
                <w:szCs w:val="15"/>
                <w:color w:val="auto"/>
                <w:w w:val="93"/>
              </w:rPr>
              <w:t>Highland Green Estates &amp;</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60,988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2,030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Troy Villa</w:t>
            </w: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Gig Harbor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Maine MH Portfolio</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79,890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81,279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72,479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81,279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Mears Annapolis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Wickford</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Rockland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Mouse Mountain</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15,221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15,496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15,496</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Lakeview Mobile Estates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Shenandoah Acres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16,166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16,803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16,803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16,803</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Jellystone at Barton Lake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Kittatinny Portfolio</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16,279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16,279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b w:val="1"/>
                <w:bCs w:val="1"/>
                <w:color w:val="auto"/>
                <w:w w:val="90"/>
              </w:rPr>
              <w:t>Business Combination</w:t>
            </w:r>
            <w:r>
              <w:rPr>
                <w:rFonts w:ascii="Arial" w:cs="Arial" w:eastAsia="Arial" w:hAnsi="Arial"/>
                <w:sz w:val="19"/>
                <w:szCs w:val="19"/>
                <w:b w:val="1"/>
                <w:bCs w:val="1"/>
                <w:color w:val="auto"/>
                <w:w w:val="90"/>
                <w:vertAlign w:val="superscript"/>
              </w:rPr>
              <w:t>(1)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0"/>
              <w:spacing w:after="0" w:line="203" w:lineRule="exact"/>
              <w:rPr>
                <w:sz w:val="20"/>
                <w:szCs w:val="20"/>
                <w:color w:val="auto"/>
              </w:rPr>
            </w:pPr>
            <w:r>
              <w:rPr>
                <w:rFonts w:ascii="Arial" w:cs="Arial" w:eastAsia="Arial" w:hAnsi="Arial"/>
                <w:sz w:val="15"/>
                <w:szCs w:val="15"/>
                <w:color w:val="auto"/>
              </w:rPr>
              <w:t>Safe Harbor Marinas</w:t>
            </w:r>
            <w:r>
              <w:rPr>
                <w:rFonts w:ascii="Arial" w:cs="Arial" w:eastAsia="Arial" w:hAnsi="Arial"/>
                <w:sz w:val="19"/>
                <w:szCs w:val="19"/>
                <w:color w:val="auto"/>
                <w:vertAlign w:val="superscript"/>
              </w:rPr>
              <w:t>(3)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1,643,879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418,033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(26,831)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2,040,781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1,141,797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829,000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69,984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2,040,781</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Hideaway Bay</w:t>
            </w:r>
            <w:r>
              <w:rPr>
                <w:rFonts w:ascii="Arial" w:cs="Arial" w:eastAsia="Arial" w:hAnsi="Arial"/>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0" w:type="dxa"/>
            <w:vAlign w:val="bottom"/>
          </w:tcPr>
          <w:p>
            <w:pPr>
              <w:spacing w:after="0"/>
              <w:rPr>
                <w:sz w:val="1"/>
                <w:szCs w:val="1"/>
                <w:color w:val="auto"/>
              </w:rPr>
            </w:pPr>
          </w:p>
        </w:tc>
      </w:tr>
      <w:tr>
        <w:trPr>
          <w:trHeight w:val="203"/>
        </w:trPr>
        <w:tc>
          <w:tcPr>
            <w:tcW w:w="1660" w:type="dxa"/>
            <w:vAlign w:val="bottom"/>
          </w:tcPr>
          <w:p>
            <w:pPr>
              <w:ind w:left="20"/>
              <w:spacing w:after="0" w:line="203" w:lineRule="exact"/>
              <w:rPr>
                <w:sz w:val="20"/>
                <w:szCs w:val="20"/>
                <w:color w:val="auto"/>
              </w:rPr>
            </w:pPr>
            <w:r>
              <w:rPr>
                <w:rFonts w:ascii="Arial" w:cs="Arial" w:eastAsia="Arial" w:hAnsi="Arial"/>
                <w:sz w:val="15"/>
                <w:szCs w:val="15"/>
                <w:color w:val="auto"/>
              </w:rPr>
              <w:t>Anacapa Isle</w:t>
            </w:r>
            <w:r>
              <w:rPr>
                <w:rFonts w:ascii="Arial" w:cs="Arial" w:eastAsia="Arial" w:hAnsi="Arial"/>
                <w:sz w:val="19"/>
                <w:szCs w:val="19"/>
                <w:color w:val="auto"/>
                <w:vertAlign w:val="superscript"/>
              </w:rPr>
              <w:t>(3)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10,924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3,146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14,130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14,130</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Rybovich Portfolio</w:t>
            </w:r>
            <w:r>
              <w:rPr>
                <w:rFonts w:ascii="Arial" w:cs="Arial" w:eastAsia="Arial" w:hAnsi="Arial"/>
                <w:sz w:val="19"/>
                <w:szCs w:val="19"/>
                <w:color w:val="auto"/>
                <w:vertAlign w:val="superscript"/>
              </w:rPr>
              <w:t>(2)(3)</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249,840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372,487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258,123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372,487</w:t>
            </w:r>
          </w:p>
        </w:tc>
        <w:tc>
          <w:tcPr>
            <w:tcW w:w="0" w:type="dxa"/>
            <w:vAlign w:val="bottom"/>
          </w:tcPr>
          <w:p>
            <w:pPr>
              <w:spacing w:after="0"/>
              <w:rPr>
                <w:sz w:val="1"/>
                <w:szCs w:val="1"/>
                <w:color w:val="auto"/>
              </w:rPr>
            </w:pPr>
          </w:p>
        </w:tc>
      </w:tr>
      <w:tr>
        <w:trPr>
          <w:trHeight w:val="196"/>
        </w:trPr>
        <w:tc>
          <w:tcPr>
            <w:tcW w:w="1660" w:type="dxa"/>
            <w:vAlign w:val="bottom"/>
          </w:tcPr>
          <w:p>
            <w:pPr>
              <w:ind w:left="2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2,339,368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9,942</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694,264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(42,231)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3,001,343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1,923,855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837,800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239,688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3,001,343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Refer to Note 5, "Goodwill and Other Intangibles Assets," for additional detail on goodwill and other intangible assets.</w:t>
      </w:r>
    </w:p>
    <w:p>
      <w:pPr>
        <w:spacing w:after="0" w:line="45"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Purchase price allocations were preliminary as of December 31, 2020 and were adjusted as of March 31, 2021 based on revised purchase price allocations.</w:t>
      </w:r>
    </w:p>
    <w:p>
      <w:pPr>
        <w:spacing w:after="0" w:line="45"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Allocations are preliminary and may change based on final purchase price allocations.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we have incurred $23.0 million of expensed business combination transaction costs (in relation to the acquisition Safe Harbor, Hideaway Bay, Anacapa Isle, and the Rybovich Portfolio, as each such acquisition meets the criteria to be accounted for as business combination), and $13.4 million of capitalized transaction costs for asset acquisitions which have been allocated among the various categories above.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we acquired eight land parcels which are located in Orange Beach, Alabama; Jensen Beach, Florida; Citra Lakes, Florida; Comal County, Texas; and Menifee, California for total consideration of $9.7 million. Seven of the land parcels are adjacent to existing communities.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Real estate held for sale of $32.1 million as of December 31, 2020, was reclassified from Other assets, net to various line items on the Consolidated Balance Sheets during the three months ended March 31, 2021, as the sale of those assets was no longer probable. As of March 31, 2021, the primary reclassifications were $34.5 million of assets within Investment property, net and $3.8 million within Other liabilities on the Consolidated Balance Sheets.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2020, we sold a manufactured housing community located in Montana, containing 226 sites, for $12.6 million. The gain from the sale of the property was approximately $5.6 million.</w:t>
      </w:r>
    </w:p>
    <w:p>
      <w:pPr>
        <w:spacing w:after="0" w:line="19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84,109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85,866</w:t>
            </w: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58,286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52,638</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106,614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83,146</w:t>
            </w:r>
          </w:p>
        </w:tc>
      </w:tr>
      <w:tr>
        <w:trPr>
          <w:trHeight w:val="200"/>
        </w:trPr>
        <w:tc>
          <w:tcPr>
            <w:tcW w:w="7400" w:type="dxa"/>
            <w:vAlign w:val="bottom"/>
          </w:tcPr>
          <w:p>
            <w:pPr>
              <w:ind w:left="360"/>
              <w:spacing w:after="0"/>
              <w:rPr>
                <w:sz w:val="20"/>
                <w:szCs w:val="20"/>
                <w:color w:val="auto"/>
              </w:rPr>
            </w:pPr>
            <w:r>
              <w:rPr>
                <w:rFonts w:ascii="Arial" w:cs="Arial" w:eastAsia="Arial" w:hAnsi="Arial"/>
                <w:sz w:val="15"/>
                <w:szCs w:val="15"/>
                <w:b w:val="1"/>
                <w:bCs w:val="1"/>
                <w:color w:val="auto"/>
              </w:rPr>
              <w:t>Total Notes and Other Receivables, net</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249,009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221,650</w:t>
            </w: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Installment notes receivable are measured at fair value, in accordance with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balances of installment notes receivable of $84.1 million (net of fair value adjustment of $0.9 million) and $85.9 million (net of fair value adjustment of $1.3 million) as of March 31, 2021 and December 31, 2020, respectively, are collateralized by manufactured homes. The notes represent financing to purchasers of manufactured homes primarily located in our communities and require monthly principal and interest payments. The notes had a net weighted average interest rate (net of servicing costs) and maturity of 7.8 percent and 15.0 years as of March 31, 2021, and 7.8 percent and 15.2 years as of December 31, 2020, respectively. Refer to Note 14, "Fair Value of Financial Instruments," for additional detail.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Three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March 31,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 of gross installment notes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87,142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96,225</w:t>
            </w:r>
          </w:p>
        </w:tc>
      </w:tr>
      <w:tr>
        <w:trPr>
          <w:trHeight w:val="199"/>
        </w:trPr>
        <w:tc>
          <w:tcPr>
            <w:tcW w:w="7280" w:type="dxa"/>
            <w:vAlign w:val="bottom"/>
          </w:tcPr>
          <w:p>
            <w:pPr>
              <w:ind w:left="20"/>
              <w:spacing w:after="0"/>
              <w:rPr>
                <w:sz w:val="20"/>
                <w:szCs w:val="20"/>
                <w:color w:val="auto"/>
              </w:rPr>
            </w:pPr>
            <w:r>
              <w:rPr>
                <w:rFonts w:ascii="Arial" w:cs="Arial" w:eastAsia="Arial" w:hAnsi="Arial"/>
                <w:sz w:val="15"/>
                <w:szCs w:val="15"/>
                <w:color w:val="auto"/>
              </w:rPr>
              <w:t>Financed sale of manufactured homes</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1,212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5,014</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r>
      <w:tr>
        <w:trPr>
          <w:trHeight w:val="199"/>
        </w:trPr>
        <w:tc>
          <w:tcPr>
            <w:tcW w:w="7280" w:type="dxa"/>
            <w:vAlign w:val="bottom"/>
          </w:tcPr>
          <w:p>
            <w:pPr>
              <w:ind w:left="20"/>
              <w:spacing w:after="0"/>
              <w:rPr>
                <w:sz w:val="20"/>
                <w:szCs w:val="20"/>
                <w:color w:val="auto"/>
              </w:rPr>
            </w:pPr>
            <w:r>
              <w:rPr>
                <w:rFonts w:ascii="Arial" w:cs="Arial" w:eastAsia="Arial" w:hAnsi="Arial"/>
                <w:sz w:val="15"/>
                <w:szCs w:val="15"/>
                <w:color w:val="auto"/>
              </w:rPr>
              <w:t>Principal payments and payoffs from our customers</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(2,849)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(8,977)</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reduction from repossessed homes</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(4,643)</w:t>
            </w:r>
          </w:p>
        </w:tc>
      </w:tr>
      <w:tr>
        <w:trPr>
          <w:trHeight w:val="192"/>
        </w:trPr>
        <w:tc>
          <w:tcPr>
            <w:tcW w:w="7280" w:type="dxa"/>
            <w:vAlign w:val="bottom"/>
          </w:tcPr>
          <w:p>
            <w:pPr>
              <w:ind w:left="20"/>
              <w:spacing w:after="0"/>
              <w:rPr>
                <w:sz w:val="20"/>
                <w:szCs w:val="20"/>
                <w:color w:val="auto"/>
              </w:rPr>
            </w:pPr>
            <w:r>
              <w:rPr>
                <w:rFonts w:ascii="Arial" w:cs="Arial" w:eastAsia="Arial" w:hAnsi="Arial"/>
                <w:sz w:val="15"/>
                <w:szCs w:val="15"/>
                <w:color w:val="auto"/>
              </w:rPr>
              <w:t>Ending balance of gross installment notes receivable</w:t>
            </w: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85,017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87,142</w:t>
            </w:r>
          </w:p>
        </w:tc>
      </w:tr>
      <w:tr>
        <w:trPr>
          <w:trHeight w:val="220"/>
        </w:trPr>
        <w:tc>
          <w:tcPr>
            <w:tcW w:w="7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Beginning balance of allowance for losses on installment notes receivables</w:t>
            </w:r>
          </w:p>
        </w:tc>
        <w:tc>
          <w:tcPr>
            <w:tcW w:w="160" w:type="dxa"/>
            <w:vAlign w:val="bottom"/>
          </w:tcPr>
          <w:p>
            <w:pPr>
              <w:spacing w:after="0"/>
              <w:rPr>
                <w:sz w:val="17"/>
                <w:szCs w:val="17"/>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(645)</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w:t>
            </w:r>
          </w:p>
        </w:tc>
      </w:tr>
      <w:tr>
        <w:trPr>
          <w:trHeight w:val="192"/>
        </w:trPr>
        <w:tc>
          <w:tcPr>
            <w:tcW w:w="7280" w:type="dxa"/>
            <w:vAlign w:val="bottom"/>
          </w:tcPr>
          <w:p>
            <w:pPr>
              <w:ind w:left="20"/>
              <w:spacing w:after="0"/>
              <w:rPr>
                <w:sz w:val="20"/>
                <w:szCs w:val="20"/>
                <w:color w:val="auto"/>
              </w:rPr>
            </w:pPr>
            <w:r>
              <w:rPr>
                <w:rFonts w:ascii="Arial" w:cs="Arial" w:eastAsia="Arial" w:hAnsi="Arial"/>
                <w:sz w:val="15"/>
                <w:szCs w:val="15"/>
                <w:color w:val="auto"/>
              </w:rPr>
              <w:t>Ending balance of allowance for losses on installment notes receivables</w:t>
            </w:r>
          </w:p>
        </w:tc>
        <w:tc>
          <w:tcPr>
            <w:tcW w:w="160" w:type="dxa"/>
            <w:vAlign w:val="bottom"/>
          </w:tcPr>
          <w:p>
            <w:pPr>
              <w:spacing w:after="0"/>
              <w:rPr>
                <w:sz w:val="16"/>
                <w:szCs w:val="16"/>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7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Beginning balance of fair value adjustments on gross installment notes receivable</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(1,276)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(2,274)</w:t>
            </w:r>
          </w:p>
        </w:tc>
      </w:tr>
      <w:tr>
        <w:trPr>
          <w:trHeight w:val="192"/>
        </w:trPr>
        <w:tc>
          <w:tcPr>
            <w:tcW w:w="7280" w:type="dxa"/>
            <w:vAlign w:val="bottom"/>
          </w:tcPr>
          <w:p>
            <w:pPr>
              <w:ind w:left="20"/>
              <w:spacing w:after="0"/>
              <w:rPr>
                <w:sz w:val="20"/>
                <w:szCs w:val="20"/>
                <w:color w:val="auto"/>
              </w:rPr>
            </w:pPr>
            <w:r>
              <w:rPr>
                <w:rFonts w:ascii="Arial" w:cs="Arial" w:eastAsia="Arial" w:hAnsi="Arial"/>
                <w:sz w:val="15"/>
                <w:szCs w:val="15"/>
                <w:color w:val="auto"/>
              </w:rPr>
              <w:t>Fair value adjustments on gross installment notes receivable</w:t>
            </w: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(908)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(1,276)</w:t>
            </w:r>
          </w:p>
        </w:tc>
      </w:tr>
      <w:tr>
        <w:trPr>
          <w:trHeight w:val="220"/>
        </w:trPr>
        <w:tc>
          <w:tcPr>
            <w:tcW w:w="7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5"/>
                <w:szCs w:val="15"/>
                <w:color w:val="auto"/>
              </w:rPr>
              <w:t>Ending balance of installment notes receivable,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84,109</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85,866</w:t>
            </w:r>
          </w:p>
        </w:tc>
      </w:tr>
      <w:tr>
        <w:trPr>
          <w:trHeight w:val="20"/>
        </w:trPr>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2021 and December 31, 2020, the notes receivable balances of $58.3 million and $52.6 million, respectively are primarily comprised of construction loans provided to real estate developers. The carrying values of the notes generally approximate their fair market values either due to the nature of the loan and / or the note being secured by underlying collateral and / or personal guarantees. The notes receivable from real estate developers have a net weighted average interest rate and maturity of 6.3 percent and 1.6 years as of March 31, 2021, and 6.2 percent and 1.8 years as of December 31, 2020, respectively. As of March 31, 2021, real estate developers collectively have $14.5 million of undrawn funds on their loans. There were no material adjustments to the fair value of notes receivable from the real estate developers for the three months ended March 31, 2021 and 2020. Refer to Note 14, "Fair Value of Financial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 net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2021, other receivables were comprised of amounts due from: home sale proceeds of $28.6 million, marina customers for storage service and lease payments of $28.2 million (net of allowance of $1.7 million), residents for rent, utility charges, fees and other pass through charges of $15.9 million (net of allowance of $5.8 million), insurance receivables of $13.5 million and other receivables of $20.4 million. As of December 31, 2020, other receivables were comprised of amounts due from: home sale proceeds of $23.6 million, marina customers for storage services and lease payments of $19.2 million (net of allowance of $1.4 million), residents for rent, utility charges, fees and other pass through charges of $7.1 million (net of allowance of $7.2 million), insurance receivables of $13.6 million and other receivables of $19.6 million.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2020, we made a convertible secured loan to Rezplot Systems LLC, a nonconsolidated affiliate in which we have a 50 percent ownership interest. The note allows for a principal amount of up to $10.0 million to be drawn down over a period of three years, bears an interest rate of 3.0 percent and is secured by all the assets of Rezplot Systems LLC. The outstanding balances were $4.0 million and $2.0 million as of March 31, 2021 and December 31, 2020, respectively, and are included in the Notes and other receivables, net line item on the Consolidated Balance Sheets. Refer to Note 6, "Investment in Nonconsolidated Affiliates," for additional information on Rezplot Systems LLC.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Other Intangibles Assets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intangible assets include goodwill, in-place leases, non-competition agreements, trademarks and trade names, customer relationships, and franchise agreements and other intangible assets. These intangible assets are recorded in Other Intangible Assets, net on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our intangible assets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ind w:left="720"/>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7"/>
                <w:szCs w:val="17"/>
                <w:color w:val="auto"/>
              </w:rPr>
            </w:pPr>
          </w:p>
        </w:tc>
        <w:tc>
          <w:tcPr>
            <w:tcW w:w="2580" w:type="dxa"/>
            <w:vAlign w:val="bottom"/>
            <w:gridSpan w:val="4"/>
          </w:tcPr>
          <w:p>
            <w:pPr>
              <w:jc w:val="right"/>
              <w:ind w:right="64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w:t>
            </w:r>
          </w:p>
        </w:tc>
        <w:tc>
          <w:tcPr>
            <w:tcW w:w="164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Useful Life</w:t>
            </w:r>
          </w:p>
        </w:tc>
        <w:tc>
          <w:tcPr>
            <w:tcW w:w="1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0" w:type="dxa"/>
            <w:vAlign w:val="bottom"/>
          </w:tcPr>
          <w:p>
            <w:pPr>
              <w:spacing w:after="0"/>
              <w:rPr>
                <w:sz w:val="1"/>
                <w:szCs w:val="1"/>
                <w:color w:val="auto"/>
              </w:rPr>
            </w:pPr>
          </w:p>
        </w:tc>
      </w:tr>
      <w:tr>
        <w:trPr>
          <w:trHeight w:val="200"/>
        </w:trPr>
        <w:tc>
          <w:tcPr>
            <w:tcW w:w="388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8"/>
              </w:rPr>
              <w:t>Amortization</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Indefinite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438,842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428,833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line="203" w:lineRule="exact"/>
              <w:rPr>
                <w:sz w:val="20"/>
                <w:szCs w:val="20"/>
                <w:color w:val="auto"/>
              </w:rPr>
            </w:pPr>
            <w:r>
              <w:rPr>
                <w:rFonts w:ascii="Arial" w:cs="Arial" w:eastAsia="Arial" w:hAnsi="Arial"/>
                <w:sz w:val="15"/>
                <w:szCs w:val="15"/>
                <w:color w:val="auto"/>
              </w:rPr>
              <w:t>In-place leases</w:t>
            </w:r>
            <w:r>
              <w:rPr>
                <w:rFonts w:ascii="Arial" w:cs="Arial" w:eastAsia="Arial" w:hAnsi="Arial"/>
                <w:sz w:val="19"/>
                <w:szCs w:val="19"/>
                <w:color w:val="auto"/>
                <w:vertAlign w:val="superscript"/>
              </w:rPr>
              <w:t>(1)</w:t>
            </w:r>
          </w:p>
        </w:tc>
        <w:tc>
          <w:tcPr>
            <w:tcW w:w="1760" w:type="dxa"/>
            <w:vAlign w:val="bottom"/>
            <w:gridSpan w:val="2"/>
          </w:tcPr>
          <w:p>
            <w:pPr>
              <w:ind w:left="120"/>
              <w:spacing w:after="0"/>
              <w:rPr>
                <w:sz w:val="20"/>
                <w:szCs w:val="20"/>
                <w:color w:val="auto"/>
              </w:rPr>
            </w:pPr>
            <w:r>
              <w:rPr>
                <w:rFonts w:ascii="Arial" w:cs="Arial" w:eastAsia="Arial" w:hAnsi="Arial"/>
                <w:sz w:val="15"/>
                <w:szCs w:val="15"/>
                <w:color w:val="auto"/>
              </w:rPr>
              <w:t>Expected term</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(102,521)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145,531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(92,327)</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Non-competition agreements</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Arial" w:cs="Arial" w:eastAsia="Arial" w:hAnsi="Arial"/>
                <w:sz w:val="15"/>
                <w:szCs w:val="15"/>
                <w:color w:val="auto"/>
              </w:rPr>
              <w:t>Trademarks and trade names</w:t>
            </w:r>
          </w:p>
        </w:tc>
        <w:tc>
          <w:tcPr>
            <w:tcW w:w="1760" w:type="dxa"/>
            <w:vAlign w:val="bottom"/>
            <w:gridSpan w:val="2"/>
          </w:tcPr>
          <w:p>
            <w:pPr>
              <w:ind w:left="120"/>
              <w:spacing w:after="0" w:line="203" w:lineRule="exact"/>
              <w:rPr>
                <w:sz w:val="20"/>
                <w:szCs w:val="20"/>
                <w:color w:val="auto"/>
              </w:rPr>
            </w:pPr>
            <w:r>
              <w:rPr>
                <w:rFonts w:ascii="Arial" w:cs="Arial" w:eastAsia="Arial" w:hAnsi="Arial"/>
                <w:sz w:val="15"/>
                <w:szCs w:val="15"/>
                <w:color w:val="auto"/>
              </w:rPr>
              <w:t>Various</w:t>
            </w:r>
            <w:r>
              <w:rPr>
                <w:rFonts w:ascii="Arial" w:cs="Arial" w:eastAsia="Arial" w:hAnsi="Arial"/>
                <w:sz w:val="19"/>
                <w:szCs w:val="19"/>
                <w:color w:val="auto"/>
                <w:vertAlign w:val="superscript"/>
              </w:rPr>
              <w:t>(2)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116,500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7 - 10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(2,371)</w:t>
            </w:r>
          </w:p>
        </w:tc>
        <w:tc>
          <w:tcPr>
            <w:tcW w:w="0" w:type="dxa"/>
            <w:vAlign w:val="bottom"/>
          </w:tcPr>
          <w:p>
            <w:pPr>
              <w:spacing w:after="0"/>
              <w:rPr>
                <w:sz w:val="1"/>
                <w:szCs w:val="1"/>
                <w:color w:val="auto"/>
              </w:rPr>
            </w:pPr>
          </w:p>
        </w:tc>
      </w:tr>
      <w:tr>
        <w:trPr>
          <w:trHeight w:val="199"/>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Franchise agreements and other intangible assets</w:t>
            </w:r>
          </w:p>
        </w:tc>
        <w:tc>
          <w:tcPr>
            <w:tcW w:w="1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5.5 - 20 years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(3,578)</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850,675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(111,279)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832,720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20" w:hanging="172"/>
        <w:spacing w:after="0" w:line="217" w:lineRule="auto"/>
        <w:tabs>
          <w:tab w:leader="none" w:pos="16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In-place leases as of March 31, 2021 include amounts related to certain assets previously held for sale, and included in Other assets, net, as of year ended December 31, 2020. Assets previously classified as held for sale were reclassified to held for investment as of January 1, 2021.</w:t>
      </w:r>
    </w:p>
    <w:p>
      <w:pPr>
        <w:spacing w:after="0" w:line="10"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All trademarks and trade names have an indefinite useful life except for one that has a three year useful life as of the acquisition date.</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impairment - Upon review of the qualitative factors in accordance with FASB ASC 350-20, "</w:t>
      </w:r>
      <w:r>
        <w:rPr>
          <w:rFonts w:ascii="Arial" w:cs="Arial" w:eastAsia="Arial" w:hAnsi="Arial"/>
          <w:sz w:val="18"/>
          <w:szCs w:val="18"/>
          <w:i w:val="1"/>
          <w:iCs w:val="1"/>
          <w:color w:val="auto"/>
        </w:rPr>
        <w:t>Goodwill and Other</w:t>
      </w:r>
      <w:r>
        <w:rPr>
          <w:rFonts w:ascii="Arial" w:cs="Arial" w:eastAsia="Arial" w:hAnsi="Arial"/>
          <w:sz w:val="18"/>
          <w:szCs w:val="18"/>
          <w:color w:val="auto"/>
        </w:rPr>
        <w:t>," we determined that no impairment indicators existed as of March 31, 2021 and December 31, 2020. As a result, there was no impairment of goodwill during three months ended March 31,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organizational change and segment structure realignment, goodwill is recorded in our Marinas operating segment. Goodwill was preliminary as of December 31, 2020, subject to revisions based on purchase price allocations for the Safe Harbor and Rybovich business combination acquisitions which are reflected in the revised goodwill balance at March 31, 2021. There were no incremental acquisitions during the quarter ended March 31, 2021 which had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expenses related to the Other intangible assets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Intangible Asset Amortization Expense</w:t>
            </w:r>
          </w:p>
        </w:tc>
        <w:tc>
          <w:tcPr>
            <w:tcW w:w="22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7"/>
                <w:szCs w:val="17"/>
                <w:color w:val="auto"/>
              </w:rPr>
            </w:pPr>
          </w:p>
        </w:tc>
        <w:tc>
          <w:tcPr>
            <w:tcW w:w="1460" w:type="dxa"/>
            <w:vAlign w:val="bottom"/>
          </w:tcPr>
          <w:p>
            <w:pPr>
              <w:jc w:val="right"/>
              <w:ind w:right="264"/>
              <w:spacing w:after="0"/>
              <w:rPr>
                <w:sz w:val="20"/>
                <w:szCs w:val="20"/>
                <w:color w:val="auto"/>
              </w:rPr>
            </w:pPr>
            <w:r>
              <w:rPr>
                <w:rFonts w:ascii="Arial" w:cs="Arial" w:eastAsia="Arial" w:hAnsi="Arial"/>
                <w:sz w:val="15"/>
                <w:szCs w:val="15"/>
                <w:b w:val="1"/>
                <w:bCs w:val="1"/>
                <w:color w:val="auto"/>
              </w:rPr>
              <w:t>March 31, 2020</w:t>
            </w:r>
          </w:p>
        </w:tc>
      </w:tr>
      <w:tr>
        <w:trPr>
          <w:trHeight w:val="198"/>
        </w:trPr>
        <w:tc>
          <w:tcPr>
            <w:tcW w:w="7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9,816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3,451</w:t>
            </w:r>
          </w:p>
        </w:tc>
      </w:tr>
      <w:tr>
        <w:trPr>
          <w:trHeight w:val="198"/>
        </w:trPr>
        <w:tc>
          <w:tcPr>
            <w:tcW w:w="7780" w:type="dxa"/>
            <w:vAlign w:val="bottom"/>
          </w:tcPr>
          <w:p>
            <w:pPr>
              <w:ind w:left="140"/>
              <w:spacing w:after="0"/>
              <w:rPr>
                <w:sz w:val="20"/>
                <w:szCs w:val="20"/>
                <w:color w:val="auto"/>
              </w:rPr>
            </w:pPr>
            <w:r>
              <w:rPr>
                <w:rFonts w:ascii="Arial" w:cs="Arial" w:eastAsia="Arial" w:hAnsi="Arial"/>
                <w:sz w:val="15"/>
                <w:szCs w:val="15"/>
                <w:color w:val="auto"/>
              </w:rPr>
              <w:t>Non-competition agreements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78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1,611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fees and other intangible assets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r>
      <w:tr>
        <w:trPr>
          <w:trHeight w:val="200"/>
        </w:trPr>
        <w:tc>
          <w:tcPr>
            <w:tcW w:w="778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12,625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3,656</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Other intangible assets to be as follows for the next five years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Remainder 2021</w:t>
            </w: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0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In-place leases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18,532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11,145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7,701</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5,408</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4,844</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Non-competition agreements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1,500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06"/>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Trademarks and trade names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54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8,128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10,837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10,837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10,837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10,837</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Franchise agreements and other</w:t>
            </w:r>
          </w:p>
        </w:tc>
        <w:tc>
          <w:tcPr>
            <w:tcW w:w="1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1,676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1,962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1,933</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1,879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1,872</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30,461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26,777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23,304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20,124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19,553</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March 31, 2021 and December 31, 2020, we had a 50 percent ownership interest in RezPlot, a RV reservation software technology company, which interest we acquired in January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joint venture ("Sungenia JV")</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At March 31, 2021 and December 31, 2020, we had a 50 percent ownership interest in Sungenia JV, a joint venture formed between us and Ingenia Communities Group in November 2018, to establish and grow a manufactured housing community development program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March 31, 2021 and December 31, 2020, we had a 40 percent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March 31, 2021 and December 31, 2020, we had a 22.9 percent ownership interest in OFS, an end-to-end online resident screening and document management suite.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 we had a 50 percent ownership interest in SV Lift, which owns, operates and leases an aircraft.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March 31, 2021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RezPlot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3,047</w:t>
            </w:r>
          </w:p>
        </w:tc>
        <w:tc>
          <w:tcPr>
            <w:tcW w:w="0" w:type="dxa"/>
            <w:vAlign w:val="bottom"/>
          </w:tcPr>
          <w:p>
            <w:pPr>
              <w:spacing w:after="0"/>
              <w:rPr>
                <w:sz w:val="1"/>
                <w:szCs w:val="1"/>
                <w:color w:val="auto"/>
              </w:rPr>
            </w:pPr>
          </w:p>
        </w:tc>
      </w:tr>
      <w:tr>
        <w:trPr>
          <w:trHeight w:val="198"/>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Investment in Sungenia JV</w:t>
            </w: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27,337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26,890</w:t>
            </w: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GTSC</w:t>
            </w: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28,747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25,495</w:t>
            </w:r>
          </w:p>
        </w:tc>
        <w:tc>
          <w:tcPr>
            <w:tcW w:w="0" w:type="dxa"/>
            <w:vAlign w:val="bottom"/>
          </w:tcPr>
          <w:p>
            <w:pPr>
              <w:spacing w:after="0"/>
              <w:rPr>
                <w:sz w:val="1"/>
                <w:szCs w:val="1"/>
                <w:color w:val="auto"/>
              </w:rPr>
            </w:pPr>
          </w:p>
        </w:tc>
      </w:tr>
      <w:tr>
        <w:trPr>
          <w:trHeight w:val="198"/>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Investment in OFS</w:t>
            </w: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181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3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3,490</w:t>
            </w:r>
          </w:p>
        </w:tc>
        <w:tc>
          <w:tcPr>
            <w:tcW w:w="0" w:type="dxa"/>
            <w:vAlign w:val="bottom"/>
          </w:tcPr>
          <w:p>
            <w:pPr>
              <w:spacing w:after="0"/>
              <w:rPr>
                <w:sz w:val="1"/>
                <w:szCs w:val="1"/>
                <w:color w:val="auto"/>
              </w:rPr>
            </w:pPr>
          </w:p>
        </w:tc>
      </w:tr>
      <w:tr>
        <w:trPr>
          <w:trHeight w:val="200"/>
        </w:trPr>
        <w:tc>
          <w:tcPr>
            <w:tcW w:w="640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62,199</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59,074</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6"/>
              </w:rPr>
              <w:t>The income / (loss) from each nonconsolidated affiliate is as follows (in thousands):</w:t>
            </w: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1700" w:type="dxa"/>
            <w:vAlign w:val="bottom"/>
            <w:tcBorders>
              <w:bottom w:val="single" w:sz="8" w:color="auto"/>
            </w:tcBorders>
          </w:tcPr>
          <w:p>
            <w:pPr>
              <w:spacing w:after="0"/>
              <w:rPr>
                <w:sz w:val="17"/>
                <w:szCs w:val="17"/>
                <w:color w:val="auto"/>
              </w:rPr>
            </w:pPr>
          </w:p>
        </w:tc>
      </w:tr>
      <w:tr>
        <w:trPr>
          <w:trHeight w:val="20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Income / (Loss) from Nonconsolidated Affiliates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March 31, 2021</w:t>
            </w: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w w:val="97"/>
              </w:rPr>
              <w:t>March 31, 2020</w:t>
            </w:r>
          </w:p>
        </w:tc>
      </w:tr>
      <w:tr>
        <w:trPr>
          <w:trHeight w:val="198"/>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loss</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r>
      <w:tr>
        <w:trPr>
          <w:trHeight w:val="198"/>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 / (loss)</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734</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0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38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r>
      <w:tr>
        <w:trPr>
          <w:trHeight w:val="198"/>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OFS equity income</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29</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SV Lift equity loss</w:t>
            </w:r>
          </w:p>
        </w:tc>
        <w:tc>
          <w:tcPr>
            <w:tcW w:w="38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2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r>
      <w:tr>
        <w:trPr>
          <w:trHeight w:val="200"/>
        </w:trPr>
        <w:tc>
          <w:tcPr>
            <w:tcW w:w="640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1,171</w:t>
            </w:r>
          </w:p>
        </w:tc>
        <w:tc>
          <w:tcPr>
            <w:tcW w:w="240" w:type="dxa"/>
            <w:vAlign w:val="bottom"/>
          </w:tcPr>
          <w:p>
            <w:pPr>
              <w:spacing w:after="0"/>
              <w:rPr>
                <w:sz w:val="17"/>
                <w:szCs w:val="17"/>
                <w:color w:val="auto"/>
              </w:rPr>
            </w:pPr>
          </w:p>
        </w:tc>
        <w:tc>
          <w:tcPr>
            <w:tcW w:w="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2"/>
              </w:rPr>
              <w:t>Three Months Ended</w:t>
            </w: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5"/>
              </w:rPr>
              <w:t>March 31, 2021</w:t>
            </w:r>
          </w:p>
        </w:tc>
        <w:tc>
          <w:tcPr>
            <w:tcW w:w="300" w:type="dxa"/>
            <w:vAlign w:val="bottom"/>
          </w:tcPr>
          <w:p>
            <w:pPr>
              <w:spacing w:after="0"/>
              <w:rPr>
                <w:sz w:val="17"/>
                <w:szCs w:val="17"/>
                <w:color w:val="auto"/>
              </w:rPr>
            </w:pPr>
          </w:p>
        </w:tc>
        <w:tc>
          <w:tcPr>
            <w:tcW w:w="2000" w:type="dxa"/>
            <w:vAlign w:val="bottom"/>
          </w:tcPr>
          <w:p>
            <w:pPr>
              <w:jc w:val="right"/>
              <w:ind w:right="46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25,495</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18,488</w:t>
            </w: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Initial fair value option adjustment</w:t>
            </w:r>
          </w:p>
        </w:tc>
        <w:tc>
          <w:tcPr>
            <w:tcW w:w="280" w:type="dxa"/>
            <w:vAlign w:val="bottom"/>
          </w:tcPr>
          <w:p>
            <w:pPr>
              <w:spacing w:after="0"/>
              <w:rPr>
                <w:sz w:val="17"/>
                <w:szCs w:val="17"/>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2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19,030</w:t>
            </w: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2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5"/>
                <w:szCs w:val="15"/>
                <w:color w:val="auto"/>
              </w:rPr>
              <w:t>(2,372)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(14,676)</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earnings</w:t>
            </w:r>
          </w:p>
        </w:tc>
        <w:tc>
          <w:tcPr>
            <w:tcW w:w="2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3,944</w:t>
            </w:r>
          </w:p>
        </w:tc>
        <w:tc>
          <w:tcPr>
            <w:tcW w:w="0" w:type="dxa"/>
            <w:vAlign w:val="bottom"/>
          </w:tcPr>
          <w:p>
            <w:pPr>
              <w:spacing w:after="0"/>
              <w:rPr>
                <w:sz w:val="1"/>
                <w:szCs w:val="1"/>
                <w:color w:val="auto"/>
              </w:rPr>
            </w:pP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adjustment</w:t>
            </w: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Ending Balance</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28,747</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change in the Sungenia JV investment balance is as follows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2"/>
              </w:rPr>
              <w:t>Three Months Ended</w:t>
            </w: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5"/>
              </w:rPr>
              <w:t>March 31, 2021</w:t>
            </w:r>
          </w:p>
        </w:tc>
        <w:tc>
          <w:tcPr>
            <w:tcW w:w="300" w:type="dxa"/>
            <w:vAlign w:val="bottom"/>
          </w:tcPr>
          <w:p>
            <w:pPr>
              <w:spacing w:after="0"/>
              <w:rPr>
                <w:sz w:val="17"/>
                <w:szCs w:val="17"/>
                <w:color w:val="auto"/>
              </w:rPr>
            </w:pPr>
          </w:p>
        </w:tc>
        <w:tc>
          <w:tcPr>
            <w:tcW w:w="2000" w:type="dxa"/>
            <w:vAlign w:val="bottom"/>
          </w:tcPr>
          <w:p>
            <w:pPr>
              <w:jc w:val="right"/>
              <w:ind w:right="464"/>
              <w:spacing w:after="0"/>
              <w:rPr>
                <w:sz w:val="20"/>
                <w:szCs w:val="20"/>
                <w:color w:val="auto"/>
              </w:rPr>
            </w:pPr>
            <w:r>
              <w:rPr>
                <w:rFonts w:ascii="Arial" w:cs="Arial" w:eastAsia="Arial" w:hAnsi="Arial"/>
                <w:sz w:val="15"/>
                <w:szCs w:val="15"/>
                <w:b w:val="1"/>
                <w:bCs w:val="1"/>
                <w:color w:val="auto"/>
              </w:rPr>
              <w:t>December 31, 2020</w:t>
            </w:r>
          </w:p>
        </w:tc>
      </w:tr>
      <w:tr>
        <w:trPr>
          <w:trHeight w:val="20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26,890</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11,995</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Cumulative translation adjustment</w:t>
            </w:r>
          </w:p>
        </w:tc>
        <w:tc>
          <w:tcPr>
            <w:tcW w:w="2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5"/>
                <w:szCs w:val="15"/>
                <w:color w:val="auto"/>
              </w:rPr>
              <w:t>(287)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2,180</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28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12,377</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earnings</w:t>
            </w: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w:t>
            </w:r>
          </w:p>
        </w:tc>
      </w:tr>
      <w:tr>
        <w:trPr>
          <w:trHeight w:val="225"/>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Ending Balance</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27,337</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consolidate the Operating Partnership under the guidance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Accounting Standard Update 2015-02 modified the evaluation of whether limited partnerships and similar legal entities are variable interest entities ("VIEs") or, alternatively, voting interest entities. We evaluated the application of ASU 2015-02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2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Sun NG RV Resorts LLC ("Sun NG Resorts"); Rudgate Village SPE, LLC, Rudgate Clinton SPE, LLC, and Rudgate Clinton Estates SPE, LLC (collectively, "Rudgate"); Sun NG Whitewater RV Resorts LLC; FPG Sun Menifee 80 LLC, SHM South Fork JV, LLC.</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consolidate Sun NG Resorts, Rudgate, Sun NG Whitewater RV Resorts LLC, FPG Sun Menifee 80 LLC, and SHM South Fork JV, LLC under the guidance set forth in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We concluded that each entity is a VIE where we are the primary beneficiary, as we have the power to direct the significant activities of, and absorb the significant losses and receive the significant benefits from each entity. Refer to Note 8, "Debt and Lines of Credit," for additional information on Sun NG Resorts and Note 9, "Equity and Temporary Equity," for additional information on Sun NG Resorts, Sun NG Whitewater RV Resorts LLC, FPG Sun Menifee 80 LLC and SHM South Fork JV, LLC.</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assets and liabilities of Sun NG Resorts, Rudgate, Sun NG Whitewater RV Resorts LLC. FPG Sun Menifee 80 LLC and SHM South Fork JV, LLC included in our Consolidated Balance Sheets after eliminations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185"/>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property, net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479,196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438,918</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net</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31,820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24,554</w:t>
            </w:r>
          </w:p>
        </w:tc>
      </w:tr>
      <w:tr>
        <w:trPr>
          <w:trHeight w:val="225"/>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511,016</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463,472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Debt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54,142</w:t>
            </w:r>
          </w:p>
        </w:tc>
        <w:tc>
          <w:tcPr>
            <w:tcW w:w="24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47,706</w:t>
            </w: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equity - Sun NG Resorts - mandatorily redeemable</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47,901</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21,957</w:t>
            </w:r>
          </w:p>
        </w:tc>
      </w:tr>
      <w:tr>
        <w:trPr>
          <w:trHeight w:val="200"/>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137,292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104,912</w:t>
            </w: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Temporary equity</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26,604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28,469</w:t>
            </w: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 (including SHM South Fork JV, LLC)</w:t>
            </w: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16,901</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16,084</w:t>
            </w:r>
          </w:p>
        </w:tc>
      </w:tr>
      <w:tr>
        <w:trPr>
          <w:trHeight w:val="200"/>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180,797</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149,465</w:t>
            </w:r>
          </w:p>
        </w:tc>
      </w:tr>
      <w:tr>
        <w:trPr>
          <w:trHeight w:val="21"/>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with the exception of the Operating Partnership, comprised approximately 4.5 percent and 4.1 percent of our consolidated total assets at March 31, 2021 and December 31, 2020, respectively. Debt, Preferred Equity and Other liabilities comprised 2.7 percent and 2.0 percent of our consolidated total liabilities at March 31, 2021 and December 31, 2020, respectively. Equity Interests and Noncontrolling interests related to the consolidated VIEs, on an absolute basis, comprised less than 1.0 percent of our consolidated total equity at March 31, 2021 and at December 31, 2020, respectively.</w:t>
      </w:r>
    </w:p>
    <w:p>
      <w:pPr>
        <w:spacing w:after="0" w:line="21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 except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4"/>
            <w:vMerge w:val="restart"/>
          </w:tcPr>
          <w:p>
            <w:pPr>
              <w:jc w:val="right"/>
              <w:ind w:right="564"/>
              <w:spacing w:after="0"/>
              <w:rPr>
                <w:sz w:val="20"/>
                <w:szCs w:val="20"/>
                <w:color w:val="auto"/>
              </w:rPr>
            </w:pPr>
            <w:r>
              <w:rPr>
                <w:rFonts w:ascii="Arial" w:cs="Arial" w:eastAsia="Arial" w:hAnsi="Arial"/>
                <w:sz w:val="15"/>
                <w:szCs w:val="15"/>
                <w:b w:val="1"/>
                <w:bCs w:val="1"/>
                <w:color w:val="auto"/>
              </w:rPr>
              <w:t>Carrying Amount</w:t>
            </w:r>
          </w:p>
        </w:tc>
        <w:tc>
          <w:tcPr>
            <w:tcW w:w="120" w:type="dxa"/>
            <w:vAlign w:val="bottom"/>
          </w:tcPr>
          <w:p>
            <w:pPr>
              <w:spacing w:after="0"/>
              <w:rPr>
                <w:sz w:val="15"/>
                <w:szCs w:val="15"/>
                <w:color w:val="auto"/>
              </w:rPr>
            </w:pPr>
          </w:p>
        </w:tc>
        <w:tc>
          <w:tcPr>
            <w:tcW w:w="2560" w:type="dxa"/>
            <w:vAlign w:val="bottom"/>
            <w:gridSpan w:val="4"/>
          </w:tcPr>
          <w:p>
            <w:pPr>
              <w:ind w:left="620"/>
              <w:spacing w:after="0"/>
              <w:rPr>
                <w:sz w:val="20"/>
                <w:szCs w:val="20"/>
                <w:color w:val="auto"/>
              </w:rPr>
            </w:pPr>
            <w:r>
              <w:rPr>
                <w:rFonts w:ascii="Arial" w:cs="Arial" w:eastAsia="Arial" w:hAnsi="Arial"/>
                <w:sz w:val="15"/>
                <w:szCs w:val="15"/>
                <w:b w:val="1"/>
                <w:bCs w:val="1"/>
                <w:color w:val="auto"/>
              </w:rPr>
              <w:t>Weighted Average</w:t>
            </w:r>
          </w:p>
        </w:tc>
        <w:tc>
          <w:tcPr>
            <w:tcW w:w="2660" w:type="dxa"/>
            <w:vAlign w:val="bottom"/>
            <w:gridSpan w:val="3"/>
          </w:tcPr>
          <w:p>
            <w:pPr>
              <w:ind w:left="740"/>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0"/>
        </w:trPr>
        <w:tc>
          <w:tcPr>
            <w:tcW w:w="3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4"/>
          </w:tcPr>
          <w:p>
            <w:pPr>
              <w:ind w:left="640"/>
              <w:spacing w:after="0"/>
              <w:rPr>
                <w:sz w:val="20"/>
                <w:szCs w:val="20"/>
                <w:color w:val="auto"/>
              </w:rPr>
            </w:pPr>
            <w:r>
              <w:rPr>
                <w:rFonts w:ascii="Arial" w:cs="Arial" w:eastAsia="Arial" w:hAnsi="Arial"/>
                <w:sz w:val="15"/>
                <w:szCs w:val="15"/>
                <w:b w:val="1"/>
                <w:bCs w:val="1"/>
                <w:color w:val="auto"/>
              </w:rPr>
              <w:t>Years to Maturity</w:t>
            </w:r>
          </w:p>
        </w:tc>
        <w:tc>
          <w:tcPr>
            <w:tcW w:w="2660" w:type="dxa"/>
            <w:vAlign w:val="bottom"/>
            <w:gridSpan w:val="3"/>
          </w:tcPr>
          <w:p>
            <w:pPr>
              <w:ind w:left="880"/>
              <w:spacing w:after="0"/>
              <w:rPr>
                <w:sz w:val="20"/>
                <w:szCs w:val="20"/>
                <w:color w:val="auto"/>
              </w:rPr>
            </w:pPr>
            <w:r>
              <w:rPr>
                <w:rFonts w:ascii="Arial" w:cs="Arial" w:eastAsia="Arial" w:hAnsi="Arial"/>
                <w:sz w:val="15"/>
                <w:szCs w:val="15"/>
                <w:b w:val="1"/>
                <w:bCs w:val="1"/>
                <w:color w:val="auto"/>
              </w:rPr>
              <w:t>Interest Rates</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1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top w:val="single" w:sz="8" w:color="auto"/>
            </w:tcBorders>
            <w:vMerge w:val="restart"/>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4"/>
              <w:spacing w:after="0" w:line="144" w:lineRule="exact"/>
              <w:rPr>
                <w:sz w:val="20"/>
                <w:szCs w:val="20"/>
                <w:color w:val="auto"/>
              </w:rPr>
            </w:pPr>
            <w:r>
              <w:rPr>
                <w:rFonts w:ascii="Arial" w:cs="Arial" w:eastAsia="Arial" w:hAnsi="Arial"/>
                <w:sz w:val="15"/>
                <w:szCs w:val="15"/>
                <w:b w:val="1"/>
                <w:bCs w:val="1"/>
                <w:color w:val="auto"/>
                <w:w w:val="92"/>
              </w:rPr>
              <w:t>December 31,</w:t>
            </w:r>
          </w:p>
        </w:tc>
        <w:tc>
          <w:tcPr>
            <w:tcW w:w="120" w:type="dxa"/>
            <w:vAlign w:val="bottom"/>
          </w:tcPr>
          <w:p>
            <w:pPr>
              <w:spacing w:after="0"/>
              <w:rPr>
                <w:sz w:val="12"/>
                <w:szCs w:val="12"/>
                <w:color w:val="auto"/>
              </w:rPr>
            </w:pPr>
          </w:p>
        </w:tc>
        <w:tc>
          <w:tcPr>
            <w:tcW w:w="1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b w:val="1"/>
                <w:bCs w:val="1"/>
                <w:color w:val="auto"/>
                <w:w w:val="99"/>
              </w:rPr>
              <w:t>March 31, 2021</w:t>
            </w:r>
          </w:p>
        </w:tc>
        <w:tc>
          <w:tcPr>
            <w:tcW w:w="100" w:type="dxa"/>
            <w:vAlign w:val="bottom"/>
            <w:tcBorders>
              <w:top w:val="single" w:sz="8" w:color="auto"/>
            </w:tcBorders>
            <w:vMerge w:val="restart"/>
          </w:tcPr>
          <w:p>
            <w:pPr>
              <w:spacing w:after="0"/>
              <w:rPr>
                <w:sz w:val="12"/>
                <w:szCs w:val="12"/>
                <w:color w:val="auto"/>
              </w:rPr>
            </w:pPr>
          </w:p>
        </w:tc>
        <w:tc>
          <w:tcPr>
            <w:tcW w:w="1160" w:type="dxa"/>
            <w:vAlign w:val="bottom"/>
            <w:tcBorders>
              <w:top w:val="single" w:sz="8" w:color="auto"/>
            </w:tcBorders>
          </w:tcPr>
          <w:p>
            <w:pPr>
              <w:jc w:val="right"/>
              <w:ind w:right="44"/>
              <w:spacing w:after="0" w:line="144"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260" w:type="dxa"/>
            <w:vAlign w:val="bottom"/>
            <w:tcBorders>
              <w:top w:val="single" w:sz="8" w:color="auto"/>
            </w:tcBorders>
            <w:vMerge w:val="restart"/>
          </w:tcPr>
          <w:p>
            <w:pPr>
              <w:ind w:left="12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top w:val="single" w:sz="8" w:color="auto"/>
            </w:tcBorders>
            <w:vMerge w:val="restart"/>
          </w:tcPr>
          <w:p>
            <w:pPr>
              <w:spacing w:after="0"/>
              <w:rPr>
                <w:sz w:val="12"/>
                <w:szCs w:val="12"/>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term loans - Life Companies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1,649,163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1,658,239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0"/>
              </w:rPr>
              <w:t>3.990 %</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3.990 %</w:t>
            </w:r>
          </w:p>
        </w:tc>
        <w:tc>
          <w:tcPr>
            <w:tcW w:w="0" w:type="dxa"/>
            <w:vAlign w:val="bottom"/>
          </w:tcPr>
          <w:p>
            <w:pPr>
              <w:spacing w:after="0"/>
              <w:rPr>
                <w:sz w:val="1"/>
                <w:szCs w:val="1"/>
                <w:color w:val="auto"/>
              </w:rPr>
            </w:pPr>
          </w:p>
        </w:tc>
      </w:tr>
      <w:tr>
        <w:trPr>
          <w:trHeight w:val="199"/>
        </w:trPr>
        <w:tc>
          <w:tcPr>
            <w:tcW w:w="3460" w:type="dxa"/>
            <w:vAlign w:val="bottom"/>
          </w:tcPr>
          <w:p>
            <w:pPr>
              <w:ind w:left="20"/>
              <w:spacing w:after="0"/>
              <w:rPr>
                <w:sz w:val="20"/>
                <w:szCs w:val="20"/>
                <w:color w:val="auto"/>
              </w:rPr>
            </w:pPr>
            <w:r>
              <w:rPr>
                <w:rFonts w:ascii="Arial" w:cs="Arial" w:eastAsia="Arial" w:hAnsi="Arial"/>
                <w:sz w:val="15"/>
                <w:szCs w:val="15"/>
                <w:color w:val="auto"/>
              </w:rPr>
              <w:t>Collateralized term loans - FNMA</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1,148,524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1,150,924</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9.1</w:t>
            </w:r>
          </w:p>
        </w:tc>
        <w:tc>
          <w:tcPr>
            <w:tcW w:w="140" w:type="dxa"/>
            <w:vAlign w:val="bottom"/>
          </w:tcPr>
          <w:p>
            <w:pPr>
              <w:spacing w:after="0"/>
              <w:rPr>
                <w:sz w:val="17"/>
                <w:szCs w:val="17"/>
                <w:color w:val="auto"/>
              </w:rPr>
            </w:pPr>
          </w:p>
        </w:tc>
        <w:tc>
          <w:tcPr>
            <w:tcW w:w="1260" w:type="dxa"/>
            <w:vAlign w:val="bottom"/>
          </w:tcPr>
          <w:p>
            <w:pPr>
              <w:ind w:left="740"/>
              <w:spacing w:after="0"/>
              <w:rPr>
                <w:sz w:val="20"/>
                <w:szCs w:val="20"/>
                <w:color w:val="auto"/>
              </w:rPr>
            </w:pPr>
            <w:r>
              <w:rPr>
                <w:rFonts w:ascii="Arial" w:cs="Arial" w:eastAsia="Arial" w:hAnsi="Arial"/>
                <w:sz w:val="15"/>
                <w:szCs w:val="15"/>
                <w:color w:val="auto"/>
                <w:w w:val="90"/>
              </w:rPr>
              <w:t>3.228 %</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3.230 %</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term loans - CMBS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265,758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267,205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0"/>
              </w:rPr>
              <w:t>4.789 %</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4.789 %</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Collateralized term loans - FMCC</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366,975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368,599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w w:val="90"/>
              </w:rPr>
              <w:t>3.853 %</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3.854 %</w:t>
            </w: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Total Collateralized Term Loans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3,430,420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3,444,967</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0"/>
              <w:spacing w:after="0" w:line="149" w:lineRule="exact"/>
              <w:rPr>
                <w:sz w:val="20"/>
                <w:szCs w:val="20"/>
                <w:color w:val="auto"/>
              </w:rPr>
            </w:pPr>
            <w:r>
              <w:rPr>
                <w:rFonts w:ascii="Arial" w:cs="Arial" w:eastAsia="Arial" w:hAnsi="Arial"/>
                <w:sz w:val="15"/>
                <w:szCs w:val="15"/>
                <w:color w:val="auto"/>
              </w:rPr>
              <w:t>Preferred equity - Sun NG Resorts - mandatorily</w:t>
            </w:r>
          </w:p>
        </w:tc>
        <w:tc>
          <w:tcPr>
            <w:tcW w:w="3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35,249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35,249</w:t>
            </w:r>
          </w:p>
        </w:tc>
        <w:tc>
          <w:tcPr>
            <w:tcW w:w="1280" w:type="dxa"/>
            <w:vAlign w:val="bottom"/>
            <w:gridSpan w:val="2"/>
            <w:vMerge w:val="restart"/>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12"/>
                <w:szCs w:val="12"/>
                <w:color w:val="auto"/>
              </w:rPr>
            </w:pPr>
          </w:p>
        </w:tc>
        <w:tc>
          <w:tcPr>
            <w:tcW w:w="1260" w:type="dxa"/>
            <w:vAlign w:val="bottom"/>
            <w:vMerge w:val="restart"/>
          </w:tcPr>
          <w:p>
            <w:pPr>
              <w:ind w:left="740"/>
              <w:spacing w:after="0"/>
              <w:rPr>
                <w:sz w:val="20"/>
                <w:szCs w:val="20"/>
                <w:color w:val="auto"/>
              </w:rPr>
            </w:pPr>
            <w:r>
              <w:rPr>
                <w:rFonts w:ascii="Arial" w:cs="Arial" w:eastAsia="Arial" w:hAnsi="Arial"/>
                <w:sz w:val="15"/>
                <w:szCs w:val="15"/>
                <w:color w:val="auto"/>
                <w:w w:val="90"/>
              </w:rPr>
              <w:t>6.000 %</w:t>
            </w:r>
          </w:p>
        </w:tc>
        <w:tc>
          <w:tcPr>
            <w:tcW w:w="1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6.000 %</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rPr>
                <w:sz w:val="20"/>
                <w:szCs w:val="20"/>
                <w:color w:val="auto"/>
              </w:rPr>
            </w:pPr>
            <w:r>
              <w:rPr>
                <w:rFonts w:ascii="Arial" w:cs="Arial" w:eastAsia="Arial" w:hAnsi="Arial"/>
                <w:sz w:val="15"/>
                <w:szCs w:val="15"/>
                <w:color w:val="auto"/>
              </w:rPr>
              <w:t>redeemable</w:t>
            </w:r>
          </w:p>
        </w:tc>
        <w:tc>
          <w:tcPr>
            <w:tcW w:w="3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OP units - mandatorily redeemable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34,663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0"/>
              </w:rPr>
              <w:t>5.932 %</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5.932 %</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Lines of credit and other debt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917,603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1,242,197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3.7</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w w:val="90"/>
              </w:rPr>
              <w:t>1.746 %</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2.078 %</w:t>
            </w:r>
          </w:p>
        </w:tc>
        <w:tc>
          <w:tcPr>
            <w:tcW w:w="0" w:type="dxa"/>
            <w:vAlign w:val="bottom"/>
          </w:tcPr>
          <w:p>
            <w:pPr>
              <w:spacing w:after="0"/>
              <w:rPr>
                <w:sz w:val="1"/>
                <w:szCs w:val="1"/>
                <w:color w:val="auto"/>
              </w:rPr>
            </w:pPr>
          </w:p>
        </w:tc>
      </w:tr>
      <w:tr>
        <w:trPr>
          <w:trHeight w:val="225"/>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Debt</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4,417,935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4,757,076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w w:val="90"/>
              </w:rPr>
              <w:t>3.394 %</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3.370 %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2021 we made no repayments on the collateralized term loans. During the year ended December 31, 2020, we repaid the following collateralized term loans (in thousands except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5"/>
                <w:szCs w:val="15"/>
                <w:b w:val="1"/>
                <w:bCs w:val="1"/>
                <w:color w:val="auto"/>
                <w:w w:val="91"/>
              </w:rPr>
              <w:t>(Gain) / Loss on</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vMerge w:val="restart"/>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Repayment Amount</w:t>
            </w:r>
          </w:p>
        </w:tc>
        <w:tc>
          <w:tcPr>
            <w:tcW w:w="280" w:type="dxa"/>
            <w:vAlign w:val="bottom"/>
          </w:tcPr>
          <w:p>
            <w:pPr>
              <w:spacing w:after="0"/>
              <w:rPr>
                <w:sz w:val="12"/>
                <w:szCs w:val="12"/>
                <w:color w:val="auto"/>
              </w:rPr>
            </w:pPr>
          </w:p>
        </w:tc>
        <w:tc>
          <w:tcPr>
            <w:tcW w:w="15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Fixed Interest Rate</w:t>
            </w:r>
          </w:p>
        </w:tc>
        <w:tc>
          <w:tcPr>
            <w:tcW w:w="280" w:type="dxa"/>
            <w:vAlign w:val="bottom"/>
            <w:vMerge w:val="restart"/>
          </w:tcPr>
          <w:p>
            <w:pPr>
              <w:spacing w:after="0"/>
              <w:rPr>
                <w:sz w:val="12"/>
                <w:szCs w:val="12"/>
                <w:color w:val="auto"/>
              </w:rPr>
            </w:pPr>
          </w:p>
        </w:tc>
        <w:tc>
          <w:tcPr>
            <w:tcW w:w="188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Maturity Date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3"/>
              </w:rPr>
              <w:t>Extinguishment of</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Debt</w:t>
            </w: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5"/>
                <w:szCs w:val="15"/>
                <w:color w:val="auto"/>
              </w:rPr>
              <w:t>March 1, 2021</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June 30, 2020</w:t>
            </w:r>
          </w:p>
        </w:tc>
        <w:tc>
          <w:tcPr>
            <w:tcW w:w="520" w:type="dxa"/>
            <w:vAlign w:val="bottom"/>
            <w:vMerge w:val="restart"/>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52,710</w:t>
            </w:r>
          </w:p>
        </w:tc>
        <w:tc>
          <w:tcPr>
            <w:tcW w:w="280" w:type="dxa"/>
            <w:vAlign w:val="bottom"/>
            <w:shd w:val="clear" w:color="auto" w:fill="CCEEFF"/>
          </w:tcPr>
          <w:p>
            <w:pPr>
              <w:spacing w:after="0"/>
              <w:rPr>
                <w:sz w:val="12"/>
                <w:szCs w:val="12"/>
                <w:color w:val="auto"/>
              </w:rPr>
            </w:pPr>
          </w:p>
        </w:tc>
        <w:tc>
          <w:tcPr>
            <w:tcW w:w="18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 xml:space="preserve">5.980 % </w:t>
            </w:r>
            <w:r>
              <w:rPr>
                <w:rFonts w:ascii="Arial" w:cs="Arial" w:eastAsia="Arial" w:hAnsi="Arial"/>
                <w:sz w:val="9"/>
                <w:szCs w:val="9"/>
                <w:color w:val="auto"/>
              </w:rPr>
              <w:t>(3)</w:t>
            </w:r>
          </w:p>
        </w:tc>
        <w:tc>
          <w:tcPr>
            <w:tcW w:w="1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5"/>
                <w:szCs w:val="15"/>
                <w:color w:val="auto"/>
              </w:rPr>
              <w:t>July 11, 2021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202"/>
        </w:trPr>
        <w:tc>
          <w:tcPr>
            <w:tcW w:w="426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(1)</w:t>
            </w:r>
          </w:p>
        </w:tc>
        <w:tc>
          <w:tcPr>
            <w:tcW w:w="1820" w:type="dxa"/>
            <w:vAlign w:val="bottom"/>
            <w:gridSpan w:val="2"/>
            <w:vMerge w:val="continue"/>
            <w:shd w:val="clear" w:color="auto" w:fill="CCEEFF"/>
          </w:tcPr>
          <w:p>
            <w:pPr>
              <w:spacing w:after="0"/>
              <w:rPr>
                <w:sz w:val="17"/>
                <w:szCs w:val="17"/>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December 1, 2021</w:t>
            </w:r>
          </w:p>
        </w:tc>
        <w:tc>
          <w:tcPr>
            <w:tcW w:w="12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99,607</w:t>
            </w:r>
          </w:p>
        </w:tc>
        <w:tc>
          <w:tcPr>
            <w:tcW w:w="280" w:type="dxa"/>
            <w:vAlign w:val="bottom"/>
          </w:tcPr>
          <w:p>
            <w:pPr>
              <w:spacing w:after="0"/>
              <w:rPr>
                <w:sz w:val="18"/>
                <w:szCs w:val="18"/>
                <w:color w:val="auto"/>
              </w:rPr>
            </w:pPr>
          </w:p>
        </w:tc>
        <w:tc>
          <w:tcPr>
            <w:tcW w:w="1540" w:type="dxa"/>
            <w:vAlign w:val="bottom"/>
          </w:tcPr>
          <w:p>
            <w:pPr>
              <w:ind w:left="1020"/>
              <w:spacing w:after="0"/>
              <w:rPr>
                <w:sz w:val="20"/>
                <w:szCs w:val="20"/>
                <w:color w:val="auto"/>
              </w:rPr>
            </w:pPr>
            <w:r>
              <w:rPr>
                <w:rFonts w:ascii="Arial" w:cs="Arial" w:eastAsia="Arial" w:hAnsi="Arial"/>
                <w:sz w:val="15"/>
                <w:szCs w:val="15"/>
                <w:color w:val="auto"/>
                <w:w w:val="90"/>
              </w:rPr>
              <w:t>5.837 %</w:t>
            </w:r>
          </w:p>
        </w:tc>
        <w:tc>
          <w:tcPr>
            <w:tcW w:w="2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March 1, 2021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3,403</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5"/>
                <w:szCs w:val="15"/>
                <w:color w:val="auto"/>
              </w:rPr>
              <w:t>March 31, 2020</w:t>
            </w: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19,922</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(2)</w:t>
            </w:r>
          </w:p>
        </w:tc>
        <w:tc>
          <w:tcPr>
            <w:tcW w:w="1820" w:type="dxa"/>
            <w:vAlign w:val="bottom"/>
            <w:gridSpan w:val="2"/>
          </w:tcPr>
          <w:p>
            <w:pPr>
              <w:ind w:left="1020"/>
              <w:spacing w:after="0"/>
              <w:rPr>
                <w:sz w:val="20"/>
                <w:szCs w:val="20"/>
                <w:color w:val="auto"/>
              </w:rPr>
            </w:pPr>
            <w:r>
              <w:rPr>
                <w:rFonts w:ascii="Arial" w:cs="Arial" w:eastAsia="Arial" w:hAnsi="Arial"/>
                <w:sz w:val="15"/>
                <w:szCs w:val="15"/>
                <w:color w:val="auto"/>
              </w:rPr>
              <w:t xml:space="preserve">5.830 % </w:t>
            </w:r>
            <w:r>
              <w:rPr>
                <w:rFonts w:ascii="Arial" w:cs="Arial" w:eastAsia="Arial" w:hAnsi="Arial"/>
                <w:sz w:val="9"/>
                <w:szCs w:val="9"/>
                <w:color w:val="auto"/>
              </w:rPr>
              <w:t>(3)</w:t>
            </w: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July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four collateralized term loans, two due to mature on March 1, 2021, one due to mature on July 11, 2021 and the other due to mature on December 1, 2021.</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four collateralized term loans due to mature on July 1, 2020.</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interest rate represents the weighted average interest rate on collateralized term loans.</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2021 we did not enter into any new collateralized term loans. During the year ended December 31, 2020, we entered into the following collateralized term loans (in thousands except statistical information):</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880" w:type="dxa"/>
            <w:vAlign w:val="bottom"/>
            <w:vMerge w:val="restart"/>
          </w:tcPr>
          <w:p>
            <w:pPr>
              <w:ind w:left="17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7"/>
              </w:rPr>
              <w:t>Loan Amount</w:t>
            </w:r>
          </w:p>
        </w:tc>
        <w:tc>
          <w:tcPr>
            <w:tcW w:w="280" w:type="dxa"/>
            <w:vAlign w:val="bottom"/>
          </w:tcPr>
          <w:p>
            <w:pPr>
              <w:spacing w:after="0"/>
              <w:rPr>
                <w:sz w:val="14"/>
                <w:szCs w:val="14"/>
                <w:color w:val="auto"/>
              </w:rPr>
            </w:pPr>
          </w:p>
        </w:tc>
        <w:tc>
          <w:tcPr>
            <w:tcW w:w="1340" w:type="dxa"/>
            <w:vAlign w:val="bottom"/>
            <w:gridSpan w:val="2"/>
          </w:tcPr>
          <w:p>
            <w:pPr>
              <w:ind w:left="360"/>
              <w:spacing w:after="0"/>
              <w:rPr>
                <w:sz w:val="20"/>
                <w:szCs w:val="20"/>
                <w:color w:val="auto"/>
              </w:rPr>
            </w:pPr>
            <w:r>
              <w:rPr>
                <w:rFonts w:ascii="Arial" w:cs="Arial" w:eastAsia="Arial" w:hAnsi="Arial"/>
                <w:sz w:val="15"/>
                <w:szCs w:val="15"/>
                <w:b w:val="1"/>
                <w:bCs w:val="1"/>
                <w:color w:val="auto"/>
              </w:rPr>
              <w:t>Term</w:t>
            </w:r>
          </w:p>
        </w:tc>
        <w:tc>
          <w:tcPr>
            <w:tcW w:w="16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Interest</w:t>
            </w:r>
          </w:p>
        </w:tc>
        <w:tc>
          <w:tcPr>
            <w:tcW w:w="1540" w:type="dxa"/>
            <w:vAlign w:val="bottom"/>
          </w:tcPr>
          <w:p>
            <w:pPr>
              <w:jc w:val="right"/>
              <w:ind w:right="404"/>
              <w:spacing w:after="0"/>
              <w:rPr>
                <w:sz w:val="20"/>
                <w:szCs w:val="20"/>
                <w:color w:val="auto"/>
              </w:rPr>
            </w:pPr>
            <w:r>
              <w:rPr>
                <w:rFonts w:ascii="Arial" w:cs="Arial" w:eastAsia="Arial" w:hAnsi="Arial"/>
                <w:sz w:val="15"/>
                <w:szCs w:val="15"/>
                <w:b w:val="1"/>
                <w:bCs w:val="1"/>
                <w:color w:val="auto"/>
              </w:rPr>
              <w:t>Maturity</w:t>
            </w:r>
          </w:p>
        </w:tc>
        <w:tc>
          <w:tcPr>
            <w:tcW w:w="0" w:type="dxa"/>
            <w:vAlign w:val="bottom"/>
          </w:tcPr>
          <w:p>
            <w:pPr>
              <w:spacing w:after="0"/>
              <w:rPr>
                <w:sz w:val="1"/>
                <w:szCs w:val="1"/>
                <w:color w:val="auto"/>
              </w:rPr>
            </w:pPr>
          </w:p>
        </w:tc>
      </w:tr>
      <w:tr>
        <w:trPr>
          <w:trHeight w:val="200"/>
        </w:trPr>
        <w:tc>
          <w:tcPr>
            <w:tcW w:w="48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(in years)</w:t>
            </w: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Rate</w:t>
            </w:r>
          </w:p>
        </w:tc>
        <w:tc>
          <w:tcPr>
            <w:tcW w:w="2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144"/>
        </w:trPr>
        <w:tc>
          <w:tcPr>
            <w:tcW w:w="51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December 31, 2020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268,800</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ind w:left="840"/>
              <w:spacing w:after="0"/>
              <w:rPr>
                <w:sz w:val="20"/>
                <w:szCs w:val="20"/>
                <w:color w:val="auto"/>
              </w:rPr>
            </w:pPr>
            <w:r>
              <w:rPr>
                <w:rFonts w:ascii="Arial" w:cs="Arial" w:eastAsia="Arial" w:hAnsi="Arial"/>
                <w:sz w:val="15"/>
                <w:szCs w:val="15"/>
                <w:color w:val="auto"/>
              </w:rPr>
              <w:t xml:space="preserve">2.662 % </w:t>
            </w:r>
            <w:r>
              <w:rPr>
                <w:rFonts w:ascii="Arial" w:cs="Arial" w:eastAsia="Arial" w:hAnsi="Arial"/>
                <w:sz w:val="9"/>
                <w:szCs w:val="9"/>
                <w:color w:val="auto"/>
              </w:rPr>
              <w:t>(2)</w:t>
            </w:r>
          </w:p>
        </w:tc>
        <w:tc>
          <w:tcPr>
            <w:tcW w:w="15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May 1, 2030</w:t>
            </w:r>
          </w:p>
        </w:tc>
        <w:tc>
          <w:tcPr>
            <w:tcW w:w="0" w:type="dxa"/>
            <w:vAlign w:val="bottom"/>
          </w:tcPr>
          <w:p>
            <w:pPr>
              <w:spacing w:after="0"/>
              <w:rPr>
                <w:sz w:val="1"/>
                <w:szCs w:val="1"/>
                <w:color w:val="auto"/>
              </w:rPr>
            </w:pPr>
          </w:p>
        </w:tc>
      </w:tr>
      <w:tr>
        <w:trPr>
          <w:trHeight w:val="202"/>
        </w:trPr>
        <w:tc>
          <w:tcPr>
            <w:tcW w:w="51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(1)</w:t>
            </w:r>
          </w:p>
        </w:tc>
        <w:tc>
          <w:tcPr>
            <w:tcW w:w="10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November 1, 2032</w:t>
            </w:r>
          </w:p>
        </w:tc>
        <w:tc>
          <w:tcPr>
            <w:tcW w:w="0" w:type="dxa"/>
            <w:vAlign w:val="bottom"/>
          </w:tcPr>
          <w:p>
            <w:pPr>
              <w:spacing w:after="0"/>
              <w:rPr>
                <w:sz w:val="1"/>
                <w:szCs w:val="1"/>
                <w:color w:val="auto"/>
              </w:rPr>
            </w:pPr>
          </w:p>
        </w:tc>
      </w:tr>
      <w:tr>
        <w:trPr>
          <w:trHeight w:val="194"/>
        </w:trPr>
        <w:tc>
          <w:tcPr>
            <w:tcW w:w="5160" w:type="dxa"/>
            <w:vAlign w:val="bottom"/>
            <w:gridSpan w:val="2"/>
          </w:tcPr>
          <w:p>
            <w:pPr>
              <w:ind w:left="20"/>
              <w:spacing w:after="0"/>
              <w:rPr>
                <w:sz w:val="20"/>
                <w:szCs w:val="20"/>
                <w:color w:val="auto"/>
              </w:rPr>
            </w:pPr>
            <w:r>
              <w:rPr>
                <w:rFonts w:ascii="Arial" w:cs="Arial" w:eastAsia="Arial" w:hAnsi="Arial"/>
                <w:sz w:val="15"/>
                <w:szCs w:val="15"/>
                <w:color w:val="auto"/>
              </w:rPr>
              <w:t>March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230,000</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w:t>
            </w:r>
          </w:p>
        </w:tc>
        <w:tc>
          <w:tcPr>
            <w:tcW w:w="280" w:type="dxa"/>
            <w:vAlign w:val="bottom"/>
          </w:tcPr>
          <w:p>
            <w:pPr>
              <w:spacing w:after="0"/>
              <w:rPr>
                <w:sz w:val="16"/>
                <w:szCs w:val="16"/>
                <w:color w:val="auto"/>
              </w:rPr>
            </w:pPr>
          </w:p>
        </w:tc>
        <w:tc>
          <w:tcPr>
            <w:tcW w:w="1360" w:type="dxa"/>
            <w:vAlign w:val="bottom"/>
          </w:tcPr>
          <w:p>
            <w:pPr>
              <w:ind w:left="840"/>
              <w:spacing w:after="0"/>
              <w:rPr>
                <w:sz w:val="20"/>
                <w:szCs w:val="20"/>
                <w:color w:val="auto"/>
              </w:rPr>
            </w:pPr>
            <w:r>
              <w:rPr>
                <w:rFonts w:ascii="Arial" w:cs="Arial" w:eastAsia="Arial" w:hAnsi="Arial"/>
                <w:sz w:val="15"/>
                <w:szCs w:val="15"/>
                <w:color w:val="auto"/>
                <w:w w:val="90"/>
              </w:rPr>
              <w:t>2.995 %</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April 1, 2035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three collateralized term loans, one for $8.8 million due to mature on May 1, 2030 and two for $39.5 million and $220.5 million, due to mature on November 1, 2032.</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interest rate represents the weighted average interest rate on collateralized term loans.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collateralized term loans totaling $3.4 billion as of March 31, 2021, are secured by 192 properties comprised of 77,306 sites representing approximately $3.2 billion of net book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ending June 1, 2025 and $33.4 million can be redeemed in the fourth quarter of 2024 at the holders' option. The Preferred Equity - Sun NG Resorts as of March 31, 2021 was $35.2 million. Refer to Note 7, "Consolidated Variable Interest Entities," and Note 9, "Equity and Temporary Equity,"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OP units at March 31, 2021 and December 31, 2020 include $34.7 million of Aspen preferred OP units issued by the Operating Partnership. As of March 31, 2021, these units are convertible indirectly into 406,470 shares of our common stock.</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25.0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March 31, 2021, 270,000 of the Extended Units and 1,013,819 other Aspen preferred units were outstanding.</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 and Other Debt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Credit Agreement - </w:t>
      </w:r>
      <w:r>
        <w:rPr>
          <w:rFonts w:ascii="Arial" w:cs="Arial" w:eastAsia="Arial" w:hAnsi="Arial"/>
          <w:sz w:val="17"/>
          <w:szCs w:val="17"/>
          <w:color w:val="auto"/>
        </w:rPr>
        <w:t>In May 2019, we amended and restated our credit agreement with Citibank, N.A. ("Citibank") and certain other lenders. Pursuant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agreement, we entered into an unsecured senior credit facility with Citibank and certain lenders in the amount of $750.0 million, comprised of a $650.0 million revolving loan, with the ability to use up to $100.0 million for advances in Australian dollars, and a $100.0 million term loan (the "A&amp;R Facility").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March 31, 2021, the margin based on our leverage ratio was 1.20 percent on the revolving loan and 1.20 percent on the term loan. We had $352.9 million and no borrowings on the revolving loan and the term loan, respectively, as of March 31, 2021. We had $40.4 million of borrowings on the revolving loan and no borrowings on the term loan, as of December 31, 2020.</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with Citibank, but does reduce the borrowing amount available. At March 31, 2021 and December 31, 2020, we had approximately $2.2 million and $2.1 million of outstanding letters of credit, respectively.</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Safe Harbor Facility </w:t>
      </w:r>
      <w:r>
        <w:rPr>
          <w:rFonts w:ascii="Arial" w:cs="Arial" w:eastAsia="Arial" w:hAnsi="Arial"/>
          <w:sz w:val="16"/>
          <w:szCs w:val="16"/>
          <w:color w:val="auto"/>
        </w:rPr>
        <w:t>- On October 30, 2020, in relation to the acquisition of Safe Harbor, we indirectly assumed approximately $829.0 million of Safe</w:t>
      </w:r>
      <w:r>
        <w:rPr>
          <w:rFonts w:ascii="Arial" w:cs="Arial" w:eastAsia="Arial" w:hAnsi="Arial"/>
          <w:sz w:val="16"/>
          <w:szCs w:val="16"/>
          <w:i w:val="1"/>
          <w:iCs w:val="1"/>
          <w:color w:val="auto"/>
        </w:rPr>
        <w:t xml:space="preserve"> </w:t>
      </w:r>
      <w:r>
        <w:rPr>
          <w:rFonts w:ascii="Arial" w:cs="Arial" w:eastAsia="Arial" w:hAnsi="Arial"/>
          <w:sz w:val="16"/>
          <w:szCs w:val="16"/>
          <w:color w:val="auto"/>
        </w:rPr>
        <w:t>Harbor's debt (“Safe Harbor Facility”) owed to Citizens Bank N.A. ("Citizens"). On December 22, 2020, this facility was amended to, among other things,</w:t>
      </w:r>
    </w:p>
    <w:p>
      <w:pPr>
        <w:jc w:val="both"/>
        <w:ind w:firstLine="8"/>
        <w:spacing w:after="0" w:line="290" w:lineRule="auto"/>
        <w:tabs>
          <w:tab w:leader="none" w:pos="2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the size of the revolving commitments available to Safe Harbor from $500.0 million to $1.3 billion, subject to borrowing base availability, (b) modify certain provisions relating to the determination of the borrowing base, (c) increase the cap on the incremental borrowing capacity from $350.0 million to $500.0 million, which allows Safe Harbor to request an increase to the revolving commitments and / or to establish additional term loans subject to the higher cap and the satisfaction of certain condition, and (d) modify certain financial covenants. The revolving loan and term loan under the Safe Harbor Facility both expire on October 11, 2024. The term loan component of the Safe Harbor Facility can be extended for two additional 12-month periods, subject to the satisfaction of certain conditions set forth in the credit agreement. The revolving commitments do not have an extension option.</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Safe Harbor Facility bears interest at a floating rate based on an adjusted LIBOR rate or a base rate, plus a margin that is determined based on Safe Harbor's ratio of consolidated funded debt to total asset value, calculated in accordance with the credit agreement, which margin can range from 1.375 percent to 2.250 percent for adjusted LIBOR rate loans and 0.375 percent to 1.250 percent for base rate loans. As of March 31, 2021, based on Safe Harbor's ratio of consolidated funded debt to total asset value, the margin was 2.000 percent on any adjusted LIBOR rate loans and 1.000 percent on any base rate loans. The Safe Harbor Facility is secured by the personal property of Safe Harbor and certain related entities and subsidiaries and a pledge of the equity interests in certain subsidiaries of Safe Harbor and related entities and subsidiaries, subject to customary exceptions. At the lender's option, the Safe Harbor Facility will become immediately due and payable upon an event of default that is continuing under the credit agreement. Safe Harbor had $19.0 million and $500.0 million of borrowings under the revolving loan and term loan respectively, as of March 31, 2021. Safe Harbor had $652.0 million and $500.0 million of borrowings under the revolving loan and term loan respectively, as of December 31,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Safe Harbor Facility provides Safe Harbor with the ability to issue letters of credit. Its issuance of letters of credit does not increase its borrowings outstanding under its line of credit with Citizens, but does reduce the borrowing amount available. The balance of the outstanding letters of credit for Safe Harbor was approximately $0.3 million at March 31, 2021 and December 31, 2020.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Floor Plan </w:t>
      </w:r>
      <w:r>
        <w:rPr>
          <w:rFonts w:ascii="Arial" w:cs="Arial" w:eastAsia="Arial" w:hAnsi="Arial"/>
          <w:sz w:val="18"/>
          <w:szCs w:val="18"/>
          <w:color w:val="auto"/>
        </w:rPr>
        <w:t>- We have a $12.0 million manufactured home floor plan facility renewable indefinitely until our lender provides us at least a 12-month notice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March 31, 2021, the effective interest rate was 7.0 percent. The outstanding balance was $3.2 million as of March 31, 2021 and $4.8 million as of December 31, 2020. These balances are recorded within the Lines of credit and other debt line item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October 2019, we assumed a term loan facility with Citibank, in the amount of $58.0 million in relation to an acquisition. The term loan has a</w:t>
      </w:r>
      <w:r>
        <w:rPr>
          <w:rFonts w:ascii="Arial" w:cs="Arial" w:eastAsia="Arial" w:hAnsi="Arial"/>
          <w:sz w:val="18"/>
          <w:szCs w:val="18"/>
          <w:i w:val="1"/>
          <w:iCs w:val="1"/>
          <w:color w:val="auto"/>
        </w:rPr>
        <w:t xml:space="preserve"> </w:t>
      </w:r>
      <w:r>
        <w:rPr>
          <w:rFonts w:ascii="Arial" w:cs="Arial" w:eastAsia="Arial" w:hAnsi="Arial"/>
          <w:sz w:val="18"/>
          <w:szCs w:val="18"/>
          <w:color w:val="auto"/>
        </w:rPr>
        <w:t>four-year term ending October 29, 2023, and bears interest at a floating rate based on the Eurodollar rate or Prime rate plus a margin ranging from 1.20 percent to 2.05 percent. As of March 31, 2021, the margin based on our leverage ratio was 1.20 percent. The outstanding balance was $42.5 million at March 31, 2021 and $45.0 million at December 31, 2020, respectively. These balances are recorded in the Lines of credit and other debt line item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Collateralized term loans and Lines of credit are subject to various financial and other covenants. The most restrictive covenants are pursuant to (a) the terms of the A&amp;R Facility, which contains minimum fixed charge coverage ratio and net worth requirements, and maximum leverage, distribution ratios and variable rate indebtedness, and (b) the terms of the Safe Harbor Facility, which contains a minimum fixed charge coverage ratio pre-distribution, a minimum fixed charge coverage ratio post distribution, a minimum borrowing base coverage ratio, and a maximum leverage ratio. At March 31, 2021, we were in compliance with all covenants.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GTSC </w:t>
      </w:r>
      <w:r>
        <w:rPr>
          <w:rFonts w:ascii="Arial" w:cs="Arial" w:eastAsia="Arial" w:hAnsi="Arial"/>
          <w:sz w:val="18"/>
          <w:szCs w:val="18"/>
          <w:color w:val="auto"/>
        </w:rPr>
        <w:t>- During September 2019, GTSC, a nonconsolidated affiliate in which we have a 40 percent ownership interest, entered into a warehouse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with a maximum loan amount of $125.0 million. During September 2020, the maximum amount was increased to $180.0 million. As of March 31, 2021, the aggregate carrying amount of debt, including both our and our partner's share, incurred by GTSC was $180.0 million (of which our proportionate share is $72.0 million). As of December 31, 2020, the aggregate carrying amount of debt, including both our and our partner's share, incurred by GTSC was $167.7 million (of which our proportionate share is $67.1 million). The debt bears interest at a variable rate based on LIBOR plus 1.65 percent per annum and matures on September 15, 2023.</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Sungenia JV </w:t>
      </w:r>
      <w:r>
        <w:rPr>
          <w:rFonts w:ascii="Arial" w:cs="Arial" w:eastAsia="Arial" w:hAnsi="Arial"/>
          <w:sz w:val="17"/>
          <w:szCs w:val="17"/>
          <w:color w:val="auto"/>
        </w:rPr>
        <w:t>- During May 2020, Sungenia JV, a nonconsolidated affiliate in which we have a 50 percent ownership interest, entered into a debt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 maximum loan amount of 27.0 million Australian dollars, or $20.5 million converted at the March 31, 2021 exchange rate. As of March 31, 2021, the aggregate carrying amount of debt, including both our and our partners' share, incurred by Sungenia JV was $6.6 million (of which our proportionate share is $3.3 million). As of December 31, 2020, the aggregate carrying amount of debt, including both our and our partners' share, incurred by Sungenia JV was $6.7 million (of which our proportionate share is $3.3 million). The debt bears interest at a variable rate based on Australian Bank Bill Swap Bid Rate (BBSY) plus 2.05 percent per annum and is available for a minimum of three years.</w:t>
      </w:r>
    </w:p>
    <w:p>
      <w:pPr>
        <w:spacing w:after="0" w:line="201"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2021, we priced a $1.1 billion underwritten public offering of an aggregate of 8,050,000 shares at a public offering price of $140.00 per share, before underwriting discounts and commissions. The offering consisted of 4,000,000 shares offered directly by us and 4,050,000 shares offered under a forward equity sales agreement (the "March 2021 Forward Equity Offering"). We sold the 4,000,000 shares on March 9, 2021 and received net proceeds of $537.6 million. We may elect to settle the forward sale agreements relating to the remaining 4,050,000 shares upon one or more forward settlement dates no later than March 2022. We may also elect to cash settle or net share settle all or a portion of our obligations under the March 2021 Forward Equity Offering if we conclude it is in our best interest to do so. If we elect to cash settle or net settle the March 2021 Forward Equity Offering, we may not receive any proceeds. If we fully physically settle the March 2021 Forward Equity Offering, we expect to receive net proceeds of approximately $544.3 million.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evaluated the accounting of the March 2021 Forward Equity Offering under FASB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and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determined that the March 2021 Forward Equity Offering is indexed to our own equity and meet the requirements for equity classification under ASC 815-40-25. As result, the March 2021 Forward Equity Offering has been classified as equity and is therefore exempt from derivative accounting. We recorded the March 2021 Forward Equity Offering at fair value at inception, which we determined to be zero. Subsequent changes to fair value are not required under equity classification.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30, 2020, we entered into two forward sale agreements (the "September 2020 Forward Equity Offerings") relating to an underwritten registered public offering of 9,200,000 shares of our common stock at a public offering price of $139.50 per share. The offering closed on October 5, 2020. On October 26, 2020, we physically settled the September 2020 Forward Equity Offering (by the delivery of shares of our common stock). Proceeds from the offering were approximately $1.23 billion after deducting expenses related to the offering. We used the net proceeds of this offering to fund the cash portion of the acquisition of Safe Harbor, and for working capital and general corporate purposes.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under the Sales Agreement. Through March 31, 2021, we have sold shares of our common stock for gross proceeds of $163.8 million under the Sales Agreement. There were no issuances of common stock under the Sales Agreement during the three months ended March 31, 2021 or during the year ended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and Common OP Units in Connection with the Acquisition of Certain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in connection with the acquisition of the Rybovich Portfolio, we issued 130,475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in connection with the acquisition of Safe Harbor, we issued 55,403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May 2020, in connection with the acquisition of the Forest Springs community, we issued 82,420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 - SHM South Fork JV, LLC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in conjunction with the acquisition of Safe Harbor, we indirectly acquired $4.3 million of Safe Harbor's equity interest in SHM South Fork JV, LLC, a joint venture created for the purpose of acquiring land and constructing a marina in Fort Lauderdale, Florida. The Safe Harbor Equity Interests - SHM South Fork JV, LLC balance was $4.1 million and $4.3 million at the three months ended March 31, 2021 and the year December 31, 2020, respectively. Refer to Note 7, "Consolidated Variable Interest Entities,"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E Preferred OP Units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2020, we issued 90,000 Series E preferred OP units in connection with the acquisition of Cape Cod RV Resort.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5.50 percent. Commencing the first anniversary of the issuance date, subject to certain limitations, each Series E Preferred OP Unit can be exchanged for our common stock equal to the quotient obtained by dividing $100.00 by $145.00 (as such ratio is subject to adjustments for certain capital events). As of March 31, 2021, 90,000 Series E preferred OP Units were outstanding. Refer to Note 3, "Real Estate Acquisitions and Dispositions,"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Equity: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I Preferred OP Units </w:t>
      </w:r>
      <w:r>
        <w:rPr>
          <w:rFonts w:ascii="Arial" w:cs="Arial" w:eastAsia="Arial" w:hAnsi="Arial"/>
          <w:sz w:val="16"/>
          <w:szCs w:val="16"/>
          <w:color w:val="auto"/>
        </w:rPr>
        <w:t>- In December 2020, we issued 922,000 Series I preferred OP units in connection with the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Rybovich Portfolio. The Series I preferred OP units have a stated issuance price of $100.00 per OP unit and carry a preferred return of 3.0 percent. Subject to certain limitations, at any time after the Series I issuance date, each Series I preferred OP unit can be exchanged for a number of shares of our common stock equal to the quotient obtained by dividing $100.00 by $164.00 (as such ratio is subject to adjustments for certain capital events) at the holder's option. Each holder may require redemption in cash after the fifth anniversary of the Series I issuance date or upon the holder's death. As of March 31, 2021, 922,000 Series I preferred OP units were outstanding. Refer to Note 3, "Real Estate Acquisitions and Dispositions,"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H Preferred OP Units </w:t>
      </w:r>
      <w:r>
        <w:rPr>
          <w:rFonts w:ascii="Arial" w:cs="Arial" w:eastAsia="Arial" w:hAnsi="Arial"/>
          <w:sz w:val="16"/>
          <w:szCs w:val="16"/>
          <w:color w:val="auto"/>
        </w:rPr>
        <w:t>- In October 2020, we issued 581,407 Series H preferred OP units in connection with the acquisition of Safe</w:t>
      </w:r>
      <w:r>
        <w:rPr>
          <w:rFonts w:ascii="Arial" w:cs="Arial" w:eastAsia="Arial" w:hAnsi="Arial"/>
          <w:sz w:val="16"/>
          <w:szCs w:val="16"/>
          <w:i w:val="1"/>
          <w:iCs w:val="1"/>
          <w:color w:val="auto"/>
        </w:rPr>
        <w:t xml:space="preserve"> </w:t>
      </w:r>
      <w:r>
        <w:rPr>
          <w:rFonts w:ascii="Arial" w:cs="Arial" w:eastAsia="Arial" w:hAnsi="Arial"/>
          <w:sz w:val="16"/>
          <w:szCs w:val="16"/>
          <w:color w:val="auto"/>
        </w:rPr>
        <w:t>Harbor. The Series H preferred OP units have a stated issuance price of $100.00 per OP unit and carry a preferred return of 3.0 percent. Subject to certain limitations, at any time after the Series H issuance date, each Series H preferred OP unit can be exchanged for a number of shares of our common stock equal to the quotient obtained by dividing $100.00 by $164.00 (as such ratio is subject to adjustments for certain capital events) at the holder's option. Each holder may require redemption in cash after the fifth anniversary of the Series H issuance date or upon the holder's death. As of March 31, 2021, 581,407 Series H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Equity Interests - FPG Sun Menifee 80 LLC </w:t>
      </w:r>
      <w:r>
        <w:rPr>
          <w:rFonts w:ascii="Arial" w:cs="Arial" w:eastAsia="Arial" w:hAnsi="Arial"/>
          <w:sz w:val="16"/>
          <w:szCs w:val="16"/>
          <w:color w:val="auto"/>
        </w:rPr>
        <w:t>- In October 2020, in connection with investment in land for future development in the city of Menifee in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at the property known as FPG Sun Menifee 80, LLC, Foremost Pacific Group, LLC, "FPG," purchased $0.1 million of common equity interest in the land (referred to as "Equity Interests - FPG Sun Menifee 80 LLC"). The Equity Interests - FPG Sun Menifee 80 LLC do not have a fixed maturity date. Upon the occurrence of certain events, either FPG or Sun FPG Venture LLC, our subsidiary, can trigger a process under which we may be required to purchase the Equity Interests - FPG Sun Menifee 80 LLC from FPG. The Equity Interests - FPG Sun Menifee 80 LLC balance was $0.1 million at the three months ended March 31, 2021 and December 31, 2020. Refer to Note 7, "Consolidated Variable Interest Entities," for additional information.</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G Preferred OP Units </w:t>
      </w:r>
      <w:r>
        <w:rPr>
          <w:rFonts w:ascii="Arial" w:cs="Arial" w:eastAsia="Arial" w:hAnsi="Arial"/>
          <w:sz w:val="18"/>
          <w:szCs w:val="18"/>
          <w:color w:val="auto"/>
        </w:rPr>
        <w:t>- In September 2020, we issued 260,710 Series G preferred OP units in connection with the acquisition of El</w:t>
      </w:r>
      <w:r>
        <w:rPr>
          <w:rFonts w:ascii="Arial" w:cs="Arial" w:eastAsia="Arial" w:hAnsi="Arial"/>
          <w:sz w:val="18"/>
          <w:szCs w:val="18"/>
          <w:i w:val="1"/>
          <w:iCs w:val="1"/>
          <w:color w:val="auto"/>
        </w:rPr>
        <w:t xml:space="preserve"> </w:t>
      </w:r>
      <w:r>
        <w:rPr>
          <w:rFonts w:ascii="Arial" w:cs="Arial" w:eastAsia="Arial" w:hAnsi="Arial"/>
          <w:sz w:val="18"/>
          <w:szCs w:val="18"/>
          <w:color w:val="auto"/>
        </w:rPr>
        <w:t>Capitan &amp; Ocean Mesa Resorts. The Series G preferred OP units have a stated issuance price of $100.00 per OP unit and carry a preferred return of 3.2 percent. Subject to certain limitations, at any time after the Series G issuance date, each Series G preferred OP unit can be exchanged for a number of shares of our common stock equal to the quotient obtained by dividing $100.00 by $155.00 (as such ratio is subject to adjustments for certain capital events) at the holder's option. Each holder may require redemption in cash after the fifth anniversary of the Series G issuance date or upon the holder's death. As of March 31, 2021, 240,710 Series G preferred OP units were outstanding. Refer to Note 3, "Real Estate Acquisitions and Dispositions," for additional information.</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F Preferred OP Units </w:t>
      </w:r>
      <w:r>
        <w:rPr>
          <w:rFonts w:ascii="Arial" w:cs="Arial" w:eastAsia="Arial" w:hAnsi="Arial"/>
          <w:sz w:val="16"/>
          <w:szCs w:val="16"/>
          <w:color w:val="auto"/>
        </w:rPr>
        <w:t>- In May 2020, we issued 90,000 Series F preferred OP units in connection with the acquisition of Forest Springs.</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F preferred OP units have a stated issuance price of $100.00 per OP unit and carry a preferred return of 3.0 percent. Subject to certain limitations, at any time after the Series F issuance date, each Series F preferred OP unit can be exchanged for a number of shares of our common stock equal to the quotient obtained by dividing $100.00 by $160.00 (as such ratio is subject to adjustments for certain capital events) at the holder's option. Each holder may require redemption in cash after the fifth anniversary of the Series F issuance date or upon the holder's death. As of March 31, 2021, 90,000 Series F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Interests - NG Sun Whitewater LLC </w:t>
      </w:r>
      <w:r>
        <w:rPr>
          <w:rFonts w:ascii="Arial" w:cs="Arial" w:eastAsia="Arial" w:hAnsi="Arial"/>
          <w:sz w:val="17"/>
          <w:szCs w:val="17"/>
          <w:color w:val="auto"/>
        </w:rPr>
        <w:t>- In August 2019, in connection with the investment in land at the property known as Whitewater, NG Sun</w:t>
      </w:r>
      <w:r>
        <w:rPr>
          <w:rFonts w:ascii="Arial" w:cs="Arial" w:eastAsia="Arial" w:hAnsi="Arial"/>
          <w:sz w:val="17"/>
          <w:szCs w:val="17"/>
          <w:i w:val="1"/>
          <w:iCs w:val="1"/>
          <w:color w:val="auto"/>
        </w:rPr>
        <w:t xml:space="preserve"> </w:t>
      </w:r>
      <w:r>
        <w:rPr>
          <w:rFonts w:ascii="Arial" w:cs="Arial" w:eastAsia="Arial" w:hAnsi="Arial"/>
          <w:sz w:val="17"/>
          <w:szCs w:val="17"/>
          <w:color w:val="auto"/>
        </w:rPr>
        <w:t>Whitewater LLC purchased $2.4 million of common equity interest in Sun NG Whitewater RV Resorts LLC (referred to as "Equity Interests - NG Sun Whitewater LLC"). The Equity Interests - NG Sun Whitewater LLC does not have a fixed maturity date. Upon the occurrence of certain events, either NG Sun Whitewater LLC or Sun NG LLC, our subsidiary, can trigger a process under which we may be required to purchase the Equity Interests - NG Sun Whitewater LLC from NG Sun Whitewater LLC. The Equity Interests - NG Sun Whitewater LLC balance was $5.1 million at the three months ended March 31, 2021 and year ended December 31, 2020. Refer to Note 7, "Consolidated Variable Interest Entities," for additional information.</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Issuance of Series D Preferred OP Units </w:t>
      </w:r>
      <w:r>
        <w:rPr>
          <w:rFonts w:ascii="Arial" w:cs="Arial" w:eastAsia="Arial" w:hAnsi="Arial"/>
          <w:sz w:val="16"/>
          <w:szCs w:val="16"/>
          <w:color w:val="auto"/>
        </w:rPr>
        <w:t>- In February 2019, we issued 488,958 Series D preferred OP units in connection with the acquisition of Country</w:t>
      </w:r>
      <w:r>
        <w:rPr>
          <w:rFonts w:ascii="Arial" w:cs="Arial" w:eastAsia="Arial" w:hAnsi="Arial"/>
          <w:sz w:val="16"/>
          <w:szCs w:val="16"/>
          <w:i w:val="1"/>
          <w:iCs w:val="1"/>
          <w:color w:val="auto"/>
        </w:rPr>
        <w:t xml:space="preserve"> </w:t>
      </w:r>
      <w:r>
        <w:rPr>
          <w:rFonts w:ascii="Arial" w:cs="Arial" w:eastAsia="Arial" w:hAnsi="Arial"/>
          <w:sz w:val="16"/>
          <w:szCs w:val="16"/>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our common stock equal to the quotient obtained by dividing $100.00 by $125.00 (as such ratio is subject to adjustments for certain capital events) at the holder's option. The holders may require redemption in cash after the fifth anniversary of the Series D issuance date or upon the holder's death. As of March 31, 2021, 488,958 Series D preferred OP units were outstanding. Refer to Note 3, "Real Estate Acquisitions and Dispositions,"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Equity Interests - NG Sun LLC </w:t>
      </w:r>
      <w:r>
        <w:rPr>
          <w:rFonts w:ascii="Arial" w:cs="Arial" w:eastAsia="Arial" w:hAnsi="Arial"/>
          <w:sz w:val="17"/>
          <w:szCs w:val="17"/>
          <w:color w:val="auto"/>
        </w:rPr>
        <w:t>- In June 2018, in connection with the investment in Sun NG Resorts, unrelated third parties purchased $6.5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preferred equity interests and $15.4 million of common equity interest in Sun NG Resorts (herein jointly referred to as "Equity Interest - NG Sun LLC"). In April and September 2020, in connection with the acquisitions of Glen Ellis RV Park and Lone Star RV Park,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percent. The Equity Interests - NG Sun LLC does not have a fixed maturity date and can be redeemed in the fourth quarters of 2024, 2025 and 2026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we are required to purchase the remaining interests of NG Sun LLC and the property management agreement at fair value. Refer to Note 7, "Consolidated Variable Interest Entities," and Note 8, "Debt and Lines of Credit,"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Conversions to Common Stock </w:t>
      </w:r>
      <w:r>
        <w:rPr>
          <w:rFonts w:ascii="Arial" w:cs="Arial" w:eastAsia="Arial" w:hAnsi="Arial"/>
          <w:sz w:val="18"/>
          <w:szCs w:val="18"/>
          <w:color w:val="auto"/>
        </w:rPr>
        <w:t>- Subject to certain limitations, holders can convert certain series of stock and OP units 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Below is the activity of conversions during the three months ended March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ind w:left="620"/>
              <w:spacing w:after="0"/>
              <w:rPr>
                <w:sz w:val="20"/>
                <w:szCs w:val="20"/>
                <w:color w:val="auto"/>
              </w:rPr>
            </w:pPr>
            <w:r>
              <w:rPr>
                <w:rFonts w:ascii="Arial" w:cs="Arial" w:eastAsia="Arial" w:hAnsi="Arial"/>
                <w:sz w:val="15"/>
                <w:szCs w:val="15"/>
                <w:b w:val="1"/>
                <w:bCs w:val="1"/>
                <w:color w:val="auto"/>
              </w:rPr>
              <w:t>Three Months Ended</w:t>
            </w:r>
          </w:p>
        </w:tc>
        <w:tc>
          <w:tcPr>
            <w:tcW w:w="2680" w:type="dxa"/>
            <w:vAlign w:val="bottom"/>
            <w:gridSpan w:val="2"/>
          </w:tcPr>
          <w:p>
            <w:pPr>
              <w:jc w:val="right"/>
              <w:ind w:right="56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auto"/>
            </w:tcBorders>
            <w:gridSpan w:val="2"/>
          </w:tcPr>
          <w:p>
            <w:pPr>
              <w:jc w:val="right"/>
              <w:ind w:right="744"/>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764"/>
              <w:spacing w:after="0"/>
              <w:rPr>
                <w:sz w:val="20"/>
                <w:szCs w:val="20"/>
                <w:color w:val="auto"/>
              </w:rPr>
            </w:pPr>
            <w:r>
              <w:rPr>
                <w:rFonts w:ascii="Arial" w:cs="Arial" w:eastAsia="Arial" w:hAnsi="Arial"/>
                <w:sz w:val="15"/>
                <w:szCs w:val="15"/>
                <w:b w:val="1"/>
                <w:bCs w:val="1"/>
                <w:color w:val="auto"/>
              </w:rPr>
              <w:t>March 31, 2020</w:t>
            </w:r>
          </w:p>
        </w:tc>
        <w:tc>
          <w:tcPr>
            <w:tcW w:w="0" w:type="dxa"/>
            <w:vAlign w:val="bottom"/>
          </w:tcPr>
          <w:p>
            <w:pPr>
              <w:spacing w:after="0"/>
              <w:rPr>
                <w:sz w:val="1"/>
                <w:szCs w:val="1"/>
                <w:color w:val="auto"/>
              </w:rPr>
            </w:pPr>
          </w:p>
        </w:tc>
      </w:tr>
      <w:tr>
        <w:trPr>
          <w:trHeight w:val="146"/>
        </w:trPr>
        <w:tc>
          <w:tcPr>
            <w:tcW w:w="42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Series</w:t>
            </w:r>
          </w:p>
        </w:tc>
        <w:tc>
          <w:tcPr>
            <w:tcW w:w="100" w:type="dxa"/>
            <w:vAlign w:val="bottom"/>
            <w:vMerge w:val="restart"/>
          </w:tcPr>
          <w:p>
            <w:pPr>
              <w:spacing w:after="0"/>
              <w:rPr>
                <w:sz w:val="12"/>
                <w:szCs w:val="12"/>
                <w:color w:val="auto"/>
              </w:rPr>
            </w:pPr>
          </w:p>
        </w:tc>
        <w:tc>
          <w:tcPr>
            <w:tcW w:w="13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Conversion Rate</w:t>
            </w:r>
          </w:p>
        </w:tc>
        <w:tc>
          <w:tcPr>
            <w:tcW w:w="120" w:type="dxa"/>
            <w:vAlign w:val="bottom"/>
            <w:vMerge w:val="restart"/>
          </w:tcPr>
          <w:p>
            <w:pPr>
              <w:spacing w:after="0"/>
              <w:rPr>
                <w:sz w:val="12"/>
                <w:szCs w:val="12"/>
                <w:color w:val="auto"/>
              </w:rPr>
            </w:pPr>
          </w:p>
        </w:tc>
        <w:tc>
          <w:tcPr>
            <w:tcW w:w="1340" w:type="dxa"/>
            <w:vAlign w:val="bottom"/>
          </w:tcPr>
          <w:p>
            <w:pPr>
              <w:jc w:val="right"/>
              <w:ind w:right="164"/>
              <w:spacing w:after="0" w:line="146" w:lineRule="exact"/>
              <w:rPr>
                <w:sz w:val="20"/>
                <w:szCs w:val="20"/>
                <w:color w:val="auto"/>
              </w:rPr>
            </w:pPr>
            <w:r>
              <w:rPr>
                <w:rFonts w:ascii="Arial" w:cs="Arial" w:eastAsia="Arial" w:hAnsi="Arial"/>
                <w:sz w:val="15"/>
                <w:szCs w:val="15"/>
                <w:b w:val="1"/>
                <w:bCs w:val="1"/>
                <w:color w:val="auto"/>
              </w:rPr>
              <w:t>Units / Shares</w:t>
            </w:r>
          </w:p>
        </w:tc>
        <w:tc>
          <w:tcPr>
            <w:tcW w:w="13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3"/>
              </w:rPr>
              <w:t>Common Stock</w:t>
            </w:r>
            <w:r>
              <w:rPr>
                <w:rFonts w:ascii="Arial" w:cs="Arial" w:eastAsia="Arial" w:hAnsi="Arial"/>
                <w:sz w:val="19"/>
                <w:szCs w:val="19"/>
                <w:b w:val="1"/>
                <w:bCs w:val="1"/>
                <w:color w:val="auto"/>
                <w:w w:val="93"/>
                <w:vertAlign w:val="superscript"/>
              </w:rPr>
              <w:t>(1)</w:t>
            </w:r>
          </w:p>
        </w:tc>
        <w:tc>
          <w:tcPr>
            <w:tcW w:w="100" w:type="dxa"/>
            <w:vAlign w:val="bottom"/>
            <w:vMerge w:val="restart"/>
          </w:tcPr>
          <w:p>
            <w:pPr>
              <w:spacing w:after="0"/>
              <w:rPr>
                <w:sz w:val="12"/>
                <w:szCs w:val="12"/>
                <w:color w:val="auto"/>
              </w:rPr>
            </w:pPr>
          </w:p>
        </w:tc>
        <w:tc>
          <w:tcPr>
            <w:tcW w:w="1360" w:type="dxa"/>
            <w:vAlign w:val="bottom"/>
          </w:tcPr>
          <w:p>
            <w:pPr>
              <w:jc w:val="right"/>
              <w:ind w:right="164"/>
              <w:spacing w:after="0" w:line="146" w:lineRule="exact"/>
              <w:rPr>
                <w:sz w:val="20"/>
                <w:szCs w:val="20"/>
                <w:color w:val="auto"/>
              </w:rPr>
            </w:pPr>
            <w:r>
              <w:rPr>
                <w:rFonts w:ascii="Arial" w:cs="Arial" w:eastAsia="Arial" w:hAnsi="Arial"/>
                <w:sz w:val="15"/>
                <w:szCs w:val="15"/>
                <w:b w:val="1"/>
                <w:bCs w:val="1"/>
                <w:color w:val="auto"/>
              </w:rPr>
              <w:t>Units / Shares</w:t>
            </w: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5"/>
              </w:rPr>
              <w:t>Common Stock</w:t>
            </w:r>
            <w:r>
              <w:rPr>
                <w:rFonts w:ascii="Arial" w:cs="Arial" w:eastAsia="Arial" w:hAnsi="Arial"/>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Converted</w:t>
            </w: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Converted</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24,912</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11,949</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11,949</w:t>
            </w:r>
          </w:p>
        </w:tc>
        <w:tc>
          <w:tcPr>
            <w:tcW w:w="0" w:type="dxa"/>
            <w:vAlign w:val="bottom"/>
          </w:tcPr>
          <w:p>
            <w:pPr>
              <w:spacing w:after="0"/>
              <w:rPr>
                <w:sz w:val="1"/>
                <w:szCs w:val="1"/>
                <w:color w:val="auto"/>
              </w:rPr>
            </w:pPr>
          </w:p>
        </w:tc>
      </w:tr>
      <w:tr>
        <w:trPr>
          <w:trHeight w:val="194"/>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w:t>
            </w:r>
          </w:p>
        </w:tc>
        <w:tc>
          <w:tcPr>
            <w:tcW w:w="1320" w:type="dxa"/>
            <w:vAlign w:val="bottom"/>
          </w:tcPr>
          <w:p>
            <w:pPr>
              <w:jc w:val="right"/>
              <w:spacing w:after="0"/>
              <w:rPr>
                <w:sz w:val="20"/>
                <w:szCs w:val="20"/>
                <w:color w:val="auto"/>
              </w:rPr>
            </w:pPr>
            <w:r>
              <w:rPr>
                <w:rFonts w:ascii="Arial" w:cs="Arial" w:eastAsia="Arial" w:hAnsi="Arial"/>
                <w:sz w:val="15"/>
                <w:szCs w:val="15"/>
                <w:color w:val="auto"/>
              </w:rPr>
              <w:t>2.4390</w:t>
            </w:r>
          </w:p>
        </w:tc>
        <w:tc>
          <w:tcPr>
            <w:tcW w:w="12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4,316</w:t>
            </w:r>
          </w:p>
        </w:tc>
        <w:tc>
          <w:tcPr>
            <w:tcW w:w="1300" w:type="dxa"/>
            <w:vAlign w:val="bottom"/>
          </w:tcPr>
          <w:p>
            <w:pPr>
              <w:jc w:val="right"/>
              <w:spacing w:after="0"/>
              <w:rPr>
                <w:sz w:val="20"/>
                <w:szCs w:val="20"/>
                <w:color w:val="auto"/>
              </w:rPr>
            </w:pPr>
            <w:r>
              <w:rPr>
                <w:rFonts w:ascii="Arial" w:cs="Arial" w:eastAsia="Arial" w:hAnsi="Arial"/>
                <w:sz w:val="15"/>
                <w:szCs w:val="15"/>
                <w:color w:val="auto"/>
              </w:rPr>
              <w:t>10,525</w:t>
            </w:r>
          </w:p>
        </w:tc>
        <w:tc>
          <w:tcPr>
            <w:tcW w:w="100" w:type="dxa"/>
            <w:vAlign w:val="bottom"/>
          </w:tcPr>
          <w:p>
            <w:pPr>
              <w:spacing w:after="0"/>
              <w:rPr>
                <w:sz w:val="16"/>
                <w:szCs w:val="16"/>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6,677</w:t>
            </w:r>
          </w:p>
        </w:tc>
        <w:tc>
          <w:tcPr>
            <w:tcW w:w="1320" w:type="dxa"/>
            <w:vAlign w:val="bottom"/>
          </w:tcPr>
          <w:p>
            <w:pPr>
              <w:jc w:val="right"/>
              <w:spacing w:after="0"/>
              <w:rPr>
                <w:sz w:val="20"/>
                <w:szCs w:val="20"/>
                <w:color w:val="auto"/>
              </w:rPr>
            </w:pPr>
            <w:r>
              <w:rPr>
                <w:rFonts w:ascii="Arial" w:cs="Arial" w:eastAsia="Arial" w:hAnsi="Arial"/>
                <w:sz w:val="15"/>
                <w:szCs w:val="15"/>
                <w:color w:val="auto"/>
              </w:rPr>
              <w:t>16,283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Calculation may yield minor differences due to rounding incorporated in the above numbers.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March 31, 2021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Distributions</w:t>
            </w:r>
          </w:p>
        </w:tc>
        <w:tc>
          <w:tcPr>
            <w:tcW w:w="100" w:type="dxa"/>
            <w:vAlign w:val="bottom"/>
            <w:vMerge w:val="restart"/>
          </w:tcPr>
          <w:p>
            <w:pPr>
              <w:spacing w:after="0"/>
              <w:rPr>
                <w:sz w:val="15"/>
                <w:szCs w:val="15"/>
                <w:color w:val="auto"/>
              </w:rPr>
            </w:pPr>
          </w:p>
        </w:tc>
        <w:tc>
          <w:tcPr>
            <w:tcW w:w="148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Record Date</w:t>
            </w:r>
          </w:p>
        </w:tc>
        <w:tc>
          <w:tcPr>
            <w:tcW w:w="100" w:type="dxa"/>
            <w:vAlign w:val="bottom"/>
            <w:vMerge w:val="restart"/>
          </w:tcPr>
          <w:p>
            <w:pPr>
              <w:spacing w:after="0"/>
              <w:rPr>
                <w:sz w:val="15"/>
                <w:szCs w:val="15"/>
                <w:color w:val="auto"/>
              </w:rPr>
            </w:pPr>
          </w:p>
        </w:tc>
        <w:tc>
          <w:tcPr>
            <w:tcW w:w="148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Payment Date</w:t>
            </w:r>
          </w:p>
        </w:tc>
        <w:tc>
          <w:tcPr>
            <w:tcW w:w="10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Distribution Per</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Total Distribution (in</w:t>
            </w:r>
          </w:p>
        </w:tc>
        <w:tc>
          <w:tcPr>
            <w:tcW w:w="0" w:type="dxa"/>
            <w:vAlign w:val="bottom"/>
          </w:tcPr>
          <w:p>
            <w:pPr>
              <w:spacing w:after="0"/>
              <w:rPr>
                <w:sz w:val="1"/>
                <w:szCs w:val="1"/>
                <w:color w:val="auto"/>
              </w:rPr>
            </w:pPr>
          </w:p>
        </w:tc>
      </w:tr>
      <w:tr>
        <w:trPr>
          <w:trHeight w:val="200"/>
        </w:trPr>
        <w:tc>
          <w:tcPr>
            <w:tcW w:w="4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89"/>
              </w:rPr>
              <w:t>Thousands)</w:t>
            </w:r>
          </w:p>
        </w:tc>
        <w:tc>
          <w:tcPr>
            <w:tcW w:w="0" w:type="dxa"/>
            <w:vAlign w:val="bottom"/>
          </w:tcPr>
          <w:p>
            <w:pPr>
              <w:spacing w:after="0"/>
              <w:rPr>
                <w:sz w:val="1"/>
                <w:szCs w:val="1"/>
                <w:color w:val="auto"/>
              </w:rPr>
            </w:pPr>
          </w:p>
        </w:tc>
      </w:tr>
      <w:tr>
        <w:trPr>
          <w:trHeight w:val="19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Stock, Common OP units and Restricted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3/31/2021</w:t>
            </w:r>
          </w:p>
        </w:tc>
        <w:tc>
          <w:tcPr>
            <w:tcW w:w="10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4/15/2021  $</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31, 2021,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and 2020, shares were granted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5"/>
                <w:szCs w:val="15"/>
                <w:b w:val="1"/>
                <w:bCs w:val="1"/>
                <w:color w:val="auto"/>
                <w:w w:val="96"/>
              </w:rPr>
              <w:t>Grant Date</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Vesting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4"/>
              </w:rPr>
              <w:t>Grant Period</w:t>
            </w:r>
          </w:p>
        </w:tc>
        <w:tc>
          <w:tcPr>
            <w:tcW w:w="100" w:type="dxa"/>
            <w:vAlign w:val="bottom"/>
            <w:vMerge w:val="restart"/>
          </w:tcPr>
          <w:p>
            <w:pPr>
              <w:spacing w:after="0"/>
              <w:rPr>
                <w:sz w:val="12"/>
                <w:szCs w:val="12"/>
                <w:color w:val="auto"/>
              </w:rPr>
            </w:pPr>
          </w:p>
        </w:tc>
        <w:tc>
          <w:tcPr>
            <w:tcW w:w="1420" w:type="dxa"/>
            <w:vAlign w:val="bottom"/>
            <w:vMerge w:val="restart"/>
          </w:tcPr>
          <w:p>
            <w:pPr>
              <w:ind w:left="54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Plan</w:t>
            </w:r>
          </w:p>
        </w:tc>
        <w:tc>
          <w:tcPr>
            <w:tcW w:w="12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5"/>
              </w:rPr>
              <w:t>Fair Value Per</w:t>
            </w:r>
          </w:p>
        </w:tc>
        <w:tc>
          <w:tcPr>
            <w:tcW w:w="280" w:type="dxa"/>
            <w:vAlign w:val="bottom"/>
          </w:tcPr>
          <w:p>
            <w:pPr>
              <w:spacing w:after="0"/>
              <w:rPr>
                <w:sz w:val="12"/>
                <w:szCs w:val="12"/>
                <w:color w:val="auto"/>
              </w:rPr>
            </w:pPr>
          </w:p>
        </w:tc>
        <w:tc>
          <w:tcPr>
            <w:tcW w:w="14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Vesting Type</w:t>
            </w:r>
          </w:p>
        </w:tc>
        <w:tc>
          <w:tcPr>
            <w:tcW w:w="140" w:type="dxa"/>
            <w:vAlign w:val="bottom"/>
            <w:vMerge w:val="restart"/>
          </w:tcPr>
          <w:p>
            <w:pPr>
              <w:spacing w:after="0"/>
              <w:rPr>
                <w:sz w:val="12"/>
                <w:szCs w:val="12"/>
                <w:color w:val="auto"/>
              </w:rPr>
            </w:pPr>
          </w:p>
        </w:tc>
        <w:tc>
          <w:tcPr>
            <w:tcW w:w="1180" w:type="dxa"/>
            <w:vAlign w:val="bottom"/>
            <w:vMerge w:val="continue"/>
          </w:tcPr>
          <w:p>
            <w:pPr>
              <w:spacing w:after="0"/>
              <w:rPr>
                <w:sz w:val="12"/>
                <w:szCs w:val="12"/>
                <w:color w:val="auto"/>
              </w:rPr>
            </w:pPr>
          </w:p>
        </w:tc>
        <w:tc>
          <w:tcPr>
            <w:tcW w:w="11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200"/>
        </w:trPr>
        <w:tc>
          <w:tcPr>
            <w:tcW w:w="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Granted</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Anniversary</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3"/>
                <w:szCs w:val="13"/>
                <w:color w:val="auto"/>
              </w:rPr>
            </w:pPr>
          </w:p>
        </w:tc>
        <w:tc>
          <w:tcPr>
            <w:tcW w:w="152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line="156" w:lineRule="exact"/>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line="156" w:lineRule="exact"/>
              <w:rPr>
                <w:sz w:val="20"/>
                <w:szCs w:val="20"/>
                <w:color w:val="auto"/>
              </w:rPr>
            </w:pPr>
            <w:r>
              <w:rPr>
                <w:rFonts w:ascii="Arial" w:cs="Arial" w:eastAsia="Arial" w:hAnsi="Arial"/>
                <w:sz w:val="15"/>
                <w:szCs w:val="15"/>
                <w:color w:val="auto"/>
              </w:rPr>
              <w:t>54,000</w:t>
            </w:r>
          </w:p>
        </w:tc>
        <w:tc>
          <w:tcPr>
            <w:tcW w:w="28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line="156" w:lineRule="exact"/>
              <w:rPr>
                <w:sz w:val="20"/>
                <w:szCs w:val="20"/>
                <w:color w:val="auto"/>
              </w:rPr>
            </w:pPr>
            <w:r>
              <w:rPr>
                <w:rFonts w:ascii="Arial" w:cs="Arial" w:eastAsia="Arial" w:hAnsi="Arial"/>
                <w:sz w:val="15"/>
                <w:szCs w:val="15"/>
                <w:color w:val="auto"/>
              </w:rPr>
              <w:t>151.89</w:t>
            </w:r>
          </w:p>
        </w:tc>
        <w:tc>
          <w:tcPr>
            <w:tcW w:w="280" w:type="dxa"/>
            <w:vAlign w:val="bottom"/>
            <w:vMerge w:val="continue"/>
          </w:tcPr>
          <w:p>
            <w:pPr>
              <w:spacing w:after="0"/>
              <w:rPr>
                <w:sz w:val="13"/>
                <w:szCs w:val="13"/>
                <w:color w:val="auto"/>
              </w:rPr>
            </w:pPr>
          </w:p>
        </w:tc>
        <w:tc>
          <w:tcPr>
            <w:tcW w:w="156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line="156" w:lineRule="exact"/>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81,000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99.49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151.89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33.3% annually over 3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99.49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(3)</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28,856</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151.89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33.3% annually over 3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61,550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143.28</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3,400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147.19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96.41</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(4)</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1"/>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1,509</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147.19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40" w:type="dxa"/>
            <w:vAlign w:val="bottom"/>
          </w:tcPr>
          <w:p>
            <w:pPr>
              <w:jc w:val="center"/>
              <w:spacing w:after="0" w:line="157" w:lineRule="exact"/>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3"/>
                <w:szCs w:val="13"/>
                <w:color w:val="auto"/>
              </w:rPr>
            </w:pPr>
          </w:p>
        </w:tc>
        <w:tc>
          <w:tcPr>
            <w:tcW w:w="152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line="157" w:lineRule="exact"/>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line="157" w:lineRule="exact"/>
              <w:rPr>
                <w:sz w:val="20"/>
                <w:szCs w:val="20"/>
                <w:color w:val="auto"/>
              </w:rPr>
            </w:pPr>
            <w:r>
              <w:rPr>
                <w:rFonts w:ascii="Arial" w:cs="Arial" w:eastAsia="Arial" w:hAnsi="Arial"/>
                <w:sz w:val="15"/>
                <w:szCs w:val="15"/>
                <w:color w:val="auto"/>
              </w:rPr>
              <w:t>10,200</w:t>
            </w:r>
          </w:p>
        </w:tc>
        <w:tc>
          <w:tcPr>
            <w:tcW w:w="28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line="157" w:lineRule="exact"/>
              <w:rPr>
                <w:sz w:val="20"/>
                <w:szCs w:val="20"/>
                <w:color w:val="auto"/>
              </w:rPr>
            </w:pPr>
            <w:r>
              <w:rPr>
                <w:rFonts w:ascii="Arial" w:cs="Arial" w:eastAsia="Arial" w:hAnsi="Arial"/>
                <w:sz w:val="15"/>
                <w:szCs w:val="15"/>
                <w:color w:val="auto"/>
              </w:rPr>
              <w:t>148.44</w:t>
            </w:r>
          </w:p>
        </w:tc>
        <w:tc>
          <w:tcPr>
            <w:tcW w:w="280" w:type="dxa"/>
            <w:vAlign w:val="bottom"/>
            <w:vMerge w:val="continue"/>
          </w:tcPr>
          <w:p>
            <w:pPr>
              <w:spacing w:after="0"/>
              <w:rPr>
                <w:sz w:val="13"/>
                <w:szCs w:val="13"/>
                <w:color w:val="auto"/>
              </w:rPr>
            </w:pPr>
          </w:p>
        </w:tc>
        <w:tc>
          <w:tcPr>
            <w:tcW w:w="156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line="157" w:lineRule="exact"/>
              <w:rPr>
                <w:sz w:val="20"/>
                <w:szCs w:val="20"/>
                <w:color w:val="auto"/>
              </w:rPr>
            </w:pPr>
            <w:r>
              <w:rPr>
                <w:rFonts w:ascii="Arial" w:cs="Arial" w:eastAsia="Arial" w:hAnsi="Arial"/>
                <w:sz w:val="15"/>
                <w:szCs w:val="15"/>
                <w:color w:val="auto"/>
              </w:rPr>
              <w:t>3rd</w:t>
            </w:r>
          </w:p>
        </w:tc>
        <w:tc>
          <w:tcPr>
            <w:tcW w:w="1160" w:type="dxa"/>
            <w:vAlign w:val="bottom"/>
          </w:tcPr>
          <w:p>
            <w:pPr>
              <w:jc w:val="right"/>
              <w:spacing w:after="0" w:line="157" w:lineRule="exact"/>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40" w:type="dxa"/>
            <w:vAlign w:val="bottom"/>
          </w:tcPr>
          <w:p>
            <w:pPr>
              <w:jc w:val="center"/>
              <w:spacing w:after="0" w:line="168" w:lineRule="exact"/>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4"/>
                <w:szCs w:val="14"/>
                <w:color w:val="auto"/>
              </w:rPr>
            </w:pPr>
          </w:p>
        </w:tc>
        <w:tc>
          <w:tcPr>
            <w:tcW w:w="152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line="168" w:lineRule="exact"/>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line="168" w:lineRule="exact"/>
              <w:rPr>
                <w:sz w:val="20"/>
                <w:szCs w:val="20"/>
                <w:color w:val="auto"/>
              </w:rPr>
            </w:pPr>
            <w:r>
              <w:rPr>
                <w:rFonts w:ascii="Arial" w:cs="Arial" w:eastAsia="Arial" w:hAnsi="Arial"/>
                <w:sz w:val="15"/>
                <w:szCs w:val="15"/>
                <w:color w:val="auto"/>
              </w:rPr>
              <w:t>13,873</w:t>
            </w:r>
          </w:p>
        </w:tc>
        <w:tc>
          <w:tcPr>
            <w:tcW w:w="2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line="168" w:lineRule="exact"/>
              <w:rPr>
                <w:sz w:val="20"/>
                <w:szCs w:val="20"/>
                <w:color w:val="auto"/>
              </w:rPr>
            </w:pPr>
            <w:r>
              <w:rPr>
                <w:rFonts w:ascii="Arial" w:cs="Arial" w:eastAsia="Arial" w:hAnsi="Arial"/>
                <w:sz w:val="15"/>
                <w:szCs w:val="15"/>
                <w:color w:val="auto"/>
              </w:rPr>
              <w:t>140.39</w:t>
            </w:r>
          </w:p>
        </w:tc>
        <w:tc>
          <w:tcPr>
            <w:tcW w:w="280" w:type="dxa"/>
            <w:vAlign w:val="bottom"/>
            <w:vMerge w:val="continue"/>
          </w:tcPr>
          <w:p>
            <w:pPr>
              <w:spacing w:after="0"/>
              <w:rPr>
                <w:sz w:val="14"/>
                <w:szCs w:val="14"/>
                <w:color w:val="auto"/>
              </w:rPr>
            </w:pPr>
          </w:p>
        </w:tc>
        <w:tc>
          <w:tcPr>
            <w:tcW w:w="156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line="168" w:lineRule="exact"/>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69,368</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137.63</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143.20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51,790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162.42</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46,000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165.97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69,000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125.47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(5)</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10,200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147.97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-1833245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713232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5"/>
          <w:szCs w:val="15"/>
          <w:color w:val="auto"/>
        </w:rPr>
        <w:t>Option Plan</w:t>
      </w:r>
    </w:p>
    <w:p>
      <w:pPr>
        <w:spacing w:after="0" w:line="82"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fair values of the grants were determined by using the average closing price of our common stock on the dates the shares were issued.</w:t>
      </w:r>
    </w:p>
    <w:p>
      <w:pPr>
        <w:spacing w:after="0" w:line="45" w:lineRule="exact"/>
        <w:rPr>
          <w:rFonts w:ascii="Arial" w:cs="Arial" w:eastAsia="Arial" w:hAnsi="Arial"/>
          <w:sz w:val="18"/>
          <w:szCs w:val="18"/>
          <w:color w:val="auto"/>
          <w:vertAlign w:val="superscript"/>
        </w:rPr>
      </w:pPr>
    </w:p>
    <w:p>
      <w:pPr>
        <w:jc w:val="both"/>
        <w:ind w:left="180" w:hanging="172"/>
        <w:spacing w:after="0" w:line="219"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$151.89. Based on the Monte Carlo simulation we expect 65.5 percent of the 81,000 shares to vest.</w:t>
      </w:r>
    </w:p>
    <w:p>
      <w:pPr>
        <w:spacing w:after="0" w:line="34"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$151.89. Based on the Monte Carlo simulation we expect 65.5 percent of the 15,000 shares to vest.</w:t>
      </w:r>
    </w:p>
    <w:p>
      <w:pPr>
        <w:spacing w:after="0" w:line="35"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$147.19. Based on the Monte Carlo simulation we expect 65.5 percent of the 5,100 shares to vest.</w:t>
      </w:r>
    </w:p>
    <w:p>
      <w:pPr>
        <w:spacing w:after="0" w:line="35"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$165.97. Based on the Monte Carlo simulation we expect 75.6 percent of the 69,000 shares to vest.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requirements for 252,153 and 144,231 restricted shares granted to our executives, directors and employees were satisfied during the three months ended March 31,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1,500 shares of common stock were issued in connection with the exercise of stock options with net proceeds of less than $0.1 million. There were no stock options outstanding as of March 31, 2021. During the three months ended March 31, 2020, no stock options were exercised.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establishes standards for the way the business enterprises report information about operating segments in its financial statements. Effective January 1, 2021, we transitioned from a two-segment to a three-segment structure as a result of the recent acquisition of Safe Harbor and its internal organization. The new structure reflects how the chief operating decision maker manages the business, makes operating decisions, allocates resources and evaluates operating performance. This structure better align our operations with our strategic initiatives. Beginning with the results of the three months ended March 31, 2021, we are reporting our financial results consistent with our new segment structure and have recast prior comparative periods to align with the new segment structure. Our new structure aligns our Company around three reportable segments: (i) Manufactured home ("MH") communities, (ii) Recreational vehicle ("RV") resorts and (iii) Marinas.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MH segment owns, operates, develops, or has an interest in, a portfolio of MH communities and is in the business of acquiring, operating and developing ground up MH communities to provide affordable housing solutions to residents. The MH segment also provides manufactured home sales and leasing services to tenants and prospective tenants of our communities.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RV segment owns, operates, develops, or has an interest in, a portfolio of RV resorts and is in the business of acquiring, operating and developing ground up RV resorts throughout the U.S. and in Canada. It also provides leasing services for vacation rentals within the RV resorts.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Marinas segment owns, operates, has an interest in a portfolio, and develops marinas, and is in the business of acquiring, and operating marinas throughout the U.S. with the majority of such marinas concentrated in coastal regions and others located in various inland regions.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Hybrid properties are classified to a segment based on the predominant site counts at the properties.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280"/>
              <w:spacing w:after="0" w:line="200" w:lineRule="exact"/>
              <w:rPr>
                <w:sz w:val="20"/>
                <w:szCs w:val="20"/>
                <w:color w:val="auto"/>
              </w:rPr>
            </w:pPr>
            <w:r>
              <w:rPr>
                <w:rFonts w:ascii="Arial" w:cs="Arial" w:eastAsia="Arial" w:hAnsi="Arial"/>
                <w:sz w:val="15"/>
                <w:szCs w:val="15"/>
                <w:b w:val="1"/>
                <w:bCs w:val="1"/>
                <w:color w:val="auto"/>
              </w:rPr>
              <w:t>March 31, 2020</w:t>
            </w:r>
            <w:r>
              <w:rPr>
                <w:rFonts w:ascii="Arial" w:cs="Arial" w:eastAsia="Arial" w:hAnsi="Arial"/>
                <w:sz w:val="19"/>
                <w:szCs w:val="19"/>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8"/>
              </w:rPr>
              <w:t>Marinas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Marinas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revenues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245,474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433,424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221,161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82,878</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304,039</w:t>
            </w:r>
          </w:p>
        </w:tc>
        <w:tc>
          <w:tcPr>
            <w:tcW w:w="0" w:type="dxa"/>
            <w:vAlign w:val="bottom"/>
          </w:tcPr>
          <w:p>
            <w:pPr>
              <w:spacing w:after="0"/>
              <w:rPr>
                <w:sz w:val="1"/>
                <w:szCs w:val="1"/>
                <w:color w:val="auto"/>
              </w:rPr>
            </w:pPr>
          </w:p>
        </w:tc>
      </w:tr>
      <w:tr>
        <w:trPr>
          <w:trHeight w:val="20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Property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97,024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51,763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64,195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212,982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85,072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42,659</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127,731</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Operating Income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220,442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40,219</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176,308</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5"/>
                <w:szCs w:val="15"/>
                <w:color w:val="auto"/>
              </w:rPr>
              <w:t>Adjustments to arrive at net income / (loss)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2,350</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w w:val="97"/>
              </w:rPr>
              <w:t>Brokerage commissions and other revenues,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5,960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3,913</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(38,203)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(25,349)</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(2,414)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(606)</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(123,304)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(83,689)</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(39,517)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(32,416)</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6"/>
              </w:rPr>
              <w:t>Interest on mandatorily redeemable preferred OP</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units /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line="149" w:lineRule="exact"/>
              <w:rPr>
                <w:sz w:val="20"/>
                <w:szCs w:val="20"/>
                <w:color w:val="auto"/>
              </w:rPr>
            </w:pPr>
            <w:r>
              <w:rPr>
                <w:rFonts w:ascii="Arial" w:cs="Arial" w:eastAsia="Arial" w:hAnsi="Arial"/>
                <w:sz w:val="15"/>
                <w:szCs w:val="15"/>
                <w:color w:val="auto"/>
              </w:rPr>
              <w:t>(Gain) / loss on remeasurement of marketable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3,661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(28,647)</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securities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 (loss) on foreign currency translation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(17,479)</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Other expense,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(972)</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(Gain) / loss on remeasurement of notes receivable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(2,112)</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line="149" w:lineRule="exact"/>
              <w:rPr>
                <w:sz w:val="20"/>
                <w:szCs w:val="20"/>
                <w:color w:val="auto"/>
              </w:rPr>
            </w:pPr>
            <w:r>
              <w:rPr>
                <w:rFonts w:ascii="Arial" w:cs="Arial" w:eastAsia="Arial" w:hAnsi="Arial"/>
                <w:sz w:val="15"/>
                <w:szCs w:val="15"/>
                <w:color w:val="auto"/>
                <w:w w:val="96"/>
              </w:rPr>
              <w:t>Income from nonconsolidated affiliates (see Note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1,171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Loss on remeasurement of investment in</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(2,191)</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nonconsolidated affiliates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Arial" w:cs="Arial" w:eastAsia="Arial" w:hAnsi="Arial"/>
                <w:sz w:val="15"/>
                <w:szCs w:val="15"/>
                <w:color w:val="auto"/>
              </w:rPr>
              <w:t>Current tax benefit /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benefit (see Note 12)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92"/>
        </w:trPr>
        <w:tc>
          <w:tcPr>
            <w:tcW w:w="3300" w:type="dxa"/>
            <w:vAlign w:val="bottom"/>
          </w:tcPr>
          <w:p>
            <w:pPr>
              <w:ind w:left="140"/>
              <w:spacing w:after="0"/>
              <w:rPr>
                <w:sz w:val="20"/>
                <w:szCs w:val="20"/>
                <w:color w:val="auto"/>
              </w:rPr>
            </w:pPr>
            <w:r>
              <w:rPr>
                <w:rFonts w:ascii="Arial" w:cs="Arial" w:eastAsia="Arial" w:hAnsi="Arial"/>
                <w:sz w:val="15"/>
                <w:szCs w:val="15"/>
                <w:b w:val="1"/>
                <w:bCs w:val="1"/>
                <w:color w:val="auto"/>
              </w:rPr>
              <w:t>Net Income / (Loss)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27,941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w w:val="98"/>
              </w:rPr>
              <w:t>Less: Preferred return to preferred OP units /</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2,864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1,570</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360"/>
              <w:spacing w:after="0" w:line="149" w:lineRule="exact"/>
              <w:rPr>
                <w:sz w:val="20"/>
                <w:szCs w:val="20"/>
                <w:color w:val="auto"/>
              </w:rPr>
            </w:pPr>
            <w:r>
              <w:rPr>
                <w:rFonts w:ascii="Arial" w:cs="Arial" w:eastAsia="Arial" w:hAnsi="Arial"/>
                <w:sz w:val="15"/>
                <w:szCs w:val="15"/>
                <w:color w:val="auto"/>
              </w:rPr>
              <w:t>Less: Income / (Loss) attributable to</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295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(962)</w:t>
            </w:r>
          </w:p>
        </w:tc>
        <w:tc>
          <w:tcPr>
            <w:tcW w:w="0" w:type="dxa"/>
            <w:vAlign w:val="bottom"/>
          </w:tcPr>
          <w:p>
            <w:pPr>
              <w:spacing w:after="0"/>
              <w:rPr>
                <w:sz w:val="1"/>
                <w:szCs w:val="1"/>
                <w:color w:val="auto"/>
              </w:rPr>
            </w:pPr>
          </w:p>
        </w:tc>
      </w:tr>
      <w:tr>
        <w:trPr>
          <w:trHeight w:val="198"/>
        </w:trPr>
        <w:tc>
          <w:tcPr>
            <w:tcW w:w="33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noncontrolling interests</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b w:val="1"/>
                <w:bCs w:val="1"/>
                <w:color w:val="auto"/>
              </w:rPr>
              <w:t>Net Income / (Loss) Attributable to Sun</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24,782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(16,086)</w:t>
            </w:r>
          </w:p>
        </w:tc>
        <w:tc>
          <w:tcPr>
            <w:tcW w:w="0" w:type="dxa"/>
            <w:vAlign w:val="bottom"/>
          </w:tcPr>
          <w:p>
            <w:pPr>
              <w:spacing w:after="0"/>
              <w:rPr>
                <w:sz w:val="1"/>
                <w:szCs w:val="1"/>
                <w:color w:val="auto"/>
              </w:rPr>
            </w:pPr>
          </w:p>
        </w:tc>
      </w:tr>
      <w:tr>
        <w:trPr>
          <w:trHeight w:val="195"/>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Communities, Inc. Common Stockholders</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5"/>
                <w:szCs w:val="15"/>
                <w:b w:val="1"/>
                <w:bCs w:val="1"/>
                <w:color w:val="auto"/>
                <w:w w:val="95"/>
              </w:rPr>
              <w:t>March 31, 2021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200"/>
              <w:spacing w:after="0"/>
              <w:rPr>
                <w:sz w:val="20"/>
                <w:szCs w:val="20"/>
                <w:color w:val="auto"/>
              </w:rPr>
            </w:pPr>
            <w:r>
              <w:rPr>
                <w:rFonts w:ascii="Arial" w:cs="Arial" w:eastAsia="Arial" w:hAnsi="Arial"/>
                <w:sz w:val="15"/>
                <w:szCs w:val="15"/>
                <w:b w:val="1"/>
                <w:bCs w:val="1"/>
                <w:color w:val="auto"/>
              </w:rPr>
              <w:t xml:space="preserve">December 31, 2020 </w:t>
            </w:r>
            <w:r>
              <w:rPr>
                <w:rFonts w:ascii="Arial" w:cs="Arial" w:eastAsia="Arial" w:hAnsi="Arial"/>
                <w:sz w:val="19"/>
                <w:szCs w:val="19"/>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0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0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RV</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0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Investment property, net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4,828,033</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3,187,398</w:t>
            </w:r>
          </w:p>
        </w:tc>
        <w:tc>
          <w:tcPr>
            <w:tcW w:w="8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1,895,719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9,911,150</w:t>
            </w:r>
          </w:p>
        </w:tc>
        <w:tc>
          <w:tcPr>
            <w:tcW w:w="1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4,823,174</w:t>
            </w: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3,038,686</w:t>
            </w:r>
          </w:p>
        </w:tc>
        <w:tc>
          <w:tcPr>
            <w:tcW w:w="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1,853,931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9,715,791</w:t>
            </w: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Cash, cash equivalents and</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71,119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38,695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120,174</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53,152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28,919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10,570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82,781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45,040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127,821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80,776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43,950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Inventory of manufactured homes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43,242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33,448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46,643</w:t>
            </w: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Notes and other receivables, net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149,187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56,264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43,558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249,009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144,027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44,002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33,621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221,650</w:t>
            </w: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438,842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438,842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428,833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428,833</w:t>
            </w: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Other intangible assets, net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31,762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24,287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244,505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300,554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33,998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23,819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247,794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305,611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155,201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39,198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69,018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263,417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184,917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38,075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47,699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270,691</w:t>
            </w: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5,348,617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3,403,590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2,702,002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11,454,209</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5,353,492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3,230,646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2,622,448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three months ended March 31,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and depreciation and basis differences between tax and GAAP. Our deferred tax assets that have a full valuation allowance relate to our taxable REIT subsidiaries. Net deferred tax liabilities of $20.4 million and $20.6 million for Canadian entities have been recorded in relation to corporate entities and included in other liabilities in our Consolidated Balance Sheets as of March 31, 2021 and December 31, 2020, respectively. There are no U.S. federal deferred tax assets or liabilities included in our Consolidated Balance Sheets as of March 31, 2021 and December 31, 2020.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March 31, 2021 and 2020. We do not expect significant changes in tax positions that would result in unrecognized tax benefits within one year of March 31,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we recorded a current tax benefit for federal, state, and Canadian income taxes and Australian withholding taxes of $0.2 million. For the three months ended March 31, 2020 we recorded a current tax expense for federal, state and Canadian income taxes of $0.5 million.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2021 and 2020 we recorded a deferred tax benefit of $147.0 thousand and $130.0 thousand,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Earnings per share is computed by dividing net income by the weighted average number of common shares outstanding during the period on a basic and diluted basis. We calculate diluted earnings per share using the more dilutive of the treasury stock method and the two-class method.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until settlement. The common shares issued upon the settlement of the forward equity sales agreements, weighted for the period these common shares are outstanding, are usually included in the denominator of basic EPS. To determine the dilution resulting from the forward equity sales agreements during the period of time prior to settlement, we calculate the number of weighted-average shares outstanding – diluted.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I preferred OP units and Aspen preferred OP Units, which, if converted or exercised, may impact dilution.</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Diluted earnings per share considers the impact of potentially dilutive securities except when the potential common shares have an antidilutive effect. Our unvested restricted stock common shares contain rights to receive non-forfeitable dividends and participate equally with common stock with respect to dividends issued or declared, and thus, are participating securities, requiring the two-class method of computing earnings per share. The two-class method determines earnings per share by dividing the sum of distributed earnings to common stockholders and undistributed earnings allocated to common stockholders by the weighted average number of shares of common stock outstanding for the period. In calculating the two-class method, undistributed earnings are allocated to both common shares and participating securities based on the weighted average number of shares outstanding during the period. The remaining potential dilutive common shares do not contain rights to dividends and are included in the computation of diluted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6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w w:val="99"/>
              </w:rPr>
              <w:t>March 31, 2020</w:t>
            </w:r>
          </w:p>
        </w:tc>
        <w:tc>
          <w:tcPr>
            <w:tcW w:w="0" w:type="dxa"/>
            <w:vAlign w:val="bottom"/>
          </w:tcPr>
          <w:p>
            <w:pPr>
              <w:spacing w:after="0"/>
              <w:rPr>
                <w:sz w:val="1"/>
                <w:szCs w:val="1"/>
                <w:color w:val="auto"/>
              </w:rPr>
            </w:pPr>
          </w:p>
        </w:tc>
      </w:tr>
      <w:tr>
        <w:trPr>
          <w:trHeight w:val="183"/>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 (Loss) Attributable to Sun Communities, Inc. Common Stockholders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(16,086)</w:t>
            </w: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allocation to restricted stock awards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 earnings - Net Income / (Loss) attributable to common stockholders after allocation to restricted stock awards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(15,832)</w:t>
            </w: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Add allocation to restricted stock awards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140"/>
              <w:spacing w:after="0" w:line="200" w:lineRule="exact"/>
              <w:rPr>
                <w:sz w:val="20"/>
                <w:szCs w:val="20"/>
                <w:color w:val="auto"/>
              </w:rPr>
            </w:pPr>
            <w:r>
              <w:rPr>
                <w:rFonts w:ascii="Arial" w:cs="Arial" w:eastAsia="Arial" w:hAnsi="Arial"/>
                <w:sz w:val="15"/>
                <w:szCs w:val="15"/>
                <w:color w:val="auto"/>
              </w:rPr>
              <w:t>Diluted earnings - Net Income / (Loss) attributable to common stockholders after allocation to restricted stock awards</w:t>
            </w:r>
            <w:r>
              <w:rPr>
                <w:rFonts w:ascii="Arial" w:cs="Arial" w:eastAsia="Arial" w:hAnsi="Arial"/>
                <w:sz w:val="19"/>
                <w:szCs w:val="19"/>
                <w:color w:val="auto"/>
                <w:vertAlign w:val="superscript"/>
              </w:rPr>
              <w:t>(1)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2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92,410</w:t>
            </w:r>
          </w:p>
        </w:tc>
        <w:tc>
          <w:tcPr>
            <w:tcW w:w="0" w:type="dxa"/>
            <w:vAlign w:val="bottom"/>
          </w:tcPr>
          <w:p>
            <w:pPr>
              <w:spacing w:after="0"/>
              <w:rPr>
                <w:sz w:val="1"/>
                <w:szCs w:val="1"/>
                <w:color w:val="auto"/>
              </w:rPr>
            </w:pPr>
          </w:p>
        </w:tc>
      </w:tr>
      <w:tr>
        <w:trPr>
          <w:trHeight w:val="198"/>
        </w:trPr>
        <w:tc>
          <w:tcPr>
            <w:tcW w:w="8280" w:type="dxa"/>
            <w:vAlign w:val="bottom"/>
          </w:tcPr>
          <w:p>
            <w:pPr>
              <w:ind w:left="140"/>
              <w:spacing w:after="0"/>
              <w:rPr>
                <w:sz w:val="20"/>
                <w:szCs w:val="20"/>
                <w:color w:val="auto"/>
              </w:rPr>
            </w:pPr>
            <w:r>
              <w:rPr>
                <w:rFonts w:ascii="Arial" w:cs="Arial" w:eastAsia="Arial" w:hAnsi="Arial"/>
                <w:sz w:val="15"/>
                <w:szCs w:val="15"/>
                <w:color w:val="auto"/>
              </w:rPr>
              <w:t>Add: common shares dilutive effect: March 2021 Forward Equity Offering</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dilutive stock options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0"/>
        </w:trPr>
        <w:tc>
          <w:tcPr>
            <w:tcW w:w="8280" w:type="dxa"/>
            <w:vAlign w:val="bottom"/>
          </w:tcPr>
          <w:p>
            <w:pPr>
              <w:ind w:left="140"/>
              <w:spacing w:after="0" w:line="200" w:lineRule="exact"/>
              <w:rPr>
                <w:sz w:val="20"/>
                <w:szCs w:val="20"/>
                <w:color w:val="auto"/>
              </w:rPr>
            </w:pPr>
            <w:r>
              <w:rPr>
                <w:rFonts w:ascii="Arial" w:cs="Arial" w:eastAsia="Arial" w:hAnsi="Arial"/>
                <w:sz w:val="15"/>
                <w:szCs w:val="15"/>
                <w:color w:val="auto"/>
              </w:rPr>
              <w:t>Diluted weighted average common shares and securities</w:t>
            </w:r>
            <w:r>
              <w:rPr>
                <w:rFonts w:ascii="Arial" w:cs="Arial" w:eastAsia="Arial" w:hAnsi="Arial"/>
                <w:sz w:val="19"/>
                <w:szCs w:val="19"/>
                <w:color w:val="auto"/>
                <w:vertAlign w:val="superscript"/>
              </w:rPr>
              <w:t>(1)</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108,161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92,411</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Earnings Per Share Available to Common Stockholders After Allocation</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140"/>
              <w:spacing w:after="0"/>
              <w:rPr>
                <w:sz w:val="20"/>
                <w:szCs w:val="20"/>
                <w:color w:val="auto"/>
              </w:rPr>
            </w:pPr>
            <w:r>
              <w:rPr>
                <w:rFonts w:ascii="Arial" w:cs="Arial" w:eastAsia="Arial" w:hAnsi="Arial"/>
                <w:sz w:val="15"/>
                <w:szCs w:val="15"/>
                <w:color w:val="auto"/>
              </w:rPr>
              <w:t>Basic earnings / (losses) per share</w:t>
            </w: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(0.17)</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Diluted earnings / (losses) per share</w:t>
            </w:r>
            <w:r>
              <w:rPr>
                <w:rFonts w:ascii="Arial" w:cs="Arial" w:eastAsia="Arial" w:hAnsi="Arial"/>
                <w:sz w:val="19"/>
                <w:szCs w:val="19"/>
                <w:color w:val="auto"/>
                <w:vertAlign w:val="superscript"/>
              </w:rPr>
              <w:t>(1)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hanging="172"/>
        <w:spacing w:after="0" w:line="217" w:lineRule="auto"/>
        <w:tabs>
          <w:tab w:leader="none" w:pos="164"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2021 and 2020, diluted earnings per share was calculated using the two-class method as the application of this method resulted in a more dilutive earnings per share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March 31, 2021 and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174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5"/>
              </w:rPr>
              <w:t>As of</w:t>
            </w:r>
          </w:p>
        </w:tc>
        <w:tc>
          <w:tcPr>
            <w:tcW w:w="1300" w:type="dxa"/>
            <w:vAlign w:val="bottom"/>
            <w:tcBorders>
              <w:bottom w:val="single" w:sz="8" w:color="auto"/>
            </w:tcBorders>
          </w:tcPr>
          <w:p>
            <w:pPr>
              <w:spacing w:after="0"/>
              <w:rPr>
                <w:sz w:val="17"/>
                <w:szCs w:val="17"/>
                <w:color w:val="auto"/>
              </w:rPr>
            </w:pPr>
          </w:p>
        </w:tc>
      </w:tr>
      <w:tr>
        <w:trPr>
          <w:trHeight w:val="198"/>
        </w:trPr>
        <w:tc>
          <w:tcPr>
            <w:tcW w:w="8180" w:type="dxa"/>
            <w:vAlign w:val="bottom"/>
          </w:tcPr>
          <w:p>
            <w:pPr>
              <w:spacing w:after="0"/>
              <w:rPr>
                <w:sz w:val="17"/>
                <w:szCs w:val="17"/>
                <w:color w:val="auto"/>
              </w:rPr>
            </w:pPr>
          </w:p>
        </w:tc>
        <w:tc>
          <w:tcPr>
            <w:tcW w:w="1740" w:type="dxa"/>
            <w:vAlign w:val="bottom"/>
            <w:gridSpan w:val="3"/>
          </w:tcPr>
          <w:p>
            <w:pPr>
              <w:ind w:left="240"/>
              <w:spacing w:after="0"/>
              <w:rPr>
                <w:sz w:val="20"/>
                <w:szCs w:val="20"/>
                <w:color w:val="auto"/>
              </w:rPr>
            </w:pPr>
            <w:r>
              <w:rPr>
                <w:rFonts w:ascii="Arial" w:cs="Arial" w:eastAsia="Arial" w:hAnsi="Arial"/>
                <w:sz w:val="15"/>
                <w:szCs w:val="15"/>
                <w:b w:val="1"/>
                <w:bCs w:val="1"/>
                <w:color w:val="auto"/>
              </w:rPr>
              <w:t>March 31, 2021</w:t>
            </w:r>
          </w:p>
        </w:tc>
        <w:tc>
          <w:tcPr>
            <w:tcW w:w="1300" w:type="dxa"/>
            <w:vAlign w:val="bottom"/>
          </w:tcPr>
          <w:p>
            <w:pPr>
              <w:jc w:val="right"/>
              <w:ind w:right="144"/>
              <w:spacing w:after="0"/>
              <w:rPr>
                <w:sz w:val="20"/>
                <w:szCs w:val="20"/>
                <w:color w:val="auto"/>
              </w:rPr>
            </w:pPr>
            <w:r>
              <w:rPr>
                <w:rFonts w:ascii="Arial" w:cs="Arial" w:eastAsia="Arial" w:hAnsi="Arial"/>
                <w:sz w:val="15"/>
                <w:szCs w:val="15"/>
                <w:b w:val="1"/>
                <w:bCs w:val="1"/>
                <w:color w:val="auto"/>
                <w:w w:val="99"/>
              </w:rPr>
              <w:t>March 31, 2020</w:t>
            </w:r>
          </w:p>
        </w:tc>
      </w:tr>
      <w:tr>
        <w:trPr>
          <w:trHeight w:val="198"/>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2,408</w:t>
            </w: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460" w:type="dxa"/>
            <w:vAlign w:val="bottom"/>
          </w:tcPr>
          <w:p>
            <w:pPr>
              <w:jc w:val="right"/>
              <w:spacing w:after="0"/>
              <w:rPr>
                <w:sz w:val="20"/>
                <w:szCs w:val="20"/>
                <w:color w:val="auto"/>
              </w:rPr>
            </w:pPr>
            <w:r>
              <w:rPr>
                <w:rFonts w:ascii="Arial" w:cs="Arial" w:eastAsia="Arial" w:hAnsi="Arial"/>
                <w:sz w:val="15"/>
                <w:szCs w:val="15"/>
                <w:color w:val="auto"/>
              </w:rPr>
              <w:t>716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303</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Aspen preferred OP units</w:t>
            </w:r>
          </w:p>
        </w:tc>
        <w:tc>
          <w:tcPr>
            <w:tcW w:w="1460" w:type="dxa"/>
            <w:vAlign w:val="bottom"/>
          </w:tcPr>
          <w:p>
            <w:pPr>
              <w:jc w:val="right"/>
              <w:spacing w:after="0"/>
              <w:rPr>
                <w:sz w:val="20"/>
                <w:szCs w:val="20"/>
                <w:color w:val="auto"/>
              </w:rPr>
            </w:pPr>
            <w:r>
              <w:rPr>
                <w:rFonts w:ascii="Arial" w:cs="Arial" w:eastAsia="Arial" w:hAnsi="Arial"/>
                <w:sz w:val="15"/>
                <w:szCs w:val="15"/>
                <w:color w:val="auto"/>
              </w:rPr>
              <w:t>406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1,284</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310</w:t>
            </w: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460" w:type="dxa"/>
            <w:vAlign w:val="bottom"/>
          </w:tcPr>
          <w:p>
            <w:pPr>
              <w:jc w:val="right"/>
              <w:spacing w:after="0"/>
              <w:rPr>
                <w:sz w:val="20"/>
                <w:szCs w:val="20"/>
                <w:color w:val="auto"/>
              </w:rPr>
            </w:pPr>
            <w:r>
              <w:rPr>
                <w:rFonts w:ascii="Arial" w:cs="Arial" w:eastAsia="Arial" w:hAnsi="Arial"/>
                <w:sz w:val="15"/>
                <w:szCs w:val="15"/>
                <w:color w:val="auto"/>
              </w:rPr>
              <w:t>391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489</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w:t>
            </w: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Series F preferred OP units</w:t>
            </w:r>
          </w:p>
        </w:tc>
        <w:tc>
          <w:tcPr>
            <w:tcW w:w="1460" w:type="dxa"/>
            <w:vAlign w:val="bottom"/>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Series H preferred OP units</w:t>
            </w:r>
          </w:p>
        </w:tc>
        <w:tc>
          <w:tcPr>
            <w:tcW w:w="1460" w:type="dxa"/>
            <w:vAlign w:val="bottom"/>
          </w:tcPr>
          <w:p>
            <w:pPr>
              <w:jc w:val="right"/>
              <w:spacing w:after="0"/>
              <w:rPr>
                <w:sz w:val="20"/>
                <w:szCs w:val="20"/>
                <w:color w:val="auto"/>
              </w:rPr>
            </w:pPr>
            <w:r>
              <w:rPr>
                <w:rFonts w:ascii="Arial" w:cs="Arial" w:eastAsia="Arial" w:hAnsi="Arial"/>
                <w:sz w:val="15"/>
                <w:szCs w:val="15"/>
                <w:color w:val="auto"/>
              </w:rPr>
              <w:t>355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I preferred OP units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00"/>
        </w:trPr>
        <w:tc>
          <w:tcPr>
            <w:tcW w:w="8180" w:type="dxa"/>
            <w:vAlign w:val="bottom"/>
          </w:tcPr>
          <w:p>
            <w:pPr>
              <w:ind w:left="360"/>
              <w:spacing w:after="0"/>
              <w:rPr>
                <w:sz w:val="20"/>
                <w:szCs w:val="20"/>
                <w:color w:val="auto"/>
              </w:rPr>
            </w:pPr>
            <w:r>
              <w:rPr>
                <w:rFonts w:ascii="Arial" w:cs="Arial" w:eastAsia="Arial" w:hAnsi="Arial"/>
                <w:sz w:val="15"/>
                <w:szCs w:val="15"/>
                <w:b w:val="1"/>
                <w:bCs w:val="1"/>
                <w:color w:val="auto"/>
              </w:rPr>
              <w:t>Total Securities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4,924</w:t>
            </w:r>
          </w:p>
        </w:tc>
      </w:tr>
      <w:tr>
        <w:trPr>
          <w:trHeight w:val="21"/>
        </w:trPr>
        <w:tc>
          <w:tcPr>
            <w:tcW w:w="8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consist primarily of cash, cash equivalents and restricted cash, marketable securities, notes and other receivables, debt, and other liabilities. We utilize fair value measurements to record fair value adjustments to certain assets and liabilities and to determine fair value disclosures, pursuant to FASB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following methods and assumptions were used in order to estimate the fair value of each class of financial instruments for which it is practicable to estimate that value: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by Hierarchy Level</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table below sets forth our financial assets and liabilities (in thousands) that required disclosure of fair value on a recurring basis as of March 31, 2021. The table presents the carrying values and fair values of our financial instruments as of March 31, 2021 and December 31, 2020, that were measured using the valuation techniques described above. The table excludes other financial instruments such as cash and cash equivalents, other receivables and accounts payable as the carrying values associated with these instruments approximate their fair value since their maturities are less than one year.</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20"/>
              <w:spacing w:after="0"/>
              <w:rPr>
                <w:sz w:val="20"/>
                <w:szCs w:val="20"/>
                <w:color w:val="auto"/>
              </w:rPr>
            </w:pPr>
            <w:r>
              <w:rPr>
                <w:rFonts w:ascii="Arial" w:cs="Arial" w:eastAsia="Arial" w:hAnsi="Arial"/>
                <w:sz w:val="15"/>
                <w:szCs w:val="15"/>
                <w:b w:val="1"/>
                <w:bCs w:val="1"/>
                <w:color w:val="auto"/>
              </w:rPr>
              <w:t>As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March 31, 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Arial" w:cs="Arial" w:eastAsia="Arial" w:hAnsi="Arial"/>
                <w:sz w:val="15"/>
                <w:szCs w:val="15"/>
                <w:b w:val="1"/>
                <w:bCs w:val="1"/>
                <w:color w:val="auto"/>
                <w:w w:val="92"/>
              </w:rPr>
              <w:t>Quoted Prices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5"/>
                <w:szCs w:val="15"/>
                <w:b w:val="1"/>
                <w:bCs w:val="1"/>
                <w:color w:val="auto"/>
                <w:w w:val="91"/>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Significant 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140"/>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112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w w:val="98"/>
              </w:rPr>
              <w:t>Carrying Value</w:t>
            </w:r>
          </w:p>
        </w:tc>
        <w:tc>
          <w:tcPr>
            <w:tcW w:w="10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5"/>
                <w:szCs w:val="15"/>
                <w:b w:val="1"/>
                <w:bCs w:val="1"/>
                <w:color w:val="auto"/>
              </w:rPr>
              <w:t>Liabilities</w:t>
            </w:r>
          </w:p>
        </w:tc>
        <w:tc>
          <w:tcPr>
            <w:tcW w:w="40" w:type="dxa"/>
            <w:vAlign w:val="bottom"/>
          </w:tcPr>
          <w:p>
            <w:pPr>
              <w:spacing w:after="0"/>
              <w:rPr>
                <w:sz w:val="12"/>
                <w:szCs w:val="12"/>
                <w:color w:val="auto"/>
              </w:rPr>
            </w:pPr>
          </w:p>
        </w:tc>
        <w:tc>
          <w:tcPr>
            <w:tcW w:w="1440" w:type="dxa"/>
            <w:vAlign w:val="bottom"/>
            <w:gridSpan w:val="5"/>
          </w:tcPr>
          <w:p>
            <w:pPr>
              <w:ind w:left="40"/>
              <w:spacing w:after="0" w:line="149" w:lineRule="exact"/>
              <w:rPr>
                <w:sz w:val="20"/>
                <w:szCs w:val="20"/>
                <w:color w:val="auto"/>
              </w:rPr>
            </w:pPr>
            <w:r>
              <w:rPr>
                <w:rFonts w:ascii="Arial" w:cs="Arial" w:eastAsia="Arial" w:hAnsi="Arial"/>
                <w:sz w:val="15"/>
                <w:szCs w:val="15"/>
                <w:b w:val="1"/>
                <w:bCs w:val="1"/>
                <w:color w:val="auto"/>
              </w:rPr>
              <w:t>Observable 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5"/>
                <w:szCs w:val="15"/>
                <w:b w:val="1"/>
                <w:bCs w:val="1"/>
                <w:color w:val="auto"/>
                <w:w w:val="93"/>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w w:val="97"/>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26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5"/>
              </w:rPr>
              <w:t>(Level 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(Level 2)</w:t>
            </w:r>
          </w:p>
        </w:tc>
        <w:tc>
          <w:tcPr>
            <w:tcW w:w="12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5"/>
              </w:rPr>
              <w:t>(Level 3)</w:t>
            </w:r>
          </w:p>
        </w:tc>
        <w:tc>
          <w:tcPr>
            <w:tcW w:w="12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Marketable securities</w:t>
            </w:r>
          </w:p>
        </w:tc>
        <w:tc>
          <w:tcPr>
            <w:tcW w:w="3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127,821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127,821</w:t>
            </w: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84,109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84,109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84,109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receivable from real estate developers</w:t>
            </w: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58,286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58,286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300" w:type="dxa"/>
            <w:vAlign w:val="bottom"/>
            <w:gridSpan w:val="2"/>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270,216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127,821</w:t>
            </w:r>
          </w:p>
        </w:tc>
        <w:tc>
          <w:tcPr>
            <w:tcW w:w="6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142,395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270,216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w:t>
            </w:r>
          </w:p>
        </w:tc>
        <w:tc>
          <w:tcPr>
            <w:tcW w:w="3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3,500,332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3,500,332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3,428,244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140"/>
              <w:spacing w:after="0"/>
              <w:rPr>
                <w:sz w:val="20"/>
                <w:szCs w:val="20"/>
                <w:color w:val="auto"/>
              </w:rPr>
            </w:pPr>
            <w:r>
              <w:rPr>
                <w:rFonts w:ascii="Arial" w:cs="Arial" w:eastAsia="Arial" w:hAnsi="Arial"/>
                <w:sz w:val="15"/>
                <w:szCs w:val="15"/>
                <w:color w:val="auto"/>
              </w:rPr>
              <w:t>Lines of credit and other debt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917,603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917,603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917,603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liabilities (contingent consideration)</w:t>
            </w: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18,156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18,156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300" w:type="dxa"/>
            <w:vAlign w:val="bottom"/>
            <w:gridSpan w:val="2"/>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4,436,091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3"/>
          </w:tcPr>
          <w:p>
            <w:pPr>
              <w:ind w:left="6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4,417,935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18,156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4,364,003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ind w:left="20"/>
              <w:spacing w:after="0"/>
              <w:rPr>
                <w:sz w:val="20"/>
                <w:szCs w:val="20"/>
                <w:color w:val="auto"/>
              </w:rPr>
            </w:pPr>
            <w:r>
              <w:rPr>
                <w:rFonts w:ascii="Arial" w:cs="Arial" w:eastAsia="Arial" w:hAnsi="Arial"/>
                <w:sz w:val="15"/>
                <w:szCs w:val="15"/>
                <w:b w:val="1"/>
                <w:bCs w:val="1"/>
                <w:color w:val="auto"/>
              </w:rPr>
              <w:t>As of Year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rPr>
              <w:t>December 31, 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Arial" w:cs="Arial" w:eastAsia="Arial" w:hAnsi="Arial"/>
                <w:sz w:val="15"/>
                <w:szCs w:val="15"/>
                <w:b w:val="1"/>
                <w:bCs w:val="1"/>
                <w:color w:val="auto"/>
                <w:w w:val="90"/>
              </w:rPr>
              <w:t>Quoted Prices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1"/>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Significant 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90"/>
              </w:rPr>
              <w:t>Identical Assets and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60" w:type="dxa"/>
            <w:vAlign w:val="bottom"/>
          </w:tcPr>
          <w:p>
            <w:pPr>
              <w:spacing w:after="0"/>
              <w:rPr>
                <w:sz w:val="12"/>
                <w:szCs w:val="12"/>
                <w:color w:val="auto"/>
              </w:rPr>
            </w:pP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5"/>
                <w:szCs w:val="15"/>
                <w:b w:val="1"/>
                <w:bCs w:val="1"/>
                <w:color w:val="auto"/>
              </w:rPr>
              <w:t>Carrying Value</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5"/>
                <w:szCs w:val="15"/>
                <w:b w:val="1"/>
                <w:bCs w:val="1"/>
                <w:color w:val="auto"/>
                <w:w w:val="92"/>
              </w:rPr>
              <w:t>Liabilities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ind w:left="40"/>
              <w:spacing w:after="0" w:line="149" w:lineRule="exact"/>
              <w:rPr>
                <w:sz w:val="20"/>
                <w:szCs w:val="20"/>
                <w:color w:val="auto"/>
              </w:rPr>
            </w:pPr>
            <w:r>
              <w:rPr>
                <w:rFonts w:ascii="Arial" w:cs="Arial" w:eastAsia="Arial" w:hAnsi="Arial"/>
                <w:sz w:val="15"/>
                <w:szCs w:val="15"/>
                <w:b w:val="1"/>
                <w:bCs w:val="1"/>
                <w:color w:val="auto"/>
              </w:rPr>
              <w:t>Observable 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5"/>
                <w:szCs w:val="15"/>
                <w:b w:val="1"/>
                <w:bCs w:val="1"/>
                <w:color w:val="auto"/>
                <w:w w:val="93"/>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26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1"/>
              </w:rPr>
              <w:t>(Level 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rPr>
              <w:t>(Level 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5"/>
              </w:rPr>
              <w:t>(Level 3)</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Marketable securities</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124,726</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124,726</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85,866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85,866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85,866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receivable from real estate developers</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52,638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52,638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52,638</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30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263,230</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124,726</w:t>
            </w:r>
          </w:p>
        </w:tc>
        <w:tc>
          <w:tcPr>
            <w:tcW w:w="200" w:type="dxa"/>
            <w:vAlign w:val="bottom"/>
            <w:gridSpan w:val="3"/>
          </w:tcPr>
          <w:p>
            <w:pPr>
              <w:ind w:left="1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138,504</w:t>
            </w: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263,230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3,514,879</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3,514,879</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3,613,797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140"/>
              <w:spacing w:after="0"/>
              <w:rPr>
                <w:sz w:val="20"/>
                <w:szCs w:val="20"/>
                <w:color w:val="auto"/>
              </w:rPr>
            </w:pPr>
            <w:r>
              <w:rPr>
                <w:rFonts w:ascii="Arial" w:cs="Arial" w:eastAsia="Arial" w:hAnsi="Arial"/>
                <w:sz w:val="15"/>
                <w:szCs w:val="15"/>
                <w:color w:val="auto"/>
              </w:rPr>
              <w:t>Lines of credit and other debt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1,242,197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1,242,197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1,242,197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liabilities (contingent consideration)</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15,842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15,842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15,842</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30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4,772,918</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0" w:type="dxa"/>
            <w:vAlign w:val="bottom"/>
            <w:gridSpan w:val="3"/>
          </w:tcPr>
          <w:p>
            <w:pPr>
              <w:ind w:left="1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4,757,076</w:t>
            </w: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15,842</w:t>
            </w:r>
          </w:p>
        </w:tc>
        <w:tc>
          <w:tcPr>
            <w:tcW w:w="6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4,871,836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Marketable securities held by us and accounted for under the ASC 321 "</w:t>
      </w:r>
      <w:r>
        <w:rPr>
          <w:rFonts w:ascii="Arial" w:cs="Arial" w:eastAsia="Arial" w:hAnsi="Arial"/>
          <w:sz w:val="18"/>
          <w:szCs w:val="18"/>
          <w:i w:val="1"/>
          <w:iCs w:val="1"/>
          <w:color w:val="auto"/>
        </w:rPr>
        <w:t>Investment Equity Securities</w:t>
      </w:r>
      <w:r>
        <w:rPr>
          <w:rFonts w:ascii="Arial" w:cs="Arial" w:eastAsia="Arial" w:hAnsi="Arial"/>
          <w:sz w:val="18"/>
          <w:szCs w:val="18"/>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 (Subtopic 825-10): Recognition and measurement of financial assets and financial liabilities</w:t>
      </w:r>
      <w:r>
        <w:rPr>
          <w:rFonts w:ascii="Arial" w:cs="Arial" w:eastAsia="Arial" w:hAnsi="Arial"/>
          <w:sz w:val="18"/>
          <w:szCs w:val="18"/>
          <w:color w:val="auto"/>
        </w:rPr>
        <w:t>." The fair value is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unadjusted share price which is readily available in active markets (Level 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0"/>
              </w:rPr>
              <w:t>As of</w:t>
            </w:r>
          </w:p>
        </w:tc>
        <w:tc>
          <w:tcPr>
            <w:tcW w:w="200" w:type="dxa"/>
            <w:vAlign w:val="bottom"/>
          </w:tcPr>
          <w:p>
            <w:pPr>
              <w:spacing w:after="0"/>
              <w:rPr>
                <w:sz w:val="17"/>
                <w:szCs w:val="17"/>
                <w:color w:val="auto"/>
              </w:rPr>
            </w:pPr>
          </w:p>
        </w:tc>
        <w:tc>
          <w:tcPr>
            <w:tcW w:w="1660" w:type="dxa"/>
            <w:vAlign w:val="bottom"/>
          </w:tcPr>
          <w:p>
            <w:pPr>
              <w:jc w:val="center"/>
              <w:ind w:right="124"/>
              <w:spacing w:after="0"/>
              <w:rPr>
                <w:sz w:val="20"/>
                <w:szCs w:val="20"/>
                <w:color w:val="auto"/>
              </w:rPr>
            </w:pPr>
            <w:r>
              <w:rPr>
                <w:rFonts w:ascii="Arial" w:cs="Arial" w:eastAsia="Arial" w:hAnsi="Arial"/>
                <w:sz w:val="15"/>
                <w:szCs w:val="15"/>
                <w:b w:val="1"/>
                <w:bCs w:val="1"/>
                <w:color w:val="auto"/>
                <w:w w:val="90"/>
              </w:rPr>
              <w:t>As of</w:t>
            </w:r>
          </w:p>
        </w:tc>
      </w:tr>
      <w:tr>
        <w:trPr>
          <w:trHeight w:val="203"/>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Three Months Ended</w:t>
            </w:r>
          </w:p>
        </w:tc>
        <w:tc>
          <w:tcPr>
            <w:tcW w:w="200" w:type="dxa"/>
            <w:vAlign w:val="bottom"/>
          </w:tcPr>
          <w:p>
            <w:pPr>
              <w:spacing w:after="0"/>
              <w:rPr>
                <w:sz w:val="17"/>
                <w:szCs w:val="17"/>
                <w:color w:val="auto"/>
              </w:rPr>
            </w:pPr>
          </w:p>
        </w:tc>
        <w:tc>
          <w:tcPr>
            <w:tcW w:w="1660" w:type="dxa"/>
            <w:vAlign w:val="bottom"/>
          </w:tcPr>
          <w:p>
            <w:pPr>
              <w:jc w:val="center"/>
              <w:ind w:right="124"/>
              <w:spacing w:after="0"/>
              <w:rPr>
                <w:sz w:val="20"/>
                <w:szCs w:val="20"/>
                <w:color w:val="auto"/>
              </w:rPr>
            </w:pPr>
            <w:r>
              <w:rPr>
                <w:rFonts w:ascii="Arial" w:cs="Arial" w:eastAsia="Arial" w:hAnsi="Arial"/>
                <w:sz w:val="15"/>
                <w:szCs w:val="15"/>
                <w:b w:val="1"/>
                <w:bCs w:val="1"/>
                <w:color w:val="auto"/>
                <w:w w:val="94"/>
              </w:rPr>
              <w:t>Year Ended</w:t>
            </w:r>
          </w:p>
        </w:tc>
      </w:tr>
      <w:tr>
        <w:trPr>
          <w:trHeight w:val="207"/>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March 31, 2021</w:t>
            </w:r>
          </w:p>
        </w:tc>
        <w:tc>
          <w:tcPr>
            <w:tcW w:w="200" w:type="dxa"/>
            <w:vAlign w:val="bottom"/>
          </w:tcPr>
          <w:p>
            <w:pPr>
              <w:spacing w:after="0"/>
              <w:rPr>
                <w:sz w:val="17"/>
                <w:szCs w:val="17"/>
                <w:color w:val="auto"/>
              </w:rPr>
            </w:pPr>
          </w:p>
        </w:tc>
        <w:tc>
          <w:tcPr>
            <w:tcW w:w="1660" w:type="dxa"/>
            <w:vAlign w:val="bottom"/>
          </w:tcPr>
          <w:p>
            <w:pPr>
              <w:jc w:val="center"/>
              <w:ind w:right="124"/>
              <w:spacing w:after="0"/>
              <w:rPr>
                <w:sz w:val="20"/>
                <w:szCs w:val="20"/>
                <w:color w:val="auto"/>
              </w:rPr>
            </w:pPr>
            <w:r>
              <w:rPr>
                <w:rFonts w:ascii="Arial" w:cs="Arial" w:eastAsia="Arial" w:hAnsi="Arial"/>
                <w:sz w:val="15"/>
                <w:szCs w:val="15"/>
                <w:b w:val="1"/>
                <w:bCs w:val="1"/>
                <w:color w:val="auto"/>
                <w:w w:val="90"/>
              </w:rPr>
              <w:t>December 31, 2020</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124,725</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94,727</w:t>
            </w:r>
          </w:p>
        </w:tc>
      </w:tr>
      <w:tr>
        <w:trPr>
          <w:trHeight w:val="198"/>
        </w:trPr>
        <w:tc>
          <w:tcPr>
            <w:tcW w:w="7280" w:type="dxa"/>
            <w:vAlign w:val="bottom"/>
          </w:tcPr>
          <w:p>
            <w:pPr>
              <w:ind w:left="220"/>
              <w:spacing w:after="0"/>
              <w:rPr>
                <w:sz w:val="20"/>
                <w:szCs w:val="20"/>
                <w:color w:val="auto"/>
              </w:rPr>
            </w:pPr>
            <w:r>
              <w:rPr>
                <w:rFonts w:ascii="Arial" w:cs="Arial" w:eastAsia="Arial" w:hAnsi="Arial"/>
                <w:sz w:val="15"/>
                <w:szCs w:val="15"/>
                <w:color w:val="auto"/>
              </w:rPr>
              <w:t>Additional purchase</w:t>
            </w:r>
          </w:p>
        </w:tc>
        <w:tc>
          <w:tcPr>
            <w:tcW w:w="160" w:type="dxa"/>
            <w:vAlign w:val="bottom"/>
          </w:tcPr>
          <w:p>
            <w:pPr>
              <w:spacing w:after="0"/>
              <w:rPr>
                <w:sz w:val="17"/>
                <w:szCs w:val="17"/>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11,757</w:t>
            </w: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measurement</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6,132</w:t>
            </w:r>
          </w:p>
        </w:tc>
      </w:tr>
      <w:tr>
        <w:trPr>
          <w:trHeight w:val="198"/>
        </w:trPr>
        <w:tc>
          <w:tcPr>
            <w:tcW w:w="72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(1,678)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10,138</w:t>
            </w:r>
          </w:p>
        </w:tc>
      </w:tr>
      <w:tr>
        <w:trPr>
          <w:trHeight w:val="203"/>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 reinvestment, net of tax</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1,971</w:t>
            </w:r>
          </w:p>
        </w:tc>
      </w:tr>
      <w:tr>
        <w:trPr>
          <w:trHeight w:val="200"/>
        </w:trPr>
        <w:tc>
          <w:tcPr>
            <w:tcW w:w="728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127,821</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124,725</w:t>
            </w:r>
          </w:p>
        </w:tc>
      </w:tr>
      <w:tr>
        <w:trPr>
          <w:trHeight w:val="20"/>
        </w:trPr>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Notes receivable from real estate developers are recorded at fair value and are measured using primarily unobservable inputs including interest rates and counterparty performance (Level 3). The carrying values of the notes generally approximate their fair market values either due to the nature of the note and</w:t>
      </w:r>
    </w:p>
    <w:p>
      <w:pPr>
        <w:ind w:right="20" w:firstLine="8"/>
        <w:spacing w:after="0" w:line="260" w:lineRule="auto"/>
        <w:tabs>
          <w:tab w:leader="none" w:pos="1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 the note being secured by underlying collateral and / or personal guarantees. Refer to Note 4, "Notes and Other Receivables,"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long-term debt is based on the estimates of management and on rates currently quoted, rates currently prevailing for comparable loans and instruments of comparable maturities (Level 2). Refer to Note 8, "Debt and Lines of Credit," for additional information.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variable rates on our credit facilities and the revolving loans under our senior credit facility and the Safe Harbor credit facility. The fair value of the debt with variable rates approximates carrying value as the interest rates of these amounts approximate market rates. The estimated fair value of our indebtedness as of March 31, 2021, approximated its gross carrying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fair value of our contingent consideration liability based on valuation models using significant unobservable inputs that generally consider discounting of future cash flows using market interest rates and adjusting for non-performance risk over the remaining term of the liability (Level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values of cash and cash equivalents, other receivables and accounts payable approximate their fair market values due to the short-term nature of those instruments. These are classified as Level 1 in the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Reconciliation, Measurements and Transfers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assessment resulted in a net transfer into Level 3 of $138.5 million related to installment notes receivable on manufactured homes and notes from real estate developers during the three months ended March 31, 2021.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Inputs that are used to derive the fair value for installment notes receivables on manufactured homes and notes receivable from real estate developers transferred to Level 3 from Level 2 during the quarter ended March 31, 2021 as significant inputs used to value those instruments inclusive of default rates, interest rates, recovery rates, and counterparty performance rely heavily on internally sourced assumptions as opposed to observable market-based inputs.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changes to our financial instruments carried at fair value and classified within Level 3 of the fair value hierarchy for the three months ended March 31, 2021 (in thousands):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3 beginning balance at December 31,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Transfer to level 3</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Transfer out of level 3</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earnings (loss)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Purchases and issuances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Sales and settlements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adjustments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3 ending balance at March 31, 2021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Installment Notes</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center"/>
              <w:ind w:right="104"/>
              <w:spacing w:after="0"/>
              <w:rPr>
                <w:sz w:val="20"/>
                <w:szCs w:val="20"/>
                <w:color w:val="auto"/>
              </w:rPr>
            </w:pPr>
            <w:r>
              <w:rPr>
                <w:rFonts w:ascii="Arial" w:cs="Arial" w:eastAsia="Arial" w:hAnsi="Arial"/>
                <w:sz w:val="15"/>
                <w:szCs w:val="15"/>
                <w:b w:val="1"/>
                <w:bCs w:val="1"/>
                <w:color w:val="auto"/>
                <w:w w:val="96"/>
              </w:rPr>
              <w:t>Other Liabilities</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9"/>
              </w:rPr>
              <w:t>Receivable on</w:t>
            </w:r>
          </w:p>
        </w:tc>
        <w:tc>
          <w:tcPr>
            <w:tcW w:w="16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91"/>
              </w:rPr>
              <w:t>Notes Receivable From</w:t>
            </w: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5"/>
                <w:szCs w:val="15"/>
                <w:b w:val="1"/>
                <w:bCs w:val="1"/>
                <w:color w:val="auto"/>
                <w:w w:val="93"/>
              </w:rPr>
              <w:t>Manufactured Homes,</w:t>
            </w:r>
          </w:p>
        </w:tc>
        <w:tc>
          <w:tcPr>
            <w:tcW w:w="1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Arial" w:cs="Arial" w:eastAsia="Arial" w:hAnsi="Arial"/>
                <w:sz w:val="15"/>
                <w:szCs w:val="15"/>
                <w:b w:val="1"/>
                <w:bCs w:val="1"/>
                <w:color w:val="auto"/>
                <w:w w:val="92"/>
              </w:rPr>
              <w:t>(Contingent</w:t>
            </w:r>
          </w:p>
        </w:tc>
        <w:tc>
          <w:tcPr>
            <w:tcW w:w="0" w:type="dxa"/>
            <w:vAlign w:val="bottom"/>
          </w:tcPr>
          <w:p>
            <w:pPr>
              <w:spacing w:after="0"/>
              <w:rPr>
                <w:sz w:val="1"/>
                <w:szCs w:val="1"/>
                <w:color w:val="auto"/>
              </w:rPr>
            </w:pPr>
          </w:p>
        </w:tc>
      </w:tr>
      <w:tr>
        <w:trPr>
          <w:trHeight w:val="200"/>
        </w:trPr>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7"/>
              </w:rPr>
              <w:t>net</w:t>
            </w:r>
          </w:p>
        </w:tc>
        <w:tc>
          <w:tcPr>
            <w:tcW w:w="100" w:type="dxa"/>
            <w:vAlign w:val="bottom"/>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Real Estate Developers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2"/>
              </w:rPr>
              <w:t>Consideration)</w:t>
            </w:r>
          </w:p>
        </w:tc>
        <w:tc>
          <w:tcPr>
            <w:tcW w:w="0" w:type="dxa"/>
            <w:vAlign w:val="bottom"/>
          </w:tcPr>
          <w:p>
            <w:pPr>
              <w:spacing w:after="0"/>
              <w:rPr>
                <w:sz w:val="1"/>
                <w:szCs w:val="1"/>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04"/>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15,842</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85,866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52,638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375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3,201</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(3,814)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470</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(958)</w:t>
            </w:r>
          </w:p>
        </w:tc>
        <w:tc>
          <w:tcPr>
            <w:tcW w:w="0" w:type="dxa"/>
            <w:vAlign w:val="bottom"/>
          </w:tcPr>
          <w:p>
            <w:pPr>
              <w:spacing w:after="0"/>
              <w:rPr>
                <w:sz w:val="1"/>
                <w:szCs w:val="1"/>
                <w:color w:val="auto"/>
              </w:rPr>
            </w:pPr>
          </w:p>
        </w:tc>
      </w:tr>
      <w:tr>
        <w:trPr>
          <w:trHeight w:val="19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84,109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58,286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18,156</w:t>
            </w:r>
          </w:p>
        </w:tc>
        <w:tc>
          <w:tcPr>
            <w:tcW w:w="0" w:type="dxa"/>
            <w:vAlign w:val="bottom"/>
          </w:tcPr>
          <w:p>
            <w:pPr>
              <w:spacing w:after="0"/>
              <w:rPr>
                <w:sz w:val="1"/>
                <w:szCs w:val="1"/>
                <w:color w:val="auto"/>
              </w:rPr>
            </w:pPr>
          </w:p>
        </w:tc>
      </w:tr>
      <w:tr>
        <w:trPr>
          <w:trHeight w:val="25"/>
        </w:trPr>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-1079500</wp:posOffset>
            </wp:positionV>
            <wp:extent cx="711517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-814070</wp:posOffset>
            </wp:positionV>
            <wp:extent cx="711517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-556895</wp:posOffset>
            </wp:positionV>
            <wp:extent cx="711517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-299720</wp:posOffset>
            </wp:positionV>
            <wp:extent cx="711517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6" w:right="3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judgement is required in interpreting market data to develop fair value estimates. The fair value estimates are based on information available as of March 31, 2021. As such, our estimates of fair value could differ significantly from the actual carrying value.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land under non-cancelable operating leases at 33 properties expiring at various dates through year 2085. The majority of the leases have terms requiring fixed payments plus additional rents based on a percentage of revenues at those properties. We also have other operating leases, primarily office space and equipment expiring at various dates through 2026.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non-cancellable leases as of the three months ended March 31, 2021 where we are the lessee include: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Liabilities (in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Operating Leases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Finance Leases</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Total</w:t>
            </w:r>
          </w:p>
        </w:tc>
      </w:tr>
      <w:tr>
        <w:trPr>
          <w:trHeight w:val="20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(Excluding three months ended March 31, 2021)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4,087</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4,741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4,954</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4,949</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5,144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4,063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9,207</w:t>
            </w:r>
          </w:p>
        </w:tc>
      </w:tr>
      <w:tr>
        <w:trPr>
          <w:trHeight w:val="206"/>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5,175</w:t>
            </w:r>
          </w:p>
        </w:tc>
      </w:tr>
      <w:tr>
        <w:trPr>
          <w:trHeight w:val="199"/>
        </w:trPr>
        <w:tc>
          <w:tcPr>
            <w:tcW w:w="5840" w:type="dxa"/>
            <w:vAlign w:val="bottom"/>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55,533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55,533</w:t>
            </w:r>
          </w:p>
        </w:tc>
      </w:tr>
      <w:tr>
        <w:trPr>
          <w:trHeight w:val="20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79,243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4,662</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83,905</w:t>
            </w:r>
          </w:p>
        </w:tc>
      </w:tr>
      <w:tr>
        <w:trPr>
          <w:trHeight w:val="198"/>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(32,734)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(33,069)</w:t>
            </w:r>
          </w:p>
        </w:tc>
      </w:tr>
      <w:tr>
        <w:trPr>
          <w:trHeight w:val="225"/>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46,509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50,836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Right-of-use (ROU) assets and lease liabilities for finance and operating leases as included in our Consolidated Balance Sheets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gridSpan w:val="2"/>
            <w:vMerge w:val="restart"/>
          </w:tcPr>
          <w:p>
            <w:pPr>
              <w:ind w:left="2320"/>
              <w:spacing w:after="0"/>
              <w:rPr>
                <w:sz w:val="20"/>
                <w:szCs w:val="20"/>
                <w:color w:val="auto"/>
              </w:rPr>
            </w:pPr>
            <w:r>
              <w:rPr>
                <w:rFonts w:ascii="Arial" w:cs="Arial" w:eastAsia="Arial" w:hAnsi="Arial"/>
                <w:sz w:val="15"/>
                <w:szCs w:val="15"/>
                <w:b w:val="1"/>
                <w:bCs w:val="1"/>
                <w:color w:val="auto"/>
              </w:rPr>
              <w:t>Description</w:t>
            </w:r>
          </w:p>
        </w:tc>
        <w:tc>
          <w:tcPr>
            <w:tcW w:w="2180" w:type="dxa"/>
            <w:vAlign w:val="bottom"/>
            <w:gridSpan w:val="2"/>
          </w:tcPr>
          <w:p>
            <w:pPr>
              <w:ind w:left="380"/>
              <w:spacing w:after="0"/>
              <w:rPr>
                <w:sz w:val="20"/>
                <w:szCs w:val="20"/>
                <w:color w:val="auto"/>
              </w:rPr>
            </w:pPr>
            <w:r>
              <w:rPr>
                <w:rFonts w:ascii="Arial" w:cs="Arial" w:eastAsia="Arial" w:hAnsi="Arial"/>
                <w:sz w:val="15"/>
                <w:szCs w:val="15"/>
                <w:b w:val="1"/>
                <w:bCs w:val="1"/>
                <w:color w:val="auto"/>
              </w:rPr>
              <w:t>Financial Statement</w:t>
            </w:r>
          </w:p>
        </w:tc>
        <w:tc>
          <w:tcPr>
            <w:tcW w:w="2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5"/>
              </w:rPr>
              <w:t>As of</w:t>
            </w:r>
          </w:p>
        </w:tc>
        <w:tc>
          <w:tcPr>
            <w:tcW w:w="160" w:type="dxa"/>
            <w:vAlign w:val="bottom"/>
          </w:tcPr>
          <w:p>
            <w:pPr>
              <w:spacing w:after="0"/>
              <w:rPr>
                <w:sz w:val="14"/>
                <w:szCs w:val="14"/>
                <w:color w:val="auto"/>
              </w:rPr>
            </w:pPr>
          </w:p>
        </w:tc>
        <w:tc>
          <w:tcPr>
            <w:tcW w:w="1560" w:type="dxa"/>
            <w:vAlign w:val="bottom"/>
          </w:tcPr>
          <w:p>
            <w:pPr>
              <w:jc w:val="right"/>
              <w:ind w:right="624"/>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0"/>
        </w:trPr>
        <w:tc>
          <w:tcPr>
            <w:tcW w:w="5500" w:type="dxa"/>
            <w:vAlign w:val="bottom"/>
            <w:gridSpan w:val="2"/>
            <w:vMerge w:val="continue"/>
          </w:tcPr>
          <w:p>
            <w:pPr>
              <w:spacing w:after="0"/>
              <w:rPr>
                <w:sz w:val="17"/>
                <w:szCs w:val="17"/>
                <w:color w:val="auto"/>
              </w:rPr>
            </w:pPr>
          </w:p>
        </w:tc>
        <w:tc>
          <w:tcPr>
            <w:tcW w:w="2180" w:type="dxa"/>
            <w:vAlign w:val="bottom"/>
            <w:gridSpan w:val="2"/>
          </w:tcPr>
          <w:p>
            <w:pPr>
              <w:ind w:left="600"/>
              <w:spacing w:after="0"/>
              <w:rPr>
                <w:sz w:val="20"/>
                <w:szCs w:val="20"/>
                <w:color w:val="auto"/>
              </w:rPr>
            </w:pPr>
            <w:r>
              <w:rPr>
                <w:rFonts w:ascii="Arial" w:cs="Arial" w:eastAsia="Arial" w:hAnsi="Arial"/>
                <w:sz w:val="15"/>
                <w:szCs w:val="15"/>
                <w:b w:val="1"/>
                <w:bCs w:val="1"/>
                <w:color w:val="auto"/>
              </w:rPr>
              <w:t>Classification</w:t>
            </w:r>
          </w:p>
        </w:tc>
        <w:tc>
          <w:tcPr>
            <w:tcW w:w="22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March 31, 2021</w:t>
            </w:r>
          </w:p>
        </w:tc>
        <w:tc>
          <w:tcPr>
            <w:tcW w:w="160" w:type="dxa"/>
            <w:vAlign w:val="bottom"/>
          </w:tcPr>
          <w:p>
            <w:pPr>
              <w:spacing w:after="0"/>
              <w:rPr>
                <w:sz w:val="17"/>
                <w:szCs w:val="17"/>
                <w:color w:val="auto"/>
              </w:rPr>
            </w:pPr>
          </w:p>
        </w:tc>
        <w:tc>
          <w:tcPr>
            <w:tcW w:w="1560" w:type="dxa"/>
            <w:vAlign w:val="bottom"/>
          </w:tcPr>
          <w:p>
            <w:pPr>
              <w:jc w:val="right"/>
              <w:ind w:right="164"/>
              <w:spacing w:after="0"/>
              <w:rPr>
                <w:sz w:val="20"/>
                <w:szCs w:val="20"/>
                <w:color w:val="auto"/>
              </w:rPr>
            </w:pPr>
            <w:r>
              <w:rPr>
                <w:rFonts w:ascii="Arial" w:cs="Arial" w:eastAsia="Arial" w:hAnsi="Arial"/>
                <w:sz w:val="15"/>
                <w:szCs w:val="15"/>
                <w:b w:val="1"/>
                <w:bCs w:val="1"/>
                <w:color w:val="auto"/>
                <w:w w:val="96"/>
              </w:rPr>
              <w:t>December 31, 2020</w:t>
            </w:r>
          </w:p>
        </w:tc>
        <w:tc>
          <w:tcPr>
            <w:tcW w:w="0" w:type="dxa"/>
            <w:vAlign w:val="bottom"/>
          </w:tcPr>
          <w:p>
            <w:pPr>
              <w:spacing w:after="0"/>
              <w:rPr>
                <w:sz w:val="1"/>
                <w:szCs w:val="1"/>
                <w:color w:val="auto"/>
              </w:rPr>
            </w:pPr>
          </w:p>
        </w:tc>
      </w:tr>
      <w:tr>
        <w:trPr>
          <w:trHeight w:val="198"/>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ROU asset obtained in exchange for new finance lease liabilities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Investment property, net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4,368</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4,350</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ROU asset obtained in exchange for new operating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48,419</w:t>
            </w: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ROU asset obtained relative to below market operating lease</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assets, net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27,426</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27,614</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Finance lease liabilities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4,327</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4,334</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49,964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Statements of Operations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3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vMerge w:val="restart"/>
          </w:tcPr>
          <w:p>
            <w:pPr>
              <w:spacing w:after="0"/>
              <w:rPr>
                <w:sz w:val="11"/>
                <w:szCs w:val="11"/>
                <w:color w:val="auto"/>
              </w:rPr>
            </w:pPr>
          </w:p>
        </w:tc>
        <w:tc>
          <w:tcPr>
            <w:tcW w:w="2180" w:type="dxa"/>
            <w:vAlign w:val="bottom"/>
            <w:gridSpan w:val="2"/>
          </w:tcPr>
          <w:p>
            <w:pPr>
              <w:ind w:left="380"/>
              <w:spacing w:after="0" w:line="135" w:lineRule="exact"/>
              <w:rPr>
                <w:sz w:val="20"/>
                <w:szCs w:val="20"/>
                <w:color w:val="auto"/>
              </w:rPr>
            </w:pPr>
            <w:r>
              <w:rPr>
                <w:rFonts w:ascii="Arial" w:cs="Arial" w:eastAsia="Arial" w:hAnsi="Arial"/>
                <w:sz w:val="15"/>
                <w:szCs w:val="15"/>
                <w:b w:val="1"/>
                <w:bCs w:val="1"/>
                <w:color w:val="auto"/>
              </w:rPr>
              <w:t>Financial Statement</w:t>
            </w:r>
          </w:p>
        </w:tc>
        <w:tc>
          <w:tcPr>
            <w:tcW w:w="220" w:type="dxa"/>
            <w:vAlign w:val="bottom"/>
          </w:tcPr>
          <w:p>
            <w:pPr>
              <w:spacing w:after="0"/>
              <w:rPr>
                <w:sz w:val="11"/>
                <w:szCs w:val="11"/>
                <w:color w:val="auto"/>
              </w:rPr>
            </w:pPr>
          </w:p>
        </w:tc>
        <w:tc>
          <w:tcPr>
            <w:tcW w:w="150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auto"/>
              </w:rPr>
              <w:t>March 31, 2020</w:t>
            </w:r>
          </w:p>
        </w:tc>
        <w:tc>
          <w:tcPr>
            <w:tcW w:w="0" w:type="dxa"/>
            <w:vAlign w:val="bottom"/>
          </w:tcPr>
          <w:p>
            <w:pPr>
              <w:spacing w:after="0"/>
              <w:rPr>
                <w:sz w:val="1"/>
                <w:szCs w:val="1"/>
                <w:color w:val="auto"/>
              </w:rPr>
            </w:pPr>
          </w:p>
        </w:tc>
      </w:tr>
      <w:tr>
        <w:trPr>
          <w:trHeight w:val="200"/>
        </w:trPr>
        <w:tc>
          <w:tcPr>
            <w:tcW w:w="5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Finance Lease Expense</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140"/>
              <w:spacing w:after="0"/>
              <w:rPr>
                <w:sz w:val="20"/>
                <w:szCs w:val="20"/>
                <w:color w:val="auto"/>
              </w:rPr>
            </w:pPr>
            <w:r>
              <w:rPr>
                <w:rFonts w:ascii="Arial" w:cs="Arial" w:eastAsia="Arial" w:hAnsi="Arial"/>
                <w:sz w:val="15"/>
                <w:szCs w:val="15"/>
                <w:color w:val="auto"/>
              </w:rPr>
              <w:t>Amortization of ROU assets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on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gridSpan w:val="2"/>
            <w:vMerge w:val="restart"/>
          </w:tcPr>
          <w:p>
            <w:pPr>
              <w:ind w:left="20"/>
              <w:spacing w:after="0"/>
              <w:rPr>
                <w:sz w:val="20"/>
                <w:szCs w:val="20"/>
                <w:color w:val="auto"/>
              </w:rPr>
            </w:pPr>
            <w:r>
              <w:rPr>
                <w:rFonts w:ascii="Arial" w:cs="Arial" w:eastAsia="Arial" w:hAnsi="Arial"/>
                <w:sz w:val="15"/>
                <w:szCs w:val="15"/>
                <w:color w:val="auto"/>
              </w:rPr>
              <w:t>Operating lease cost</w:t>
            </w:r>
          </w:p>
        </w:tc>
        <w:tc>
          <w:tcPr>
            <w:tcW w:w="2180" w:type="dxa"/>
            <w:vAlign w:val="bottom"/>
            <w:gridSpan w:val="2"/>
          </w:tcPr>
          <w:p>
            <w:pPr>
              <w:ind w:left="20"/>
              <w:spacing w:after="0" w:line="149" w:lineRule="exact"/>
              <w:rPr>
                <w:sz w:val="20"/>
                <w:szCs w:val="20"/>
                <w:color w:val="auto"/>
              </w:rPr>
            </w:pPr>
            <w:r>
              <w:rPr>
                <w:rFonts w:ascii="Arial" w:cs="Arial" w:eastAsia="Arial" w:hAnsi="Arial"/>
                <w:sz w:val="15"/>
                <w:szCs w:val="15"/>
                <w:color w:val="auto"/>
                <w:w w:val="98"/>
              </w:rPr>
              <w:t>expense, Property operating and</w:t>
            </w: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2,148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974</w:t>
            </w:r>
          </w:p>
        </w:tc>
        <w:tc>
          <w:tcPr>
            <w:tcW w:w="0" w:type="dxa"/>
            <w:vAlign w:val="bottom"/>
          </w:tcPr>
          <w:p>
            <w:pPr>
              <w:spacing w:after="0"/>
              <w:rPr>
                <w:sz w:val="1"/>
                <w:szCs w:val="1"/>
                <w:color w:val="auto"/>
              </w:rPr>
            </w:pPr>
          </w:p>
        </w:tc>
      </w:tr>
      <w:tr>
        <w:trPr>
          <w:trHeight w:val="198"/>
        </w:trPr>
        <w:tc>
          <w:tcPr>
            <w:tcW w:w="5500" w:type="dxa"/>
            <w:vAlign w:val="bottom"/>
            <w:gridSpan w:val="2"/>
            <w:vMerge w:val="continue"/>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maintenance</w:t>
            </w:r>
          </w:p>
        </w:tc>
        <w:tc>
          <w:tcPr>
            <w:tcW w:w="2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5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Variable lease cost</w:t>
            </w:r>
          </w:p>
        </w:tc>
        <w:tc>
          <w:tcPr>
            <w:tcW w:w="21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Property operating and</w:t>
            </w:r>
          </w:p>
        </w:tc>
        <w:tc>
          <w:tcPr>
            <w:tcW w:w="2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1,299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202"/>
        </w:trPr>
        <w:tc>
          <w:tcPr>
            <w:tcW w:w="5500" w:type="dxa"/>
            <w:vAlign w:val="bottom"/>
            <w:gridSpan w:val="2"/>
            <w:vMerge w:val="continue"/>
            <w:shd w:val="clear" w:color="auto" w:fill="CCEEFF"/>
          </w:tcPr>
          <w:p>
            <w:pPr>
              <w:spacing w:after="0"/>
              <w:rPr>
                <w:sz w:val="17"/>
                <w:szCs w:val="17"/>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maintenance</w:t>
            </w:r>
          </w:p>
        </w:tc>
        <w:tc>
          <w:tcPr>
            <w:tcW w:w="2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20"/>
              <w:spacing w:after="0"/>
              <w:rPr>
                <w:sz w:val="20"/>
                <w:szCs w:val="20"/>
                <w:color w:val="auto"/>
              </w:rPr>
            </w:pPr>
            <w:r>
              <w:rPr>
                <w:rFonts w:ascii="Arial" w:cs="Arial" w:eastAsia="Arial" w:hAnsi="Arial"/>
                <w:sz w:val="15"/>
                <w:szCs w:val="15"/>
                <w:color w:val="auto"/>
              </w:rPr>
              <w:t>Short term lease cost</w:t>
            </w:r>
          </w:p>
        </w:tc>
        <w:tc>
          <w:tcPr>
            <w:tcW w:w="218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Property operating and</w:t>
            </w: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500" w:type="dxa"/>
            <w:vAlign w:val="bottom"/>
            <w:tcBorders>
              <w:bottom w:val="single" w:sz="8" w:color="CCEEFF"/>
            </w:tcBorders>
            <w:gridSpan w:val="2"/>
            <w:vMerge w:val="continue"/>
          </w:tcPr>
          <w:p>
            <w:pPr>
              <w:spacing w:after="0"/>
              <w:rPr>
                <w:sz w:val="17"/>
                <w:szCs w:val="17"/>
                <w:color w:val="auto"/>
              </w:rPr>
            </w:pPr>
          </w:p>
        </w:tc>
        <w:tc>
          <w:tcPr>
            <w:tcW w:w="21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maintenance</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Expense</w:t>
            </w:r>
          </w:p>
        </w:tc>
        <w:tc>
          <w:tcPr>
            <w:tcW w:w="2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5"/>
              </w:rPr>
              <w:t>Lease term, discount rates and additional information for finance and operating leases are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6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0" w:type="dxa"/>
            <w:vAlign w:val="bottom"/>
          </w:tcPr>
          <w:p>
            <w:pPr>
              <w:spacing w:after="0"/>
              <w:rPr>
                <w:sz w:val="17"/>
                <w:szCs w:val="17"/>
                <w:color w:val="auto"/>
              </w:rPr>
            </w:pPr>
          </w:p>
        </w:tc>
        <w:tc>
          <w:tcPr>
            <w:tcW w:w="1840" w:type="dxa"/>
            <w:vAlign w:val="bottom"/>
          </w:tcPr>
          <w:p>
            <w:pPr>
              <w:jc w:val="right"/>
              <w:ind w:right="684"/>
              <w:spacing w:after="0"/>
              <w:rPr>
                <w:sz w:val="20"/>
                <w:szCs w:val="20"/>
                <w:color w:val="auto"/>
              </w:rPr>
            </w:pPr>
            <w:r>
              <w:rPr>
                <w:rFonts w:ascii="Arial" w:cs="Arial" w:eastAsia="Arial" w:hAnsi="Arial"/>
                <w:sz w:val="15"/>
                <w:szCs w:val="15"/>
                <w:b w:val="1"/>
                <w:bCs w:val="1"/>
                <w:color w:val="auto"/>
              </w:rPr>
              <w:t>As of</w:t>
            </w:r>
          </w:p>
        </w:tc>
      </w:tr>
      <w:tr>
        <w:trPr>
          <w:trHeight w:val="206"/>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8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March 31, 2021</w:t>
            </w:r>
          </w:p>
        </w:tc>
      </w:tr>
      <w:tr>
        <w:trPr>
          <w:trHeight w:val="18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840" w:type="dxa"/>
            <w:vAlign w:val="bottom"/>
            <w:shd w:val="clear" w:color="auto" w:fill="CCEEFF"/>
          </w:tcPr>
          <w:p>
            <w:pPr>
              <w:spacing w:after="0"/>
              <w:rPr>
                <w:sz w:val="16"/>
                <w:szCs w:val="16"/>
                <w:color w:val="auto"/>
              </w:rPr>
            </w:pPr>
          </w:p>
        </w:tc>
      </w:tr>
      <w:tr>
        <w:trPr>
          <w:trHeight w:val="198"/>
        </w:trPr>
        <w:tc>
          <w:tcPr>
            <w:tcW w:w="9400" w:type="dxa"/>
            <w:vAlign w:val="bottom"/>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2.43</w:t>
            </w:r>
          </w:p>
        </w:tc>
      </w:tr>
      <w:tr>
        <w:trPr>
          <w:trHeight w:val="207"/>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25.90</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1840" w:type="dxa"/>
            <w:vAlign w:val="bottom"/>
          </w:tcPr>
          <w:p>
            <w:pPr>
              <w:spacing w:after="0"/>
              <w:rPr>
                <w:sz w:val="17"/>
                <w:szCs w:val="17"/>
                <w:color w:val="auto"/>
              </w:rPr>
            </w:pPr>
          </w:p>
        </w:tc>
      </w:tr>
      <w:tr>
        <w:trPr>
          <w:trHeight w:val="207"/>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2.44 %</w:t>
            </w:r>
          </w:p>
        </w:tc>
      </w:tr>
      <w:tr>
        <w:trPr>
          <w:trHeight w:val="195"/>
        </w:trPr>
        <w:tc>
          <w:tcPr>
            <w:tcW w:w="9400" w:type="dxa"/>
            <w:vAlign w:val="bottom"/>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3.80 %</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Other Information (in thousands)</w:t>
            </w: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7"/>
                <w:szCs w:val="17"/>
                <w:color w:val="auto"/>
              </w:rPr>
            </w:pPr>
          </w:p>
        </w:tc>
        <w:tc>
          <w:tcPr>
            <w:tcW w:w="152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 2020</w:t>
            </w:r>
          </w:p>
        </w:tc>
      </w:tr>
      <w:tr>
        <w:trPr>
          <w:trHeight w:val="185"/>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198"/>
        </w:trPr>
        <w:tc>
          <w:tcPr>
            <w:tcW w:w="7640" w:type="dxa"/>
            <w:vAlign w:val="bottom"/>
          </w:tcPr>
          <w:p>
            <w:pPr>
              <w:ind w:left="140"/>
              <w:spacing w:after="0"/>
              <w:rPr>
                <w:sz w:val="20"/>
                <w:szCs w:val="20"/>
                <w:color w:val="auto"/>
              </w:rPr>
            </w:pPr>
            <w:r>
              <w:rPr>
                <w:rFonts w:ascii="Arial" w:cs="Arial" w:eastAsia="Arial" w:hAnsi="Arial"/>
                <w:sz w:val="15"/>
                <w:szCs w:val="15"/>
                <w:color w:val="auto"/>
              </w:rPr>
              <w:t>Operating cash flow from operating leases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945</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590</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Financing cash flow from finance leases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0"/>
        </w:trPr>
        <w:tc>
          <w:tcPr>
            <w:tcW w:w="7640" w:type="dxa"/>
            <w:vAlign w:val="bottom"/>
          </w:tcPr>
          <w:p>
            <w:pPr>
              <w:ind w:left="140"/>
              <w:spacing w:after="0"/>
              <w:rPr>
                <w:sz w:val="20"/>
                <w:szCs w:val="20"/>
                <w:color w:val="auto"/>
              </w:rPr>
            </w:pPr>
            <w:r>
              <w:rPr>
                <w:rFonts w:ascii="Arial" w:cs="Arial" w:eastAsia="Arial" w:hAnsi="Arial"/>
                <w:sz w:val="15"/>
                <w:szCs w:val="15"/>
                <w:b w:val="1"/>
                <w:bCs w:val="1"/>
                <w:color w:val="auto"/>
              </w:rPr>
              <w:t>Total Cash Paid On Lease Liabilities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not the lessor for any finance leases at our MH, RV or marina properties as of March 31, 2021.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95 percent of our operating leases at our MH and RV properties where we are the lessor are either month to month or for a time period not to exceed one year. As of March 31, 2021, future minimum lease payments would not exceed 12 months.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Future minimum lease payments under non-cancellable leases at our marinas and RV properties as of the three months ended March 31, 2021 where we are the lessor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Liabilities (in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6"/>
              </w:rPr>
              <w:t>Operating Leases</w:t>
            </w:r>
          </w:p>
        </w:tc>
        <w:tc>
          <w:tcPr>
            <w:tcW w:w="0" w:type="dxa"/>
            <w:vAlign w:val="bottom"/>
          </w:tcPr>
          <w:p>
            <w:pPr>
              <w:spacing w:after="0"/>
              <w:rPr>
                <w:sz w:val="1"/>
                <w:szCs w:val="1"/>
                <w:color w:val="auto"/>
              </w:rPr>
            </w:pP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(Excluding three months ended March 31, 2021)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8,261</w:t>
            </w:r>
          </w:p>
        </w:tc>
        <w:tc>
          <w:tcPr>
            <w:tcW w:w="0" w:type="dxa"/>
            <w:vAlign w:val="bottom"/>
          </w:tcPr>
          <w:p>
            <w:pPr>
              <w:spacing w:after="0"/>
              <w:rPr>
                <w:sz w:val="1"/>
                <w:szCs w:val="1"/>
                <w:color w:val="auto"/>
              </w:rPr>
            </w:pP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6,951</w:t>
            </w:r>
          </w:p>
        </w:tc>
        <w:tc>
          <w:tcPr>
            <w:tcW w:w="0" w:type="dxa"/>
            <w:vAlign w:val="bottom"/>
          </w:tcPr>
          <w:p>
            <w:pPr>
              <w:spacing w:after="0"/>
              <w:rPr>
                <w:sz w:val="1"/>
                <w:szCs w:val="1"/>
                <w:color w:val="auto"/>
              </w:rPr>
            </w:pP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5,039</w:t>
            </w:r>
          </w:p>
        </w:tc>
        <w:tc>
          <w:tcPr>
            <w:tcW w:w="0" w:type="dxa"/>
            <w:vAlign w:val="bottom"/>
          </w:tcPr>
          <w:p>
            <w:pPr>
              <w:spacing w:after="0"/>
              <w:rPr>
                <w:sz w:val="1"/>
                <w:szCs w:val="1"/>
                <w:color w:val="auto"/>
              </w:rPr>
            </w:pP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2,090</w:t>
            </w:r>
          </w:p>
        </w:tc>
        <w:tc>
          <w:tcPr>
            <w:tcW w:w="0" w:type="dxa"/>
            <w:vAlign w:val="bottom"/>
          </w:tcPr>
          <w:p>
            <w:pPr>
              <w:spacing w:after="0"/>
              <w:rPr>
                <w:sz w:val="1"/>
                <w:szCs w:val="1"/>
                <w:color w:val="auto"/>
              </w:rPr>
            </w:pP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198"/>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225"/>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26,189</w:t>
            </w:r>
          </w:p>
        </w:tc>
        <w:tc>
          <w:tcPr>
            <w:tcW w:w="0" w:type="dxa"/>
            <w:vAlign w:val="bottom"/>
          </w:tcPr>
          <w:p>
            <w:pPr>
              <w:spacing w:after="0"/>
              <w:rPr>
                <w:sz w:val="1"/>
                <w:szCs w:val="1"/>
                <w:color w:val="auto"/>
              </w:rPr>
            </w:pPr>
          </w:p>
        </w:tc>
      </w:tr>
      <w:tr>
        <w:trPr>
          <w:trHeight w:val="20"/>
        </w:trPr>
        <w:tc>
          <w:tcPr>
            <w:tcW w:w="9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components of lease income were as follows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7640" w:type="dxa"/>
            <w:vAlign w:val="bottom"/>
            <w:gridSpan w:val="2"/>
          </w:tcPr>
          <w:p>
            <w:pPr>
              <w:ind w:left="3400"/>
              <w:spacing w:after="0"/>
              <w:rPr>
                <w:sz w:val="20"/>
                <w:szCs w:val="20"/>
                <w:color w:val="auto"/>
              </w:rPr>
            </w:pPr>
            <w:r>
              <w:rPr>
                <w:rFonts w:ascii="Arial" w:cs="Arial" w:eastAsia="Arial" w:hAnsi="Arial"/>
                <w:sz w:val="15"/>
                <w:szCs w:val="15"/>
                <w:b w:val="1"/>
                <w:bCs w:val="1"/>
                <w:color w:val="auto"/>
              </w:rPr>
              <w:t>Description</w:t>
            </w: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7"/>
                <w:szCs w:val="17"/>
                <w:color w:val="auto"/>
              </w:rPr>
            </w:pPr>
          </w:p>
        </w:tc>
        <w:tc>
          <w:tcPr>
            <w:tcW w:w="152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 2020</w:t>
            </w:r>
          </w:p>
        </w:tc>
      </w:tr>
      <w:tr>
        <w:trPr>
          <w:trHeight w:val="198"/>
        </w:trPr>
        <w:tc>
          <w:tcPr>
            <w:tcW w:w="7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5"/>
                <w:szCs w:val="15"/>
                <w:color w:val="auto"/>
              </w:rPr>
              <w:t>Fixed lease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3,657</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20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Variable lease income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r>
    </w:tbl>
    <w:p>
      <w:pPr>
        <w:spacing w:after="0" w:line="22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guidance for accounting for contracts, hedging relationships, and other transactions affected by the reference</w:t>
      </w:r>
      <w:r>
        <w:rPr>
          <w:rFonts w:ascii="Arial" w:cs="Arial" w:eastAsia="Arial" w:hAnsi="Arial"/>
          <w:sz w:val="17"/>
          <w:szCs w:val="17"/>
          <w:i w:val="1"/>
          <w:iCs w:val="1"/>
          <w:color w:val="auto"/>
        </w:rPr>
        <w:t xml:space="preserve"> </w:t>
      </w:r>
      <w:r>
        <w:rPr>
          <w:rFonts w:ascii="Arial" w:cs="Arial" w:eastAsia="Arial" w:hAnsi="Arial"/>
          <w:sz w:val="17"/>
          <w:szCs w:val="17"/>
          <w:color w:val="auto"/>
        </w:rPr>
        <w:t>rate reform, if certain criteria are met. The provisions of this standard are available for election through December 31, 2022. We are currently evaluating the impact that ASU 2020-04 may have on our Consolidated Financial Statements and related disclosures.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 which simplifies the accounting for certain financial instruments with characteristics of liabilities and equity. This ASU (1) simplifies the accounting for convertible debt instruments and convertible preferred stock by removing the existing guidance in ASC 470-20, "</w:t>
      </w:r>
      <w:r>
        <w:rPr>
          <w:rFonts w:ascii="Arial" w:cs="Arial" w:eastAsia="Arial" w:hAnsi="Arial"/>
          <w:sz w:val="16"/>
          <w:szCs w:val="16"/>
          <w:i w:val="1"/>
          <w:iCs w:val="1"/>
          <w:color w:val="auto"/>
        </w:rPr>
        <w:t>Debt: Debt with Conversion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Options</w:t>
      </w:r>
      <w:r>
        <w:rPr>
          <w:rFonts w:ascii="Arial" w:cs="Arial" w:eastAsia="Arial" w:hAnsi="Arial"/>
          <w:sz w:val="16"/>
          <w:szCs w:val="16"/>
          <w:color w:val="auto"/>
        </w:rPr>
        <w:t>," which requires entities to account for beneficial conversion features and cash conversion features in equity, separately from the host</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to require entities to calculate diluted earnings per share (EPS) for convertible instruments by using the if-converted method. In addition, entities must presume share settlement for purposes of calculating diluted EPS when an instrument may be settled in cash or shares. ASU 2020-06 is effective for fiscal years beginning after December 15, 2021, including interim periods within those fiscal years. Early adoption is permitted, but no earlier than fiscal years beginning after December 15, 2020. We are currently evaluating the impact that ASU 2020-06 may have on our Consolidated Financial Statements and related disclosure.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 on Form S-3</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quarter ended March 31, 2021, on April 5, 2021, in connection with the expiration of our universal shelf registration statement on Form S-3, that was filed with the SEC on April 6, 2018, we filed a new universal shelf registration statement on Form S-3 with the SEC, which was deemed automatically effective and which provides for the registration of unspecified amounts of equity and debt securities. However, there can be no assurance that we will be able to complete any such offerings of securities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quarter ended March 31, 2021, we acquired an RV resort in Davenport, Florida with 148 developed sites for a total purchase price of $25.0 million.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 to the quarter ended March 31, 2021, we acquired a MH community located in Brighton, Michigan with 476 MH sites for a total purchase price of $24.0 million. In conjunction with the acquisition, the Operating Partnership created a new class of OP units, named Series J preferred units. As of April 21, 2021, 240,000 Series J preferred OP units were outstanding. The Series J preferred OP units have an issuance price of $100.00 and carry a preferred return of 2.85 percent per year. Subject to certain limitations, each Series J preferred OP unit is exchangeable at any time into that number of shares of the Company's common stock equal to the quotient obtained by dividing $100.00 by $165.00 (as such ratio is subject to adjustment for certain capital events). The holder may require redemption in cash (i) during the 30-day period following a change of control of the Company or (ii) any time after the fifth anniversary of the issuance date of the Series J preferred OP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2020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fully integrated, self-administered and self-managed REIT. As of March 31, 2021, we owned and operated or held an interest in a portfolio of 562 developed properties located in 39 states throughout the U.S. and one province in Canada, including 277 MH communities, 141 RV resorts, 34 properties containing both MH and RV sites, and 110 marinas. We have been in the business of acquiring, operating, developing and expanding MH communities and RV resorts since 1975 and marinas since 2020. We lease individual sites with utilities access for placement of manufactured homes, RVs or boats to our customers. We are also engaged in the marketing, selling and leasing of new and pre-owned homes to current and future residents in our MH communities. The rental program operations within our MH communities support and enhance our occupancy levels, property performance,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there are no government regulations preventing the operations of any of our MH communities, RV resorts or marinas. Ontario, Canada does have travel restrictions in place that if extended into May 2021, could delay the opening of seasonal resorts in Canada. Additionally, the border for recreational travel between the Unites States and Canada remains closed with no defined opening date, which could impact cross border traffic to resorts and marinas across the United State and Canada. The execution of our operational and financial plans has helped to mitigate the impact of COVID-19 on our business.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continue to provide essential services using social distancing techniques and minimal contact. To promote social distancing, we are encouraging our residents to use our online rent payment portals and other payment methods. We have instituted numerous health and safety measures at our communities and our Main Office to keep team members safe. These measures include infrared thermometers at entrances to monitor team members' temperatures, increased cleaning and sanitation of shared spaces and social distancing protocols throughout our footprint. We closely monitor and track orders by federal, state and local authorities and hold regular status calls with our operations and Main Office leadership teams. We have implemented and continue to encourage remote working arrangements, wherever possible, to keep our team members safe and to do our part to promote social distancing.</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assisting individuals who are in the process of leasing a site, a wet slip, a dry storage space, or purchasing a home, while maintaining health and safety protocols including following strict social distancing. Virtual viewings of homes are being utilized to avoid or minimize contact.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uncertainty of this situation precludes any prediction as to the full impact of the COVID-19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2020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NOI is derived from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w:t>
      </w:r>
    </w:p>
    <w:p>
      <w:pPr>
        <w:spacing w:after="0" w:line="2" w:lineRule="exact"/>
        <w:rPr>
          <w:sz w:val="20"/>
          <w:szCs w:val="20"/>
          <w:color w:val="auto"/>
        </w:rPr>
      </w:pPr>
    </w:p>
    <w:p>
      <w:pPr>
        <w:jc w:val="both"/>
        <w:ind w:firstLine="8"/>
        <w:spacing w:after="0" w:line="255" w:lineRule="auto"/>
        <w:tabs>
          <w:tab w:leader="none" w:pos="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Net income / (loss) attributable to Sun Communities, Inc. common stockholders to NOI and summarize our consolidated financial results for the three months ended March 31, 2021 and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b w:val="1"/>
                <w:bCs w:val="1"/>
                <w:color w:val="auto"/>
                <w:w w:val="97"/>
              </w:rPr>
              <w:t>March 31, 2020</w:t>
            </w:r>
          </w:p>
        </w:tc>
      </w:tr>
      <w:tr>
        <w:trPr>
          <w:trHeight w:val="198"/>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 (Loss) Attributable to Sun Communities, Inc.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24,782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(16,086)</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(2,350)</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(3,913)</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General and administrative expense</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38,203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25,349</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Business combination expense</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1,232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123,304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83,689</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3,279</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39,517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32,416</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1,036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1,041</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17,479</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(Income) / loss on remeasurement of notes receivable (see Note 4)</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2,112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(Income) / loss on remeasurement of investment in nonconsolidated affiliates (see Note 6)</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2,191</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Deferred tax benefit (see Note 12)</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(130)</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return to preferred OP units / equity</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1,570</w:t>
            </w:r>
          </w:p>
        </w:tc>
      </w:tr>
      <w:tr>
        <w:trPr>
          <w:trHeight w:val="198"/>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 (loss) attributable to noncontrolling 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(962)</w:t>
            </w:r>
          </w:p>
        </w:tc>
      </w:tr>
      <w:tr>
        <w:trPr>
          <w:trHeight w:val="22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NOI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220,442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176,308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b w:val="1"/>
                <w:bCs w:val="1"/>
                <w:color w:val="auto"/>
                <w:w w:val="97"/>
              </w:rPr>
              <w:t>March 31, 2020</w:t>
            </w:r>
          </w:p>
        </w:tc>
      </w:tr>
      <w:tr>
        <w:trPr>
          <w:trHeight w:val="198"/>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204,652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171,339</w:t>
            </w: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Home Sales NOI</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10,609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6,548</w:t>
            </w: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NOI</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(1,579)</w:t>
            </w:r>
          </w:p>
        </w:tc>
      </w:tr>
      <w:tr>
        <w:trPr>
          <w:trHeight w:val="200"/>
        </w:trPr>
        <w:tc>
          <w:tcPr>
            <w:tcW w:w="8380" w:type="dxa"/>
            <w:vAlign w:val="bottom"/>
          </w:tcPr>
          <w:p>
            <w:pPr>
              <w:ind w:left="140"/>
              <w:spacing w:after="0"/>
              <w:rPr>
                <w:sz w:val="20"/>
                <w:szCs w:val="20"/>
                <w:color w:val="auto"/>
              </w:rPr>
            </w:pPr>
            <w:r>
              <w:rPr>
                <w:rFonts w:ascii="Arial" w:cs="Arial" w:eastAsia="Arial" w:hAnsi="Arial"/>
                <w:sz w:val="15"/>
                <w:szCs w:val="15"/>
                <w:b w:val="1"/>
                <w:bCs w:val="1"/>
                <w:color w:val="auto"/>
              </w:rPr>
              <w:t>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220,442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176,308</w:t>
            </w:r>
          </w:p>
        </w:tc>
      </w:tr>
      <w:tr>
        <w:trPr>
          <w:trHeight w:val="20"/>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evaluate segment operating performance based on NOI. Real property - transient revenue is included in the RV segment revenue. Real property - transient (excluding Vacation rental) revenue is expected to approximate $175.9 million annually. Real property - transient (excluding Vacation rental) revenue was recognized $26.0 million in the first quarter and is expected to be $46.3 million in the second quarter, $76.3 million in the third quarter, and $27.3 million in the fourth quarter. Real property - transient (excluding Vacation rental) revenue was approximately $134.7 million for the year ended December 31, 2020. In 2020, Real property - transient (excluding Vacation rental) was recognized 18.8 percent in the first quarter, 15.6 percent in the second quarter, 44.9 percent in the third quarter, and 20.7 percent in the fourth quarter.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months ended March 31, 2021 and 2020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00"/>
        </w:trPr>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2021</w:t>
            </w:r>
          </w:p>
        </w:tc>
        <w:tc>
          <w:tcPr>
            <w:tcW w:w="1560" w:type="dxa"/>
            <w:vAlign w:val="bottom"/>
            <w:gridSpan w:val="3"/>
          </w:tcPr>
          <w:p>
            <w:pPr>
              <w:ind w:left="20"/>
              <w:spacing w:after="0" w:line="200" w:lineRule="exact"/>
              <w:rPr>
                <w:sz w:val="20"/>
                <w:szCs w:val="20"/>
                <w:color w:val="auto"/>
              </w:rPr>
            </w:pPr>
            <w:r>
              <w:rPr>
                <w:rFonts w:ascii="Arial" w:cs="Arial" w:eastAsia="Arial" w:hAnsi="Arial"/>
                <w:sz w:val="15"/>
                <w:szCs w:val="15"/>
                <w:b w:val="1"/>
                <w:bCs w:val="1"/>
                <w:color w:val="auto"/>
              </w:rPr>
              <w:t>March 31, 2021</w:t>
            </w:r>
            <w:r>
              <w:rPr>
                <w:rFonts w:ascii="Arial" w:cs="Arial" w:eastAsia="Arial" w:hAnsi="Arial"/>
                <w:sz w:val="19"/>
                <w:szCs w:val="19"/>
                <w:color w:val="auto"/>
                <w:vertAlign w:val="superscript"/>
              </w:rPr>
              <w:t>(1)</w:t>
            </w:r>
          </w:p>
        </w:tc>
        <w:tc>
          <w:tcPr>
            <w:tcW w:w="180" w:type="dxa"/>
            <w:vAlign w:val="bottom"/>
          </w:tcPr>
          <w:p>
            <w:pPr>
              <w:spacing w:after="0"/>
              <w:rPr>
                <w:sz w:val="17"/>
                <w:szCs w:val="17"/>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Arial" w:cs="Arial" w:eastAsia="Arial" w:hAnsi="Arial"/>
                <w:sz w:val="15"/>
                <w:szCs w:val="15"/>
                <w:b w:val="1"/>
                <w:bCs w:val="1"/>
                <w:color w:val="auto"/>
              </w:rPr>
              <w:t>% Change</w:t>
            </w:r>
          </w:p>
        </w:tc>
      </w:tr>
      <w:tr>
        <w:trPr>
          <w:trHeight w:val="180"/>
        </w:trPr>
        <w:tc>
          <w:tcPr>
            <w:tcW w:w="608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05"/>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6080" w:type="dxa"/>
            <w:vAlign w:val="bottom"/>
          </w:tcPr>
          <w:p>
            <w:pPr>
              <w:ind w:left="240"/>
              <w:spacing w:after="0"/>
              <w:rPr>
                <w:sz w:val="20"/>
                <w:szCs w:val="20"/>
                <w:color w:val="auto"/>
              </w:rPr>
            </w:pPr>
            <w:r>
              <w:rPr>
                <w:rFonts w:ascii="Arial" w:cs="Arial" w:eastAsia="Arial" w:hAnsi="Arial"/>
                <w:sz w:val="15"/>
                <w:szCs w:val="15"/>
                <w:color w:val="auto"/>
              </w:rPr>
              <w:t>Real property (excluding Transient)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268,766</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207,186</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61,580</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29.7 %</w:t>
            </w:r>
          </w:p>
        </w:tc>
      </w:tr>
      <w:tr>
        <w:trPr>
          <w:trHeight w:val="207"/>
        </w:trPr>
        <w:tc>
          <w:tcPr>
            <w:tcW w:w="6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 transient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30,347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7.2 %</w:t>
            </w:r>
          </w:p>
        </w:tc>
      </w:tr>
      <w:tr>
        <w:trPr>
          <w:trHeight w:val="198"/>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20,816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40.8 %</w:t>
            </w:r>
          </w:p>
        </w:tc>
      </w:tr>
      <w:tr>
        <w:trPr>
          <w:trHeight w:val="200"/>
        </w:trPr>
        <w:tc>
          <w:tcPr>
            <w:tcW w:w="6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Operating</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258,349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28.0 %</w:t>
            </w:r>
          </w:p>
        </w:tc>
      </w:tr>
      <w:tr>
        <w:trPr>
          <w:trHeight w:val="200"/>
        </w:trPr>
        <w:tc>
          <w:tcPr>
            <w:tcW w:w="6080" w:type="dxa"/>
            <w:vAlign w:val="bottom"/>
          </w:tcPr>
          <w:p>
            <w:pPr>
              <w:ind w:left="140"/>
              <w:spacing w:after="0"/>
              <w:rPr>
                <w:sz w:val="20"/>
                <w:szCs w:val="20"/>
                <w:color w:val="auto"/>
              </w:rPr>
            </w:pPr>
            <w:r>
              <w:rPr>
                <w:rFonts w:ascii="Arial" w:cs="Arial" w:eastAsia="Arial" w:hAnsi="Arial"/>
                <w:sz w:val="15"/>
                <w:szCs w:val="15"/>
                <w:b w:val="1"/>
                <w:bCs w:val="1"/>
                <w:color w:val="auto"/>
              </w:rPr>
              <w:t>Expense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6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Property Operating</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125,961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87,010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44.8 %</w:t>
            </w:r>
          </w:p>
        </w:tc>
      </w:tr>
      <w:tr>
        <w:trPr>
          <w:trHeight w:val="200"/>
        </w:trPr>
        <w:tc>
          <w:tcPr>
            <w:tcW w:w="6080" w:type="dxa"/>
            <w:vAlign w:val="bottom"/>
          </w:tcPr>
          <w:p>
            <w:pPr>
              <w:ind w:left="240"/>
              <w:spacing w:after="0"/>
              <w:rPr>
                <w:sz w:val="20"/>
                <w:szCs w:val="20"/>
                <w:color w:val="auto"/>
              </w:rPr>
            </w:pPr>
            <w:r>
              <w:rPr>
                <w:rFonts w:ascii="Arial" w:cs="Arial" w:eastAsia="Arial" w:hAnsi="Arial"/>
                <w:sz w:val="15"/>
                <w:szCs w:val="15"/>
                <w:color w:val="auto"/>
              </w:rPr>
              <w:t>Real Property NOI</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204,652</w:t>
            </w:r>
          </w:p>
        </w:tc>
        <w:tc>
          <w:tcPr>
            <w:tcW w:w="12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171,339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33,313</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19.4 %</w:t>
            </w:r>
          </w:p>
        </w:tc>
      </w:tr>
      <w:tr>
        <w:trPr>
          <w:trHeight w:val="21"/>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months ended March 31, 2020 have been translated at the 2021 average exchange rates.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As of</w:t>
            </w:r>
          </w:p>
        </w:tc>
        <w:tc>
          <w:tcPr>
            <w:tcW w:w="1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380" w:type="dxa"/>
            <w:vAlign w:val="bottom"/>
          </w:tcPr>
          <w:p>
            <w:pPr>
              <w:jc w:val="right"/>
              <w:ind w:right="204"/>
              <w:spacing w:after="0"/>
              <w:rPr>
                <w:sz w:val="20"/>
                <w:szCs w:val="20"/>
                <w:color w:val="auto"/>
              </w:rPr>
            </w:pPr>
            <w:r>
              <w:rPr>
                <w:rFonts w:ascii="Arial" w:cs="Arial" w:eastAsia="Arial" w:hAnsi="Arial"/>
                <w:sz w:val="15"/>
                <w:szCs w:val="15"/>
                <w:b w:val="1"/>
                <w:bCs w:val="1"/>
                <w:color w:val="auto"/>
              </w:rPr>
              <w:t>March 31, 2020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7"/>
        </w:trPr>
        <w:tc>
          <w:tcPr>
            <w:tcW w:w="602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140</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(2)</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(3)</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(4)</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(5)</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occupancy</w:t>
            </w:r>
            <w:r>
              <w:rPr>
                <w:rFonts w:ascii="Arial" w:cs="Arial" w:eastAsia="Arial" w:hAnsi="Arial"/>
                <w:sz w:val="19"/>
                <w:szCs w:val="19"/>
                <w:color w:val="auto"/>
                <w:vertAlign w:val="superscript"/>
              </w:rPr>
              <w:t>(6)</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MH &amp; RV development</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9,646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10,293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(647)</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w:t>
            </w: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522</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499</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23</w:t>
            </w: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w:t>
            </w:r>
          </w:p>
        </w:tc>
      </w:tr>
    </w:tbl>
    <w:p>
      <w:pPr>
        <w:spacing w:after="0" w:line="65"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 MH communities, RV resorts and marinas.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months ended March 31, 2020 have been translated at 2021 average exchange rates.</w:t>
      </w: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$33.3 million increase in Real Property NOI consists of $4.6 million from Same Communities as detailed below, $25.0 million from the Marinas and $3.7 million from recently acquired properties in the three months ended March 31, 2021 as compared to the same period in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The Same Communities data includes all properties which we have owned and operated continuously since January 1, 2020, exclusive of properties recently completed or under construction, and other properties as determined by management. The Same Community data may change from time-to-time depending on acquisitions, dispositions, management discretion, significant transactions or unique situations. In order to evaluate the growth of the Same Communities, management has classified certain items differently than our GAAP statements. The reclassification difference between our GAAP statements and our Same Community portfolio is the reclassification of utility revenues from Real property revenue to operating expenses. A significant portion of our utility charges are re-billed to our residents.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months ended March 31, 2021 and 2020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7"/>
          </w:tcPr>
          <w:p>
            <w:pPr>
              <w:jc w:val="right"/>
              <w:ind w:right="104"/>
              <w:spacing w:after="0"/>
              <w:rPr>
                <w:sz w:val="20"/>
                <w:szCs w:val="20"/>
                <w:color w:val="auto"/>
              </w:rPr>
            </w:pPr>
            <w:r>
              <w:rPr>
                <w:rFonts w:ascii="Arial" w:cs="Arial" w:eastAsia="Arial" w:hAnsi="Arial"/>
                <w:sz w:val="15"/>
                <w:szCs w:val="15"/>
                <w:b w:val="1"/>
                <w:bCs w:val="1"/>
                <w:color w:val="auto"/>
                <w:w w:val="92"/>
              </w:rPr>
              <w:t>Three Months Ended</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2"/>
              </w:rPr>
              <w:t>Total Same Community</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rPr>
              <w:t>MH</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ind w:left="440"/>
              <w:spacing w:after="0"/>
              <w:rPr>
                <w:sz w:val="20"/>
                <w:szCs w:val="20"/>
                <w:color w:val="auto"/>
              </w:rPr>
            </w:pPr>
            <w:r>
              <w:rPr>
                <w:rFonts w:ascii="Arial" w:cs="Arial" w:eastAsia="Arial" w:hAnsi="Arial"/>
                <w:sz w:val="15"/>
                <w:szCs w:val="15"/>
                <w:b w:val="1"/>
                <w:bCs w:val="1"/>
                <w:color w:val="auto"/>
                <w:w w:val="95"/>
              </w:rPr>
              <w:t>RV</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Arial" w:cs="Arial" w:eastAsia="Arial" w:hAnsi="Arial"/>
                <w:sz w:val="15"/>
                <w:szCs w:val="15"/>
                <w:b w:val="1"/>
                <w:bCs w:val="1"/>
                <w:color w:val="auto"/>
              </w:rPr>
              <w:t>March 31,</w:t>
            </w:r>
          </w:p>
        </w:tc>
        <w:tc>
          <w:tcPr>
            <w:tcW w:w="80" w:type="dxa"/>
            <w:vAlign w:val="bottom"/>
          </w:tcPr>
          <w:p>
            <w:pPr>
              <w:spacing w:after="0"/>
              <w:rPr>
                <w:sz w:val="12"/>
                <w:szCs w:val="12"/>
                <w:color w:val="auto"/>
              </w:rPr>
            </w:pPr>
          </w:p>
        </w:tc>
        <w:tc>
          <w:tcPr>
            <w:tcW w:w="880" w:type="dxa"/>
            <w:vAlign w:val="bottom"/>
            <w:gridSpan w:val="3"/>
          </w:tcPr>
          <w:p>
            <w:pPr>
              <w:ind w:left="80"/>
              <w:spacing w:after="0" w:line="144" w:lineRule="exact"/>
              <w:rPr>
                <w:sz w:val="20"/>
                <w:szCs w:val="20"/>
                <w:color w:val="auto"/>
              </w:rPr>
            </w:pPr>
            <w:r>
              <w:rPr>
                <w:rFonts w:ascii="Arial" w:cs="Arial" w:eastAsia="Arial" w:hAnsi="Arial"/>
                <w:sz w:val="15"/>
                <w:szCs w:val="15"/>
                <w:b w:val="1"/>
                <w:bCs w:val="1"/>
                <w:color w:val="auto"/>
              </w:rPr>
              <w:t>March 31,</w:t>
            </w: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Change</w:t>
            </w:r>
          </w:p>
        </w:tc>
        <w:tc>
          <w:tcPr>
            <w:tcW w:w="780" w:type="dxa"/>
            <w:vAlign w:val="bottom"/>
            <w:gridSpan w:val="2"/>
          </w:tcPr>
          <w:p>
            <w:pPr>
              <w:jc w:val="right"/>
              <w:ind w:right="20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780" w:type="dxa"/>
            <w:vAlign w:val="bottom"/>
            <w:gridSpan w:val="2"/>
          </w:tcPr>
          <w:p>
            <w:pPr>
              <w:jc w:val="right"/>
              <w:spacing w:after="0" w:line="144" w:lineRule="exact"/>
              <w:rPr>
                <w:sz w:val="20"/>
                <w:szCs w:val="20"/>
                <w:color w:val="auto"/>
              </w:rPr>
            </w:pPr>
            <w:r>
              <w:rPr>
                <w:rFonts w:ascii="Arial" w:cs="Arial" w:eastAsia="Arial" w:hAnsi="Arial"/>
                <w:sz w:val="15"/>
                <w:szCs w:val="15"/>
                <w:b w:val="1"/>
                <w:bCs w:val="1"/>
                <w:color w:val="auto"/>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ind w:left="80"/>
              <w:spacing w:after="0" w:line="144" w:lineRule="exact"/>
              <w:rPr>
                <w:sz w:val="20"/>
                <w:szCs w:val="20"/>
                <w:color w:val="auto"/>
              </w:rPr>
            </w:pPr>
            <w:r>
              <w:rPr>
                <w:rFonts w:ascii="Arial" w:cs="Arial" w:eastAsia="Arial" w:hAnsi="Arial"/>
                <w:sz w:val="15"/>
                <w:szCs w:val="15"/>
                <w:b w:val="1"/>
                <w:bCs w:val="1"/>
                <w:color w:val="auto"/>
              </w:rPr>
              <w:t>March 31,</w:t>
            </w:r>
          </w:p>
        </w:tc>
        <w:tc>
          <w:tcPr>
            <w:tcW w:w="6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Change</w:t>
            </w:r>
          </w:p>
        </w:tc>
        <w:tc>
          <w:tcPr>
            <w:tcW w:w="780" w:type="dxa"/>
            <w:vAlign w:val="bottom"/>
            <w:gridSpan w:val="2"/>
          </w:tcPr>
          <w:p>
            <w:pPr>
              <w:jc w:val="right"/>
              <w:ind w:right="204"/>
              <w:spacing w:after="0" w:line="144"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2"/>
                <w:szCs w:val="12"/>
                <w:color w:val="auto"/>
              </w:rPr>
            </w:pPr>
          </w:p>
        </w:tc>
        <w:tc>
          <w:tcPr>
            <w:tcW w:w="800" w:type="dxa"/>
            <w:vAlign w:val="bottom"/>
            <w:gridSpan w:val="3"/>
          </w:tcPr>
          <w:p>
            <w:pPr>
              <w:ind w:left="20"/>
              <w:spacing w:after="0" w:line="144" w:lineRule="exact"/>
              <w:rPr>
                <w:sz w:val="20"/>
                <w:szCs w:val="20"/>
                <w:color w:val="auto"/>
              </w:rPr>
            </w:pPr>
            <w:r>
              <w:rPr>
                <w:rFonts w:ascii="Arial" w:cs="Arial" w:eastAsia="Arial" w:hAnsi="Arial"/>
                <w:sz w:val="15"/>
                <w:szCs w:val="15"/>
                <w:b w:val="1"/>
                <w:bCs w:val="1"/>
                <w:color w:val="auto"/>
              </w:rPr>
              <w:t>March 31,</w:t>
            </w:r>
          </w:p>
        </w:tc>
        <w:tc>
          <w:tcPr>
            <w:tcW w:w="800" w:type="dxa"/>
            <w:vAlign w:val="bottom"/>
            <w:gridSpan w:val="4"/>
          </w:tcPr>
          <w:p>
            <w:pPr>
              <w:ind w:left="20"/>
              <w:spacing w:after="0" w:line="144" w:lineRule="exact"/>
              <w:rPr>
                <w:sz w:val="20"/>
                <w:szCs w:val="20"/>
                <w:color w:val="auto"/>
              </w:rPr>
            </w:pPr>
            <w:r>
              <w:rPr>
                <w:rFonts w:ascii="Arial" w:cs="Arial" w:eastAsia="Arial" w:hAnsi="Arial"/>
                <w:sz w:val="15"/>
                <w:szCs w:val="15"/>
                <w:b w:val="1"/>
                <w:bCs w:val="1"/>
                <w:color w:val="auto"/>
              </w:rPr>
              <w:t>March 31,</w:t>
            </w:r>
          </w:p>
        </w:tc>
        <w:tc>
          <w:tcPr>
            <w:tcW w:w="6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Change</w:t>
            </w:r>
          </w:p>
        </w:tc>
        <w:tc>
          <w:tcPr>
            <w:tcW w:w="780" w:type="dxa"/>
            <w:vAlign w:val="bottom"/>
            <w:gridSpan w:val="2"/>
          </w:tcPr>
          <w:p>
            <w:pPr>
              <w:jc w:val="right"/>
              <w:ind w:right="204"/>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5"/>
                <w:szCs w:val="15"/>
                <w:b w:val="1"/>
                <w:bCs w:val="1"/>
                <w:color w:val="auto"/>
              </w:rPr>
              <w:t>Change</w:t>
            </w:r>
          </w:p>
        </w:tc>
        <w:tc>
          <w:tcPr>
            <w:tcW w:w="180" w:type="dxa"/>
            <w:vAlign w:val="bottom"/>
          </w:tcPr>
          <w:p>
            <w:pPr>
              <w:spacing w:after="0"/>
              <w:rPr>
                <w:sz w:val="17"/>
                <w:szCs w:val="17"/>
                <w:color w:val="auto"/>
              </w:rPr>
            </w:pPr>
          </w:p>
        </w:tc>
        <w:tc>
          <w:tcPr>
            <w:tcW w:w="600" w:type="dxa"/>
            <w:vAlign w:val="bottom"/>
          </w:tcPr>
          <w:p>
            <w:pPr>
              <w:jc w:val="right"/>
              <w:ind w:right="144"/>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580" w:type="dxa"/>
            <w:vAlign w:val="bottom"/>
          </w:tcPr>
          <w:p>
            <w:pPr>
              <w:jc w:val="right"/>
              <w:ind w:right="14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85"/>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Real property</w:t>
            </w: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215,471</w:t>
            </w:r>
          </w:p>
        </w:tc>
        <w:tc>
          <w:tcPr>
            <w:tcW w:w="26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205,218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87"/>
              </w:rPr>
              <w:t>10,253</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172,741</w:t>
            </w:r>
          </w:p>
        </w:tc>
        <w:tc>
          <w:tcPr>
            <w:tcW w:w="280" w:type="dxa"/>
            <w:vAlign w:val="bottom"/>
            <w:gridSpan w:val="3"/>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164,828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7,913</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42,729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40,390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2,339</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(excluding Transient)</w:t>
            </w: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40"/>
              <w:spacing w:after="0" w:line="149" w:lineRule="exact"/>
              <w:rPr>
                <w:sz w:val="20"/>
                <w:szCs w:val="20"/>
                <w:color w:val="auto"/>
              </w:rPr>
            </w:pPr>
            <w:r>
              <w:rPr>
                <w:rFonts w:ascii="Arial" w:cs="Arial" w:eastAsia="Arial" w:hAnsi="Arial"/>
                <w:sz w:val="15"/>
                <w:szCs w:val="15"/>
                <w:color w:val="auto"/>
              </w:rPr>
              <w:t>Real property -</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25,907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28,870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w w:val="92"/>
              </w:rPr>
              <w:t>(2,963)</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601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928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(327)</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(35.2)%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5"/>
                <w:szCs w:val="15"/>
                <w:color w:val="auto"/>
              </w:rPr>
              <w:t>25,306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27,942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w w:val="96"/>
              </w:rPr>
              <w:t>(2,636)</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98"/>
        </w:trPr>
        <w:tc>
          <w:tcPr>
            <w:tcW w:w="170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7,047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26.7 %</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2,222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2,085</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6.6 %</w:t>
            </w:r>
          </w:p>
        </w:tc>
        <w:tc>
          <w:tcPr>
            <w:tcW w:w="0" w:type="dxa"/>
            <w:vAlign w:val="bottom"/>
          </w:tcPr>
          <w:p>
            <w:pPr>
              <w:spacing w:after="0"/>
              <w:rPr>
                <w:sz w:val="1"/>
                <w:szCs w:val="1"/>
                <w:color w:val="auto"/>
              </w:rPr>
            </w:pPr>
          </w:p>
        </w:tc>
      </w:tr>
      <w:tr>
        <w:trPr>
          <w:trHeight w:val="192"/>
        </w:trPr>
        <w:tc>
          <w:tcPr>
            <w:tcW w:w="170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248,425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239,983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8,442</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9"/>
              </w:rPr>
              <w:t>178,168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169,566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8,602</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5.1 %</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70,257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70,417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Property Operating</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73,015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69,189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3,826</w:t>
            </w: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5.5 %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43,005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40,685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2,320</w:t>
            </w: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5.7 %</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30,010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28,504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w:t>
            </w: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5.3 %</w:t>
            </w:r>
          </w:p>
        </w:tc>
        <w:tc>
          <w:tcPr>
            <w:tcW w:w="0" w:type="dxa"/>
            <w:vAlign w:val="bottom"/>
          </w:tcPr>
          <w:p>
            <w:pPr>
              <w:spacing w:after="0"/>
              <w:rPr>
                <w:sz w:val="1"/>
                <w:szCs w:val="1"/>
                <w:color w:val="auto"/>
              </w:rPr>
            </w:pPr>
          </w:p>
        </w:tc>
      </w:tr>
      <w:tr>
        <w:trPr>
          <w:trHeight w:val="22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Real Property NOI</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175,410</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170,794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135,163</w:t>
            </w:r>
          </w:p>
        </w:tc>
        <w:tc>
          <w:tcPr>
            <w:tcW w:w="280" w:type="dxa"/>
            <w:vAlign w:val="bottom"/>
            <w:gridSpan w:val="3"/>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128,881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40,247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(1,666)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5"/>
                <w:szCs w:val="15"/>
                <w:b w:val="1"/>
                <w:bCs w:val="1"/>
                <w:color w:val="auto"/>
              </w:rPr>
              <w:t>As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8"/>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b w:val="1"/>
                <w:bCs w:val="1"/>
                <w:color w:val="auto"/>
                <w:w w:val="93"/>
              </w:rPr>
              <w:t>March 31, 2020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9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07"/>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properties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90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9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69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900" w:type="dxa"/>
            <w:vAlign w:val="bottom"/>
          </w:tcPr>
          <w:p>
            <w:pPr>
              <w:ind w:left="16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(4)</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9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blended occupancy</w:t>
            </w:r>
            <w:r>
              <w:rPr>
                <w:rFonts w:ascii="Arial" w:cs="Arial" w:eastAsia="Arial" w:hAnsi="Arial"/>
                <w:sz w:val="19"/>
                <w:szCs w:val="19"/>
                <w:color w:val="auto"/>
                <w:vertAlign w:val="superscript"/>
              </w:rPr>
              <w:t>(5)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96.9 %</w:t>
            </w: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development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7,373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6,975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398</w:t>
            </w: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580</w:t>
            </w: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w:t>
            </w:r>
          </w:p>
        </w:tc>
      </w:tr>
      <w:tr>
        <w:trPr>
          <w:trHeight w:val="203"/>
        </w:trPr>
        <w:tc>
          <w:tcPr>
            <w:tcW w:w="690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524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499</w:t>
            </w:r>
          </w:p>
        </w:tc>
        <w:tc>
          <w:tcPr>
            <w:tcW w:w="220" w:type="dxa"/>
            <w:vAlign w:val="bottom"/>
          </w:tcPr>
          <w:p>
            <w:pPr>
              <w:jc w:val="right"/>
              <w:spacing w:after="0"/>
              <w:rPr>
                <w:sz w:val="20"/>
                <w:szCs w:val="20"/>
                <w:color w:val="auto"/>
              </w:rPr>
            </w:pPr>
            <w:r>
              <w:rPr>
                <w:rFonts w:ascii="Arial" w:cs="Arial" w:eastAsia="Arial" w:hAnsi="Arial"/>
                <w:sz w:val="10"/>
                <w:szCs w:val="10"/>
                <w:color w:val="auto"/>
              </w:rPr>
              <w:t>(8)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25</w:t>
            </w:r>
          </w:p>
        </w:tc>
      </w:tr>
      <w:tr>
        <w:trPr>
          <w:trHeight w:val="203"/>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562</w:t>
            </w: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20</w:t>
            </w:r>
          </w:p>
        </w:tc>
      </w:tr>
    </w:tbl>
    <w:p>
      <w:pPr>
        <w:spacing w:after="0" w:line="65"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80" w:right="20" w:hanging="172"/>
        <w:spacing w:after="0" w:line="210" w:lineRule="auto"/>
        <w:tabs>
          <w:tab w:leader="none" w:pos="167"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The occupancy percentages for 2020 have been adjusted to reflect incremental growth period-over-period from newly rented MH expansion sites and the conversion of transient RV sites to annual RV sites.</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three months ended March 31, 2020 have been translated at 2021 average exchange rates.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in the table above reflect constant currency for comparative purposes. We have reclassified water and sewer revenues of $16.5 million and $14.8 million for the three months ended March 31, 2021 and 2020, to reflect the utility expenses associated with our Same Community portfolio net of recovery.</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 months ended March 31, 2021 and 2020, the Total Same Community $4.6 million, or 2.7 percent, growth in NOI is attributable to the MH segment $6.3 million, or 4.9 percent, growth in NOI, partially offset by the RV segment $1.7 million, or 4.0 percent decrease in NOI.</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MH segment $6.3 million, or 4.9 percent, growth in NOI is primarily due to a increase in Real property (excluding transient) revenue of $7.9 million, or 4.8 percent. The Real property (excluding transient) revenue increased due to a 3.2 percent increase in monthly base rent per MH site when compared to the same period in 2020, and a 1.9 percent increase in occupancy.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RV segment $1.7 million, or 4.0 percent, decrease in NOI is due to a decrease in Real property - transient revenue of $2.6 million, or 9.4 percent, and an increase in Property operating expenses, primarily attributable to increases in supplies and repair, payroll and benefit and utility costs..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Marinas Summary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marinas as of and for the three months ended March 31, 2021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jc w:val="right"/>
              <w:ind w:right="304"/>
              <w:spacing w:after="0"/>
              <w:rPr>
                <w:sz w:val="20"/>
                <w:szCs w:val="20"/>
                <w:color w:val="auto"/>
              </w:rPr>
            </w:pPr>
            <w:r>
              <w:rPr>
                <w:rFonts w:ascii="Arial" w:cs="Arial" w:eastAsia="Arial" w:hAnsi="Arial"/>
                <w:sz w:val="15"/>
                <w:szCs w:val="15"/>
                <w:b w:val="1"/>
                <w:bCs w:val="1"/>
                <w:color w:val="auto"/>
              </w:rPr>
              <w:t>Three Months Ended</w:t>
            </w:r>
          </w:p>
        </w:tc>
      </w:tr>
      <w:tr>
        <w:trPr>
          <w:trHeight w:val="207"/>
        </w:trPr>
        <w:tc>
          <w:tcPr>
            <w:tcW w:w="9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March 31, 2021</w:t>
            </w:r>
          </w:p>
        </w:tc>
      </w:tr>
      <w:tr>
        <w:trPr>
          <w:trHeight w:val="187"/>
        </w:trPr>
        <w:tc>
          <w:tcPr>
            <w:tcW w:w="9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2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r>
      <w:tr>
        <w:trPr>
          <w:trHeight w:val="200"/>
        </w:trPr>
        <w:tc>
          <w:tcPr>
            <w:tcW w:w="9100" w:type="dxa"/>
            <w:vAlign w:val="bottom"/>
          </w:tcPr>
          <w:p>
            <w:pPr>
              <w:ind w:left="140"/>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5"/>
        </w:trPr>
        <w:tc>
          <w:tcPr>
            <w:tcW w:w="9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(excluding Transient)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46,106</w:t>
            </w:r>
          </w:p>
        </w:tc>
      </w:tr>
      <w:tr>
        <w:trPr>
          <w:trHeight w:val="198"/>
        </w:trPr>
        <w:tc>
          <w:tcPr>
            <w:tcW w:w="9100" w:type="dxa"/>
            <w:vAlign w:val="bottom"/>
          </w:tcPr>
          <w:p>
            <w:pPr>
              <w:ind w:left="240"/>
              <w:spacing w:after="0"/>
              <w:rPr>
                <w:sz w:val="20"/>
                <w:szCs w:val="20"/>
                <w:color w:val="auto"/>
              </w:rPr>
            </w:pPr>
            <w:r>
              <w:rPr>
                <w:rFonts w:ascii="Arial" w:cs="Arial" w:eastAsia="Arial" w:hAnsi="Arial"/>
                <w:sz w:val="15"/>
                <w:szCs w:val="15"/>
                <w:color w:val="auto"/>
              </w:rPr>
              <w:t>Real property - transient</w:t>
            </w:r>
          </w:p>
        </w:tc>
        <w:tc>
          <w:tcPr>
            <w:tcW w:w="2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868</w:t>
            </w:r>
          </w:p>
        </w:tc>
      </w:tr>
      <w:tr>
        <w:trPr>
          <w:trHeight w:val="207"/>
        </w:trPr>
        <w:tc>
          <w:tcPr>
            <w:tcW w:w="9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1,649</w:t>
            </w:r>
          </w:p>
        </w:tc>
      </w:tr>
      <w:tr>
        <w:trPr>
          <w:trHeight w:val="192"/>
        </w:trPr>
        <w:tc>
          <w:tcPr>
            <w:tcW w:w="910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2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48,623</w:t>
            </w:r>
          </w:p>
        </w:tc>
      </w:tr>
      <w:tr>
        <w:trPr>
          <w:trHeight w:val="207"/>
        </w:trPr>
        <w:tc>
          <w:tcPr>
            <w:tcW w:w="91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Expenses</w:t>
            </w:r>
          </w:p>
        </w:tc>
        <w:tc>
          <w:tcPr>
            <w:tcW w:w="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8"/>
        </w:trPr>
        <w:tc>
          <w:tcPr>
            <w:tcW w:w="91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Property Operating</w:t>
            </w: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23,575</w:t>
            </w:r>
          </w:p>
        </w:tc>
      </w:tr>
      <w:tr>
        <w:trPr>
          <w:trHeight w:val="200"/>
        </w:trPr>
        <w:tc>
          <w:tcPr>
            <w:tcW w:w="91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Real Property NOI</w:t>
            </w:r>
          </w:p>
        </w:tc>
        <w:tc>
          <w:tcPr>
            <w:tcW w:w="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25,048</w:t>
            </w:r>
          </w:p>
        </w:tc>
      </w:tr>
      <w:tr>
        <w:trPr>
          <w:trHeight w:val="200"/>
        </w:trPr>
        <w:tc>
          <w:tcPr>
            <w:tcW w:w="9100" w:type="dxa"/>
            <w:vAlign w:val="bottom"/>
          </w:tcPr>
          <w:p>
            <w:pPr>
              <w:ind w:left="140"/>
              <w:spacing w:after="0"/>
              <w:rPr>
                <w:sz w:val="20"/>
                <w:szCs w:val="20"/>
                <w:color w:val="auto"/>
              </w:rPr>
            </w:pPr>
            <w:r>
              <w:rPr>
                <w:rFonts w:ascii="Arial" w:cs="Arial" w:eastAsia="Arial" w:hAnsi="Arial"/>
                <w:sz w:val="15"/>
                <w:szCs w:val="15"/>
                <w:b w:val="1"/>
                <w:bCs w:val="1"/>
                <w:color w:val="auto"/>
              </w:rPr>
              <w:t>Service, retail, dining and entertainment</w:t>
            </w: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5"/>
        </w:trPr>
        <w:tc>
          <w:tcPr>
            <w:tcW w:w="9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Service, retail, dining and entertainment revenue</w:t>
            </w:r>
          </w:p>
        </w:tc>
        <w:tc>
          <w:tcPr>
            <w:tcW w:w="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44,354</w:t>
            </w:r>
          </w:p>
        </w:tc>
      </w:tr>
      <w:tr>
        <w:trPr>
          <w:trHeight w:val="199"/>
        </w:trPr>
        <w:tc>
          <w:tcPr>
            <w:tcW w:w="91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Service, retail, dining and entertainment expense</w:t>
            </w: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38,009</w:t>
            </w:r>
          </w:p>
        </w:tc>
      </w:tr>
      <w:tr>
        <w:trPr>
          <w:trHeight w:val="200"/>
        </w:trPr>
        <w:tc>
          <w:tcPr>
            <w:tcW w:w="9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Service, Retail, Dining and Entertainment NOI</w:t>
            </w:r>
          </w:p>
        </w:tc>
        <w:tc>
          <w:tcPr>
            <w:tcW w:w="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6,345</w:t>
            </w:r>
          </w:p>
        </w:tc>
      </w:tr>
      <w:tr>
        <w:trPr>
          <w:trHeight w:val="216"/>
        </w:trPr>
        <w:tc>
          <w:tcPr>
            <w:tcW w:w="9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r>
      <w:tr>
        <w:trPr>
          <w:trHeight w:val="221"/>
        </w:trPr>
        <w:tc>
          <w:tcPr>
            <w:tcW w:w="9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Marina NOI</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31,393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03"/>
        </w:trPr>
        <w:tc>
          <w:tcPr>
            <w:tcW w:w="9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Information - Marinas</w:t>
            </w:r>
          </w:p>
        </w:tc>
        <w:tc>
          <w:tcPr>
            <w:tcW w:w="2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9100" w:type="dxa"/>
            <w:vAlign w:val="bottom"/>
          </w:tcPr>
          <w:p>
            <w:pPr>
              <w:ind w:left="140"/>
              <w:spacing w:after="0" w:line="196"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(a)</w:t>
            </w:r>
          </w:p>
        </w:tc>
        <w:tc>
          <w:tcPr>
            <w:tcW w:w="240" w:type="dxa"/>
            <w:vAlign w:val="bottom"/>
          </w:tcPr>
          <w:p>
            <w:pPr>
              <w:spacing w:after="0"/>
              <w:rPr>
                <w:sz w:val="17"/>
                <w:szCs w:val="17"/>
                <w:color w:val="auto"/>
              </w:rPr>
            </w:pPr>
          </w:p>
        </w:tc>
        <w:tc>
          <w:tcPr>
            <w:tcW w:w="1900" w:type="dxa"/>
            <w:vAlign w:val="bottom"/>
          </w:tcPr>
          <w:p>
            <w:pPr>
              <w:jc w:val="right"/>
              <w:ind w:right="164"/>
              <w:spacing w:after="0"/>
              <w:rPr>
                <w:sz w:val="20"/>
                <w:szCs w:val="20"/>
                <w:color w:val="auto"/>
              </w:rPr>
            </w:pPr>
            <w:r>
              <w:rPr>
                <w:rFonts w:ascii="Arial" w:cs="Arial" w:eastAsia="Arial" w:hAnsi="Arial"/>
                <w:sz w:val="15"/>
                <w:szCs w:val="15"/>
                <w:color w:val="auto"/>
              </w:rPr>
              <w:t>110</w:t>
            </w:r>
          </w:p>
        </w:tc>
      </w:tr>
      <w:tr>
        <w:trPr>
          <w:trHeight w:val="203"/>
        </w:trPr>
        <w:tc>
          <w:tcPr>
            <w:tcW w:w="9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wet slips and dry storage</w:t>
            </w:r>
          </w:p>
        </w:tc>
        <w:tc>
          <w:tcPr>
            <w:tcW w:w="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38,753</w:t>
            </w:r>
          </w:p>
        </w:tc>
      </w:tr>
    </w:tbl>
    <w:p>
      <w:pPr>
        <w:spacing w:after="0" w:line="88"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Marina properties comprised of four properties acquired in 2021 and 106 properties acquired in 2020.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months ended March 31, 2021 and 2020 (in thousands, except for average selling prices and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2020</w:t>
            </w:r>
          </w:p>
        </w:tc>
        <w:tc>
          <w:tcPr>
            <w:tcW w:w="160" w:type="dxa"/>
            <w:vAlign w:val="bottom"/>
          </w:tcPr>
          <w:p>
            <w:pPr>
              <w:spacing w:after="0"/>
              <w:rPr>
                <w:sz w:val="17"/>
                <w:szCs w:val="17"/>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 Change</w:t>
            </w:r>
          </w:p>
        </w:tc>
      </w:tr>
      <w:tr>
        <w:trPr>
          <w:trHeight w:val="183"/>
        </w:trPr>
        <w:tc>
          <w:tcPr>
            <w:tcW w:w="6540" w:type="dxa"/>
            <w:vAlign w:val="bottom"/>
            <w:gridSpan w:val="5"/>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86"/>
        </w:trPr>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b w:val="1"/>
                <w:bCs w:val="1"/>
                <w:color w:val="auto"/>
                <w:w w:val="89"/>
              </w:rPr>
              <w:t>New Homes</w:t>
            </w:r>
          </w:p>
        </w:tc>
        <w:tc>
          <w:tcPr>
            <w:tcW w:w="562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9"/>
        </w:trPr>
        <w:tc>
          <w:tcPr>
            <w:tcW w:w="140" w:type="dxa"/>
            <w:vAlign w:val="bottom"/>
          </w:tcPr>
          <w:p>
            <w:pPr>
              <w:spacing w:after="0"/>
              <w:rPr>
                <w:sz w:val="17"/>
                <w:szCs w:val="17"/>
                <w:color w:val="auto"/>
              </w:rPr>
            </w:pPr>
          </w:p>
        </w:tc>
        <w:tc>
          <w:tcPr>
            <w:tcW w:w="6400" w:type="dxa"/>
            <w:vAlign w:val="bottom"/>
            <w:gridSpan w:val="4"/>
          </w:tcPr>
          <w:p>
            <w:pPr>
              <w:ind w:left="200"/>
              <w:spacing w:after="0"/>
              <w:rPr>
                <w:sz w:val="20"/>
                <w:szCs w:val="20"/>
                <w:color w:val="auto"/>
              </w:rPr>
            </w:pPr>
            <w:r>
              <w:rPr>
                <w:rFonts w:ascii="Arial" w:cs="Arial" w:eastAsia="Arial" w:hAnsi="Arial"/>
                <w:sz w:val="15"/>
                <w:szCs w:val="15"/>
                <w:color w:val="auto"/>
              </w:rPr>
              <w:t>New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22,972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15,596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7,376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47.3 %</w:t>
            </w:r>
          </w:p>
        </w:tc>
      </w:tr>
      <w:tr>
        <w:trPr>
          <w:trHeight w:val="206"/>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New home cost of sales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18,674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12,610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6,064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48.1 %</w:t>
            </w:r>
          </w:p>
        </w:tc>
      </w:tr>
      <w:tr>
        <w:trPr>
          <w:trHeight w:val="192"/>
        </w:trPr>
        <w:tc>
          <w:tcPr>
            <w:tcW w:w="140" w:type="dxa"/>
            <w:vAlign w:val="bottom"/>
          </w:tcPr>
          <w:p>
            <w:pPr>
              <w:spacing w:after="0"/>
              <w:rPr>
                <w:sz w:val="16"/>
                <w:szCs w:val="16"/>
                <w:color w:val="auto"/>
              </w:rPr>
            </w:pPr>
          </w:p>
        </w:tc>
        <w:tc>
          <w:tcPr>
            <w:tcW w:w="6400" w:type="dxa"/>
            <w:vAlign w:val="bottom"/>
            <w:gridSpan w:val="4"/>
          </w:tcPr>
          <w:p>
            <w:pPr>
              <w:ind w:left="200"/>
              <w:spacing w:after="0"/>
              <w:rPr>
                <w:sz w:val="20"/>
                <w:szCs w:val="20"/>
                <w:color w:val="auto"/>
              </w:rPr>
            </w:pPr>
            <w:r>
              <w:rPr>
                <w:rFonts w:ascii="Arial" w:cs="Arial" w:eastAsia="Arial" w:hAnsi="Arial"/>
                <w:sz w:val="15"/>
                <w:szCs w:val="15"/>
                <w:color w:val="auto"/>
              </w:rPr>
              <w:t>Gross Profit – new homes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4,298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2,986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1,312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43.9 %</w:t>
            </w:r>
          </w:p>
        </w:tc>
      </w:tr>
      <w:tr>
        <w:trPr>
          <w:trHeight w:val="207"/>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Gross margin % – new homes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140" w:type="dxa"/>
            <w:vAlign w:val="bottom"/>
          </w:tcPr>
          <w:p>
            <w:pPr>
              <w:spacing w:after="0"/>
              <w:rPr>
                <w:sz w:val="17"/>
                <w:szCs w:val="17"/>
                <w:color w:val="auto"/>
              </w:rPr>
            </w:pPr>
          </w:p>
        </w:tc>
        <w:tc>
          <w:tcPr>
            <w:tcW w:w="6400" w:type="dxa"/>
            <w:vAlign w:val="bottom"/>
            <w:gridSpan w:val="4"/>
          </w:tcPr>
          <w:p>
            <w:pPr>
              <w:ind w:left="200"/>
              <w:spacing w:after="0"/>
              <w:rPr>
                <w:sz w:val="20"/>
                <w:szCs w:val="20"/>
                <w:color w:val="auto"/>
              </w:rPr>
            </w:pPr>
            <w:r>
              <w:rPr>
                <w:rFonts w:ascii="Arial" w:cs="Arial" w:eastAsia="Arial" w:hAnsi="Arial"/>
                <w:sz w:val="15"/>
                <w:szCs w:val="15"/>
                <w:color w:val="auto"/>
              </w:rPr>
              <w:t>Average selling price – new homes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154,174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131,059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23,115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17.6 %</w:t>
            </w:r>
          </w:p>
        </w:tc>
      </w:tr>
      <w:tr>
        <w:trPr>
          <w:trHeight w:val="166"/>
        </w:trPr>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640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Pre-owned Homes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29,227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24,991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17.0 %</w:t>
            </w:r>
          </w:p>
        </w:tc>
      </w:tr>
      <w:tr>
        <w:trPr>
          <w:trHeight w:val="198"/>
        </w:trPr>
        <w:tc>
          <w:tcPr>
            <w:tcW w:w="14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Pre-owned home cost of sales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18,584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17,422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1,162</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6.7 %</w:t>
            </w:r>
          </w:p>
        </w:tc>
      </w:tr>
      <w:tr>
        <w:trPr>
          <w:trHeight w:val="200"/>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Gross Profit – pre-owned homes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10,643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7,569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3,074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40.6 %</w:t>
            </w:r>
          </w:p>
        </w:tc>
      </w:tr>
      <w:tr>
        <w:trPr>
          <w:trHeight w:val="198"/>
        </w:trPr>
        <w:tc>
          <w:tcPr>
            <w:tcW w:w="140" w:type="dxa"/>
            <w:vAlign w:val="bottom"/>
          </w:tcPr>
          <w:p>
            <w:pPr>
              <w:spacing w:after="0"/>
              <w:rPr>
                <w:sz w:val="17"/>
                <w:szCs w:val="17"/>
                <w:color w:val="auto"/>
              </w:rPr>
            </w:pPr>
          </w:p>
        </w:tc>
        <w:tc>
          <w:tcPr>
            <w:tcW w:w="6400" w:type="dxa"/>
            <w:vAlign w:val="bottom"/>
            <w:gridSpan w:val="4"/>
          </w:tcPr>
          <w:p>
            <w:pPr>
              <w:ind w:left="200"/>
              <w:spacing w:after="0"/>
              <w:rPr>
                <w:sz w:val="20"/>
                <w:szCs w:val="20"/>
                <w:color w:val="auto"/>
              </w:rPr>
            </w:pPr>
            <w:r>
              <w:rPr>
                <w:rFonts w:ascii="Arial" w:cs="Arial" w:eastAsia="Arial" w:hAnsi="Arial"/>
                <w:sz w:val="15"/>
                <w:szCs w:val="15"/>
                <w:color w:val="auto"/>
              </w:rPr>
              <w:t>Gross margin % – pre-owned homes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6.1 %</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Average selling price – pre-owned homes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42,605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38,806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3,799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9.8 %</w:t>
            </w:r>
          </w:p>
        </w:tc>
      </w:tr>
      <w:tr>
        <w:trPr>
          <w:trHeight w:val="162"/>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40" w:type="dxa"/>
            <w:vAlign w:val="bottom"/>
            <w:shd w:val="clear" w:color="auto" w:fill="CCEEFF"/>
          </w:tcPr>
          <w:p>
            <w:pPr>
              <w:spacing w:after="0"/>
              <w:rPr>
                <w:sz w:val="14"/>
                <w:szCs w:val="14"/>
                <w:color w:val="auto"/>
              </w:rPr>
            </w:pPr>
          </w:p>
        </w:tc>
        <w:tc>
          <w:tcPr>
            <w:tcW w:w="640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Home Sales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140" w:type="dxa"/>
            <w:vAlign w:val="bottom"/>
          </w:tcPr>
          <w:p>
            <w:pPr>
              <w:spacing w:after="0"/>
              <w:rPr>
                <w:sz w:val="17"/>
                <w:szCs w:val="17"/>
                <w:color w:val="auto"/>
              </w:rPr>
            </w:pPr>
          </w:p>
        </w:tc>
        <w:tc>
          <w:tcPr>
            <w:tcW w:w="6400" w:type="dxa"/>
            <w:vAlign w:val="bottom"/>
            <w:gridSpan w:val="4"/>
          </w:tcPr>
          <w:p>
            <w:pPr>
              <w:ind w:left="220"/>
              <w:spacing w:after="0"/>
              <w:rPr>
                <w:sz w:val="20"/>
                <w:szCs w:val="20"/>
                <w:color w:val="auto"/>
              </w:rPr>
            </w:pPr>
            <w:r>
              <w:rPr>
                <w:rFonts w:ascii="Arial" w:cs="Arial" w:eastAsia="Arial" w:hAnsi="Arial"/>
                <w:sz w:val="15"/>
                <w:szCs w:val="15"/>
                <w:color w:val="auto"/>
              </w:rPr>
              <w:t>Revenue from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52,199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40,587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11,612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28.6 %</w:t>
            </w:r>
          </w:p>
        </w:tc>
      </w:tr>
      <w:tr>
        <w:trPr>
          <w:trHeight w:val="207"/>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37,258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30,032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7,226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24.1 %</w:t>
            </w:r>
          </w:p>
        </w:tc>
      </w:tr>
      <w:tr>
        <w:trPr>
          <w:trHeight w:val="198"/>
        </w:trPr>
        <w:tc>
          <w:tcPr>
            <w:tcW w:w="14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Home selling expenses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4,332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4,007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325</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8.1 %</w:t>
            </w:r>
          </w:p>
        </w:tc>
      </w:tr>
      <w:tr>
        <w:trPr>
          <w:trHeight w:val="225"/>
        </w:trPr>
        <w:tc>
          <w:tcPr>
            <w:tcW w:w="14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5"/>
                <w:szCs w:val="15"/>
                <w:color w:val="auto"/>
              </w:rPr>
              <w:t>Home sales 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10,609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6,548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4,061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62.0 %</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09"/>
        </w:trPr>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03"/>
        </w:trPr>
        <w:tc>
          <w:tcPr>
            <w:tcW w:w="6540" w:type="dxa"/>
            <w:vAlign w:val="bottom"/>
            <w:gridSpan w:val="5"/>
            <w:shd w:val="clear" w:color="auto" w:fill="CCEEFF"/>
          </w:tcPr>
          <w:p>
            <w:pPr>
              <w:ind w:left="20"/>
              <w:spacing w:after="0"/>
              <w:rPr>
                <w:sz w:val="20"/>
                <w:szCs w:val="20"/>
                <w:color w:val="auto"/>
              </w:rPr>
            </w:pPr>
            <w:r>
              <w:rPr>
                <w:rFonts w:ascii="Arial" w:cs="Arial" w:eastAsia="Arial" w:hAnsi="Arial"/>
                <w:sz w:val="15"/>
                <w:szCs w:val="15"/>
                <w:b w:val="1"/>
                <w:bCs w:val="1"/>
                <w:color w:val="auto"/>
              </w:rPr>
              <w:t>Statistical Information</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140" w:type="dxa"/>
            <w:vAlign w:val="bottom"/>
          </w:tcPr>
          <w:p>
            <w:pPr>
              <w:spacing w:after="0"/>
              <w:rPr>
                <w:sz w:val="17"/>
                <w:szCs w:val="17"/>
                <w:color w:val="auto"/>
              </w:rPr>
            </w:pPr>
          </w:p>
        </w:tc>
        <w:tc>
          <w:tcPr>
            <w:tcW w:w="6400" w:type="dxa"/>
            <w:vAlign w:val="bottom"/>
            <w:gridSpan w:val="4"/>
          </w:tcPr>
          <w:p>
            <w:pPr>
              <w:ind w:left="200"/>
              <w:spacing w:after="0"/>
              <w:rPr>
                <w:sz w:val="20"/>
                <w:szCs w:val="20"/>
                <w:color w:val="auto"/>
              </w:rPr>
            </w:pPr>
            <w:r>
              <w:rPr>
                <w:rFonts w:ascii="Arial" w:cs="Arial" w:eastAsia="Arial" w:hAnsi="Arial"/>
                <w:sz w:val="15"/>
                <w:szCs w:val="15"/>
                <w:color w:val="auto"/>
              </w:rPr>
              <w:t>New home sales volume</w:t>
            </w:r>
          </w:p>
        </w:tc>
        <w:tc>
          <w:tcPr>
            <w:tcW w:w="12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149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30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25.2 %</w:t>
            </w:r>
          </w:p>
        </w:tc>
      </w:tr>
      <w:tr>
        <w:trPr>
          <w:trHeight w:val="203"/>
        </w:trPr>
        <w:tc>
          <w:tcPr>
            <w:tcW w:w="140" w:type="dxa"/>
            <w:vAlign w:val="bottom"/>
            <w:shd w:val="clear" w:color="auto" w:fill="CCEEFF"/>
          </w:tcPr>
          <w:p>
            <w:pPr>
              <w:spacing w:after="0"/>
              <w:rPr>
                <w:sz w:val="17"/>
                <w:szCs w:val="17"/>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 volume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686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6.5 %</w:t>
            </w:r>
          </w:p>
        </w:tc>
      </w:tr>
      <w:tr>
        <w:trPr>
          <w:trHeight w:val="200"/>
        </w:trPr>
        <w:tc>
          <w:tcPr>
            <w:tcW w:w="140" w:type="dxa"/>
            <w:vAlign w:val="bottom"/>
          </w:tcPr>
          <w:p>
            <w:pPr>
              <w:spacing w:after="0"/>
              <w:rPr>
                <w:sz w:val="17"/>
                <w:szCs w:val="17"/>
                <w:color w:val="auto"/>
              </w:rPr>
            </w:pPr>
          </w:p>
        </w:tc>
        <w:tc>
          <w:tcPr>
            <w:tcW w:w="6400" w:type="dxa"/>
            <w:vAlign w:val="bottom"/>
            <w:gridSpan w:val="4"/>
          </w:tcPr>
          <w:p>
            <w:pPr>
              <w:ind w:left="200"/>
              <w:spacing w:after="0"/>
              <w:rPr>
                <w:sz w:val="20"/>
                <w:szCs w:val="20"/>
                <w:color w:val="auto"/>
              </w:rPr>
            </w:pPr>
            <w:r>
              <w:rPr>
                <w:rFonts w:ascii="Arial" w:cs="Arial" w:eastAsia="Arial" w:hAnsi="Arial"/>
                <w:sz w:val="15"/>
                <w:szCs w:val="15"/>
                <w:color w:val="auto"/>
              </w:rPr>
              <w:t>Total home sales volume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835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9.4 %</w:t>
            </w:r>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23" w:lineRule="exact"/>
        <w:rPr>
          <w:sz w:val="20"/>
          <w:szCs w:val="20"/>
          <w:color w:val="auto"/>
        </w:rPr>
      </w:pPr>
    </w:p>
    <w:p>
      <w:pPr>
        <w:jc w:val="both"/>
        <w:ind w:left="180"/>
        <w:spacing w:after="0" w:line="323" w:lineRule="auto"/>
        <w:rPr>
          <w:sz w:val="20"/>
          <w:szCs w:val="20"/>
          <w:color w:val="auto"/>
        </w:rPr>
      </w:pPr>
      <w:r>
        <w:rPr>
          <w:rFonts w:ascii="Arial" w:cs="Arial" w:eastAsia="Arial" w:hAnsi="Arial"/>
          <w:sz w:val="16"/>
          <w:szCs w:val="16"/>
          <w:color w:val="auto"/>
        </w:rPr>
        <w:t>For the three months ended March 31, 2021, the $1.3 million, or 43.9 percent increase in gross profit is primarily the result of a 25.2 percent increase in new home sales volume coupled with a 17.6 percent increase in the new home average selling price, as compared to the same period in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23" w:lineRule="exact"/>
        <w:rPr>
          <w:sz w:val="20"/>
          <w:szCs w:val="20"/>
          <w:color w:val="auto"/>
        </w:rPr>
      </w:pPr>
    </w:p>
    <w:p>
      <w:pPr>
        <w:jc w:val="both"/>
        <w:ind w:left="180" w:right="20"/>
        <w:spacing w:after="0" w:line="255" w:lineRule="auto"/>
        <w:rPr>
          <w:sz w:val="20"/>
          <w:szCs w:val="20"/>
          <w:color w:val="auto"/>
        </w:rPr>
      </w:pPr>
      <w:r>
        <w:rPr>
          <w:rFonts w:ascii="Arial" w:cs="Arial" w:eastAsia="Arial" w:hAnsi="Arial"/>
          <w:sz w:val="18"/>
          <w:szCs w:val="18"/>
          <w:color w:val="auto"/>
        </w:rPr>
        <w:t>For the three months ended March 31, 2021, the $3.1 million, or 40.6 percent increase in gross profit is primarily the result of a 6.1 percent increase in gross margin, primarily due to a 9.8 percent increase in the pre-owned home average selling price, coupled with a 6.5 percent increase in pre-owned home sales volume, as compared to the same period in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Homes sales NOI</w:t>
      </w:r>
    </w:p>
    <w:p>
      <w:pPr>
        <w:spacing w:after="0" w:line="23"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For the three months ended March 31, 2021, the $4.1 million or 62.0 percent increase in NOI is primarily the result of a 9.4 percent increase in home sales volume coupled with increase in home average selling price, as compared to the same period in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months ended March 31, 2021 and 2020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w w:val="94"/>
              </w:rPr>
              <w:t>Three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6900" w:type="dxa"/>
            <w:vAlign w:val="bottom"/>
          </w:tcPr>
          <w:p>
            <w:pPr>
              <w:spacing w:after="0"/>
              <w:rPr>
                <w:sz w:val="17"/>
                <w:szCs w:val="17"/>
                <w:color w:val="auto"/>
              </w:rPr>
            </w:pPr>
          </w:p>
        </w:tc>
        <w:tc>
          <w:tcPr>
            <w:tcW w:w="130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2021</w:t>
            </w:r>
          </w:p>
        </w:tc>
        <w:tc>
          <w:tcPr>
            <w:tcW w:w="130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Change</w:t>
            </w:r>
          </w:p>
        </w:tc>
      </w:tr>
      <w:tr>
        <w:trPr>
          <w:trHeight w:val="183"/>
        </w:trPr>
        <w:tc>
          <w:tcPr>
            <w:tcW w:w="690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07"/>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6900" w:type="dxa"/>
            <w:vAlign w:val="bottom"/>
          </w:tcPr>
          <w:p>
            <w:pPr>
              <w:ind w:left="340"/>
              <w:spacing w:after="0"/>
              <w:rPr>
                <w:sz w:val="20"/>
                <w:szCs w:val="20"/>
                <w:color w:val="auto"/>
              </w:rPr>
            </w:pPr>
            <w:r>
              <w:rPr>
                <w:rFonts w:ascii="Arial" w:cs="Arial" w:eastAsia="Arial" w:hAnsi="Arial"/>
                <w:sz w:val="15"/>
                <w:szCs w:val="15"/>
                <w:color w:val="auto"/>
              </w:rPr>
              <w:t>Home rent</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17,022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15,469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1,553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07"/>
        </w:trPr>
        <w:tc>
          <w:tcPr>
            <w:tcW w:w="69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Site rent</w:t>
            </w: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19,117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18,007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6.2 %</w:t>
            </w:r>
          </w:p>
        </w:tc>
      </w:tr>
      <w:tr>
        <w:trPr>
          <w:trHeight w:val="192"/>
        </w:trPr>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36,139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33,476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2,663</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8.0 %</w:t>
            </w:r>
          </w:p>
        </w:tc>
      </w:tr>
      <w:tr>
        <w:trPr>
          <w:trHeight w:val="200"/>
        </w:trPr>
        <w:tc>
          <w:tcPr>
            <w:tcW w:w="6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6900" w:type="dxa"/>
            <w:vAlign w:val="bottom"/>
          </w:tcPr>
          <w:p>
            <w:pPr>
              <w:ind w:left="140"/>
              <w:spacing w:after="0"/>
              <w:rPr>
                <w:sz w:val="20"/>
                <w:szCs w:val="20"/>
                <w:color w:val="auto"/>
              </w:rPr>
            </w:pPr>
            <w:r>
              <w:rPr>
                <w:rFonts w:ascii="Arial" w:cs="Arial" w:eastAsia="Arial" w:hAnsi="Arial"/>
                <w:sz w:val="15"/>
                <w:szCs w:val="15"/>
                <w:b w:val="1"/>
                <w:bCs w:val="1"/>
                <w:color w:val="auto"/>
              </w:rPr>
              <w:t>Expenses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69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Rental Program operating and maintenance</w:t>
            </w: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4,823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8.3 %</w:t>
            </w:r>
          </w:p>
        </w:tc>
      </w:tr>
      <w:tr>
        <w:trPr>
          <w:trHeight w:val="200"/>
        </w:trPr>
        <w:tc>
          <w:tcPr>
            <w:tcW w:w="6900" w:type="dxa"/>
            <w:vAlign w:val="bottom"/>
          </w:tcPr>
          <w:p>
            <w:pPr>
              <w:ind w:left="360"/>
              <w:spacing w:after="0"/>
              <w:rPr>
                <w:sz w:val="20"/>
                <w:szCs w:val="20"/>
                <w:color w:val="auto"/>
              </w:rPr>
            </w:pPr>
            <w:r>
              <w:rPr>
                <w:rFonts w:ascii="Arial" w:cs="Arial" w:eastAsia="Arial" w:hAnsi="Arial"/>
                <w:sz w:val="15"/>
                <w:szCs w:val="15"/>
                <w:color w:val="auto"/>
              </w:rPr>
              <w:t>Rental Program NOI</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30,915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28,653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7.9 %</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83"/>
        </w:trPr>
        <w:tc>
          <w:tcPr>
            <w:tcW w:w="6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0"/>
        </w:trPr>
        <w:tc>
          <w:tcPr>
            <w:tcW w:w="69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5"/>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sold rental homes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99"/>
        </w:trPr>
        <w:tc>
          <w:tcPr>
            <w:tcW w:w="6900" w:type="dxa"/>
            <w:vAlign w:val="bottom"/>
          </w:tcPr>
          <w:p>
            <w:pPr>
              <w:ind w:left="140"/>
              <w:spacing w:after="0"/>
              <w:rPr>
                <w:sz w:val="20"/>
                <w:szCs w:val="20"/>
                <w:color w:val="auto"/>
              </w:rPr>
            </w:pPr>
            <w:r>
              <w:rPr>
                <w:rFonts w:ascii="Arial" w:cs="Arial" w:eastAsia="Arial" w:hAnsi="Arial"/>
                <w:sz w:val="15"/>
                <w:szCs w:val="15"/>
                <w:color w:val="auto"/>
              </w:rPr>
              <w:t>Number of occupied rentals, end of period</w:t>
            </w:r>
          </w:p>
        </w:tc>
        <w:tc>
          <w:tcPr>
            <w:tcW w:w="3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11,473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11,431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0.4 %</w:t>
            </w:r>
          </w:p>
        </w:tc>
      </w:tr>
      <w:tr>
        <w:trPr>
          <w:trHeight w:val="206"/>
        </w:trPr>
        <w:tc>
          <w:tcPr>
            <w:tcW w:w="6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 in occupied rental homes, end of period</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621,869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596,319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4.3 %</w:t>
            </w:r>
          </w:p>
        </w:tc>
      </w:tr>
      <w:tr>
        <w:trPr>
          <w:trHeight w:val="195"/>
        </w:trPr>
        <w:tc>
          <w:tcPr>
            <w:tcW w:w="6900" w:type="dxa"/>
            <w:vAlign w:val="bottom"/>
          </w:tcPr>
          <w:p>
            <w:pPr>
              <w:ind w:left="140"/>
              <w:spacing w:after="0"/>
              <w:rPr>
                <w:sz w:val="20"/>
                <w:szCs w:val="20"/>
                <w:color w:val="auto"/>
              </w:rPr>
            </w:pPr>
            <w:r>
              <w:rPr>
                <w:rFonts w:ascii="Arial" w:cs="Arial" w:eastAsia="Arial" w:hAnsi="Arial"/>
                <w:sz w:val="15"/>
                <w:szCs w:val="15"/>
                <w:color w:val="auto"/>
              </w:rPr>
              <w:t>Weighted average monthly rental rate, end of period</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1,055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4.6 %</w:t>
            </w:r>
          </w:p>
        </w:tc>
      </w:tr>
    </w:tbl>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Rental Program NOI is included in Real Property NOI. The Rental Program NOI is separately reviewed to assess the overall growth and performance of the Rental Program and its financial impact on the Company's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Rental Program NOI increased $2.3 million, or 7.9 percent, for the three months ended March 31, 2021 as compared to the same period in 2020. The increase is primarily due to an increase in Rental Program revenue of $2.7 million, or 8.0 percent, due to a 4.6 percent increase in the weighted average monthly rental rate and a 0.4 percent increase in the number of occupied rentals.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 Statements of Operations</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three months ended March 31, 2021 and 2020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Three Months Ended</w:t>
            </w:r>
          </w:p>
        </w:tc>
        <w:tc>
          <w:tcPr>
            <w:tcW w:w="860" w:type="dxa"/>
            <w:vAlign w:val="bottom"/>
            <w:tcBorders>
              <w:bottom w:val="single" w:sz="8" w:color="auto"/>
            </w:tcBorders>
          </w:tcPr>
          <w:p>
            <w:pPr>
              <w:spacing w:after="0"/>
              <w:rPr>
                <w:sz w:val="17"/>
                <w:szCs w:val="17"/>
                <w:color w:val="auto"/>
              </w:rPr>
            </w:pPr>
          </w:p>
        </w:tc>
      </w:tr>
      <w:tr>
        <w:trPr>
          <w:trHeight w:val="198"/>
        </w:trPr>
        <w:tc>
          <w:tcPr>
            <w:tcW w:w="688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March 31, 2021</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 Change</w:t>
            </w:r>
          </w:p>
        </w:tc>
      </w:tr>
      <w:tr>
        <w:trPr>
          <w:trHeight w:val="198"/>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net</w:t>
            </w: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6,760</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428.1 %</w:t>
            </w:r>
          </w:p>
        </w:tc>
      </w:tr>
      <w:tr>
        <w:trPr>
          <w:trHeight w:val="199"/>
        </w:trPr>
        <w:tc>
          <w:tcPr>
            <w:tcW w:w="688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2,631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2,350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12.0 %</w:t>
            </w:r>
          </w:p>
        </w:tc>
      </w:tr>
      <w:tr>
        <w:trPr>
          <w:trHeight w:val="206"/>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 net</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52.3 %</w:t>
            </w:r>
          </w:p>
        </w:tc>
      </w:tr>
      <w:tr>
        <w:trPr>
          <w:trHeight w:val="199"/>
        </w:trPr>
        <w:tc>
          <w:tcPr>
            <w:tcW w:w="688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38,203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25,349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12,854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50.7 %</w:t>
            </w:r>
          </w:p>
        </w:tc>
      </w:tr>
      <w:tr>
        <w:trPr>
          <w:trHeight w:val="206"/>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Catastrophic event-related charges, net</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298.3 %</w:t>
            </w:r>
          </w:p>
        </w:tc>
      </w:tr>
      <w:tr>
        <w:trPr>
          <w:trHeight w:val="199"/>
        </w:trPr>
        <w:tc>
          <w:tcPr>
            <w:tcW w:w="6880" w:type="dxa"/>
            <w:vAlign w:val="bottom"/>
          </w:tcPr>
          <w:p>
            <w:pPr>
              <w:ind w:left="20"/>
              <w:spacing w:after="0"/>
              <w:rPr>
                <w:sz w:val="20"/>
                <w:szCs w:val="20"/>
                <w:color w:val="auto"/>
              </w:rPr>
            </w:pPr>
            <w:r>
              <w:rPr>
                <w:rFonts w:ascii="Arial" w:cs="Arial" w:eastAsia="Arial" w:hAnsi="Arial"/>
                <w:sz w:val="15"/>
                <w:szCs w:val="15"/>
                <w:color w:val="auto"/>
              </w:rPr>
              <w:t>Business combination expense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1,232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1,232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06"/>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39,615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47.3 %</w:t>
            </w:r>
          </w:p>
        </w:tc>
      </w:tr>
      <w:tr>
        <w:trPr>
          <w:trHeight w:val="199"/>
        </w:trPr>
        <w:tc>
          <w:tcPr>
            <w:tcW w:w="6880" w:type="dxa"/>
            <w:vAlign w:val="bottom"/>
          </w:tcPr>
          <w:p>
            <w:pPr>
              <w:ind w:left="20"/>
              <w:spacing w:after="0"/>
              <w:rPr>
                <w:sz w:val="20"/>
                <w:szCs w:val="20"/>
                <w:color w:val="auto"/>
              </w:rPr>
            </w:pPr>
            <w:r>
              <w:rPr>
                <w:rFonts w:ascii="Arial" w:cs="Arial" w:eastAsia="Arial" w:hAnsi="Arial"/>
                <w:sz w:val="15"/>
                <w:szCs w:val="15"/>
                <w:color w:val="auto"/>
              </w:rPr>
              <w:t>Loss on extinguishment of debt (see Note 8)</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3,279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(3,279)</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06"/>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21.9 %</w:t>
            </w:r>
          </w:p>
        </w:tc>
      </w:tr>
      <w:tr>
        <w:trPr>
          <w:trHeight w:val="199"/>
        </w:trPr>
        <w:tc>
          <w:tcPr>
            <w:tcW w:w="6880" w:type="dxa"/>
            <w:vAlign w:val="bottom"/>
          </w:tcPr>
          <w:p>
            <w:pPr>
              <w:ind w:left="20"/>
              <w:spacing w:after="0"/>
              <w:rPr>
                <w:sz w:val="20"/>
                <w:szCs w:val="20"/>
                <w:color w:val="auto"/>
              </w:rPr>
            </w:pPr>
            <w:r>
              <w:rPr>
                <w:rFonts w:ascii="Arial" w:cs="Arial" w:eastAsia="Arial" w:hAnsi="Arial"/>
                <w:sz w:val="15"/>
                <w:szCs w:val="15"/>
                <w:color w:val="auto"/>
              </w:rPr>
              <w:t>Interest on mandatorily redeemable preferred OP units / equity</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1,041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06"/>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32,308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112.8 %</w:t>
            </w:r>
          </w:p>
        </w:tc>
      </w:tr>
      <w:tr>
        <w:trPr>
          <w:trHeight w:val="198"/>
        </w:trPr>
        <w:tc>
          <w:tcPr>
            <w:tcW w:w="6880" w:type="dxa"/>
            <w:vAlign w:val="bottom"/>
          </w:tcPr>
          <w:p>
            <w:pPr>
              <w:ind w:left="20"/>
              <w:spacing w:after="0"/>
              <w:rPr>
                <w:sz w:val="20"/>
                <w:szCs w:val="20"/>
                <w:color w:val="auto"/>
              </w:rPr>
            </w:pPr>
            <w:r>
              <w:rPr>
                <w:rFonts w:ascii="Arial" w:cs="Arial" w:eastAsia="Arial" w:hAnsi="Arial"/>
                <w:sz w:val="15"/>
                <w:szCs w:val="15"/>
                <w:color w:val="auto"/>
              </w:rPr>
              <w:t>Gain / (loss) on foreign currency translation</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(17,479)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17,504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100.1 %</w:t>
            </w: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13.1 %</w:t>
            </w:r>
          </w:p>
        </w:tc>
      </w:tr>
      <w:tr>
        <w:trPr>
          <w:trHeight w:val="198"/>
        </w:trPr>
        <w:tc>
          <w:tcPr>
            <w:tcW w:w="6880" w:type="dxa"/>
            <w:vAlign w:val="bottom"/>
          </w:tcPr>
          <w:p>
            <w:pPr>
              <w:ind w:left="20"/>
              <w:spacing w:after="0"/>
              <w:rPr>
                <w:sz w:val="20"/>
                <w:szCs w:val="20"/>
                <w:color w:val="auto"/>
              </w:rPr>
            </w:pPr>
            <w:r>
              <w:rPr>
                <w:rFonts w:ascii="Arial" w:cs="Arial" w:eastAsia="Arial" w:hAnsi="Arial"/>
                <w:sz w:val="15"/>
                <w:szCs w:val="15"/>
                <w:color w:val="auto"/>
              </w:rPr>
              <w:t>Income / (loss) on remeasurement of notes receivable (see Note 4)</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(2,112)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2,488</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117.8 %</w:t>
            </w: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nonconsolidated affiliates (see Note 6)</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8"/>
        </w:trPr>
        <w:tc>
          <w:tcPr>
            <w:tcW w:w="6880" w:type="dxa"/>
            <w:vAlign w:val="bottom"/>
          </w:tcPr>
          <w:p>
            <w:pPr>
              <w:ind w:left="20"/>
              <w:spacing w:after="0"/>
              <w:rPr>
                <w:sz w:val="20"/>
                <w:szCs w:val="20"/>
                <w:color w:val="auto"/>
              </w:rPr>
            </w:pPr>
            <w:r>
              <w:rPr>
                <w:rFonts w:ascii="Arial" w:cs="Arial" w:eastAsia="Arial" w:hAnsi="Arial"/>
                <w:sz w:val="15"/>
                <w:szCs w:val="15"/>
                <w:color w:val="auto"/>
              </w:rPr>
              <w:t>Income / (loss) on remeasurement of investment in nonconsolidated affiliates (see Note 6)</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(2,191)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2,295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104.7 %</w:t>
            </w: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tax benefit / (expense) (see Note 12)</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150.9 %</w:t>
            </w:r>
          </w:p>
        </w:tc>
      </w:tr>
      <w:tr>
        <w:trPr>
          <w:trHeight w:val="198"/>
        </w:trPr>
        <w:tc>
          <w:tcPr>
            <w:tcW w:w="6880" w:type="dxa"/>
            <w:vAlign w:val="bottom"/>
          </w:tcPr>
          <w:p>
            <w:pPr>
              <w:ind w:left="20"/>
              <w:spacing w:after="0"/>
              <w:rPr>
                <w:sz w:val="20"/>
                <w:szCs w:val="20"/>
                <w:color w:val="auto"/>
              </w:rPr>
            </w:pPr>
            <w:r>
              <w:rPr>
                <w:rFonts w:ascii="Arial" w:cs="Arial" w:eastAsia="Arial" w:hAnsi="Arial"/>
                <w:sz w:val="15"/>
                <w:szCs w:val="15"/>
                <w:color w:val="auto"/>
              </w:rPr>
              <w:t>Deferred tax benefit (see Note 12)</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return to preferred OP units / equity</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82.4 %</w:t>
            </w:r>
          </w:p>
        </w:tc>
      </w:tr>
      <w:tr>
        <w:trPr>
          <w:trHeight w:val="195"/>
        </w:trPr>
        <w:tc>
          <w:tcPr>
            <w:tcW w:w="6880" w:type="dxa"/>
            <w:vAlign w:val="bottom"/>
          </w:tcPr>
          <w:p>
            <w:pPr>
              <w:ind w:left="20"/>
              <w:spacing w:after="0"/>
              <w:rPr>
                <w:sz w:val="20"/>
                <w:szCs w:val="20"/>
                <w:color w:val="auto"/>
              </w:rPr>
            </w:pPr>
            <w:r>
              <w:rPr>
                <w:rFonts w:ascii="Arial" w:cs="Arial" w:eastAsia="Arial" w:hAnsi="Arial"/>
                <w:sz w:val="15"/>
                <w:szCs w:val="15"/>
                <w:color w:val="auto"/>
              </w:rPr>
              <w:t>Income attributable to noncontrolling interests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(962)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1,257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130.7 %</w:t>
            </w:r>
          </w:p>
        </w:tc>
      </w:tr>
    </w:tbl>
    <w:p>
      <w:pPr>
        <w:spacing w:after="0" w:line="103" w:lineRule="exact"/>
        <w:rPr>
          <w:sz w:val="20"/>
          <w:szCs w:val="20"/>
          <w:color w:val="auto"/>
        </w:rPr>
      </w:pPr>
    </w:p>
    <w:p>
      <w:pPr>
        <w:ind w:right="3280" w:firstLine="8"/>
        <w:spacing w:after="0" w:line="384" w:lineRule="auto"/>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Only items determined by management to be material, of interest, or unique to the periods disclosed above are explained below. N/M = Percentage change is not meaningful.</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Service, retail, dining and entertainment, net - </w:t>
      </w:r>
      <w:r>
        <w:rPr>
          <w:rFonts w:ascii="Arial" w:cs="Arial" w:eastAsia="Arial" w:hAnsi="Arial"/>
          <w:sz w:val="18"/>
          <w:szCs w:val="18"/>
          <w:color w:val="auto"/>
        </w:rPr>
        <w:t>for the three months ended March 31, 2021, increased primarily due to the addition of service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Safe Harbor acquisition in the fourth quarter of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 </w:t>
      </w:r>
      <w:r>
        <w:rPr>
          <w:rFonts w:ascii="Arial" w:cs="Arial" w:eastAsia="Arial" w:hAnsi="Arial"/>
          <w:sz w:val="18"/>
          <w:szCs w:val="18"/>
          <w:color w:val="auto"/>
        </w:rPr>
        <w:t>for the three months ended March 31, 2021, increased primarily due to higher balances on our notes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Brokerage commissions and other revenues, net </w:t>
      </w:r>
      <w:r>
        <w:rPr>
          <w:rFonts w:ascii="Arial" w:cs="Arial" w:eastAsia="Arial" w:hAnsi="Arial"/>
          <w:sz w:val="18"/>
          <w:szCs w:val="18"/>
          <w:color w:val="auto"/>
        </w:rPr>
        <w:t>- for the three months ended March 31, 2021, increased primarily due to an increase in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as a result of an increase in the number of brokered home sales, as compared to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months ended March 31, 2021, increased primarily due to an increase in wages and incentives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growth in strategic initiatives and acquisition activity as compared to the same period in 2020.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Catastrophic event-related charges, net - </w:t>
      </w:r>
      <w:r>
        <w:rPr>
          <w:rFonts w:ascii="Arial" w:cs="Arial" w:eastAsia="Arial" w:hAnsi="Arial"/>
          <w:sz w:val="17"/>
          <w:szCs w:val="17"/>
          <w:color w:val="auto"/>
        </w:rPr>
        <w:t>for the three months ended March 31, 2021, increased primarily due to fire damages and winter ice storms.</w:t>
      </w:r>
    </w:p>
    <w:p>
      <w:pPr>
        <w:spacing w:after="0" w:line="2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Business combination expenses </w:t>
      </w:r>
      <w:r>
        <w:rPr>
          <w:rFonts w:ascii="Arial" w:cs="Arial" w:eastAsia="Arial" w:hAnsi="Arial"/>
          <w:sz w:val="17"/>
          <w:szCs w:val="17"/>
          <w:color w:val="auto"/>
        </w:rPr>
        <w:t>- for the three months ended March 31, 2021, were incurred as a result of our recent acquisitions of marinas. Refer to Note</w:t>
      </w:r>
      <w:r>
        <w:rPr>
          <w:rFonts w:ascii="Arial" w:cs="Arial" w:eastAsia="Arial" w:hAnsi="Arial"/>
          <w:sz w:val="17"/>
          <w:szCs w:val="17"/>
          <w:i w:val="1"/>
          <w:iCs w:val="1"/>
          <w:color w:val="auto"/>
        </w:rPr>
        <w:t xml:space="preserve"> </w:t>
      </w:r>
      <w:r>
        <w:rPr>
          <w:rFonts w:ascii="Arial" w:cs="Arial" w:eastAsia="Arial" w:hAnsi="Arial"/>
          <w:sz w:val="17"/>
          <w:szCs w:val="17"/>
          <w:color w:val="auto"/>
        </w:rPr>
        <w:t>3, "Real Estate Acquisitions and Dispositions" of our accompanying Consolidated Financial Statements for additional information.</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Depreciation and amortization - </w:t>
      </w:r>
      <w:r>
        <w:rPr>
          <w:rFonts w:ascii="Arial" w:cs="Arial" w:eastAsia="Arial" w:hAnsi="Arial"/>
          <w:sz w:val="17"/>
          <w:szCs w:val="17"/>
          <w:color w:val="auto"/>
        </w:rPr>
        <w:t>for the three months ended March 31, 2021, increased as a result of property acquisitions during 2020 and 2021. Refer to</w:t>
      </w:r>
      <w:r>
        <w:rPr>
          <w:rFonts w:ascii="Arial" w:cs="Arial" w:eastAsia="Arial" w:hAnsi="Arial"/>
          <w:sz w:val="17"/>
          <w:szCs w:val="17"/>
          <w:i w:val="1"/>
          <w:iCs w:val="1"/>
          <w:color w:val="auto"/>
        </w:rPr>
        <w:t xml:space="preserve"> </w:t>
      </w:r>
      <w:r>
        <w:rPr>
          <w:rFonts w:ascii="Arial" w:cs="Arial" w:eastAsia="Arial" w:hAnsi="Arial"/>
          <w:sz w:val="17"/>
          <w:szCs w:val="17"/>
          <w:color w:val="auto"/>
        </w:rPr>
        <w:t>Note 3, "Real Estate Acquisitions and Dispositions," in our accompanying Consolidated Financial Statements for additional information.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three months ended March 31, 2021, decreased primarily due to no prepayment penalties related to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activity as compared to the same period in 2020. Refer to Note 8, "Debt and Lines of Credit," in our accompanying Consolidated Financial Statements for additional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Interest expense - </w:t>
      </w:r>
      <w:r>
        <w:rPr>
          <w:rFonts w:ascii="Arial" w:cs="Arial" w:eastAsia="Arial" w:hAnsi="Arial"/>
          <w:sz w:val="16"/>
          <w:szCs w:val="16"/>
          <w:color w:val="auto"/>
        </w:rPr>
        <w:t>for the three months ended March 31, 2021, increased primarily due to the addition of debt related to Safe Harbor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2020. Refer to Note 8, "Debt and Lines of Credit," of our accompanying Consolidated Financial Statements for additional information.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remeasurement of marketable securities - </w:t>
      </w:r>
      <w:r>
        <w:rPr>
          <w:rFonts w:ascii="Arial" w:cs="Arial" w:eastAsia="Arial" w:hAnsi="Arial"/>
          <w:sz w:val="18"/>
          <w:szCs w:val="18"/>
          <w:color w:val="auto"/>
        </w:rPr>
        <w:t>for the three months ended March 31, 2021, was a $3.7 million gain as compared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$28.6 million loss in the same period in 2020, which represent remeasurement gains from our investment in marketable securities. Refer to Note 14, "Fair Value of Financial Instruments," in our accompanying Consolidated Financial Statements for additional information.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Gain / (loss) on foreign currency translation - </w:t>
      </w:r>
      <w:r>
        <w:rPr>
          <w:rFonts w:ascii="Arial" w:cs="Arial" w:eastAsia="Arial" w:hAnsi="Arial"/>
          <w:sz w:val="17"/>
          <w:szCs w:val="17"/>
          <w:color w:val="auto"/>
        </w:rPr>
        <w:t>for the three months ended March 31, 2021, was a $25.0 thousand gain as compared to a $17.5 million loss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in 2020, primarily due to fluctuations in exchange rates on Canadian and Australian denominated currencies.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 (loss) on remeasurement of notes receivable - </w:t>
      </w:r>
      <w:r>
        <w:rPr>
          <w:rFonts w:ascii="Arial" w:cs="Arial" w:eastAsia="Arial" w:hAnsi="Arial"/>
          <w:sz w:val="18"/>
          <w:szCs w:val="18"/>
          <w:color w:val="auto"/>
        </w:rPr>
        <w:t>represents the adjustment of our in-house financing notes receivable portfolio, for which we 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option on January 1, 2020. Refer to Note 4, "Notes and Other Receivables," and Note 14, "Fair Value of Financial Instruments," in our accompanying Consolidated Financial Statements for additional information.</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Income / (loss) on remeasurement of investment in nonconsolidated affiliates - </w:t>
      </w:r>
      <w:r>
        <w:rPr>
          <w:rFonts w:ascii="Arial" w:cs="Arial" w:eastAsia="Arial" w:hAnsi="Arial"/>
          <w:sz w:val="18"/>
          <w:szCs w:val="18"/>
          <w:color w:val="auto"/>
        </w:rPr>
        <w:t>represents the adjustment of our equity investment in GTSC,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the fair value option on January 1, 2020. Refer to Note 6, "Investment in Nonconsolidated Affiliates,"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Preferred return to preferred OP units / equity </w:t>
      </w:r>
      <w:r>
        <w:rPr>
          <w:rFonts w:ascii="Arial" w:cs="Arial" w:eastAsia="Arial" w:hAnsi="Arial"/>
          <w:sz w:val="18"/>
          <w:szCs w:val="18"/>
          <w:color w:val="auto"/>
        </w:rPr>
        <w:t>- for the three months ended March 31, 2021, increased primarily as a result of the volume of preferred OP</w:t>
      </w:r>
      <w:r>
        <w:rPr>
          <w:rFonts w:ascii="Arial" w:cs="Arial" w:eastAsia="Arial" w:hAnsi="Arial"/>
          <w:sz w:val="18"/>
          <w:szCs w:val="18"/>
          <w:i w:val="1"/>
          <w:iCs w:val="1"/>
          <w:color w:val="auto"/>
        </w:rPr>
        <w:t xml:space="preserve"> </w:t>
      </w:r>
      <w:r>
        <w:rPr>
          <w:rFonts w:ascii="Arial" w:cs="Arial" w:eastAsia="Arial" w:hAnsi="Arial"/>
          <w:sz w:val="18"/>
          <w:szCs w:val="18"/>
          <w:color w:val="auto"/>
        </w:rPr>
        <w:t>units issued in conjunction with various acquisitions since 2020. Refer to Note 3, "Real Estate Acquisitions and Dispositions," and Note 9, "Equity and Temporary Equity," of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attributable to noncontrolling interests - </w:t>
      </w:r>
      <w:r>
        <w:rPr>
          <w:rFonts w:ascii="Arial" w:cs="Arial" w:eastAsia="Arial" w:hAnsi="Arial"/>
          <w:sz w:val="18"/>
          <w:szCs w:val="18"/>
          <w:color w:val="auto"/>
        </w:rPr>
        <w:t>for the three months ended March 31, 2021, increased as compared to the same period in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improved financial performance of the Company and its consolidated VIEs. Refer to Note 7, "Consolidated Variable Interest Entities," in our accompanying Consolidated Financial Statements for additional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 (Loss) Attributable to Sun Communities, Inc. Common Stockholders to FFO</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Net income / (loss) attributable to Sun Communities, Inc. common stockholders to FFO for the three months ended March 31, 2021 and 2020 (in thousands,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8"/>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March 31, 2020</w:t>
            </w:r>
          </w:p>
        </w:tc>
        <w:tc>
          <w:tcPr>
            <w:tcW w:w="0" w:type="dxa"/>
            <w:vAlign w:val="bottom"/>
          </w:tcPr>
          <w:p>
            <w:pPr>
              <w:spacing w:after="0"/>
              <w:rPr>
                <w:sz w:val="1"/>
                <w:szCs w:val="1"/>
                <w:color w:val="auto"/>
              </w:rPr>
            </w:pPr>
          </w:p>
        </w:tc>
      </w:tr>
      <w:tr>
        <w:trPr>
          <w:trHeight w:val="198"/>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 (Loss) Attributable to Sun Communities, Inc.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(16,086)</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83,752</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Depreciation on nonconsolidated affiliates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(Gain) / loss on remeasurement of investment in nonconsolidated affiliates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2,191</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notes receivable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2,112</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Loss attributable to noncontrolling interests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return to preferred OP units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Gain on disposition of assets,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(5,562)</w:t>
            </w:r>
          </w:p>
        </w:tc>
        <w:tc>
          <w:tcPr>
            <w:tcW w:w="0" w:type="dxa"/>
            <w:vAlign w:val="bottom"/>
          </w:tcPr>
          <w:p>
            <w:pPr>
              <w:spacing w:after="0"/>
              <w:rPr>
                <w:sz w:val="1"/>
                <w:szCs w:val="1"/>
                <w:color w:val="auto"/>
              </w:rPr>
            </w:pPr>
          </w:p>
        </w:tc>
      </w:tr>
      <w:tr>
        <w:trPr>
          <w:trHeight w:val="24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FFO Attributable to Sun Communities, Inc. Common Stockholders and Dilutive Convertible Securities</w:t>
            </w:r>
            <w:r>
              <w:rPr>
                <w:rFonts w:ascii="Arial" w:cs="Arial" w:eastAsia="Arial" w:hAnsi="Arial"/>
                <w:sz w:val="19"/>
                <w:szCs w:val="19"/>
                <w:b w:val="1"/>
                <w:bCs w:val="1"/>
                <w:color w:val="auto"/>
                <w:vertAlign w:val="superscript"/>
              </w:rPr>
              <w:t>(1)</w:t>
            </w:r>
          </w:p>
        </w:tc>
        <w:tc>
          <w:tcPr>
            <w:tcW w:w="120" w:type="dxa"/>
            <w:vAlign w:val="bottom"/>
            <w:shd w:val="clear" w:color="auto" w:fill="CCEEFF"/>
          </w:tcPr>
          <w:p>
            <w:pPr>
              <w:spacing w:after="0"/>
              <w:rPr>
                <w:sz w:val="21"/>
                <w:szCs w:val="2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135,925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95,046</w:t>
            </w:r>
          </w:p>
        </w:tc>
        <w:tc>
          <w:tcPr>
            <w:tcW w:w="0" w:type="dxa"/>
            <w:vAlign w:val="bottom"/>
          </w:tcPr>
          <w:p>
            <w:pPr>
              <w:spacing w:after="0"/>
              <w:rPr>
                <w:sz w:val="1"/>
                <w:szCs w:val="1"/>
                <w:color w:val="auto"/>
              </w:rPr>
            </w:pPr>
          </w:p>
        </w:tc>
      </w:tr>
      <w:tr>
        <w:trPr>
          <w:trHeight w:val="55"/>
        </w:trPr>
        <w:tc>
          <w:tcPr>
            <w:tcW w:w="8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20"/>
              <w:spacing w:after="0" w:line="203" w:lineRule="exact"/>
              <w:rPr>
                <w:sz w:val="20"/>
                <w:szCs w:val="20"/>
                <w:color w:val="auto"/>
              </w:rPr>
            </w:pPr>
            <w:r>
              <w:rPr>
                <w:rFonts w:ascii="Arial" w:cs="Arial" w:eastAsia="Arial" w:hAnsi="Arial"/>
                <w:sz w:val="15"/>
                <w:szCs w:val="15"/>
                <w:color w:val="auto"/>
              </w:rPr>
              <w:t>Business combination expense and other acquisition related costs</w:t>
            </w:r>
            <w:r>
              <w:rPr>
                <w:rFonts w:ascii="Arial" w:cs="Arial" w:eastAsia="Arial" w:hAnsi="Arial"/>
                <w:sz w:val="19"/>
                <w:szCs w:val="19"/>
                <w:color w:val="auto"/>
                <w:vertAlign w:val="superscript"/>
              </w:rPr>
              <w:t>(2)</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extinguishment of debt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606</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Loss of earnings - catastrophic event-related</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17,479</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Deferred tax benefits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b w:val="1"/>
                <w:bCs w:val="1"/>
                <w:color w:val="auto"/>
              </w:rPr>
              <w:t>Core FFO Attributable to Sun Communities, Inc. Common Stockholders and Dilutive Convertible Securities</w:t>
            </w:r>
            <w:r>
              <w:rPr>
                <w:rFonts w:ascii="Arial" w:cs="Arial" w:eastAsia="Arial" w:hAnsi="Arial"/>
                <w:sz w:val="19"/>
                <w:szCs w:val="19"/>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141,036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117,267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92,410</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5"/>
                <w:szCs w:val="15"/>
                <w:color w:val="auto"/>
              </w:rPr>
              <w:t>Add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shares dilutive effect: March 2021 forward equity offering</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Common stock issuable upon conversion of stock options</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Restricted stock</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5"/>
                <w:szCs w:val="15"/>
                <w:color w:val="auto"/>
              </w:rPr>
              <w:t>Common OP units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2,412</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issuable upon conversion of certain preferred OP units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111,739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96,513</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Arial" w:cs="Arial" w:eastAsia="Arial" w:hAnsi="Arial"/>
                <w:sz w:val="15"/>
                <w:szCs w:val="15"/>
                <w:b w:val="1"/>
                <w:bCs w:val="1"/>
                <w:color w:val="auto"/>
                <w:w w:val="94"/>
              </w:rPr>
              <w:t>FFO Attributable to Sun Communities, Inc. Common Stockholders and Dilutive Convertible Securities Per Share - Fully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0.98</w:t>
            </w:r>
          </w:p>
        </w:tc>
        <w:tc>
          <w:tcPr>
            <w:tcW w:w="0" w:type="dxa"/>
            <w:vAlign w:val="bottom"/>
          </w:tcPr>
          <w:p>
            <w:pPr>
              <w:spacing w:after="0"/>
              <w:rPr>
                <w:sz w:val="1"/>
                <w:szCs w:val="1"/>
                <w:color w:val="auto"/>
              </w:rPr>
            </w:pPr>
          </w:p>
        </w:tc>
      </w:tr>
      <w:tr>
        <w:trPr>
          <w:trHeight w:val="164"/>
        </w:trPr>
        <w:tc>
          <w:tcPr>
            <w:tcW w:w="8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520" w:type="dxa"/>
            <w:vAlign w:val="bottom"/>
          </w:tcPr>
          <w:p>
            <w:pPr>
              <w:ind w:left="20"/>
              <w:spacing w:after="0" w:line="149" w:lineRule="exact"/>
              <w:rPr>
                <w:sz w:val="20"/>
                <w:szCs w:val="20"/>
                <w:color w:val="auto"/>
              </w:rPr>
            </w:pPr>
            <w:r>
              <w:rPr>
                <w:rFonts w:ascii="Arial" w:cs="Arial" w:eastAsia="Arial" w:hAnsi="Arial"/>
                <w:sz w:val="15"/>
                <w:szCs w:val="15"/>
                <w:b w:val="1"/>
                <w:bCs w:val="1"/>
                <w:color w:val="auto"/>
                <w:w w:val="95"/>
              </w:rPr>
              <w:t>Core FFO Attributable to Sun Communities, Inc. Common Stockholders and Dilutive Convertible Securities Per Share - Fully</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5"/>
                <w:szCs w:val="15"/>
                <w:b w:val="1"/>
                <w:bCs w:val="1"/>
                <w:color w:val="auto"/>
              </w:rPr>
              <w:t>Diluted</w:t>
            </w:r>
          </w:p>
        </w:tc>
        <w:tc>
          <w:tcPr>
            <w:tcW w:w="1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The effect of certain anti-dilutive convertible securities is excluded from these items.</w:t>
      </w:r>
    </w:p>
    <w:p>
      <w:pPr>
        <w:spacing w:after="0" w:line="45" w:lineRule="exact"/>
        <w:rPr>
          <w:rFonts w:ascii="Arial" w:cs="Arial" w:eastAsia="Arial" w:hAnsi="Arial"/>
          <w:sz w:val="18"/>
          <w:szCs w:val="18"/>
          <w:color w:val="auto"/>
          <w:vertAlign w:val="superscript"/>
        </w:rPr>
      </w:pPr>
    </w:p>
    <w:p>
      <w:pPr>
        <w:ind w:left="180" w:hanging="172"/>
        <w:spacing w:after="0" w:line="210" w:lineRule="auto"/>
        <w:tabs>
          <w:tab w:leader="none" w:pos="167"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spacing w:after="0" w:line="33" w:lineRule="exact"/>
        <w:rPr>
          <w:rFonts w:ascii="Arial" w:cs="Arial" w:eastAsia="Arial" w:hAnsi="Arial"/>
          <w:sz w:val="19"/>
          <w:szCs w:val="19"/>
          <w:color w:val="auto"/>
          <w:vertAlign w:val="superscript"/>
        </w:rPr>
      </w:pPr>
    </w:p>
    <w:p>
      <w:pPr>
        <w:ind w:left="180" w:hanging="172"/>
        <w:spacing w:after="0" w:line="217" w:lineRule="auto"/>
        <w:tabs>
          <w:tab w:leader="none" w:pos="167"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properties.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and Dispositions," in the accompanying Consolidated Financial Statements for information regarding recent property acquisitions.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8, "Debt and Lines of Credit," and Note 9, "Equity and Temporary Equity," in the accompanying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 MH, RV and Marinas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Expansion and development activities costs of $46.9 million and $60.2 million, were completed for the three months ended March 31, 2021 and 2020, respectively. Expansion and development activities consisted primarily of construction of sites and other costs necessary to complete home site improvements at our MH and RV properties.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Lot modification expenditures were $7.3 million and $7.9 million, for the three months ended March 31, 2021 and 2020, respectively, at our MH and RV properties.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Recurring capital expenditures at our MH and RV properties were $10.5 million and $5.9 million, for the three months ended March 31, 2021 and 2020, respectively. These expenditures relate to our continued commitment to the upkeep of our MH and RV properties.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Recurring capital expenditures at our marinas were $3.1 million for the three months ended March 31, 2021, and include items such as: dredging, dock repairs and improvements, and equipment maintenance and upgrades.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project expenditures were $18.1 million and $4.4 million, for the three months ended March 31, 2021 and 2020, respectively. Growth projects consist of revenue generating or expense reducing activities at MH communities, RV resorts and marinas. This includes, but is not limited to, utility efficiency and renewable energy projects, site, slip or amenity upgrades such as the addition of a garage, shed or boat lift, and other special capital projects that substantiate an incremental rental increase.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2020</w:t>
            </w:r>
          </w:p>
        </w:tc>
      </w:tr>
      <w:tr>
        <w:trPr>
          <w:trHeight w:val="198"/>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220,490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118,513</w:t>
            </w:r>
          </w:p>
        </w:tc>
      </w:tr>
      <w:tr>
        <w:trPr>
          <w:trHeight w:val="199"/>
        </w:trPr>
        <w:tc>
          <w:tcPr>
            <w:tcW w:w="780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(285,978)</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(169,330)</w:t>
            </w: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93,002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411,109</w:t>
            </w:r>
          </w:p>
        </w:tc>
      </w:tr>
      <w:tr>
        <w:trPr>
          <w:trHeight w:val="195"/>
        </w:trPr>
        <w:tc>
          <w:tcPr>
            <w:tcW w:w="780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19</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(382)</w:t>
            </w:r>
          </w:p>
        </w:tc>
      </w:tr>
    </w:tbl>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increased by approximately $27.5 million from $92.6 million as of December 31, 2020, to $120.2 million as of March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$102.0 million from $118.5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$220.5 million for the three months ended March 31, 2021.</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2020 Annual Report.</w:t>
      </w: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used for investing activities was $286.0 million for the three months ended March 31, 2021, compared to $169.3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2020. Refer to Note 3, "Real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financing activities was $93.0 million for the three months ended March 31, 2021, compared to $411.1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2020. Refer to Note 8, "Debt and Lines of Credit," and Note 9, "Equity and Temporary Equity," in our accompanying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 2021, we priced a $1.1 billion underwritten public offering of an aggregate of 8,050,000 shares at a public offering price of $140.00 per share, before underwriting discounts and commissions. The offering consisted of 4,000,000 shares offered directly by us and 4,050,000 shares offered under a forward equity sales agreement (the "March 2021 Forward Equity Offering"). We sold the 4,000,000 shares on March 9, 2021 and received net proceeds of $537.6 million. We may elect to settle the forward sale agreement relating to the remaining 4,050,000 shares upon one or more forward settlement dates no later than March 2022. We may also elect to cash settle or net share settle all or a portion of our obligations under the March 2021 Forward Equity Offering if we conclude it is in our best interest to do so. If we elect to cash settle or net settle the March 2021 Forward Equity Offering, we may not receive any proceeds. If we fully physically settle the March 2021 Forward Equity Offering, we expect to receive net proceeds of approximately $544.3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30, 2020 and October 1, 2020, we entered into two forward sale agreements (the "September 2020 Forward Equity Offering") relating to an underwritten registered public offering of 9,200,000 shares of our common stock at a public offering price of $139.50 per share. The offering closed on October 5, 2020. We did not initially receive any proceeds from the sale of shares of our common stock in the offering. On October 26, 2020, we physically settled the September 2020 Forward Equity Offering (by the delivery of shares of our common stock) and received net proceeds of approximately $1.2 billion. We used approximately $1.1 billion of the net proceeds to fund the cash portion of the Safe Harbor purchase price, and the remainder for working capital and general corporate purposes.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under the Sales Agreement. Through March 31, 2021, we have sold shares of our common stock for gross proceeds of $163.8 million under the Sales Agreement. There were no issuances of common stock under the Sales Agreement during the three months ended March 31, 2021 or during the year ended December 31, 2020.</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we assumed a term loan facility with Citibank, N.A. ("Citibank"), in the amount of $58.0 million in relation to an acquisition. The term loan has a four-year term ending October 29, 2023, and bears interest at a floating rate based on the Eurodollar rate or Prime rate plus a margin ranging from 1.20 percent to 2.05 percent. The outstanding balance as of March 31, 2021 and December 31, 2020 was $42.5 million and $45.0 million, respectively.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amended and restated our credit agreement with Citibank and certain other lenders. Pursuant to the credit agreement, we entered into an unsecured senior credit facility with Citibank and certain lenders in the amount of $750.0 million, comprised of a $650.0 million revolving loan, with the ability to use up to $100.0 million for advances in Australian dollars, and a $100.0 million term loan (the "A&amp;R Facility").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March 31, 2021, the margin based on our leverage ratio was 1.20 percent on the revolving loan and 1.20 percent on the term loan. We had $352.9 million of borrowings on the revolving loan and no borrowings on the term loan, respectively, as of March 31, 2021. We had $40.4 million of borrowings on the revolving loan and no borrowings on the term loan, as of December 31,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with Citibank, N.A. ("Citibank"), but does reduce the borrowing amount available. At March 31, 2021 and December 31, 2020, we had approximately $2.2 million and $2.1 million of outstanding letters of credit,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As of March 31, 2021, we were in compliance with these covenants and do not anticipate that we will be unable to meet these covenants in the near term as a result of COVID-19's impact on our business. The most restrictive financial covenants for the A&amp;R Facility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As of March 31, 2021</w:t>
            </w:r>
          </w:p>
        </w:tc>
      </w:tr>
      <w:tr>
        <w:trPr>
          <w:trHeight w:val="20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27.1%</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2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3.65</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Minimum tangible net worth</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&gt;$3,731,946</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$7,757,794</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Maximum dividend payout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&lt;95.0%</w:t>
            </w:r>
          </w:p>
        </w:tc>
        <w:tc>
          <w:tcPr>
            <w:tcW w:w="2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58.1%</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variable rate indebtedness</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&lt;50.0%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5.4%</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30, 2020, in relation to the acquisition of Safe Harbor, we indirectly assumed approximately $829.0 million of Safe Harbor's debt owed to Citizens Bank N.A. ("Citizens"). On December 22, 2020, this facility was amended to, among other things, (a) increase the size of the revolving commitments available to Safe Harbor from $500.0 million to $1.3 billion, subject to borrowing base availability, (b) modify certain provisions relating to the determination of the borrowing base, (c) increase the cap on the incremental borrowing capacity from $350.0 million to $500.0 million, which allows Safe Harbor to request an increase to the revolving commitments and / or to establish additional term loans subject to the higher cap and the satisfaction of certain condition, and (d) modify certain financial covenants. The revolving loan and term loan under the Safe Harbor facility both expire on October 11, 2024. The term loan component of the Safe Harbor Facility can be extended for two additional 12-month periods, subject to the satisfaction of certain conditions set forth in the credit agreement. The revolving commitments do not have an extension option.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Safe Harbor Facility bears interest at a floating rate based on an adjusted LIBOR rate or a base rate, plus a margin that is determined based on Safe Harbor's ratio of consolidated funded debt to total asset value, calculated in accordance with the credit agreement, which margin can range from 1.375 percent to 2.250 percent for adjusted LIBOR rate loans and 0.375 percent to 1.250 percent for base rate loans. As of March 31, 2021, based on Safe Harbor's ratio of consolidated funded debt to total asset value, the margin was 2.000 percent on any adjusted LIBOR rate loans and 1.000 percent on any base rate loans. The Safe Harbor Facility is secured by the personal property of Safe Harbor and certain related entities and subsidiaries and a pledge of the equity interests in certain subsidiaries of Safe Harbor and related entities and subsidiaries, subject to customary exceptions. At the lender's option, the Safe Harbor Facility will become immediately due and payable upon an event of default that is continuing under the credit agreement. Safe Harbor had $19.0 million and $500.0 million of borrowings under the revolving loan and term loan respectively, as of March 31, 2021. Safe Harbor had $652.0 million and $500.0 million of borrowings under the revolving loan and term loan respectively, as of December 31,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Safe Harbor Facility provides Safe Harbor with the ability to issue letters of credit. Its issuance of letters of credit does not increase its borrowings outstanding under its line of credit with Citizens, but does reduce the borrowing amount available. The balance of the outstanding letters of credit for Safe Harbor was approximately $0.3 million at March 31, 2021 and December 31, 2020.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terms of the Safe Harbor Facility, we are subject to various financial and other covenants. As of March 31, 2021, we were in compliance with these covenants and do not anticipate that we will be unable to meet these covenants in the near term as a result of COVID-19's impact on our marina business. The most restrictive financial covenants for the Safe Harbor Facility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As of March 31, 2021</w:t>
            </w:r>
          </w:p>
        </w:tc>
      </w:tr>
      <w:tr>
        <w:trPr>
          <w:trHeight w:val="20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&lt;60.0%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20.3%</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 (pre-distribution)</w:t>
            </w:r>
          </w:p>
        </w:tc>
        <w:tc>
          <w:tcPr>
            <w:tcW w:w="2080" w:type="dxa"/>
            <w:vAlign w:val="bottom"/>
          </w:tcPr>
          <w:p>
            <w:pPr>
              <w:jc w:val="center"/>
              <w:spacing w:after="0"/>
              <w:rPr>
                <w:sz w:val="20"/>
                <w:szCs w:val="20"/>
                <w:color w:val="auto"/>
              </w:rPr>
            </w:pPr>
            <w:r>
              <w:rPr>
                <w:rFonts w:ascii="Arial" w:cs="Arial" w:eastAsia="Arial" w:hAnsi="Arial"/>
                <w:sz w:val="15"/>
                <w:szCs w:val="15"/>
                <w:color w:val="auto"/>
                <w:w w:val="89"/>
              </w:rPr>
              <w:t>&gt;1.35</w:t>
            </w:r>
          </w:p>
        </w:tc>
        <w:tc>
          <w:tcPr>
            <w:tcW w:w="2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4.18</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Minimum fixed charge coverage ratio (post-distribution)</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&gt;1.00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3.25</w:t>
            </w:r>
          </w:p>
        </w:tc>
      </w:tr>
      <w:tr>
        <w:trPr>
          <w:trHeight w:val="194"/>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Minimum borrowing base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89"/>
              </w:rPr>
              <w:t>&gt;1.00</w:t>
            </w:r>
          </w:p>
        </w:tc>
        <w:tc>
          <w:tcPr>
            <w:tcW w:w="2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2.95</w:t>
            </w:r>
          </w:p>
        </w:tc>
      </w:tr>
    </w:tbl>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properties, and Operating Partnership unit redemptions through the issuance of certain debt or equity securities and / or the collateralization of our properties.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unrestricted cash on hand as of March 31, 2021 of approximately $105.1 million. As of March 31, 2021, there is approximately $1.7 billion of remaining capacity on the lines of credit under the A&amp;R Facility and the Safe Harbor Facility. At March 31, 2021 we had a total of 260 unencumbered MH and RV properties, of which 61 support the borrowing base for the $750.0 million revolving loan under our A&amp;R Facility and 31 support the borrowing base for a term loan facility. The remaining 168 unencumbered MH and RV properties, with an estimated asset value of approximately $2.8 billion as of March 31, 2021 are available to secure potential mortgage debt. At March 31, 2021 we had a total of 110 unencumbered marinas, of which 108 support the borrowing base for our Safe Harbor Facility.</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RV and marina industries at the time, including the effects of the COVID-19 pandemic,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2020 Annual Report and in Part II, Item 1A of this report. If we are unable to obtain additional debt or equity financing on acceptable terms, our business, results of operations and financial condition would be adversely impacted.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our net debt to enterprise value was approximately 19.7 percent (assuming conversion of all common OP units, Series A-1 preferred OP units, Series A-3 preferred OP units, Series C preferred OP units, Series D preferred OP units, Series E preferred OP units, Series F preferred OP units, Series G preferred OP units, Series H preferred OP units, and Series I preferred OP units to shares of common stock). Our debt has a weighted average maturity of approximately 9.5 years and a weighted average interest rate of 3.4 percent.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joint venture arrangements. Refer to Note 6, "Investment in Nonconsolidated Affiliates," and Note 8, "Debt and Lines of Credit," in the accompanying Consolidated Financial Statements, for additional information on our off-balance sheet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Nonconsolidated Affiliate Indebtedness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GTSC </w:t>
      </w:r>
      <w:r>
        <w:rPr>
          <w:rFonts w:ascii="Arial" w:cs="Arial" w:eastAsia="Arial" w:hAnsi="Arial"/>
          <w:sz w:val="17"/>
          <w:szCs w:val="17"/>
          <w:color w:val="auto"/>
        </w:rPr>
        <w:t>- During September 2019, GTSC entered into a warehouse line of credit with a maximum loan amount of $125.0 million. During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amount was increased to $180.0 million. As of March 31, 2021, the aggregate carrying amount of debt, including both our and our partner's share, incurred by GTSC was $180.0 million (of which our proportionate share is $72.0 million). The debt bears interest at a variable rate based on LIBOR plus 1.65 percent per annum and matures on September 15, 2023. Refer to Note 6, "Investment in Nonconsolidated Affiliates," in the accompanying Consolidated Financial Statements for additional information on our nonconsolidated affiliates.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Sungenia JV - During May 2020, Sungenia JV entered into a debt facility agreement with a maximum loan amount of 27.0 million Australian dollars, or $20.5 million converted at the March 31, 2021 exchange rate. As of March 31, 2021, the aggregate carrying amount of debt, including both our and our partners' share, incurred by Sungenia JV was $6.6 million (of which our proportionate share is $3.3 million). The debt bears interest at a variable rate based on Australian BBSY plus 2.05 percent per annum and is available for a minimum of three years. Refer to Note 6, "Investment in Nonconsolidated Affiliates," in the accompanying Consolidated Financial Statements for additional information on our nonconsolidated affiliates.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2020 Annual Report, and in our other filings with the SEC, such risks and uncertainties include, but are not limited to:</w:t>
      </w:r>
    </w:p>
    <w:p>
      <w:pPr>
        <w:spacing w:after="0" w:line="206"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(including the Safe Harbor acquisition), developments and expansions successfully;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foreign currency exchange rates, including between the U.S. dollar and each of the Canadian dollar and the Australian dollar;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 and disclosure controls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purchasers of manufactured homes and boats to obtain financing;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$917.6 million and $583.1 million as of March 31, 2021 and 2020, respectively, and bears interest at Prime or various LIBOR rates. If Prime or LIBOR increased or decreased by 1.0 percent, our interest expense would have increased or decreased by approximately $3.0 million and $0.9 million for the three months ended March 31, 2021 and 2020, respectively, based on the $1.2 billion and $356.6 million average balances outstanding under our variable rate debt facilities,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and December 31, 2020, our stockholder's equity included $254.5 million and $250.8 million from our Canadian subsidiaries and Australian equity investments, respectively, which represented 4.2 percent and 4.5 percent of total stockholder's equity, respectively. Based on our sensitivity analysis, a 10.0 percent strengthening of the U.S. dollar against the Canadian and Australian dollar would have caused a reduction of $25.5 million and $25.1 million to our total stockholder's equity at March 31, 2021 and December 31,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March 31, 2021. Based upon this evaluation, our CEO and CFO concluded that our disclosure controls and procedures were effective as of March 31, 2021.</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we completed the acquisition of Safe Harbor and are currently integrating Safe Harbor into our operations, compliance program and internal control processes. Safe Harbor constituted approximately 23 percent of our total assets as of December 31, 2020, including the goodwill and other intangible assets recorded as part of the purchase price allocation, and three percent of our revenues for the year ended December 31, 2020. SEC regulations allow companies to exclude acquisitions from their assessment of internal control over financial reporting during the first year following an acquisition. We have excluded the acquired operation of Safe Harbor from our assessment of our internal control over financial reporting for the three months ended March 31, 2021. As of March 31, 2021, Safe Harbor represented approximately 24 percent of our total assets and 22 percent of our revenues for the quarter ending March 31,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15, "Commitments and Contingencies," in our accompanying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described in Part 1, Item 1A., "Risk Factors," in our 2020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March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right"/>
              <w:ind w:right="42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7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Borders>
              <w:bottom w:val="single" w:sz="8" w:color="auto"/>
            </w:tcBorders>
            <w:gridSpan w:val="2"/>
          </w:tcPr>
          <w:p>
            <w:pPr>
              <w:jc w:val="right"/>
              <w:ind w:right="624"/>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145"/>
        </w:trPr>
        <w:tc>
          <w:tcPr>
            <w:tcW w:w="7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Series</w:t>
            </w:r>
          </w:p>
        </w:tc>
        <w:tc>
          <w:tcPr>
            <w:tcW w:w="240" w:type="dxa"/>
            <w:vAlign w:val="bottom"/>
            <w:vMerge w:val="restart"/>
          </w:tcPr>
          <w:p>
            <w:pPr>
              <w:spacing w:after="0"/>
              <w:rPr>
                <w:sz w:val="12"/>
                <w:szCs w:val="12"/>
                <w:color w:val="auto"/>
              </w:rPr>
            </w:pPr>
          </w:p>
        </w:tc>
        <w:tc>
          <w:tcPr>
            <w:tcW w:w="12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95"/>
              </w:rPr>
              <w:t>Conversion Rate</w:t>
            </w:r>
          </w:p>
        </w:tc>
        <w:tc>
          <w:tcPr>
            <w:tcW w:w="240" w:type="dxa"/>
            <w:vAlign w:val="bottom"/>
            <w:vMerge w:val="restart"/>
          </w:tcPr>
          <w:p>
            <w:pPr>
              <w:spacing w:after="0"/>
              <w:rPr>
                <w:sz w:val="12"/>
                <w:szCs w:val="12"/>
                <w:color w:val="auto"/>
              </w:rPr>
            </w:pPr>
          </w:p>
        </w:tc>
        <w:tc>
          <w:tcPr>
            <w:tcW w:w="1240" w:type="dxa"/>
            <w:vAlign w:val="bottom"/>
          </w:tcPr>
          <w:p>
            <w:pPr>
              <w:jc w:val="right"/>
              <w:ind w:right="82"/>
              <w:spacing w:after="0" w:line="145" w:lineRule="exact"/>
              <w:rPr>
                <w:sz w:val="20"/>
                <w:szCs w:val="20"/>
                <w:color w:val="auto"/>
              </w:rPr>
            </w:pPr>
            <w:r>
              <w:rPr>
                <w:rFonts w:ascii="Arial" w:cs="Arial" w:eastAsia="Arial" w:hAnsi="Arial"/>
                <w:sz w:val="15"/>
                <w:szCs w:val="15"/>
                <w:b w:val="1"/>
                <w:bCs w:val="1"/>
                <w:color w:val="auto"/>
              </w:rPr>
              <w:t>Units / Shares</w:t>
            </w:r>
          </w:p>
        </w:tc>
        <w:tc>
          <w:tcPr>
            <w:tcW w:w="12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2"/>
              </w:rPr>
              <w:t>Common Stock</w:t>
            </w:r>
            <w:r>
              <w:rPr>
                <w:rFonts w:ascii="Arial" w:cs="Arial" w:eastAsia="Arial" w:hAnsi="Arial"/>
                <w:sz w:val="19"/>
                <w:szCs w:val="19"/>
                <w:b w:val="1"/>
                <w:bCs w:val="1"/>
                <w:color w:val="auto"/>
                <w:w w:val="92"/>
                <w:vertAlign w:val="superscript"/>
              </w:rPr>
              <w:t>(1)</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Converted</w:t>
            </w: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24,912</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24,912</w:t>
            </w:r>
          </w:p>
        </w:tc>
        <w:tc>
          <w:tcPr>
            <w:tcW w:w="0" w:type="dxa"/>
            <w:vAlign w:val="bottom"/>
          </w:tcPr>
          <w:p>
            <w:pPr>
              <w:spacing w:after="0"/>
              <w:rPr>
                <w:sz w:val="1"/>
                <w:szCs w:val="1"/>
                <w:color w:val="auto"/>
              </w:rPr>
            </w:pPr>
          </w:p>
        </w:tc>
      </w:tr>
      <w:tr>
        <w:trPr>
          <w:trHeight w:val="194"/>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units</w:t>
            </w:r>
          </w:p>
        </w:tc>
        <w:tc>
          <w:tcPr>
            <w:tcW w:w="1240" w:type="dxa"/>
            <w:vAlign w:val="bottom"/>
          </w:tcPr>
          <w:p>
            <w:pPr>
              <w:jc w:val="right"/>
              <w:spacing w:after="0"/>
              <w:rPr>
                <w:sz w:val="20"/>
                <w:szCs w:val="20"/>
                <w:color w:val="auto"/>
              </w:rPr>
            </w:pPr>
            <w:r>
              <w:rPr>
                <w:rFonts w:ascii="Arial" w:cs="Arial" w:eastAsia="Arial" w:hAnsi="Arial"/>
                <w:sz w:val="15"/>
                <w:szCs w:val="15"/>
                <w:color w:val="auto"/>
              </w:rPr>
              <w:t>2.4390</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4,316</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10,525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including Regulation D promulgated thereunder, based on certain investments representations made by the parties to whom the securities were issued. No underwriters were used in connection with any of such issuances.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23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900" w:type="dxa"/>
            <w:vAlign w:val="bottom"/>
            <w:tcBorders>
              <w:top w:val="single" w:sz="8" w:color="auto"/>
              <w:bottom w:val="single" w:sz="8" w:color="auto"/>
              <w:right w:val="single" w:sz="8" w:color="auto"/>
            </w:tcBorders>
            <w:gridSpan w:val="9"/>
          </w:tcPr>
          <w:p>
            <w:pPr>
              <w:ind w:left="140"/>
              <w:spacing w:after="0"/>
              <w:rPr>
                <w:sz w:val="20"/>
                <w:szCs w:val="20"/>
                <w:color w:val="auto"/>
              </w:rPr>
            </w:pPr>
            <w:r>
              <w:rPr>
                <w:rFonts w:ascii="Arial" w:cs="Arial" w:eastAsia="Arial" w:hAnsi="Arial"/>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3.1</w:t>
            </w:r>
          </w:p>
        </w:tc>
        <w:tc>
          <w:tcPr>
            <w:tcW w:w="6600" w:type="dxa"/>
            <w:vAlign w:val="bottom"/>
            <w:tcBorders>
              <w:right w:val="single" w:sz="8" w:color="auto"/>
            </w:tcBorders>
            <w:gridSpan w:val="11"/>
            <w:shd w:val="clear" w:color="auto" w:fill="CCEEFF"/>
          </w:tcPr>
          <w:p>
            <w:pPr>
              <w:spacing w:after="0" w:line="182" w:lineRule="exact"/>
              <w:rPr>
                <w:rFonts w:ascii="Arial" w:cs="Arial" w:eastAsia="Arial" w:hAnsi="Arial"/>
                <w:sz w:val="18"/>
                <w:szCs w:val="18"/>
                <w:color w:val="0000FF"/>
              </w:rPr>
            </w:pPr>
            <w:hyperlink r:id="rId80">
              <w:r>
                <w:rPr>
                  <w:rFonts w:ascii="Arial" w:cs="Arial" w:eastAsia="Arial" w:hAnsi="Arial"/>
                  <w:sz w:val="18"/>
                  <w:szCs w:val="18"/>
                  <w:color w:val="0000FF"/>
                </w:rPr>
                <w:t>Sun Communities, Inc. Articles of Restatement</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236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2840" w:type="dxa"/>
            <w:vAlign w:val="bottom"/>
            <w:tcBorders>
              <w:top w:val="single" w:sz="8" w:color="CCEEFF"/>
              <w:right w:val="single" w:sz="8" w:color="auto"/>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Communities, Inc.'s Annual Report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Form 10-K filed on February 22, 2018</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3.2</w:t>
            </w:r>
          </w:p>
        </w:tc>
        <w:tc>
          <w:tcPr>
            <w:tcW w:w="6600" w:type="dxa"/>
            <w:vAlign w:val="bottom"/>
            <w:tcBorders>
              <w:right w:val="single" w:sz="8" w:color="auto"/>
            </w:tcBorders>
            <w:gridSpan w:val="11"/>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Third Amended and Restated Bylaws</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left w:val="single" w:sz="8" w:color="auto"/>
              <w:right w:val="single" w:sz="8" w:color="auto"/>
            </w:tcBorders>
          </w:tcPr>
          <w:p>
            <w:pPr>
              <w:spacing w:after="0"/>
              <w:rPr>
                <w:sz w:val="12"/>
                <w:szCs w:val="12"/>
                <w:color w:val="auto"/>
              </w:rPr>
            </w:pPr>
          </w:p>
        </w:tc>
        <w:tc>
          <w:tcPr>
            <w:tcW w:w="23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6"/>
                <w:szCs w:val="16"/>
                <w:color w:val="auto"/>
              </w:rPr>
              <w:t>Communities Inc.'s Current Report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Form 8-K filed on May 12, 2017</w:t>
            </w: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10.1</w:t>
            </w:r>
          </w:p>
        </w:tc>
        <w:tc>
          <w:tcPr>
            <w:tcW w:w="6600" w:type="dxa"/>
            <w:vAlign w:val="bottom"/>
            <w:tcBorders>
              <w:right w:val="single" w:sz="8" w:color="auto"/>
            </w:tcBorders>
            <w:gridSpan w:val="11"/>
            <w:shd w:val="clear" w:color="auto" w:fill="CCEEFF"/>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Employment Agreement dated March 29, 2021 among Sun Communities, Inc., Sun</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6000" w:type="dxa"/>
            <w:vAlign w:val="bottom"/>
            <w:tcBorders>
              <w:top w:val="single" w:sz="8" w:color="0000FF"/>
            </w:tcBorders>
            <w:gridSpan w:val="7"/>
            <w:shd w:val="clear" w:color="auto" w:fill="CCEEFF"/>
          </w:tcPr>
          <w:p>
            <w:pPr>
              <w:spacing w:after="0" w:line="176" w:lineRule="exact"/>
              <w:rPr>
                <w:rFonts w:ascii="Arial" w:cs="Arial" w:eastAsia="Arial" w:hAnsi="Arial"/>
                <w:sz w:val="18"/>
                <w:szCs w:val="18"/>
                <w:color w:val="0000FF"/>
              </w:rPr>
            </w:pPr>
            <w:hyperlink r:id="rId82">
              <w:r>
                <w:rPr>
                  <w:rFonts w:ascii="Arial" w:cs="Arial" w:eastAsia="Arial" w:hAnsi="Arial"/>
                  <w:sz w:val="18"/>
                  <w:szCs w:val="18"/>
                  <w:color w:val="0000FF"/>
                </w:rPr>
                <w:t>Communities Operating Limited Partnership and Gary A. Shiffman#</w:t>
              </w:r>
            </w:hyperlink>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2840" w:type="dxa"/>
            <w:vAlign w:val="bottom"/>
            <w:tcBorders>
              <w:top w:val="single" w:sz="8" w:color="CCEEFF"/>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62"/>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4"/>
                <w:szCs w:val="14"/>
                <w:color w:val="auto"/>
              </w:rPr>
            </w:pPr>
          </w:p>
        </w:tc>
        <w:tc>
          <w:tcPr>
            <w:tcW w:w="2360" w:type="dxa"/>
            <w:vAlign w:val="bottom"/>
            <w:tcBorders>
              <w:top w:val="single" w:sz="8" w:color="0000FF"/>
              <w:bottom w:val="single" w:sz="8" w:color="auto"/>
            </w:tcBorders>
            <w:shd w:val="clear" w:color="auto" w:fill="CCEEFF"/>
          </w:tcPr>
          <w:p>
            <w:pPr>
              <w:spacing w:after="0"/>
              <w:rPr>
                <w:sz w:val="14"/>
                <w:szCs w:val="14"/>
                <w:color w:val="auto"/>
              </w:rPr>
            </w:pPr>
          </w:p>
        </w:tc>
        <w:tc>
          <w:tcPr>
            <w:tcW w:w="340" w:type="dxa"/>
            <w:vAlign w:val="bottom"/>
            <w:tcBorders>
              <w:top w:val="single" w:sz="8" w:color="0000FF"/>
              <w:bottom w:val="single" w:sz="8" w:color="auto"/>
            </w:tcBorders>
            <w:shd w:val="clear" w:color="auto" w:fill="CCEEFF"/>
          </w:tcPr>
          <w:p>
            <w:pPr>
              <w:spacing w:after="0"/>
              <w:rPr>
                <w:sz w:val="14"/>
                <w:szCs w:val="14"/>
                <w:color w:val="auto"/>
              </w:rPr>
            </w:pPr>
          </w:p>
        </w:tc>
        <w:tc>
          <w:tcPr>
            <w:tcW w:w="700" w:type="dxa"/>
            <w:vAlign w:val="bottom"/>
            <w:tcBorders>
              <w:top w:val="single" w:sz="8" w:color="0000FF"/>
              <w:bottom w:val="single" w:sz="8" w:color="auto"/>
            </w:tcBorders>
            <w:shd w:val="clear" w:color="auto" w:fill="CCEEFF"/>
          </w:tcPr>
          <w:p>
            <w:pPr>
              <w:spacing w:after="0"/>
              <w:rPr>
                <w:sz w:val="14"/>
                <w:szCs w:val="14"/>
                <w:color w:val="auto"/>
              </w:rPr>
            </w:pPr>
          </w:p>
        </w:tc>
        <w:tc>
          <w:tcPr>
            <w:tcW w:w="1480" w:type="dxa"/>
            <w:vAlign w:val="bottom"/>
            <w:tcBorders>
              <w:top w:val="single" w:sz="8" w:color="0000FF"/>
              <w:bottom w:val="single" w:sz="8" w:color="auto"/>
            </w:tcBorders>
            <w:shd w:val="clear" w:color="auto" w:fill="CCEEFF"/>
          </w:tcPr>
          <w:p>
            <w:pPr>
              <w:spacing w:after="0"/>
              <w:rPr>
                <w:sz w:val="14"/>
                <w:szCs w:val="14"/>
                <w:color w:val="auto"/>
              </w:rPr>
            </w:pPr>
          </w:p>
        </w:tc>
        <w:tc>
          <w:tcPr>
            <w:tcW w:w="20" w:type="dxa"/>
            <w:vAlign w:val="bottom"/>
            <w:tcBorders>
              <w:top w:val="single" w:sz="8" w:color="0000FF"/>
              <w:bottom w:val="single" w:sz="8" w:color="auto"/>
            </w:tcBorders>
            <w:shd w:val="clear" w:color="auto" w:fill="CCEEFF"/>
          </w:tcPr>
          <w:p>
            <w:pPr>
              <w:spacing w:after="0"/>
              <w:rPr>
                <w:sz w:val="14"/>
                <w:szCs w:val="14"/>
                <w:color w:val="auto"/>
              </w:rPr>
            </w:pPr>
          </w:p>
        </w:tc>
        <w:tc>
          <w:tcPr>
            <w:tcW w:w="40" w:type="dxa"/>
            <w:vAlign w:val="bottom"/>
            <w:tcBorders>
              <w:top w:val="single" w:sz="8" w:color="0000FF"/>
              <w:bottom w:val="single" w:sz="8" w:color="auto"/>
            </w:tcBorders>
            <w:shd w:val="clear" w:color="auto" w:fill="CCEEFF"/>
          </w:tcPr>
          <w:p>
            <w:pPr>
              <w:spacing w:after="0"/>
              <w:rPr>
                <w:sz w:val="14"/>
                <w:szCs w:val="14"/>
                <w:color w:val="auto"/>
              </w:rPr>
            </w:pPr>
          </w:p>
        </w:tc>
        <w:tc>
          <w:tcPr>
            <w:tcW w:w="1060" w:type="dxa"/>
            <w:vAlign w:val="bottom"/>
            <w:tcBorders>
              <w:top w:val="single" w:sz="8" w:color="CCEEFF"/>
              <w:bottom w:val="single" w:sz="8" w:color="auto"/>
            </w:tcBorders>
            <w:shd w:val="clear" w:color="auto" w:fill="CCEEFF"/>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auto"/>
              <w:right w:val="single" w:sz="8" w:color="auto"/>
            </w:tcBorders>
            <w:shd w:val="clear" w:color="auto" w:fill="CCEEFF"/>
          </w:tcPr>
          <w:p>
            <w:pPr>
              <w:spacing w:after="0"/>
              <w:rPr>
                <w:sz w:val="14"/>
                <w:szCs w:val="14"/>
                <w:color w:val="auto"/>
              </w:rPr>
            </w:pPr>
          </w:p>
        </w:tc>
        <w:tc>
          <w:tcPr>
            <w:tcW w:w="2840" w:type="dxa"/>
            <w:vAlign w:val="bottom"/>
            <w:tcBorders>
              <w:top w:val="single" w:sz="8" w:color="CCEEFF"/>
              <w:bottom w:val="single" w:sz="8" w:color="auto"/>
              <w:right w:val="single" w:sz="8" w:color="auto"/>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Form 8-K filed on March 31, 2021</w:t>
            </w:r>
          </w:p>
        </w:tc>
        <w:tc>
          <w:tcPr>
            <w:tcW w:w="0" w:type="dxa"/>
            <w:vAlign w:val="bottom"/>
          </w:tcPr>
          <w:p>
            <w:pPr>
              <w:spacing w:after="0"/>
              <w:rPr>
                <w:sz w:val="1"/>
                <w:szCs w:val="1"/>
                <w:color w:val="auto"/>
              </w:rPr>
            </w:pPr>
          </w:p>
        </w:tc>
      </w:tr>
      <w:tr>
        <w:trPr>
          <w:trHeight w:val="190"/>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10.2</w:t>
            </w:r>
          </w:p>
        </w:tc>
        <w:tc>
          <w:tcPr>
            <w:tcW w:w="6600" w:type="dxa"/>
            <w:vAlign w:val="bottom"/>
            <w:tcBorders>
              <w:right w:val="single" w:sz="8" w:color="auto"/>
            </w:tcBorders>
            <w:gridSpan w:val="11"/>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Employment Agreement dated March 29, 2021 among Sun Communities, Inc., Sun</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spacing w:after="0"/>
              <w:rPr>
                <w:sz w:val="15"/>
                <w:szCs w:val="15"/>
                <w:color w:val="auto"/>
              </w:rPr>
            </w:pPr>
          </w:p>
        </w:tc>
        <w:tc>
          <w:tcPr>
            <w:tcW w:w="6000" w:type="dxa"/>
            <w:vAlign w:val="bottom"/>
            <w:tcBorders>
              <w:top w:val="single" w:sz="8" w:color="0000FF"/>
            </w:tcBorders>
            <w:gridSpan w:val="7"/>
          </w:tcPr>
          <w:p>
            <w:pPr>
              <w:spacing w:after="0" w:line="176" w:lineRule="exact"/>
              <w:rPr>
                <w:rFonts w:ascii="Arial" w:cs="Arial" w:eastAsia="Arial" w:hAnsi="Arial"/>
                <w:sz w:val="18"/>
                <w:szCs w:val="18"/>
                <w:color w:val="0000FF"/>
              </w:rPr>
            </w:pPr>
            <w:hyperlink r:id="rId82">
              <w:r>
                <w:rPr>
                  <w:rFonts w:ascii="Arial" w:cs="Arial" w:eastAsia="Arial" w:hAnsi="Arial"/>
                  <w:sz w:val="18"/>
                  <w:szCs w:val="18"/>
                  <w:color w:val="0000FF"/>
                </w:rPr>
                <w:t>Communities Operating Limited Partnership and John B. McLaren#</w:t>
              </w:r>
            </w:hyperlink>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2360" w:type="dxa"/>
            <w:vAlign w:val="bottom"/>
            <w:tcBorders>
              <w:top w:val="single" w:sz="8" w:color="0000FF"/>
              <w:bottom w:val="single" w:sz="8" w:color="auto"/>
            </w:tcBorders>
          </w:tcPr>
          <w:p>
            <w:pPr>
              <w:spacing w:after="0"/>
              <w:rPr>
                <w:sz w:val="14"/>
                <w:szCs w:val="14"/>
                <w:color w:val="auto"/>
              </w:rPr>
            </w:pPr>
          </w:p>
        </w:tc>
        <w:tc>
          <w:tcPr>
            <w:tcW w:w="340" w:type="dxa"/>
            <w:vAlign w:val="bottom"/>
            <w:tcBorders>
              <w:top w:val="single" w:sz="8" w:color="0000FF"/>
              <w:bottom w:val="single" w:sz="8" w:color="auto"/>
            </w:tcBorders>
          </w:tcPr>
          <w:p>
            <w:pPr>
              <w:spacing w:after="0"/>
              <w:rPr>
                <w:sz w:val="14"/>
                <w:szCs w:val="14"/>
                <w:color w:val="auto"/>
              </w:rPr>
            </w:pPr>
          </w:p>
        </w:tc>
        <w:tc>
          <w:tcPr>
            <w:tcW w:w="700" w:type="dxa"/>
            <w:vAlign w:val="bottom"/>
            <w:tcBorders>
              <w:top w:val="single" w:sz="8" w:color="0000FF"/>
              <w:bottom w:val="single" w:sz="8" w:color="auto"/>
            </w:tcBorders>
          </w:tcPr>
          <w:p>
            <w:pPr>
              <w:spacing w:after="0"/>
              <w:rPr>
                <w:sz w:val="14"/>
                <w:szCs w:val="14"/>
                <w:color w:val="auto"/>
              </w:rPr>
            </w:pPr>
          </w:p>
        </w:tc>
        <w:tc>
          <w:tcPr>
            <w:tcW w:w="148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ind w:left="20"/>
              <w:spacing w:after="0" w:line="162" w:lineRule="exact"/>
              <w:rPr>
                <w:sz w:val="20"/>
                <w:szCs w:val="20"/>
                <w:color w:val="auto"/>
              </w:rPr>
            </w:pPr>
            <w:r>
              <w:rPr>
                <w:rFonts w:ascii="Arial" w:cs="Arial" w:eastAsia="Arial" w:hAnsi="Arial"/>
                <w:sz w:val="18"/>
                <w:szCs w:val="18"/>
                <w:color w:val="auto"/>
              </w:rPr>
              <w:t>Form 8-K filed on March 31, 2021</w:t>
            </w: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10.3</w:t>
            </w:r>
          </w:p>
        </w:tc>
        <w:tc>
          <w:tcPr>
            <w:tcW w:w="6600" w:type="dxa"/>
            <w:vAlign w:val="bottom"/>
            <w:tcBorders>
              <w:right w:val="single" w:sz="8" w:color="auto"/>
            </w:tcBorders>
            <w:gridSpan w:val="11"/>
            <w:shd w:val="clear" w:color="auto" w:fill="CCEEFF"/>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Employment Agreement dated March 29, 2021 among Sun Communities, Inc., Sun</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6000" w:type="dxa"/>
            <w:vAlign w:val="bottom"/>
            <w:tcBorders>
              <w:top w:val="single" w:sz="8" w:color="0000FF"/>
            </w:tcBorders>
            <w:gridSpan w:val="7"/>
            <w:shd w:val="clear" w:color="auto" w:fill="CCEEFF"/>
          </w:tcPr>
          <w:p>
            <w:pPr>
              <w:spacing w:after="0" w:line="176" w:lineRule="exact"/>
              <w:rPr>
                <w:rFonts w:ascii="Arial" w:cs="Arial" w:eastAsia="Arial" w:hAnsi="Arial"/>
                <w:sz w:val="18"/>
                <w:szCs w:val="18"/>
                <w:color w:val="0000FF"/>
              </w:rPr>
            </w:pPr>
            <w:hyperlink r:id="rId82">
              <w:r>
                <w:rPr>
                  <w:rFonts w:ascii="Arial" w:cs="Arial" w:eastAsia="Arial" w:hAnsi="Arial"/>
                  <w:sz w:val="18"/>
                  <w:szCs w:val="18"/>
                  <w:color w:val="0000FF"/>
                </w:rPr>
                <w:t>Communities Operating Limited Partnership and Karen J. Dearing#</w:t>
              </w:r>
            </w:hyperlink>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2840" w:type="dxa"/>
            <w:vAlign w:val="bottom"/>
            <w:tcBorders>
              <w:top w:val="single" w:sz="8" w:color="CCEEFF"/>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62"/>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4"/>
                <w:szCs w:val="14"/>
                <w:color w:val="auto"/>
              </w:rPr>
            </w:pPr>
          </w:p>
        </w:tc>
        <w:tc>
          <w:tcPr>
            <w:tcW w:w="2360" w:type="dxa"/>
            <w:vAlign w:val="bottom"/>
            <w:tcBorders>
              <w:top w:val="single" w:sz="8" w:color="0000FF"/>
              <w:bottom w:val="single" w:sz="8" w:color="auto"/>
            </w:tcBorders>
            <w:shd w:val="clear" w:color="auto" w:fill="CCEEFF"/>
          </w:tcPr>
          <w:p>
            <w:pPr>
              <w:spacing w:after="0"/>
              <w:rPr>
                <w:sz w:val="14"/>
                <w:szCs w:val="14"/>
                <w:color w:val="auto"/>
              </w:rPr>
            </w:pPr>
          </w:p>
        </w:tc>
        <w:tc>
          <w:tcPr>
            <w:tcW w:w="340" w:type="dxa"/>
            <w:vAlign w:val="bottom"/>
            <w:tcBorders>
              <w:top w:val="single" w:sz="8" w:color="0000FF"/>
              <w:bottom w:val="single" w:sz="8" w:color="auto"/>
            </w:tcBorders>
            <w:shd w:val="clear" w:color="auto" w:fill="CCEEFF"/>
          </w:tcPr>
          <w:p>
            <w:pPr>
              <w:spacing w:after="0"/>
              <w:rPr>
                <w:sz w:val="14"/>
                <w:szCs w:val="14"/>
                <w:color w:val="auto"/>
              </w:rPr>
            </w:pPr>
          </w:p>
        </w:tc>
        <w:tc>
          <w:tcPr>
            <w:tcW w:w="700" w:type="dxa"/>
            <w:vAlign w:val="bottom"/>
            <w:tcBorders>
              <w:top w:val="single" w:sz="8" w:color="0000FF"/>
              <w:bottom w:val="single" w:sz="8" w:color="auto"/>
            </w:tcBorders>
            <w:shd w:val="clear" w:color="auto" w:fill="CCEEFF"/>
          </w:tcPr>
          <w:p>
            <w:pPr>
              <w:spacing w:after="0"/>
              <w:rPr>
                <w:sz w:val="14"/>
                <w:szCs w:val="14"/>
                <w:color w:val="auto"/>
              </w:rPr>
            </w:pPr>
          </w:p>
        </w:tc>
        <w:tc>
          <w:tcPr>
            <w:tcW w:w="1480" w:type="dxa"/>
            <w:vAlign w:val="bottom"/>
            <w:tcBorders>
              <w:top w:val="single" w:sz="8" w:color="0000FF"/>
              <w:bottom w:val="single" w:sz="8" w:color="auto"/>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40" w:type="dxa"/>
            <w:vAlign w:val="bottom"/>
            <w:tcBorders>
              <w:top w:val="single" w:sz="8" w:color="CCEEFF"/>
              <w:bottom w:val="single" w:sz="8" w:color="auto"/>
            </w:tcBorders>
            <w:shd w:val="clear" w:color="auto" w:fill="CCEEFF"/>
          </w:tcPr>
          <w:p>
            <w:pPr>
              <w:spacing w:after="0"/>
              <w:rPr>
                <w:sz w:val="14"/>
                <w:szCs w:val="14"/>
                <w:color w:val="auto"/>
              </w:rPr>
            </w:pPr>
          </w:p>
        </w:tc>
        <w:tc>
          <w:tcPr>
            <w:tcW w:w="1060" w:type="dxa"/>
            <w:vAlign w:val="bottom"/>
            <w:tcBorders>
              <w:top w:val="single" w:sz="8" w:color="CCEEFF"/>
              <w:bottom w:val="single" w:sz="8" w:color="auto"/>
            </w:tcBorders>
            <w:shd w:val="clear" w:color="auto" w:fill="CCEEFF"/>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auto"/>
              <w:right w:val="single" w:sz="8" w:color="auto"/>
            </w:tcBorders>
            <w:shd w:val="clear" w:color="auto" w:fill="CCEEFF"/>
          </w:tcPr>
          <w:p>
            <w:pPr>
              <w:spacing w:after="0"/>
              <w:rPr>
                <w:sz w:val="14"/>
                <w:szCs w:val="14"/>
                <w:color w:val="auto"/>
              </w:rPr>
            </w:pPr>
          </w:p>
        </w:tc>
        <w:tc>
          <w:tcPr>
            <w:tcW w:w="2840" w:type="dxa"/>
            <w:vAlign w:val="bottom"/>
            <w:tcBorders>
              <w:top w:val="single" w:sz="8" w:color="CCEEFF"/>
              <w:bottom w:val="single" w:sz="8" w:color="auto"/>
              <w:right w:val="single" w:sz="8" w:color="auto"/>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Form 8-K filed on March 31, 2021</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31.1</w:t>
            </w:r>
          </w:p>
        </w:tc>
        <w:tc>
          <w:tcPr>
            <w:tcW w:w="6360" w:type="dxa"/>
            <w:vAlign w:val="bottom"/>
            <w:tcBorders>
              <w:bottom w:val="single" w:sz="8" w:color="0000FF"/>
            </w:tcBorders>
            <w:gridSpan w:val="9"/>
          </w:tcPr>
          <w:p>
            <w:pPr>
              <w:spacing w:after="0" w:line="182" w:lineRule="exact"/>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Chief Executive Officer pursuant to Securities Exchange Act Rules 13a-</w:t>
              </w:r>
            </w:hyperlink>
          </w:p>
        </w:tc>
        <w:tc>
          <w:tcPr>
            <w:tcW w:w="240" w:type="dxa"/>
            <w:vAlign w:val="bottom"/>
            <w:tcBorders>
              <w:right w:val="single" w:sz="8" w:color="auto"/>
            </w:tcBorders>
            <w:gridSpan w:val="2"/>
          </w:tcPr>
          <w:p>
            <w:pPr>
              <w:spacing w:after="0"/>
              <w:rPr>
                <w:sz w:val="15"/>
                <w:szCs w:val="15"/>
                <w:color w:val="auto"/>
              </w:rPr>
            </w:pPr>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right w:val="single" w:sz="8" w:color="auto"/>
            </w:tcBorders>
            <w:gridSpan w:val="11"/>
          </w:tcPr>
          <w:p>
            <w:pPr>
              <w:spacing w:after="0" w:line="156" w:lineRule="exact"/>
              <w:rPr>
                <w:rFonts w:ascii="Arial" w:cs="Arial" w:eastAsia="Arial" w:hAnsi="Arial"/>
                <w:sz w:val="18"/>
                <w:szCs w:val="18"/>
                <w:color w:val="0000FF"/>
                <w:w w:val="91"/>
              </w:rPr>
            </w:pPr>
            <w:hyperlink w:anchor="page61">
              <w:r>
                <w:rPr>
                  <w:rFonts w:ascii="Arial" w:cs="Arial" w:eastAsia="Arial" w:hAnsi="Arial"/>
                  <w:sz w:val="18"/>
                  <w:szCs w:val="18"/>
                  <w:color w:val="0000FF"/>
                  <w:w w:val="91"/>
                </w:rPr>
                <w:t>14(a)/15(d)-14(a), as adopted pursuant to Section 302 of the Sarbanes-Oxley Act of 2002.</w:t>
              </w:r>
            </w:hyperlink>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4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31.2</w:t>
            </w:r>
          </w:p>
        </w:tc>
        <w:tc>
          <w:tcPr>
            <w:tcW w:w="6600" w:type="dxa"/>
            <w:vAlign w:val="bottom"/>
            <w:tcBorders>
              <w:right w:val="single" w:sz="8" w:color="auto"/>
            </w:tcBorders>
            <w:gridSpan w:val="11"/>
            <w:shd w:val="clear" w:color="auto" w:fill="CCEEFF"/>
          </w:tcPr>
          <w:p>
            <w:pPr>
              <w:spacing w:after="0" w:line="182" w:lineRule="exact"/>
              <w:rPr>
                <w:rFonts w:ascii="Arial" w:cs="Arial" w:eastAsia="Arial" w:hAnsi="Arial"/>
                <w:sz w:val="18"/>
                <w:szCs w:val="18"/>
                <w:color w:val="0000FF"/>
                <w:w w:val="95"/>
              </w:rPr>
            </w:pPr>
            <w:hyperlink w:anchor="page62">
              <w:r>
                <w:rPr>
                  <w:rFonts w:ascii="Arial" w:cs="Arial" w:eastAsia="Arial" w:hAnsi="Arial"/>
                  <w:sz w:val="18"/>
                  <w:szCs w:val="18"/>
                  <w:color w:val="0000FF"/>
                  <w:w w:val="95"/>
                </w:rPr>
                <w:t>Certification of Chief Financial Officer pursuant to Securities Exchange Act Rules 13a-</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auto"/>
            </w:tcBorders>
            <w:gridSpan w:val="3"/>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600" w:type="dxa"/>
            <w:vAlign w:val="bottom"/>
            <w:tcBorders>
              <w:bottom w:val="single" w:sz="8" w:color="auto"/>
              <w:right w:val="single" w:sz="8" w:color="auto"/>
            </w:tcBorders>
            <w:gridSpan w:val="11"/>
            <w:shd w:val="clear" w:color="auto" w:fill="CCEEFF"/>
          </w:tcPr>
          <w:p>
            <w:pPr>
              <w:spacing w:after="0" w:line="156" w:lineRule="exact"/>
              <w:rPr>
                <w:rFonts w:ascii="Arial" w:cs="Arial" w:eastAsia="Arial" w:hAnsi="Arial"/>
                <w:sz w:val="18"/>
                <w:szCs w:val="18"/>
                <w:color w:val="0000FF"/>
                <w:w w:val="91"/>
              </w:rPr>
            </w:pPr>
            <w:hyperlink w:anchor="page62">
              <w:r>
                <w:rPr>
                  <w:rFonts w:ascii="Arial" w:cs="Arial" w:eastAsia="Arial" w:hAnsi="Arial"/>
                  <w:sz w:val="18"/>
                  <w:szCs w:val="18"/>
                  <w:color w:val="0000FF"/>
                  <w:w w:val="91"/>
                </w:rPr>
                <w:t>14(a)/15(d)-14(a), as adopted pursuant to Section 302 of the Sarbanes-Oxley Act of 2002.</w:t>
              </w:r>
            </w:hyperlink>
          </w:p>
        </w:tc>
        <w:tc>
          <w:tcPr>
            <w:tcW w:w="284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32.1</w:t>
            </w:r>
          </w:p>
        </w:tc>
        <w:tc>
          <w:tcPr>
            <w:tcW w:w="6600" w:type="dxa"/>
            <w:vAlign w:val="bottom"/>
            <w:tcBorders>
              <w:right w:val="single" w:sz="8" w:color="auto"/>
            </w:tcBorders>
            <w:gridSpan w:val="11"/>
          </w:tcPr>
          <w:p>
            <w:pPr>
              <w:spacing w:after="0" w:line="182" w:lineRule="exact"/>
              <w:rPr>
                <w:rFonts w:ascii="Arial" w:cs="Arial" w:eastAsia="Arial" w:hAnsi="Arial"/>
                <w:sz w:val="18"/>
                <w:szCs w:val="18"/>
                <w:color w:val="0000FF"/>
                <w:w w:val="94"/>
              </w:rPr>
            </w:pPr>
            <w:hyperlink w:anchor="page63">
              <w:r>
                <w:rPr>
                  <w:rFonts w:ascii="Arial" w:cs="Arial" w:eastAsia="Arial" w:hAnsi="Arial"/>
                  <w:sz w:val="18"/>
                  <w:szCs w:val="18"/>
                  <w:color w:val="0000FF"/>
                  <w:w w:val="94"/>
                </w:rPr>
                <w:t>Certification pursuant to 18 U.S.C. Section 1350, as adopted pursuant to Section 906 of</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top w:val="single" w:sz="8" w:color="0000FF"/>
              <w:right w:val="single" w:sz="8" w:color="auto"/>
            </w:tcBorders>
            <w:gridSpan w:val="11"/>
          </w:tcPr>
          <w:p>
            <w:pPr>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the Sarbanes-Oxley Act of 2002.</w:t>
              </w:r>
            </w:hyperlink>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6600" w:type="dxa"/>
            <w:vAlign w:val="bottom"/>
            <w:tcBorders>
              <w:right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40"/>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right w:val="single" w:sz="8" w:color="auto"/>
            </w:tcBorders>
            <w:shd w:val="clear" w:color="auto" w:fill="CCEEFF"/>
          </w:tcPr>
          <w:p>
            <w:pPr>
              <w:spacing w:after="0"/>
              <w:rPr>
                <w:sz w:val="3"/>
                <w:szCs w:val="3"/>
                <w:color w:val="auto"/>
              </w:rPr>
            </w:pPr>
          </w:p>
        </w:tc>
        <w:tc>
          <w:tcPr>
            <w:tcW w:w="28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because its XBRL tags are embedded</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23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right w:val="single" w:sz="8" w:color="auto"/>
            </w:tcBorders>
            <w:shd w:val="clear" w:color="auto" w:fill="CCEEFF"/>
          </w:tcPr>
          <w:p>
            <w:pPr>
              <w:spacing w:after="0"/>
              <w:rPr>
                <w:sz w:val="6"/>
                <w:szCs w:val="6"/>
                <w:color w:val="auto"/>
              </w:rPr>
            </w:pPr>
          </w:p>
        </w:tc>
        <w:tc>
          <w:tcPr>
            <w:tcW w:w="284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101.SCH</w:t>
            </w:r>
          </w:p>
        </w:tc>
        <w:tc>
          <w:tcPr>
            <w:tcW w:w="66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6600" w:type="dxa"/>
            <w:vAlign w:val="bottom"/>
            <w:tcBorders>
              <w:bottom w:val="single" w:sz="8" w:color="auto"/>
              <w:right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101.LAB</w:t>
            </w:r>
          </w:p>
        </w:tc>
        <w:tc>
          <w:tcPr>
            <w:tcW w:w="66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6600" w:type="dxa"/>
            <w:vAlign w:val="bottom"/>
            <w:tcBorders>
              <w:bottom w:val="single" w:sz="8" w:color="auto"/>
              <w:right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101.DEF</w:t>
            </w:r>
          </w:p>
        </w:tc>
        <w:tc>
          <w:tcPr>
            <w:tcW w:w="66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20"/>
        <w:spacing w:after="0"/>
        <w:tabs>
          <w:tab w:leader="none" w:pos="4200" w:val="left"/>
          <w:tab w:leader="none" w:pos="4660" w:val="left"/>
        </w:tabs>
        <w:rPr>
          <w:sz w:val="20"/>
          <w:szCs w:val="20"/>
          <w:color w:val="auto"/>
        </w:rPr>
      </w:pPr>
      <w:r>
        <w:rPr>
          <w:rFonts w:ascii="Arial" w:cs="Arial" w:eastAsia="Arial" w:hAnsi="Arial"/>
          <w:sz w:val="18"/>
          <w:szCs w:val="18"/>
          <w:color w:val="auto"/>
        </w:rPr>
        <w:t>Dated: April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617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Karen J. Dearing, Chief Financial Officer and Secretary</w:t>
      </w:r>
    </w:p>
    <w:p>
      <w:pPr>
        <w:ind w:left="46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6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11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57"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Dated: April 27, 2021</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40462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5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114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right="20" w:hanging="323"/>
        <w:spacing w:after="0" w:line="277" w:lineRule="auto"/>
        <w:tabs>
          <w:tab w:leader="none" w:pos="11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Dated: April 27, 2021</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5833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240"/>
          </w:cols>
          <w:pgMar w:left="320" w:top="77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March 31, 2021,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A. Shiffman</w:t>
            </w:r>
          </w:p>
        </w:tc>
        <w:tc>
          <w:tcPr>
            <w:tcW w:w="2600" w:type="dxa"/>
            <w:vAlign w:val="bottom"/>
            <w:gridSpan w:val="3"/>
          </w:tcPr>
          <w:p>
            <w:pPr>
              <w:jc w:val="center"/>
              <w:ind w:left="1450"/>
              <w:spacing w:after="0"/>
              <w:rPr>
                <w:sz w:val="20"/>
                <w:szCs w:val="20"/>
                <w:color w:val="auto"/>
              </w:rPr>
            </w:pPr>
            <w:r>
              <w:rPr>
                <w:rFonts w:ascii="Arial" w:cs="Arial" w:eastAsia="Arial" w:hAnsi="Arial"/>
                <w:sz w:val="18"/>
                <w:szCs w:val="18"/>
                <w:color w:val="auto"/>
                <w:w w:val="95"/>
              </w:rPr>
              <w:t>April 27, 2021</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Karen J. Dearing</w:t>
            </w:r>
          </w:p>
        </w:tc>
        <w:tc>
          <w:tcPr>
            <w:tcW w:w="2600" w:type="dxa"/>
            <w:vAlign w:val="bottom"/>
            <w:gridSpan w:val="3"/>
          </w:tcPr>
          <w:p>
            <w:pPr>
              <w:jc w:val="center"/>
              <w:ind w:left="1450"/>
              <w:spacing w:after="0"/>
              <w:rPr>
                <w:sz w:val="20"/>
                <w:szCs w:val="20"/>
                <w:color w:val="auto"/>
              </w:rPr>
            </w:pPr>
            <w:r>
              <w:rPr>
                <w:rFonts w:ascii="Arial" w:cs="Arial" w:eastAsia="Arial" w:hAnsi="Arial"/>
                <w:sz w:val="18"/>
                <w:szCs w:val="18"/>
                <w:color w:val="auto"/>
                <w:w w:val="95"/>
              </w:rPr>
              <w:t>April 27, 2021</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6"/>
    </w:lvl>
  </w:abstractNum>
  <w:abstractNum w:abstractNumId="12">
    <w:nsid w:val="71F32454"/>
    <w:multiLevelType w:val="hybridMultilevel"/>
    <w:lvl w:ilvl="0">
      <w:lvlJc w:val="left"/>
      <w:lvlText w:val="%1."/>
      <w:numFmt w:val="decimal"/>
      <w:start w:val="7"/>
    </w:lvl>
  </w:abstractNum>
  <w:abstractNum w:abstractNumId="13">
    <w:nsid w:val="2CA88611"/>
    <w:multiLevelType w:val="hybridMultilevel"/>
    <w:lvl w:ilvl="0">
      <w:lvlJc w:val="left"/>
      <w:lvlText w:val="%1."/>
      <w:numFmt w:val="decimal"/>
      <w:start w:val="8"/>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decimal"/>
      <w:start w:val="9"/>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0"/>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2"/>
    </w:lvl>
  </w:abstractNum>
  <w:abstractNum w:abstractNumId="25">
    <w:nsid w:val="614FD4A1"/>
    <w:multiLevelType w:val="hybridMultilevel"/>
    <w:lvl w:ilvl="0">
      <w:lvlJc w:val="left"/>
      <w:lvlText w:val="%1."/>
      <w:numFmt w:val="decimal"/>
      <w:start w:val="13"/>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4"/>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7"/>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0" Type="http://schemas.openxmlformats.org/officeDocument/2006/relationships/hyperlink" Target="http://www.sec.gov/Archives/edgar/data/912593/000091259318000049/exhibit31-suncommunitiesin.htm" TargetMode="External"/><Relationship Id="rId81" Type="http://schemas.openxmlformats.org/officeDocument/2006/relationships/hyperlink" Target="http://www.sec.gov/Archives/edgar/data/912593/000091259317000078/exhibit31-thirdamendedandr.htm" TargetMode="External"/><Relationship Id="rId82" Type="http://schemas.openxmlformats.org/officeDocument/2006/relationships/hyperlink" Target="https://www.sec.gov/Archives/edgar/data/912593/000091259321000093/0000912593-21-000093-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2021-04-27T11:27:59Z</dcterms:created>
  <dcterms:modified xsi:type="dcterms:W3CDTF">2021-04-27T11:27:59Z</dcterms:modified>
</cp:coreProperties>
</file>